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3CFE9" w14:textId="70D6E3AF" w:rsidR="005443FF" w:rsidRPr="00B87C3A" w:rsidRDefault="002A29E9" w:rsidP="002A29E9">
      <w:pPr>
        <w:pStyle w:val="Pagedecouverture"/>
        <w:rPr>
          <w:noProof/>
        </w:rPr>
      </w:pPr>
      <w:r>
        <w:rPr>
          <w:noProof/>
        </w:rPr>
        <w:pict w14:anchorId="3C7CEB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F66E6D72-C9F7-4BF2-A0E2-49BCEEB98F2C" style="width:455.25pt;height:426pt">
            <v:imagedata r:id="rId11" o:title=""/>
          </v:shape>
        </w:pict>
      </w:r>
    </w:p>
    <w:p w14:paraId="2D0BC762" w14:textId="77777777" w:rsidR="005443FF" w:rsidRPr="00B87C3A" w:rsidRDefault="005443FF" w:rsidP="005443FF">
      <w:pPr>
        <w:rPr>
          <w:noProof/>
        </w:rPr>
        <w:sectPr w:rsidR="005443FF" w:rsidRPr="00B87C3A" w:rsidSect="002A29E9">
          <w:footerReference w:type="default" r:id="rId12"/>
          <w:pgSz w:w="11907" w:h="16839"/>
          <w:pgMar w:top="1134" w:right="1417" w:bottom="1134" w:left="1417" w:header="709" w:footer="709" w:gutter="0"/>
          <w:pgNumType w:start="0"/>
          <w:cols w:space="720"/>
          <w:docGrid w:linePitch="360"/>
        </w:sectPr>
      </w:pPr>
    </w:p>
    <w:p w14:paraId="37ECB4C0" w14:textId="77777777" w:rsidR="005443FF" w:rsidRPr="00B87C3A" w:rsidRDefault="005443FF" w:rsidP="00A41E33">
      <w:pPr>
        <w:pStyle w:val="Exposdesmotifstitre"/>
        <w:rPr>
          <w:noProof/>
        </w:rPr>
      </w:pPr>
      <w:bookmarkStart w:id="0" w:name="_GoBack"/>
      <w:bookmarkEnd w:id="0"/>
      <w:r w:rsidRPr="00B87C3A">
        <w:rPr>
          <w:noProof/>
        </w:rPr>
        <w:lastRenderedPageBreak/>
        <w:t>OBRAZLOŽENJE</w:t>
      </w:r>
    </w:p>
    <w:p w14:paraId="0EDEF26F" w14:textId="77777777" w:rsidR="005443FF" w:rsidRPr="00B87C3A" w:rsidRDefault="005443FF" w:rsidP="00A41E33">
      <w:pPr>
        <w:pStyle w:val="ManualHeading1"/>
        <w:rPr>
          <w:noProof/>
        </w:rPr>
      </w:pPr>
      <w:r w:rsidRPr="00B87C3A">
        <w:rPr>
          <w:noProof/>
        </w:rPr>
        <w:t>1.</w:t>
      </w:r>
      <w:r w:rsidRPr="00B87C3A">
        <w:rPr>
          <w:noProof/>
        </w:rPr>
        <w:tab/>
        <w:t>KONTEKST PRIJEDLOGA</w:t>
      </w:r>
    </w:p>
    <w:p w14:paraId="1A074725" w14:textId="77777777" w:rsidR="005443FF" w:rsidRPr="00B87C3A" w:rsidRDefault="005443FF" w:rsidP="00A41E33">
      <w:pPr>
        <w:pStyle w:val="ManualHeading2"/>
        <w:rPr>
          <w:rFonts w:eastAsia="Arial Unicode MS"/>
          <w:noProof/>
        </w:rPr>
      </w:pPr>
      <w:r w:rsidRPr="00B87C3A">
        <w:rPr>
          <w:noProof/>
          <w:u w:color="000000"/>
          <w:bdr w:val="nil"/>
        </w:rPr>
        <w:t>•</w:t>
      </w:r>
      <w:r w:rsidRPr="00B87C3A">
        <w:rPr>
          <w:noProof/>
        </w:rPr>
        <w:tab/>
        <w:t>Razlozi i ciljevi prijedloga</w:t>
      </w:r>
    </w:p>
    <w:p w14:paraId="24412079" w14:textId="77777777" w:rsidR="00226008" w:rsidRPr="00B87C3A" w:rsidRDefault="00226008" w:rsidP="00226008">
      <w:pPr>
        <w:pBdr>
          <w:top w:val="nil"/>
          <w:left w:val="nil"/>
          <w:bottom w:val="nil"/>
          <w:right w:val="nil"/>
          <w:between w:val="nil"/>
          <w:bar w:val="nil"/>
        </w:pBdr>
        <w:spacing w:before="0" w:after="240"/>
        <w:rPr>
          <w:rFonts w:eastAsia="Arial Unicode MS"/>
          <w:noProof/>
        </w:rPr>
      </w:pPr>
      <w:r w:rsidRPr="00B87C3A">
        <w:rPr>
          <w:noProof/>
        </w:rPr>
        <w:t>Deterdženti imaju središnju ulogu u našem svakodnevnom životu. Pomažu osigurati zdravlje i higijenu u gotovo svim područjima ljudske aktivnosti, od kućanstava i škola do sportskih dvorana, ureda, bolnica, hotela i restorana. Međutim, deterdženti su kemikalije s unutarnjim svojstvima koje mogu predstavljati rizik za zdravlje ljudi i okoliš. Uredbom (EZ) br. 648/2004 Europskog parlamenta i Vijeća od 31. ožujka 2004. o deterdžentima</w:t>
      </w:r>
      <w:r w:rsidRPr="00B87C3A">
        <w:rPr>
          <w:rStyle w:val="FootnoteReference"/>
          <w:noProof/>
        </w:rPr>
        <w:footnoteReference w:id="2"/>
      </w:r>
      <w:r w:rsidRPr="00B87C3A">
        <w:rPr>
          <w:noProof/>
        </w:rPr>
        <w:t xml:space="preserve"> („Uredba o deterdžentima”) utvrđuju se pravila koja deterdženti moraju ispunjavati kako bi bili stavljeni na tržište EU-a i slobodno se njime kretali. Riječ je o pravilima kojima se osigurava sigurna upotreba deterdženata (označivanje i drugi zahtjevi za informiranje) i visoka okolišna učinkovitost deterdženata i površinski aktivnih tvari</w:t>
      </w:r>
      <w:r w:rsidRPr="00B87C3A">
        <w:rPr>
          <w:rStyle w:val="FootnoteReference"/>
          <w:noProof/>
        </w:rPr>
        <w:footnoteReference w:id="3"/>
      </w:r>
      <w:r w:rsidRPr="00B87C3A">
        <w:rPr>
          <w:noProof/>
        </w:rPr>
        <w:t xml:space="preserve"> za deterdžente (zahtjevi za biorazgradivost i granične vrijednosti fosfora).</w:t>
      </w:r>
    </w:p>
    <w:p w14:paraId="7187871D" w14:textId="77777777" w:rsidR="00226008" w:rsidRPr="00B87C3A" w:rsidRDefault="00226008" w:rsidP="00226008">
      <w:pPr>
        <w:pBdr>
          <w:top w:val="nil"/>
          <w:left w:val="nil"/>
          <w:bottom w:val="nil"/>
          <w:right w:val="nil"/>
          <w:between w:val="nil"/>
          <w:bar w:val="nil"/>
        </w:pBdr>
        <w:spacing w:before="0" w:after="240"/>
        <w:rPr>
          <w:rFonts w:eastAsia="Arial Unicode MS"/>
          <w:noProof/>
        </w:rPr>
      </w:pPr>
      <w:r w:rsidRPr="00B87C3A">
        <w:rPr>
          <w:noProof/>
        </w:rPr>
        <w:t>Evaluacijom Uredbe o deterdžentima iz 2019.</w:t>
      </w:r>
      <w:r w:rsidRPr="00B87C3A">
        <w:rPr>
          <w:rStyle w:val="FootnoteReference"/>
          <w:noProof/>
        </w:rPr>
        <w:footnoteReference w:id="4"/>
      </w:r>
      <w:r w:rsidRPr="00B87C3A">
        <w:rPr>
          <w:noProof/>
        </w:rPr>
        <w:t xml:space="preserve"> utvrđeni su brojni nedostaci Uredbe donesene 2004. Provjerom primjerenosti najrelevantnijeg zakonodavstva o kemikalijama (osim Uredbe REACH)</w:t>
      </w:r>
      <w:r w:rsidRPr="00B87C3A">
        <w:rPr>
          <w:rStyle w:val="FootnoteReference"/>
          <w:noProof/>
        </w:rPr>
        <w:footnoteReference w:id="5"/>
      </w:r>
      <w:r w:rsidRPr="00B87C3A">
        <w:rPr>
          <w:noProof/>
        </w:rPr>
        <w:t xml:space="preserve"> izašla je na vidjelo složenost regulatornog okvira EU-a za kemikalije zbog velikog broja propisa za proizvode i sektorskih propisa koji su međusobno povezani. U provjeri primjerenosti istaknuto je i da bi se pretrpane oznake za informiranje korisnika mogle pojednostavniti te je utvrđeno da upotreba inovativnih alata za pružanje informacija o proizvodima trenutačno nije optimalna. </w:t>
      </w:r>
    </w:p>
    <w:p w14:paraId="77575679" w14:textId="77777777" w:rsidR="00752C00" w:rsidRPr="00B87C3A" w:rsidRDefault="005C0CB1" w:rsidP="00F54365">
      <w:pPr>
        <w:pBdr>
          <w:top w:val="nil"/>
          <w:left w:val="nil"/>
          <w:bottom w:val="nil"/>
          <w:right w:val="nil"/>
          <w:between w:val="nil"/>
          <w:bar w:val="nil"/>
        </w:pBdr>
        <w:spacing w:before="0" w:after="240"/>
        <w:rPr>
          <w:rFonts w:eastAsia="Arial Unicode MS"/>
          <w:noProof/>
        </w:rPr>
      </w:pPr>
      <w:r w:rsidRPr="00B87C3A">
        <w:rPr>
          <w:noProof/>
        </w:rPr>
        <w:t>U ažuriranoj industrijskoj strategiji donesenoj u svibnju 2021.</w:t>
      </w:r>
      <w:r w:rsidRPr="00B87C3A">
        <w:rPr>
          <w:rStyle w:val="FootnoteReference"/>
          <w:noProof/>
        </w:rPr>
        <w:footnoteReference w:id="6"/>
      </w:r>
      <w:r w:rsidRPr="00B87C3A">
        <w:rPr>
          <w:noProof/>
        </w:rPr>
        <w:t xml:space="preserve"> dodatno se naglašava važnost ubrzanja zelene i digitalne tranzicije industrije EU-a, na temelju, među ostalim, dosljednog i stabilnog regulatornog okvira. </w:t>
      </w:r>
    </w:p>
    <w:p w14:paraId="6C9D525F" w14:textId="77777777" w:rsidR="00FA4B2D" w:rsidRPr="00B87C3A" w:rsidRDefault="00FA4B2D" w:rsidP="00FA4B2D">
      <w:pPr>
        <w:pBdr>
          <w:top w:val="nil"/>
          <w:left w:val="nil"/>
          <w:bottom w:val="nil"/>
          <w:right w:val="nil"/>
          <w:between w:val="nil"/>
          <w:bar w:val="nil"/>
        </w:pBdr>
        <w:spacing w:before="0" w:after="240"/>
        <w:rPr>
          <w:rFonts w:eastAsia="Arial Unicode MS"/>
          <w:noProof/>
        </w:rPr>
      </w:pPr>
      <w:r w:rsidRPr="00B87C3A">
        <w:rPr>
          <w:noProof/>
        </w:rPr>
        <w:t>Osim toga, u Komunikaciji Komisije od 16. ožujka 2023. o dugoročnoj konkurentnosti EU-a: perspektiva nakon 2030.</w:t>
      </w:r>
      <w:r w:rsidRPr="00B87C3A">
        <w:rPr>
          <w:rStyle w:val="FootnoteReference"/>
          <w:rFonts w:eastAsia="Arial Unicode MS"/>
          <w:noProof/>
        </w:rPr>
        <w:footnoteReference w:id="7"/>
      </w:r>
      <w:r w:rsidRPr="00B87C3A">
        <w:rPr>
          <w:noProof/>
        </w:rPr>
        <w:t xml:space="preserve"> opisuje se kako EU može iskoristiti svoje prednosti i ostvariti znatno više, a ne samo uhvatiti korak s konkurentima kad je riječ o rastu i inovacijama. Kako bi se potaknula konkurentnost, Komisija predlaže rad u devet važnih područja koja se međusobno dopunjuju, a koja uključuju funkcionalno jedinstveno tržište i digitalizaciju u kojoj treba postići široku primjenu digitalnih alata u cijelom gospodarstvu.</w:t>
      </w:r>
    </w:p>
    <w:p w14:paraId="6A6DEE6F" w14:textId="77777777" w:rsidR="005C0CB1" w:rsidRPr="00B87C3A" w:rsidRDefault="005C0CB1" w:rsidP="00F54365">
      <w:pPr>
        <w:pBdr>
          <w:top w:val="nil"/>
          <w:left w:val="nil"/>
          <w:bottom w:val="nil"/>
          <w:right w:val="nil"/>
          <w:between w:val="nil"/>
          <w:bar w:val="nil"/>
        </w:pBdr>
        <w:spacing w:before="0" w:after="240"/>
        <w:rPr>
          <w:rFonts w:eastAsia="Arial Unicode MS"/>
          <w:i/>
          <w:noProof/>
        </w:rPr>
      </w:pPr>
      <w:r w:rsidRPr="00B87C3A">
        <w:rPr>
          <w:noProof/>
        </w:rPr>
        <w:t>Nadalje, u Komisijinu programu rada za 2022.</w:t>
      </w:r>
      <w:r w:rsidRPr="00B87C3A">
        <w:rPr>
          <w:rStyle w:val="FootnoteReference"/>
          <w:noProof/>
        </w:rPr>
        <w:footnoteReference w:id="8"/>
      </w:r>
      <w:r w:rsidRPr="00B87C3A">
        <w:rPr>
          <w:noProof/>
        </w:rPr>
        <w:t xml:space="preserve"> revizija Uredbe o deterdžentima navedena je kao inicijativa u okviru programa REFIT. </w:t>
      </w:r>
    </w:p>
    <w:p w14:paraId="16611622" w14:textId="77777777" w:rsidR="005C0CB1" w:rsidRPr="00B87C3A" w:rsidRDefault="00752C00" w:rsidP="00752C00">
      <w:pPr>
        <w:rPr>
          <w:noProof/>
        </w:rPr>
      </w:pPr>
      <w:r w:rsidRPr="00B87C3A">
        <w:rPr>
          <w:noProof/>
        </w:rPr>
        <w:lastRenderedPageBreak/>
        <w:t>S obzirom na nedostatke koji su utvrđeni u evaluaciji Uredbe</w:t>
      </w:r>
      <w:r w:rsidRPr="00B87C3A">
        <w:rPr>
          <w:rStyle w:val="FootnoteReference"/>
          <w:noProof/>
        </w:rPr>
        <w:footnoteReference w:id="9"/>
      </w:r>
      <w:r w:rsidRPr="00B87C3A">
        <w:rPr>
          <w:noProof/>
        </w:rPr>
        <w:t xml:space="preserve"> i u provjeri primjerenosti zakonodavstva o kemikalijama</w:t>
      </w:r>
      <w:r w:rsidRPr="00B87C3A">
        <w:rPr>
          <w:rStyle w:val="FootnoteReference"/>
          <w:noProof/>
        </w:rPr>
        <w:footnoteReference w:id="10"/>
      </w:r>
      <w:r w:rsidRPr="00B87C3A">
        <w:rPr>
          <w:noProof/>
        </w:rPr>
        <w:t>, a koji su detaljno razrađeni u izvješću o procjeni učinka revizije Uredbe o deterdžentima</w:t>
      </w:r>
      <w:r w:rsidRPr="00B87C3A">
        <w:rPr>
          <w:rStyle w:val="FootnoteReference"/>
          <w:noProof/>
        </w:rPr>
        <w:footnoteReference w:id="11"/>
      </w:r>
      <w:r w:rsidRPr="00B87C3A">
        <w:rPr>
          <w:noProof/>
        </w:rPr>
        <w:t xml:space="preserve">, cilj je ovog Prijedloga ažurirati pravila o deterdžentima uz jačanje provedbe kako bi na tržište Unije ušli sukladniji deterdženti i površinski aktivne tvari te riješiti sljedeća pitanja: </w:t>
      </w:r>
    </w:p>
    <w:p w14:paraId="259AC8DB" w14:textId="56111FD2" w:rsidR="00752C00" w:rsidRPr="00B87C3A" w:rsidRDefault="00180A6D" w:rsidP="00180A6D">
      <w:pPr>
        <w:pStyle w:val="Point1"/>
        <w:rPr>
          <w:noProof/>
        </w:rPr>
      </w:pPr>
      <w:r w:rsidRPr="00180A6D">
        <w:t>(1)</w:t>
      </w:r>
      <w:r w:rsidRPr="00180A6D">
        <w:tab/>
      </w:r>
      <w:r w:rsidR="00752C00" w:rsidRPr="00B87C3A">
        <w:rPr>
          <w:b/>
          <w:noProof/>
        </w:rPr>
        <w:t>U Uredbi o deterdžentima ne uzimaju se u obzir nova kretanja na tržištu:</w:t>
      </w:r>
      <w:r w:rsidR="00752C00" w:rsidRPr="00B87C3A">
        <w:rPr>
          <w:noProof/>
        </w:rPr>
        <w:t xml:space="preserve"> Od donošenja Uredbe 2004. razvijeni su inovativni proizvodi i nove održive prakse na koje se sadašnja pravila ne odnose (sredstva za čišćenje s mikroorganizmima) ili nije jasno odnose li se na njih i kako (prodaja ponovnog punjenja). </w:t>
      </w:r>
    </w:p>
    <w:p w14:paraId="3E183D5F" w14:textId="542978EE" w:rsidR="00752C00" w:rsidRPr="00B87C3A" w:rsidRDefault="00180A6D" w:rsidP="00180A6D">
      <w:pPr>
        <w:pStyle w:val="Point1"/>
        <w:rPr>
          <w:noProof/>
        </w:rPr>
      </w:pPr>
      <w:r w:rsidRPr="00180A6D">
        <w:t>(2)</w:t>
      </w:r>
      <w:r w:rsidRPr="00180A6D">
        <w:tab/>
      </w:r>
      <w:r w:rsidR="00752C00" w:rsidRPr="00B87C3A">
        <w:rPr>
          <w:b/>
          <w:noProof/>
        </w:rPr>
        <w:t>Nedostatak učinkovitih zahtjeva za informiranje za deterdžente</w:t>
      </w:r>
      <w:r w:rsidR="00752C00" w:rsidRPr="00B87C3A">
        <w:rPr>
          <w:noProof/>
        </w:rPr>
        <w:t xml:space="preserve">: Zbog preklapanja Uredbe o deterdžentima i </w:t>
      </w:r>
      <w:r w:rsidR="00752C00" w:rsidRPr="00B87C3A">
        <w:rPr>
          <w:rStyle w:val="hgkelc"/>
          <w:noProof/>
        </w:rPr>
        <w:t>Uredbe o razvrstavanju, označivanju i pakiranju (</w:t>
      </w:r>
      <w:r w:rsidR="00752C00" w:rsidRPr="00B87C3A">
        <w:rPr>
          <w:noProof/>
        </w:rPr>
        <w:t>Uredba CLP)</w:t>
      </w:r>
      <w:r w:rsidR="00752C00" w:rsidRPr="00B87C3A">
        <w:rPr>
          <w:rStyle w:val="FootnoteReference"/>
          <w:noProof/>
        </w:rPr>
        <w:footnoteReference w:id="12"/>
      </w:r>
      <w:r w:rsidR="00752C00" w:rsidRPr="00B87C3A">
        <w:rPr>
          <w:noProof/>
        </w:rPr>
        <w:t xml:space="preserve"> često se na jednoj oznaci ista tvar navodi dva ili tri puta, ponekad pod potpuno različitim nazivima. Ta dva zakonodavna akta EU-a preklapaju se i s obzirom na udvostručavanje informacija o hitnim zdravstvenim intervencijama za deterdžente koji su razvrstani kao opasni u skladu s Uredbom CLP (podaci o sastojcima iz Uredbe o deterdžentima i informacije za centre za otrovanja iz Uredbe CLP).</w:t>
      </w:r>
    </w:p>
    <w:p w14:paraId="42F727C0" w14:textId="77777777" w:rsidR="005443FF" w:rsidRPr="00B87C3A" w:rsidRDefault="005443FF" w:rsidP="00A41E33">
      <w:pPr>
        <w:pStyle w:val="ManualHeading2"/>
        <w:rPr>
          <w:rFonts w:eastAsia="Arial Unicode MS"/>
          <w:noProof/>
          <w:u w:color="000000"/>
          <w:bdr w:val="nil"/>
        </w:rPr>
      </w:pPr>
      <w:r w:rsidRPr="00B87C3A">
        <w:rPr>
          <w:noProof/>
          <w:u w:color="000000"/>
          <w:bdr w:val="nil"/>
        </w:rPr>
        <w:t>•</w:t>
      </w:r>
      <w:r w:rsidRPr="00B87C3A">
        <w:rPr>
          <w:noProof/>
        </w:rPr>
        <w:tab/>
        <w:t>Usklađenost s postojećim odredbama politike u tom području</w:t>
      </w:r>
    </w:p>
    <w:p w14:paraId="1EBCBA1B" w14:textId="77777777" w:rsidR="008C5ACA" w:rsidRPr="00B87C3A" w:rsidRDefault="00CD5D8C" w:rsidP="00A41E33">
      <w:pPr>
        <w:pBdr>
          <w:top w:val="nil"/>
          <w:left w:val="nil"/>
          <w:bottom w:val="nil"/>
          <w:right w:val="nil"/>
          <w:between w:val="nil"/>
          <w:bar w:val="nil"/>
        </w:pBdr>
        <w:spacing w:before="0" w:after="240"/>
        <w:rPr>
          <w:rFonts w:eastAsia="Arial Unicode MS"/>
          <w:noProof/>
        </w:rPr>
      </w:pPr>
      <w:r w:rsidRPr="00B87C3A">
        <w:rPr>
          <w:noProof/>
        </w:rPr>
        <w:t>Prijedlogom se osigurava da pravila Unije specifična za deterdžente i dalje dopunjuju opće odredbe koje se primjenjuju na kemikalije koje se stavljaju na tržište Unije, uključujući deterdžente, prije svega Uredbu CLP i Uredbu REACH</w:t>
      </w:r>
      <w:r w:rsidRPr="00B87C3A">
        <w:rPr>
          <w:rStyle w:val="FootnoteReference"/>
          <w:noProof/>
        </w:rPr>
        <w:footnoteReference w:id="13"/>
      </w:r>
      <w:r w:rsidRPr="00B87C3A">
        <w:rPr>
          <w:noProof/>
        </w:rPr>
        <w:t xml:space="preserve">. Kao i u slučaju postojeće Uredbe o deterdžentima, odredbama ovog Prijedloga rješavat će se pitanja koja su specifična za deterdžente. </w:t>
      </w:r>
    </w:p>
    <w:p w14:paraId="493C70FB" w14:textId="77777777" w:rsidR="00E14D3D" w:rsidRPr="00B87C3A" w:rsidRDefault="00317EBF" w:rsidP="00A41E33">
      <w:pPr>
        <w:pBdr>
          <w:top w:val="nil"/>
          <w:left w:val="nil"/>
          <w:bottom w:val="nil"/>
          <w:right w:val="nil"/>
          <w:between w:val="nil"/>
          <w:bar w:val="nil"/>
        </w:pBdr>
        <w:spacing w:before="0" w:after="240"/>
        <w:rPr>
          <w:rFonts w:eastAsia="Arial Unicode MS"/>
          <w:noProof/>
        </w:rPr>
      </w:pPr>
      <w:r w:rsidRPr="00B87C3A">
        <w:rPr>
          <w:noProof/>
        </w:rPr>
        <w:t>Ovaj je prijedlog u skladu s prioritetima i postojećim trendovima digitalizacije kao standarda, uključujući zaključke o digitalizaciji informacija o proizvodu u evaluaciji novog zakonodavnog okvira</w:t>
      </w:r>
      <w:r w:rsidRPr="00B87C3A">
        <w:rPr>
          <w:rStyle w:val="FootnoteReference"/>
          <w:noProof/>
        </w:rPr>
        <w:footnoteReference w:id="14"/>
      </w:r>
      <w:r w:rsidRPr="00B87C3A">
        <w:rPr>
          <w:noProof/>
        </w:rPr>
        <w:t>. Oslanjanjem na putovnicu za proizvode koju je Komisija predložila u svojem prijedlogu uredbe o ekološkom dizajnu održivih proizvoda</w:t>
      </w:r>
      <w:r w:rsidRPr="00B87C3A">
        <w:rPr>
          <w:rStyle w:val="FootnoteReference"/>
          <w:noProof/>
        </w:rPr>
        <w:footnoteReference w:id="15"/>
      </w:r>
      <w:r w:rsidRPr="00B87C3A">
        <w:rPr>
          <w:noProof/>
        </w:rPr>
        <w:t xml:space="preserve"> osigurat će se usklađenost i sinergija nakon što se tom uredbom obuhvate deterdženti i površinski aktivne tvari. </w:t>
      </w:r>
    </w:p>
    <w:p w14:paraId="2EC7187D" w14:textId="77777777" w:rsidR="005443FF" w:rsidRPr="00B87C3A" w:rsidRDefault="00A12AC3" w:rsidP="00A41E33">
      <w:pPr>
        <w:pBdr>
          <w:top w:val="nil"/>
          <w:left w:val="nil"/>
          <w:bottom w:val="nil"/>
          <w:right w:val="nil"/>
          <w:between w:val="nil"/>
          <w:bar w:val="nil"/>
        </w:pBdr>
        <w:spacing w:before="0" w:after="240"/>
        <w:rPr>
          <w:rFonts w:eastAsia="Arial Unicode MS"/>
          <w:noProof/>
        </w:rPr>
      </w:pPr>
      <w:r w:rsidRPr="00B87C3A">
        <w:rPr>
          <w:noProof/>
        </w:rPr>
        <w:lastRenderedPageBreak/>
        <w:t>Povrh toga, u ovom se Prijedlogom uzima u obzir i zakonodavni prijedlog uredbe o ambalaži i ambalažnom otpadu</w:t>
      </w:r>
      <w:r w:rsidRPr="00B87C3A">
        <w:rPr>
          <w:rStyle w:val="FootnoteReference"/>
          <w:rFonts w:eastAsia="Arial Unicode MS"/>
          <w:noProof/>
        </w:rPr>
        <w:footnoteReference w:id="16"/>
      </w:r>
      <w:r w:rsidRPr="00B87C3A">
        <w:rPr>
          <w:noProof/>
        </w:rPr>
        <w:t xml:space="preserve"> čiji je cilj smanjiti obujam i masu ambalaže koja se stavlja na tržište te spriječiti stvaranje ambalažnog otpada, posebno smanjenjem ambalaže na najmanju moguću mjeru (upotrebom samo one količine ambalaže koja je apsolutno nužna). Posljedično smanjenje prostora za informiranje potrošača na oznaci potaknut će proizvođače da istraže mogućnosti digitalnog označivanja. Nadalje, prijedlogom o ambalaži i ambalažnom otpadu od poduzeća koja prodaju proizvode za ponovno punjenje zahtijeva se da krajnjim korisnicima pruže određene informacije i da se pobrinu da stanice za punjenje ispunjavaju zahtjeve iz Uredbe. Osim toga, ovaj je prijedlog također u skladu s Europskom deklaracijom o digitalnim pravima i načelima za digitalno desetljeće</w:t>
      </w:r>
      <w:r w:rsidRPr="00B87C3A">
        <w:rPr>
          <w:rStyle w:val="FootnoteReference"/>
          <w:rFonts w:eastAsia="Arial Unicode MS"/>
          <w:noProof/>
        </w:rPr>
        <w:footnoteReference w:id="17"/>
      </w:r>
      <w:r w:rsidRPr="00B87C3A">
        <w:rPr>
          <w:noProof/>
        </w:rPr>
        <w:t>. </w:t>
      </w:r>
    </w:p>
    <w:p w14:paraId="27033BF1" w14:textId="77777777" w:rsidR="005443FF" w:rsidRPr="00B87C3A" w:rsidRDefault="005443FF" w:rsidP="00A41E33">
      <w:pPr>
        <w:pStyle w:val="ManualHeading2"/>
        <w:rPr>
          <w:rFonts w:eastAsia="Arial Unicode MS"/>
          <w:noProof/>
        </w:rPr>
      </w:pPr>
      <w:r w:rsidRPr="00B87C3A">
        <w:rPr>
          <w:noProof/>
          <w:u w:color="000000"/>
          <w:bdr w:val="nil"/>
        </w:rPr>
        <w:t>•</w:t>
      </w:r>
      <w:r w:rsidRPr="00B87C3A">
        <w:rPr>
          <w:noProof/>
        </w:rPr>
        <w:tab/>
        <w:t>Usklađenost u odnosu na druge politike Unije</w:t>
      </w:r>
    </w:p>
    <w:p w14:paraId="421F5FCC" w14:textId="77777777" w:rsidR="007E2D78" w:rsidRPr="00B87C3A" w:rsidRDefault="007E2D78" w:rsidP="00A41E33">
      <w:pPr>
        <w:pBdr>
          <w:top w:val="nil"/>
          <w:left w:val="nil"/>
          <w:bottom w:val="nil"/>
          <w:right w:val="nil"/>
          <w:between w:val="nil"/>
          <w:bar w:val="nil"/>
        </w:pBdr>
        <w:spacing w:before="0" w:after="240"/>
        <w:rPr>
          <w:rFonts w:eastAsia="Arial Unicode MS"/>
          <w:noProof/>
        </w:rPr>
      </w:pPr>
      <w:r w:rsidRPr="00B87C3A">
        <w:rPr>
          <w:noProof/>
        </w:rPr>
        <w:t>Prijedlog će pružiti dosljedan i stabilan regulatorni okvir za potporu zelenoj i digitalnoj tranziciji industrije EU-a koja je najavljena i u ažuriranoj industrijskoj strategiji iz 2021.</w:t>
      </w:r>
      <w:r w:rsidRPr="00B87C3A">
        <w:rPr>
          <w:rStyle w:val="FootnoteReference"/>
          <w:noProof/>
        </w:rPr>
        <w:footnoteReference w:id="18"/>
      </w:r>
      <w:r w:rsidRPr="00B87C3A">
        <w:rPr>
          <w:noProof/>
        </w:rPr>
        <w:t xml:space="preserve"> i u nedavno donesenom industrijskom planu u okviru zelenog plana za doba nulte neto stope emisija</w:t>
      </w:r>
      <w:r w:rsidRPr="00B87C3A">
        <w:rPr>
          <w:rStyle w:val="FootnoteReference"/>
          <w:rFonts w:eastAsia="Arial Unicode MS"/>
          <w:noProof/>
        </w:rPr>
        <w:footnoteReference w:id="19"/>
      </w:r>
      <w:r w:rsidRPr="00B87C3A">
        <w:rPr>
          <w:noProof/>
        </w:rPr>
        <w:t>. Prijedlog je u skladu i sa širim razvojem politike i regulative EU-a povezanih s budućim i tekućim regulatornim radom u okviru strategije održivosti u području kemikalija</w:t>
      </w:r>
      <w:r w:rsidRPr="00B87C3A">
        <w:rPr>
          <w:rStyle w:val="FootnoteReference"/>
          <w:rFonts w:eastAsia="Arial Unicode MS"/>
          <w:noProof/>
        </w:rPr>
        <w:footnoteReference w:id="20"/>
      </w:r>
      <w:r w:rsidRPr="00B87C3A">
        <w:rPr>
          <w:noProof/>
        </w:rPr>
        <w:t>. Predložena nova pravila o sredstvima za čišćenje s mikroorganizmima bit će usklađena s dobrovoljnim programom navedenim u Uredbi o znaku za okoliš EU-a</w:t>
      </w:r>
      <w:r w:rsidRPr="00B87C3A">
        <w:rPr>
          <w:rStyle w:val="FootnoteReference"/>
          <w:noProof/>
        </w:rPr>
        <w:footnoteReference w:id="21"/>
      </w:r>
      <w:r w:rsidRPr="00B87C3A">
        <w:rPr>
          <w:noProof/>
        </w:rPr>
        <w:t>. Predložena nova pravila o digitalnom označivanju bit će usklađena s digitalizacijom oznaka kemikalija, prije svega u okviru revizije Uredbe CLP i Uredbe o gnojidbenim proizvodima</w:t>
      </w:r>
      <w:r w:rsidRPr="00B87C3A">
        <w:rPr>
          <w:rStyle w:val="FootnoteReference"/>
          <w:noProof/>
        </w:rPr>
        <w:footnoteReference w:id="22"/>
      </w:r>
      <w:r w:rsidRPr="00B87C3A">
        <w:rPr>
          <w:noProof/>
        </w:rPr>
        <w:t>. U prijedlogu se vodi računa o razvoju pravila Unije o biocidnim proizvodima od donošenja Uredbe o deterdžentima i ta se pravila dopunjuju.</w:t>
      </w:r>
    </w:p>
    <w:p w14:paraId="48AAE761" w14:textId="77777777" w:rsidR="005443FF" w:rsidRPr="00B87C3A" w:rsidRDefault="005443FF" w:rsidP="00A41E33">
      <w:pPr>
        <w:pStyle w:val="ManualHeading1"/>
        <w:rPr>
          <w:noProof/>
        </w:rPr>
      </w:pPr>
      <w:r w:rsidRPr="00B87C3A">
        <w:rPr>
          <w:noProof/>
        </w:rPr>
        <w:t>2.</w:t>
      </w:r>
      <w:r w:rsidRPr="00B87C3A">
        <w:rPr>
          <w:noProof/>
        </w:rPr>
        <w:tab/>
        <w:t>PRAVNA OSNOVA, SUPSIDIJARNOST I PROPORCIONALNOST</w:t>
      </w:r>
    </w:p>
    <w:p w14:paraId="5F7B5F02" w14:textId="77777777" w:rsidR="005443FF" w:rsidRPr="00B87C3A" w:rsidRDefault="005443FF" w:rsidP="00A41E33">
      <w:pPr>
        <w:pStyle w:val="ManualHeading2"/>
        <w:rPr>
          <w:rFonts w:eastAsia="Arial Unicode MS"/>
          <w:noProof/>
          <w:u w:color="000000"/>
          <w:bdr w:val="nil"/>
        </w:rPr>
      </w:pPr>
      <w:r w:rsidRPr="00B87C3A">
        <w:rPr>
          <w:noProof/>
          <w:u w:color="000000"/>
          <w:bdr w:val="nil"/>
        </w:rPr>
        <w:t>•</w:t>
      </w:r>
      <w:r w:rsidRPr="00B87C3A">
        <w:rPr>
          <w:noProof/>
        </w:rPr>
        <w:tab/>
      </w:r>
      <w:r w:rsidRPr="00B87C3A">
        <w:rPr>
          <w:noProof/>
          <w:u w:color="000000"/>
          <w:bdr w:val="nil"/>
        </w:rPr>
        <w:t>Pravna osnova</w:t>
      </w:r>
    </w:p>
    <w:p w14:paraId="1AF8C9B6" w14:textId="77777777" w:rsidR="005443FF" w:rsidRPr="00B87C3A" w:rsidRDefault="00AA66BE" w:rsidP="00A41E33">
      <w:pPr>
        <w:pBdr>
          <w:top w:val="nil"/>
          <w:left w:val="nil"/>
          <w:bottom w:val="nil"/>
          <w:right w:val="nil"/>
          <w:between w:val="nil"/>
          <w:bar w:val="nil"/>
        </w:pBdr>
        <w:spacing w:before="0" w:after="240"/>
        <w:rPr>
          <w:rFonts w:eastAsia="Arial Unicode MS"/>
          <w:noProof/>
        </w:rPr>
      </w:pPr>
      <w:r w:rsidRPr="00B87C3A">
        <w:rPr>
          <w:noProof/>
        </w:rPr>
        <w:t>Prijedlog dijeli istu pravnu osnovu s postojećom Uredbom o deterdžentima, tj. članak 114. Ugovora o funkcioniranju Europske unije.</w:t>
      </w:r>
    </w:p>
    <w:p w14:paraId="555F19DE" w14:textId="77777777" w:rsidR="005443FF" w:rsidRPr="00B87C3A" w:rsidRDefault="005443FF" w:rsidP="00A41E33">
      <w:pPr>
        <w:pStyle w:val="ManualHeading2"/>
        <w:rPr>
          <w:rFonts w:eastAsia="Arial Unicode MS"/>
          <w:noProof/>
          <w:u w:color="000000"/>
          <w:bdr w:val="nil"/>
        </w:rPr>
      </w:pPr>
      <w:r w:rsidRPr="00B87C3A">
        <w:rPr>
          <w:noProof/>
          <w:u w:color="000000"/>
          <w:bdr w:val="nil"/>
        </w:rPr>
        <w:t>•</w:t>
      </w:r>
      <w:r w:rsidRPr="00B87C3A">
        <w:rPr>
          <w:noProof/>
        </w:rPr>
        <w:tab/>
      </w:r>
      <w:r w:rsidRPr="00B87C3A">
        <w:rPr>
          <w:noProof/>
          <w:u w:color="000000"/>
          <w:bdr w:val="nil"/>
        </w:rPr>
        <w:t xml:space="preserve">Supsidijarnost (za neisključivu nadležnost) </w:t>
      </w:r>
    </w:p>
    <w:p w14:paraId="3C702FD1" w14:textId="77777777" w:rsidR="005035B3" w:rsidRPr="00B87C3A" w:rsidRDefault="005035B3" w:rsidP="005035B3">
      <w:pPr>
        <w:rPr>
          <w:noProof/>
        </w:rPr>
      </w:pPr>
      <w:r w:rsidRPr="00B87C3A">
        <w:rPr>
          <w:noProof/>
        </w:rPr>
        <w:t xml:space="preserve">U evaluaciji Uredbe o deterdžentima zaključeno je da je dodana vrijednost koja proizlazi iz postojanja pravila o usklađivanju za stavljanje deterdženata na raspolaganje i na tržište neosporna. Uredba o deterdžentima pridonijela je ujednačavanju uvjeta za proizvođače </w:t>
      </w:r>
      <w:r w:rsidRPr="00B87C3A">
        <w:rPr>
          <w:noProof/>
        </w:rPr>
        <w:lastRenderedPageBreak/>
        <w:t xml:space="preserve">deterdženata, olakšala je poduzećima prekograničnu trgovinu i polučila pozitivne rezultate za zdravlje ljudi i okoliš. </w:t>
      </w:r>
    </w:p>
    <w:p w14:paraId="36E73A6B" w14:textId="77777777" w:rsidR="005035B3" w:rsidRPr="00B87C3A" w:rsidRDefault="005035B3" w:rsidP="005035B3">
      <w:pPr>
        <w:rPr>
          <w:noProof/>
        </w:rPr>
      </w:pPr>
      <w:r w:rsidRPr="00B87C3A">
        <w:rPr>
          <w:noProof/>
        </w:rPr>
        <w:t xml:space="preserve">Nadalje, tijekom savjetovanja u okviru evaluacije dionici su se uvelike složili da je za pitanja obuhvaćena Uredbom i dalje potrebno djelovanje na razini EU-a jer zaštita zdravlja ljudi i zaštita okoliša kojima se Uredba bavi imaju europsku dimenziju, isto kao i problemi koji nemaju posebna nacionalna ili podnacionalna obilježja (npr. prodaja ponovnog punjenja, sredstva za čišćenje s mikroorganizmima, nedostatno razumijevanje i informiranost potrošača o oznakama kemikalija). Kako bi se dakle osiguralo dobro funkcioniranje jedinstvenog tržišta i jednaka razina zaštite zdravlja ljudi i okoliša u EU-u, ta se pitanja trebaju rješavati na razini EU-a. </w:t>
      </w:r>
    </w:p>
    <w:p w14:paraId="5FB8FE60" w14:textId="77777777" w:rsidR="005035B3" w:rsidRPr="00B87C3A" w:rsidRDefault="005035B3" w:rsidP="005035B3">
      <w:pPr>
        <w:rPr>
          <w:noProof/>
        </w:rPr>
      </w:pPr>
      <w:r w:rsidRPr="00B87C3A">
        <w:rPr>
          <w:noProof/>
        </w:rPr>
        <w:t>Regulatornim djelovanjem na razini EU-a osigurao bi se regulatorni okvir koji otvara prostor inovacijama za nove vrste proizvoda, nove marketinške tehnike i nove tehnologije označivanja na cijelom jedinstvenom tržištu, istodobno pružajući istu razinu zaštite zdravlja i okoliša u EU-u. Uključivanjem inovativnih proizvoda i novih održivih praksi u područje primjene Uredbe osuvremenilo bi se zakonodavstvo, smanjilo regulatorno opterećenje za proizvođače deterdženata pojednostavnjenim i racionaliziranim zahtjevima (za informiranje), a zakonodavstvo bi se prilagodilo digitalnom dobu uvođenjem digitalnog označivanja. Regulatorno djelovanje te vrste: i. pomoglo bi daljnji razvoj jedinstvenog tržišta; ii. osiguralo bi se pravnu sigurnost i jednake uvjete za industriju; i iii. osiguralo bi bolju zaštitu zdravlja ljudi i okoliša.</w:t>
      </w:r>
    </w:p>
    <w:p w14:paraId="57038B1B" w14:textId="77777777" w:rsidR="005443FF" w:rsidRPr="00B87C3A" w:rsidRDefault="005443FF" w:rsidP="00A41E33">
      <w:pPr>
        <w:pStyle w:val="ManualHeading2"/>
        <w:rPr>
          <w:rFonts w:eastAsia="Arial Unicode MS"/>
          <w:noProof/>
          <w:u w:color="000000"/>
          <w:bdr w:val="nil"/>
        </w:rPr>
      </w:pPr>
      <w:r w:rsidRPr="00B87C3A">
        <w:rPr>
          <w:noProof/>
          <w:u w:color="000000"/>
          <w:bdr w:val="nil"/>
        </w:rPr>
        <w:t>•</w:t>
      </w:r>
      <w:r w:rsidRPr="00B87C3A">
        <w:rPr>
          <w:noProof/>
        </w:rPr>
        <w:tab/>
      </w:r>
      <w:r w:rsidRPr="00B87C3A">
        <w:rPr>
          <w:noProof/>
          <w:u w:color="000000"/>
          <w:bdr w:val="nil"/>
        </w:rPr>
        <w:t>Proporcionalnost</w:t>
      </w:r>
    </w:p>
    <w:p w14:paraId="3DFC69AB" w14:textId="77777777" w:rsidR="005443FF" w:rsidRPr="00B87C3A" w:rsidRDefault="00170B59" w:rsidP="00A41E33">
      <w:pPr>
        <w:pBdr>
          <w:top w:val="nil"/>
          <w:left w:val="nil"/>
          <w:bottom w:val="nil"/>
          <w:right w:val="nil"/>
          <w:between w:val="nil"/>
          <w:bar w:val="nil"/>
        </w:pBdr>
        <w:spacing w:before="0" w:after="240"/>
        <w:rPr>
          <w:rFonts w:eastAsia="Arial Unicode MS"/>
          <w:noProof/>
        </w:rPr>
      </w:pPr>
      <w:r w:rsidRPr="00B87C3A">
        <w:rPr>
          <w:noProof/>
        </w:rPr>
        <w:t>Ovaj Prijedlog zamjenjuje postojeću Uredbu EU-a. Cilj mu je u najvećoj mogućoj mjeri ukloniti suvišna regulatorna preklapanja kako bi se smanjilo regulatorno opterećenje bez ugrožavanja postojeće razine zaštite zdravlja ljudi i zaštite okoliša. Isti će učinak imati i olakšavanje prodaje ponovnog punjenja i regulatorno prihvaćanje digitalnog označivanja. Nove mjere za sredstva za čišćenje s mikroorganizmima temelje se na najnovijim znanstvenim spoznajama o učincima tih proizvoda na tom tržištu u nastajanju.</w:t>
      </w:r>
    </w:p>
    <w:p w14:paraId="176E9D51" w14:textId="77777777" w:rsidR="007B0816" w:rsidRPr="00B87C3A" w:rsidRDefault="007B0816" w:rsidP="00A85204">
      <w:pPr>
        <w:pStyle w:val="BodyText"/>
        <w:rPr>
          <w:noProof/>
        </w:rPr>
      </w:pPr>
      <w:r w:rsidRPr="00B87C3A">
        <w:rPr>
          <w:noProof/>
        </w:rPr>
        <w:t>Uvođenjem putovnice za proizvode koja sadržava informacije o sukladnosti učinkovito će se smanjiti količina nesukladnih deterdženata i površinski aktivnih tvari na tržištu Unije, uključujući i one dostupne u internetskoj prodaji. Uredbom će se osigurati da se deterdžent ili površinski aktivna tvar koja se podnosi carini pušta u slobodni promet i stavlja na tržište Unije samo ako ima odgovarajuću putovnicu za proizvode. To će znatno povećati učinkovitost tijela za nadzor tržišta i carinskih tijela bez nametanja nerazmjernih troškova industriji. Na nju će se primjenjivati isti tehnički zahtjevi kao i na putovnicu za proizvode koja je predložena u okviru prijedloga o ekološkom dizajnu održivih proizvoda kako bi se izbjeglo udvostručavanje aktivnosti industrije povezanih s digitalizacijom i kako bi se osigurala interoperabilnost s putovnicama za proizvode izrađenima na temelju drugog zakonodavstva Unije.</w:t>
      </w:r>
    </w:p>
    <w:p w14:paraId="0995D7E3" w14:textId="77777777" w:rsidR="005443FF" w:rsidRPr="00B87C3A" w:rsidRDefault="005443FF" w:rsidP="00A41E33">
      <w:pPr>
        <w:pStyle w:val="ManualHeading1"/>
        <w:rPr>
          <w:noProof/>
        </w:rPr>
      </w:pPr>
      <w:r w:rsidRPr="00B87C3A">
        <w:rPr>
          <w:noProof/>
        </w:rPr>
        <w:t>3.</w:t>
      </w:r>
      <w:r w:rsidRPr="00B87C3A">
        <w:rPr>
          <w:noProof/>
        </w:rPr>
        <w:tab/>
        <w:t xml:space="preserve">REZULTATI </w:t>
      </w:r>
      <w:r w:rsidRPr="00B87C3A">
        <w:rPr>
          <w:i/>
          <w:noProof/>
        </w:rPr>
        <w:t>EX POST</w:t>
      </w:r>
      <w:r w:rsidRPr="00B87C3A">
        <w:rPr>
          <w:noProof/>
        </w:rPr>
        <w:t xml:space="preserve"> EVALUACIJA, SAVJETOVANJA S DIONICIMA I PROCJENA UČINKA</w:t>
      </w:r>
    </w:p>
    <w:p w14:paraId="5487E06D" w14:textId="77777777" w:rsidR="005443FF" w:rsidRPr="00B87C3A" w:rsidRDefault="005443FF" w:rsidP="00A41E33">
      <w:pPr>
        <w:pStyle w:val="ManualHeading2"/>
        <w:rPr>
          <w:rFonts w:eastAsia="Arial Unicode MS"/>
          <w:noProof/>
          <w:u w:color="000000"/>
          <w:bdr w:val="nil"/>
        </w:rPr>
      </w:pPr>
      <w:r w:rsidRPr="00B87C3A">
        <w:rPr>
          <w:noProof/>
          <w:u w:color="000000"/>
          <w:bdr w:val="nil"/>
        </w:rPr>
        <w:t>•</w:t>
      </w:r>
      <w:r w:rsidRPr="00B87C3A">
        <w:rPr>
          <w:noProof/>
        </w:rPr>
        <w:tab/>
      </w:r>
      <w:r w:rsidRPr="00B87C3A">
        <w:rPr>
          <w:i/>
          <w:noProof/>
          <w:u w:color="000000"/>
          <w:bdr w:val="nil"/>
        </w:rPr>
        <w:t>Ex post</w:t>
      </w:r>
      <w:r w:rsidRPr="00B87C3A">
        <w:rPr>
          <w:noProof/>
          <w:u w:color="000000"/>
          <w:bdr w:val="nil"/>
        </w:rPr>
        <w:t xml:space="preserve"> evaluacije/provjere primjerenosti postojećeg zakonodavstva</w:t>
      </w:r>
    </w:p>
    <w:p w14:paraId="7BB9A1F1" w14:textId="77777777" w:rsidR="00C22378" w:rsidRPr="00B87C3A" w:rsidRDefault="000346FC" w:rsidP="00A41E33">
      <w:pPr>
        <w:pBdr>
          <w:top w:val="nil"/>
          <w:left w:val="nil"/>
          <w:bottom w:val="nil"/>
          <w:right w:val="nil"/>
          <w:between w:val="nil"/>
          <w:bar w:val="nil"/>
        </w:pBdr>
        <w:spacing w:before="0" w:after="240"/>
        <w:rPr>
          <w:rFonts w:eastAsia="Arial Unicode MS"/>
          <w:noProof/>
        </w:rPr>
      </w:pPr>
      <w:r w:rsidRPr="00B87C3A">
        <w:rPr>
          <w:noProof/>
        </w:rPr>
        <w:t xml:space="preserve">U evaluaciji Uredbe o deterdžentima zaključeno je da Uredba dobro funkcionira i da je općenito djelotvorna u postizanju svojih ciljeva, konkretno u osiguravanju slobodnog kretanja deterdženata i površinski aktivnih tvari na jedinstvenom tržištu i visoke razine zaštite zdravlja ljudi i okoliša. Međutim, evaluacijom je utvrđeno i da se u praktičnoj provedbi Uredbe od njezina donošenja 2004. pokazalo da postoje brojni nedostaci i područja koja treba poboljšati. U prvom redu, utvrđena su određena preklapanja između Uredbe o deterdžentima i drugog </w:t>
      </w:r>
      <w:r w:rsidRPr="00B87C3A">
        <w:rPr>
          <w:noProof/>
        </w:rPr>
        <w:lastRenderedPageBreak/>
        <w:t xml:space="preserve">zakonodavstva EU-a o kemikalijama (posebno Uredbe CLP, Uredbe o biocidnim proizvodima i Uredbe REACH). Ta preklapanja često dovode do udvostručavanja zahtjeva za označivanje deterdženata, što s jedne strane nepotrebno opterećuje industriju deterdženata, a s druge sprječava učinkovito informiranje potrošača o sigurnosti i upotrebi jer su oznake pretrpane i sadrže nejasan tekst koji se ponavlja. Nadalje, u evaluaciji je zaključeno da upotreba inovativnih digitalnih alata za pružanje takvih informacija trenutačno nije optimalna. </w:t>
      </w:r>
    </w:p>
    <w:p w14:paraId="1B868D6B" w14:textId="77777777" w:rsidR="00D60DAF" w:rsidRPr="00B87C3A" w:rsidRDefault="00DF5E33" w:rsidP="00D60DAF">
      <w:pPr>
        <w:pBdr>
          <w:top w:val="nil"/>
          <w:left w:val="nil"/>
          <w:bottom w:val="nil"/>
          <w:right w:val="nil"/>
          <w:between w:val="nil"/>
          <w:bar w:val="nil"/>
        </w:pBdr>
        <w:spacing w:before="0" w:after="240"/>
        <w:rPr>
          <w:rFonts w:eastAsia="Arial Unicode MS"/>
          <w:noProof/>
        </w:rPr>
      </w:pPr>
      <w:r w:rsidRPr="00B87C3A">
        <w:rPr>
          <w:noProof/>
        </w:rPr>
        <w:t>Provjerom primjerenosti najrelevantnijeg zakonodavstva o kemikalijama (osim Uredbe REACH) izašla je na vidjelo složenost regulatornog okvira EU-a za kemikalije zbog međusobne povezanosti različitih propisa koji se primjenjuju na iste proizvode. U skladu sa zaključcima evaluacije Uredbe o deterdžentima, provjerom primjerenosti zakonodavstva o kemikalijama zaključeno je i da se informiranje potrošača o opasnostima i sigurnosti može pojednostavniti te da upotreba inovativnih digitalnih alata za pružanje takvih informacija trenutačno nije dobra koliko bi mogla biti.</w:t>
      </w:r>
    </w:p>
    <w:p w14:paraId="13EC06E2" w14:textId="77777777" w:rsidR="00D60DAF" w:rsidRPr="00B87C3A" w:rsidRDefault="00397EC9" w:rsidP="00D60DAF">
      <w:pPr>
        <w:pBdr>
          <w:top w:val="nil"/>
          <w:left w:val="nil"/>
          <w:bottom w:val="nil"/>
          <w:right w:val="nil"/>
          <w:between w:val="nil"/>
          <w:bar w:val="nil"/>
        </w:pBdr>
        <w:spacing w:before="0" w:after="240"/>
        <w:rPr>
          <w:rFonts w:eastAsia="Arial Unicode MS"/>
          <w:noProof/>
        </w:rPr>
      </w:pPr>
      <w:r w:rsidRPr="00B87C3A">
        <w:rPr>
          <w:noProof/>
        </w:rPr>
        <w:t xml:space="preserve">Ovim se Prijedlogom nastoje pronaći rješenja za zaključke evaluacije Uredbe o deterdžentima i provjere primjerenosti zakonodavstva o kemikalijama. </w:t>
      </w:r>
    </w:p>
    <w:p w14:paraId="60D0CABD" w14:textId="77777777" w:rsidR="005443FF" w:rsidRPr="00B87C3A" w:rsidRDefault="005443FF" w:rsidP="00A41E33">
      <w:pPr>
        <w:pStyle w:val="ManualHeading2"/>
        <w:rPr>
          <w:rFonts w:eastAsia="Arial Unicode MS"/>
          <w:noProof/>
          <w:u w:color="000000"/>
          <w:bdr w:val="nil"/>
        </w:rPr>
      </w:pPr>
      <w:r w:rsidRPr="00B87C3A">
        <w:rPr>
          <w:noProof/>
          <w:u w:color="000000"/>
          <w:bdr w:val="nil"/>
        </w:rPr>
        <w:t>•</w:t>
      </w:r>
      <w:r w:rsidRPr="00B87C3A">
        <w:rPr>
          <w:noProof/>
        </w:rPr>
        <w:tab/>
      </w:r>
      <w:r w:rsidRPr="00B87C3A">
        <w:rPr>
          <w:noProof/>
          <w:u w:color="000000"/>
          <w:bdr w:val="nil"/>
        </w:rPr>
        <w:t>Savjetovanja s dionicima</w:t>
      </w:r>
    </w:p>
    <w:p w14:paraId="44FEAF2B" w14:textId="77777777" w:rsidR="00F85A3F" w:rsidRPr="00B87C3A" w:rsidRDefault="00F85A3F" w:rsidP="009A1DE4">
      <w:pPr>
        <w:pBdr>
          <w:top w:val="nil"/>
          <w:left w:val="nil"/>
          <w:bottom w:val="nil"/>
          <w:right w:val="nil"/>
          <w:between w:val="nil"/>
          <w:bar w:val="nil"/>
        </w:pBdr>
        <w:spacing w:before="0" w:after="240"/>
        <w:rPr>
          <w:rFonts w:eastAsia="Arial Unicode MS"/>
          <w:noProof/>
        </w:rPr>
      </w:pPr>
      <w:r w:rsidRPr="00B87C3A">
        <w:rPr>
          <w:noProof/>
        </w:rPr>
        <w:t>Kako bi pripremila ovaj prijedlog, Komisija je provela niz savjetovanja radi prikupljanja dokaza i stajališta od širokog raspona dionika o utvrđenim problemima povezanima s postojećim zakonodavstvom te o mogućim rješenjima. Aktivnosti savjetovanja uključivale su posebno javno savjetovanje u trajanju od 12 tjedana koje je završeno 25. svibnja 2022., radionicu za dionike održanu 12. svibnja 2022., rasprave s državama članicama u okviru Radne skupine za deterdžente, razgovore s dionicima (razgovore radi određivanja sadržaja i ciljane razgovore) te prikupljanje povratnih informacija o Komisijinoj početnoj procjeni učinka. U savjetovanjima su sudjelovala nacionalna tijela, industrijska udruženja, poduzeća, udruge potrošača, civilno društvo i akademska zajednica.</w:t>
      </w:r>
    </w:p>
    <w:p w14:paraId="7992DDC8" w14:textId="77777777" w:rsidR="009A1DE4" w:rsidRPr="00B87C3A" w:rsidRDefault="009A1DE4" w:rsidP="009A1DE4">
      <w:pPr>
        <w:pBdr>
          <w:top w:val="nil"/>
          <w:left w:val="nil"/>
          <w:bottom w:val="nil"/>
          <w:right w:val="nil"/>
          <w:between w:val="nil"/>
          <w:bar w:val="nil"/>
        </w:pBdr>
        <w:spacing w:before="0" w:after="240"/>
        <w:rPr>
          <w:rFonts w:eastAsia="Arial Unicode MS"/>
          <w:noProof/>
        </w:rPr>
      </w:pPr>
      <w:r w:rsidRPr="00B87C3A">
        <w:rPr>
          <w:noProof/>
        </w:rPr>
        <w:t xml:space="preserve">U okviru savjetovanja potvrđeno je da dionici (uključujući dionike iz industrije, javna tijela i predstavnike civilnog društva) u velikoj mjeri podupiru digitalizaciju nekih informacija na oznakama i zadržavanje lista s podacima o sastojcima za neopasne deterdžente. Među podopcijama za pojednostavnjenje zahtjeva za označivanje dionici iz industrije malu prednost dali su uklanjanju udvostručenih zahtjeva iz Uredbe o deterdžentima (podopcija 2.). Međutim, ta je skupina, isto kao i drugi dionici, prije svega javna tijela i predstavnici civilnog društva, podržala i prvu podopciju. </w:t>
      </w:r>
    </w:p>
    <w:p w14:paraId="125347B5" w14:textId="77777777" w:rsidR="00196877" w:rsidRPr="00B87C3A" w:rsidRDefault="00F85A3F" w:rsidP="009A1DE4">
      <w:pPr>
        <w:pBdr>
          <w:top w:val="nil"/>
          <w:left w:val="nil"/>
          <w:bottom w:val="nil"/>
          <w:right w:val="nil"/>
          <w:between w:val="nil"/>
          <w:bar w:val="nil"/>
        </w:pBdr>
        <w:spacing w:before="0" w:after="240"/>
        <w:rPr>
          <w:rFonts w:eastAsia="Arial Unicode MS"/>
          <w:noProof/>
        </w:rPr>
      </w:pPr>
      <w:r w:rsidRPr="00B87C3A">
        <w:rPr>
          <w:noProof/>
        </w:rPr>
        <w:t>Velik broj dionika podržao je i olakšavanje i digitalizaciju prodaje ponovnih punjenja. Ipak, treba napomenuti da su poslovne organizacije i veća poduzeća, za razliku od drugih dionika kao što su mala i srednja poduzeća (MSP-ovi), nevladine organizacije, ekološke organizacije i udruženja potrošača, u manjoj mjeri podržali dodavanje zahtjeva za prodaju ponovnih punjenja u Uredbu o deterdžentima. Prijedlog o uvođenju općih kriterija za upravljanje rizikom za sredstva za čišćenje s mikroorganizmima nije dobio veliku podršku</w:t>
      </w:r>
      <w:r w:rsidRPr="00B87C3A">
        <w:rPr>
          <w:rStyle w:val="FootnoteReference"/>
          <w:noProof/>
        </w:rPr>
        <w:footnoteReference w:id="23"/>
      </w:r>
      <w:r w:rsidRPr="00B87C3A">
        <w:rPr>
          <w:noProof/>
        </w:rPr>
        <w:t>. Međutim, dionici iz industrije izjavili su da bi uvođenje općenitih pravila za sredstva za čišćenje s mikroorganizmima u Uredbu o deterdžentima predstavljalo nepotrebno regulatorno opterećenje</w:t>
      </w:r>
      <w:r w:rsidRPr="00B87C3A">
        <w:rPr>
          <w:rStyle w:val="FootnoteReference"/>
          <w:noProof/>
        </w:rPr>
        <w:footnoteReference w:id="24"/>
      </w:r>
      <w:r w:rsidRPr="00B87C3A">
        <w:rPr>
          <w:noProof/>
        </w:rPr>
        <w:t>.</w:t>
      </w:r>
    </w:p>
    <w:p w14:paraId="1FF29C95" w14:textId="77777777" w:rsidR="005443FF" w:rsidRPr="00B87C3A" w:rsidRDefault="005443FF" w:rsidP="00A41E33">
      <w:pPr>
        <w:pStyle w:val="ManualHeading2"/>
        <w:rPr>
          <w:rFonts w:eastAsia="Arial Unicode MS"/>
          <w:noProof/>
          <w:u w:color="000000"/>
          <w:bdr w:val="nil"/>
        </w:rPr>
      </w:pPr>
      <w:r w:rsidRPr="00B87C3A">
        <w:rPr>
          <w:noProof/>
          <w:u w:color="000000"/>
          <w:bdr w:val="nil"/>
        </w:rPr>
        <w:lastRenderedPageBreak/>
        <w:t>•</w:t>
      </w:r>
      <w:r w:rsidRPr="00B87C3A">
        <w:rPr>
          <w:noProof/>
        </w:rPr>
        <w:tab/>
      </w:r>
      <w:r w:rsidRPr="00B87C3A">
        <w:rPr>
          <w:noProof/>
          <w:u w:color="000000"/>
          <w:bdr w:val="nil"/>
        </w:rPr>
        <w:t>Procjena učinka</w:t>
      </w:r>
    </w:p>
    <w:p w14:paraId="396DD1F4" w14:textId="77777777" w:rsidR="00290302" w:rsidRPr="00B87C3A" w:rsidRDefault="00290302" w:rsidP="00290302">
      <w:pPr>
        <w:rPr>
          <w:noProof/>
        </w:rPr>
      </w:pPr>
      <w:r w:rsidRPr="00B87C3A">
        <w:rPr>
          <w:noProof/>
        </w:rPr>
        <w:t xml:space="preserve">Komisija je provela procjenu učinka revizije Uredbe o deterdžentima. Odbor za nadzor regulative dao je 16. rujna 2022. pozitivno mišljenje o nacrtu procjene učinka. Mišljenje Odbora, konačna procjena učinka i njezin sažetak objavljuju se zajedno s ovim Prijedlogom. </w:t>
      </w:r>
    </w:p>
    <w:p w14:paraId="451C3E9A" w14:textId="77777777" w:rsidR="005D679B" w:rsidRPr="00B87C3A" w:rsidRDefault="005D679B" w:rsidP="00A12AC3">
      <w:pPr>
        <w:pStyle w:val="Text1"/>
        <w:ind w:left="0"/>
        <w:rPr>
          <w:noProof/>
        </w:rPr>
      </w:pPr>
      <w:r w:rsidRPr="00B87C3A">
        <w:rPr>
          <w:noProof/>
        </w:rPr>
        <w:t>Osim osnovnog scenarija bez poduzimanja mjera u ovoj se procjeni učinka utvrđuju 2 opcije (opcije 1.a i 1.b) za rješavanje 1. pitanja (neuzimanje u obzir novih kretanja na tržištu) i 2 opcije (opcije 2.a i 2.b) za rješavanje 2. pitanja (nedostatak učinkovitih zahtjeva za informiranje).</w:t>
      </w:r>
    </w:p>
    <w:p w14:paraId="679A864A" w14:textId="77777777" w:rsidR="005D679B" w:rsidRPr="00B87C3A" w:rsidRDefault="004A3C8E" w:rsidP="00A12AC3">
      <w:pPr>
        <w:rPr>
          <w:noProof/>
        </w:rPr>
      </w:pPr>
      <w:r w:rsidRPr="00B87C3A">
        <w:rPr>
          <w:b/>
          <w:noProof/>
        </w:rPr>
        <w:t>Opcijom politike</w:t>
      </w:r>
      <w:r w:rsidRPr="00B87C3A">
        <w:rPr>
          <w:noProof/>
        </w:rPr>
        <w:t> </w:t>
      </w:r>
      <w:r w:rsidRPr="00B87C3A">
        <w:rPr>
          <w:b/>
          <w:noProof/>
        </w:rPr>
        <w:t>1.a</w:t>
      </w:r>
      <w:r w:rsidRPr="00B87C3A">
        <w:rPr>
          <w:noProof/>
        </w:rPr>
        <w:t xml:space="preserve"> omogućilo bi se potrošačima da pri kupovini ponovno napunjenih deterdženata dobiju potrebne informacije i da pravila budu ista za sve proizvođače deterdženata. Sredstva za čišćenje s mikroorganizmima bila bi obuhvaćena područjem primjene Uredbe o deterdžentima te bi se uveli minimalni zahtjevi za informiranje (označivanje) kako bi krajnji korisnici bili obaviješteni o prisutnosti mikroorganizama u proizvodu kojima se ostvaruje funkcija čišćenja. </w:t>
      </w:r>
    </w:p>
    <w:p w14:paraId="2E1EB7C0" w14:textId="77777777" w:rsidR="005D679B" w:rsidRPr="00B87C3A" w:rsidRDefault="00826091" w:rsidP="00A12AC3">
      <w:pPr>
        <w:rPr>
          <w:bCs/>
          <w:noProof/>
        </w:rPr>
      </w:pPr>
      <w:r w:rsidRPr="00B87C3A">
        <w:rPr>
          <w:b/>
          <w:noProof/>
        </w:rPr>
        <w:t>Opcija politike 1.b</w:t>
      </w:r>
      <w:r w:rsidRPr="00B87C3A">
        <w:rPr>
          <w:noProof/>
        </w:rPr>
        <w:t xml:space="preserve"> nadovezuje se na opciju 1.a koja se odnosi na prodaju ponovnih punjenja i njome se predlaže dodatna mogućnost uvođenja digitalnog označivanja za ponovno napunjene deterdžente. Kako bi se ta održiva praksa dodatno olakšala i iskoristio njezin puni potencijal, sve je informacije na oznakama u skladu sa zahtjevima Uredbe o deterdžentima, osim uputa za doziranje, moguće navesti na digitalnoj oznaci. Predlaže se i uvođenje zahtjeva za upravljanje rizikom za sredstva za čišćenje s mikroorganizmima. To obuhvaća opće kriterije za upotrebu mikroorganizama u deterdžentima, zahtjeve za označivanje, neka ograničenja upotrebe mikroorganizama te klauzulu o preispitivanju. </w:t>
      </w:r>
    </w:p>
    <w:p w14:paraId="6B7C05AF" w14:textId="77777777" w:rsidR="005D679B" w:rsidRPr="00B87C3A" w:rsidRDefault="005D679B" w:rsidP="00A12AC3">
      <w:pPr>
        <w:rPr>
          <w:noProof/>
        </w:rPr>
      </w:pPr>
      <w:r w:rsidRPr="00B87C3A">
        <w:rPr>
          <w:noProof/>
        </w:rPr>
        <w:t xml:space="preserve">U okviru </w:t>
      </w:r>
      <w:r w:rsidRPr="00B87C3A">
        <w:rPr>
          <w:b/>
          <w:noProof/>
        </w:rPr>
        <w:t>opcije politike 2.a</w:t>
      </w:r>
      <w:r w:rsidRPr="00B87C3A">
        <w:rPr>
          <w:noProof/>
        </w:rPr>
        <w:t xml:space="preserve"> ukinuo bi se list s podacima o sastojcima i za opasne i za neopasne deterdžente. Tom se opcijom također predlaže pojednostavnjenje zahtjeva za označivanje i uvođenje mogućnosti digitalnog označivanja. Pojednostavnjenje bi se moglo postići označivanjem samo jedanput u skladu sa strožim pravilima (podopcija 1.) ili uklanjanjem udvostručenih odredaba iz Uredbe o deterdžentima (podopcija 2.). Odabirom digitalnog označivanja proizvođači bi imali mogućnost neke informacije navesti samo na digitalnoj oznaci. Proizvođači bi na svoje proizvode mogli stavljati digitalne oznake samo ako bi se primjenjivala obvezujuća načela za digitalno označivanje.</w:t>
      </w:r>
    </w:p>
    <w:p w14:paraId="0FF2E89D" w14:textId="77777777" w:rsidR="005D679B" w:rsidRPr="00B87C3A" w:rsidRDefault="00826091" w:rsidP="00A12AC3">
      <w:pPr>
        <w:rPr>
          <w:noProof/>
        </w:rPr>
      </w:pPr>
      <w:r w:rsidRPr="00B87C3A">
        <w:rPr>
          <w:b/>
          <w:noProof/>
        </w:rPr>
        <w:t>Opcijom politike 2.b</w:t>
      </w:r>
      <w:r w:rsidRPr="00B87C3A">
        <w:rPr>
          <w:noProof/>
        </w:rPr>
        <w:t xml:space="preserve"> predlaže se ukidanje samo ponovljenog zahtjeva za osiguravanje lista s podacima o sastojcima za opasne deterdžente i njegovo zadržavanje za neopasne deterdžente u skladu s Uredbom o deterdžentima. U smislu označivanja, opcija 2.b jednaka je gore navedenoj opciji 2.a.</w:t>
      </w:r>
    </w:p>
    <w:p w14:paraId="74D28102" w14:textId="77777777" w:rsidR="004A3C8E" w:rsidRPr="00B87C3A" w:rsidRDefault="00826091" w:rsidP="00A12AC3">
      <w:pPr>
        <w:rPr>
          <w:noProof/>
        </w:rPr>
      </w:pPr>
      <w:r w:rsidRPr="00B87C3A">
        <w:rPr>
          <w:noProof/>
        </w:rPr>
        <w:t xml:space="preserve">Najpoželjniju kombinaciju opcija politike čine opcija politike 1.b i opcija politike 2.b. U usporedbi s alternativnim rješenjima ove su opcije općenito bolje ocijenjene na temelju niza kriterija (pozitivni gospodarski, socijalni, okolišni i zdravstveni učinci, djelotvornost, učinkovitost i usklađenost). Očekuje se da će opcije 1.b i 2.b smanjiti opterećenje i troškove za industriju i da će oznake deterdženata biti čitljivije. Očekuje se i da će uklanjanje opsežnih i udvostručenih zahtjeva za označivanje u širem regulatornom okviru EU-a za deterdžente i ostavljanje mogućnosti da se neke informacije navedu na digitalnoj oznaci te opcije smanjiti opterećenje za poduzeća. Postojala bi i ekonomija razmjera jer bi na fizičkoj oznaci bilo prostora za više jezika, što bi omogućilo uštede troškova povezanih s distribucijom prodaje i ostvarenje punog potencijala jedinstvenog tržišta za deterdžente. </w:t>
      </w:r>
    </w:p>
    <w:p w14:paraId="4AAC2FD9" w14:textId="77777777" w:rsidR="004A3C8E" w:rsidRPr="00B87C3A" w:rsidRDefault="004A3C8E" w:rsidP="00A12AC3">
      <w:pPr>
        <w:rPr>
          <w:noProof/>
        </w:rPr>
      </w:pPr>
      <w:r w:rsidRPr="00B87C3A">
        <w:rPr>
          <w:noProof/>
        </w:rPr>
        <w:t xml:space="preserve">Utvrđivanjem usklađenih kriterija i pojašnjenjem zahtjeva za održivije proizvode (sredstva za čišćenje s mikroorganizmima) i nove prakse (prodaja ponovnih punjenja) olakšat će se zelena tranzicija i istodobno osigurati da ništa ne ometa inovacije. S obzirom na to da u tim </w:t>
      </w:r>
      <w:r w:rsidRPr="00B87C3A">
        <w:rPr>
          <w:noProof/>
        </w:rPr>
        <w:lastRenderedPageBreak/>
        <w:t>segmentima tržišta trenutačno prevladavaju MSP-ovi, time će se dodatno poboljšati njihov pristup lancu vrijednosti i integracija u njega i u cjelokupno tržište, što će pridonijeti postizanju cilja održivog razvoja Ujedinjenih naroda</w:t>
      </w:r>
      <w:r w:rsidRPr="00B87C3A">
        <w:rPr>
          <w:rStyle w:val="FootnoteReference"/>
          <w:noProof/>
          <w:lang w:eastAsia="en-GB"/>
        </w:rPr>
        <w:footnoteReference w:id="25"/>
      </w:r>
      <w:r w:rsidRPr="00B87C3A">
        <w:rPr>
          <w:noProof/>
        </w:rPr>
        <w:t xml:space="preserve"> br. 9 „Industrija, inovacije i infrastruktura”. </w:t>
      </w:r>
    </w:p>
    <w:p w14:paraId="4AB47711" w14:textId="77777777" w:rsidR="004A3C8E" w:rsidRPr="00B87C3A" w:rsidRDefault="004A3C8E" w:rsidP="00A12AC3">
      <w:pPr>
        <w:rPr>
          <w:noProof/>
        </w:rPr>
      </w:pPr>
      <w:r w:rsidRPr="00B87C3A">
        <w:rPr>
          <w:noProof/>
        </w:rPr>
        <w:t xml:space="preserve">Kombinacija opcija politike 1.b i 2.b osigurava višu razinu sigurnosti, zaštite zdravlja ljudi i zaštite okoliša i pridonosi postizanju ciljeva održivog razvoja br. 3 „Dobro zdravlje i dobrobit” i br. 12 „Osigurati održive obrasce potrošnje i proizvodnje”. Konkretno, uvođenjem mjera upravljanja rizikom za sredstva za čišćenje s mikroorganizmima osigurat će se da mikroorganizmi koji se upotrebljavaju u deterdžentima budu sigurni za ljude i okoliš, a krajnjim će se korisnicima omogućiti da donose utemeljene odluke i da se bolje zaštite ako su osjetljivi na mikroorganizme. Ciljane i pojednostavnjene upute za upotrebu na oznaci olakšat će korisnicima pravilnu upotrebu proizvoda i pridonijeti boljoj zaštiti okoliša. Nadalje, uvođenjem posebnih zahtjeva za prodaju ponovnih punjenja osigurat će se da potrošači pri kupnji ponovno napunjenih deterdženata dobiju sve informacije o njihovoj sigurnosti i upotrebi te potaknuti okolišno održiva praksa kojom se smanjuje količina ambalažnog otpada. Ostavljanjem mogućnosti da se neke informacije navedu samo na digitalnoj oznaci dodatno bi se smanjila količina otpada koja nastaje odlaganjem neiskorištenih zaliha oznaka. </w:t>
      </w:r>
    </w:p>
    <w:p w14:paraId="08489BD9" w14:textId="77777777" w:rsidR="00C5530B" w:rsidRPr="00B87C3A" w:rsidRDefault="00C5530B" w:rsidP="00C5530B">
      <w:pPr>
        <w:rPr>
          <w:noProof/>
        </w:rPr>
      </w:pPr>
      <w:r w:rsidRPr="00B87C3A">
        <w:rPr>
          <w:noProof/>
        </w:rPr>
        <w:t xml:space="preserve">Racionalizacijom i pojednostavnjenjem zahtjeva za označivanje oznake deterdženta bit će čitljivije i razumljivije. To će krajnjim korisnicima omogućiti da relevantne informacije pronađu lakše i brže, što je ključno, osobito u slučaju nesreće. </w:t>
      </w:r>
    </w:p>
    <w:p w14:paraId="648F910C" w14:textId="77777777" w:rsidR="004A3C8E" w:rsidRPr="00B87C3A" w:rsidRDefault="004A3C8E" w:rsidP="00A12AC3">
      <w:pPr>
        <w:rPr>
          <w:noProof/>
        </w:rPr>
      </w:pPr>
      <w:r w:rsidRPr="00B87C3A">
        <w:rPr>
          <w:noProof/>
        </w:rPr>
        <w:t xml:space="preserve">Prednost se daje podopciji 1. u okviru opcije politike 2.a, u skladu s kojom se sastojci označavaju samo jedanput na temelju strožih primjenjivih pravila jer će se njome osigurati viša razina zaštite zdravlja ljudi. Osim toga, uvođenje neobveznog digitalnog označivanja s jedne će strane pojednostavniti upotrebu i informiranje jer će bitne informacije koje ostaju na fizičkoj oznaci postati jasnije, a s druge će strane koristiti ranjivim i slabovidnim korisnicima. Digitalnim načelima, koja će se primjenjivati kad gospodarski subjekti odluče stavljati digitalne oznake, dodatno će se zaštititi visoka razina zaštite zdravlja ljudi. Konačno, zadržavanjem lista s podacima o sastojcima za neopasne deterdžente u Uredbi o deterdžentima razina zaštite bit će i dalje vrlo visoka. </w:t>
      </w:r>
    </w:p>
    <w:p w14:paraId="72BC628E" w14:textId="77777777" w:rsidR="004A3C8E" w:rsidRPr="00B87C3A" w:rsidRDefault="004A3C8E" w:rsidP="00A12AC3">
      <w:pPr>
        <w:rPr>
          <w:noProof/>
        </w:rPr>
      </w:pPr>
      <w:r w:rsidRPr="00B87C3A">
        <w:rPr>
          <w:noProof/>
        </w:rPr>
        <w:t xml:space="preserve">Uvođenje usklađenih pravila za sredstva za čišćenje s mikroorganizmima i prodaju ponovnih punjenja u okviru najpoželjnije opcije pogodovat će funkcioniranju jedinstvenog tržišta jer će za te vrste proizvoda biti osigurani jednaki uvjeti. Najpoželjnija opcija neće iziskivati nikakve troškove za poduzeća ili će oni biti zanemarivi, a dovest će i do velikih ušteda troškova. Najveći učinak, u obliku ušteda troškova, proizlazi iz ukidanja listova s podacima o sastojcima za opasne deterdžente, a procijenjena ušteda iznosi oko 7 milijuna EUR godišnje. Postojeći oblik lista s podacima o sastojcima zadržat će se kako bi se izbjegli nepotrebni dodatni troškovi i složenost za industriju, posebno za MSP-ove. </w:t>
      </w:r>
    </w:p>
    <w:p w14:paraId="401DE2B0" w14:textId="77777777" w:rsidR="004A3C8E" w:rsidRPr="00B87C3A" w:rsidRDefault="004A3C8E" w:rsidP="00A12AC3">
      <w:pPr>
        <w:rPr>
          <w:noProof/>
        </w:rPr>
      </w:pPr>
      <w:r w:rsidRPr="00B87C3A">
        <w:rPr>
          <w:noProof/>
        </w:rPr>
        <w:t xml:space="preserve">Za MSP-ove se očekuju dodatna manja godišnja opterećenja zbog zahtjeva za upravljanje rizikom za sredstva za čišćenje s mikroorganizmima u iznosu od otprilike 200 000 EUR po poduzeću. Međutim, treba napomenuti kako je riječ o gornjoj granici koja se izračunava na temelju prosječnih troškova za ispitivanja i najvećeg broja serija koje su prijavili proizvođači. Vrlo je vjerojatno i da će se taj broj razlikovati ovisno o nekoliko čimbenika (npr. veličina društva ili portfelja, trenutačna razina sukladnosti), ali ni u kojem slučaju neće negativno utjecati na proizvođače (uglavnom MSP-ove) koji su u razgovorima naveli da su ti troškovi unutar prihvatljivog raspona. Očekuje se da će troškovi novih zahtjeva za poduzeća koja rade na „poznatim mikroorganizmima” biti zanemarivi jer su mnogi predloženi zahtjevi već </w:t>
      </w:r>
      <w:r w:rsidRPr="00B87C3A">
        <w:rPr>
          <w:noProof/>
        </w:rPr>
        <w:lastRenderedPageBreak/>
        <w:t xml:space="preserve">ispunjeni ili se mogu ispuniti uz zanemariv trošak. Stoga će ta poduzeća moći raditi i proširiti svoju proizvodnju bez dodatnih troškova. </w:t>
      </w:r>
    </w:p>
    <w:p w14:paraId="558E5294" w14:textId="77777777" w:rsidR="005A1148" w:rsidRPr="00B87C3A" w:rsidRDefault="004A3C8E" w:rsidP="00A12AC3">
      <w:pPr>
        <w:pStyle w:val="Text1"/>
        <w:ind w:left="0"/>
        <w:rPr>
          <w:noProof/>
        </w:rPr>
      </w:pPr>
      <w:r w:rsidRPr="00B87C3A">
        <w:rPr>
          <w:noProof/>
        </w:rPr>
        <w:t>Najpoželjnija opcija u skladu je s načelom proporcionalnosti. Ne prelazi ono što je potrebno za ostvarenje željenih ciljeva. Uklanjanjem regulatornih preklapanja postići će se veća usklađenost sa širim regulatornim okvirom EU-a koji se primjenjuje na deterdžente. Olakšavanje prodaje ponovnog punjenja u skladu je sa sveobuhvatnim inicijativama EU-a usmjerenima na smanjenje utjecaja na okoliš i ciljem održivog razvoja br. 12 „Osigurati održive obrasce potrošnje i proizvodnje”. Uvođenje (neobveznog) digitalnog označivanja i općenito i za deterdžente za ponovno punjenje u skladu je s prelaskom u digitalno doba i s usporednim inicijativama za digitalizaciju u području kemikalija, kao što su Uredba CLP i Uredba o gnojidbenim proizvodima. Stjecanjem iskustva i povjerenja u digitalno označivanje količina informacija koje se pružaju u digitalnom obliku u budućnosti bi se mogla povećati, što bi moglo dodatno povećati potencijal za pojednostavnjenje u industriji.</w:t>
      </w:r>
    </w:p>
    <w:p w14:paraId="5002CD09" w14:textId="77777777" w:rsidR="005443FF" w:rsidRPr="00B87C3A" w:rsidRDefault="005443FF" w:rsidP="00A41E33">
      <w:pPr>
        <w:pStyle w:val="ManualHeading2"/>
        <w:rPr>
          <w:rFonts w:eastAsia="Arial Unicode MS"/>
          <w:noProof/>
          <w:u w:color="000000"/>
          <w:bdr w:val="nil"/>
        </w:rPr>
      </w:pPr>
      <w:r w:rsidRPr="00B87C3A">
        <w:rPr>
          <w:noProof/>
          <w:u w:color="000000"/>
          <w:bdr w:val="nil"/>
        </w:rPr>
        <w:t>•</w:t>
      </w:r>
      <w:r w:rsidRPr="00B87C3A">
        <w:rPr>
          <w:noProof/>
        </w:rPr>
        <w:tab/>
      </w:r>
      <w:r w:rsidRPr="00B87C3A">
        <w:rPr>
          <w:noProof/>
          <w:u w:color="000000"/>
          <w:bdr w:val="nil"/>
        </w:rPr>
        <w:t>Primjerenost i pojednostavnjenje propisa</w:t>
      </w:r>
    </w:p>
    <w:p w14:paraId="1680A0DF" w14:textId="77777777" w:rsidR="00F85A3F" w:rsidRPr="00B87C3A" w:rsidRDefault="00F85A3F" w:rsidP="00F85A3F">
      <w:pPr>
        <w:pBdr>
          <w:top w:val="nil"/>
          <w:left w:val="nil"/>
          <w:bottom w:val="nil"/>
          <w:right w:val="nil"/>
          <w:between w:val="nil"/>
          <w:bar w:val="nil"/>
        </w:pBdr>
        <w:spacing w:before="0" w:after="240"/>
        <w:rPr>
          <w:noProof/>
        </w:rPr>
      </w:pPr>
      <w:r w:rsidRPr="00B87C3A">
        <w:rPr>
          <w:noProof/>
        </w:rPr>
        <w:t>Među glavnim ciljevima ove inicijative pojednostavnjenje je pravila koja se primjenjuju na deterdžente i smanjenje regulatornog opterećenja za proizvođače deterdženata.</w:t>
      </w:r>
    </w:p>
    <w:p w14:paraId="5FA8533E" w14:textId="77777777" w:rsidR="00F85A3F" w:rsidRPr="00B87C3A" w:rsidRDefault="00F85A3F" w:rsidP="00DF795B">
      <w:pPr>
        <w:pStyle w:val="Bullet0"/>
        <w:numPr>
          <w:ilvl w:val="0"/>
          <w:numId w:val="46"/>
        </w:numPr>
        <w:rPr>
          <w:noProof/>
        </w:rPr>
      </w:pPr>
      <w:r w:rsidRPr="00B87C3A">
        <w:rPr>
          <w:b/>
          <w:noProof/>
        </w:rPr>
        <w:t>Racionalizacijom i pojednostavnjenjem zahtjeva za označivanje</w:t>
      </w:r>
      <w:r w:rsidRPr="00B87C3A">
        <w:rPr>
          <w:noProof/>
        </w:rPr>
        <w:t xml:space="preserve"> smanjit će se regulatorno opterećenje za gospodarske subjekte jer će im biti lakše poštovati pravila.</w:t>
      </w:r>
    </w:p>
    <w:p w14:paraId="578E4F42" w14:textId="77777777" w:rsidR="00F85A3F" w:rsidRPr="00B87C3A" w:rsidRDefault="00F85A3F" w:rsidP="0005449C">
      <w:pPr>
        <w:pStyle w:val="Bullet0"/>
        <w:rPr>
          <w:noProof/>
        </w:rPr>
      </w:pPr>
      <w:r w:rsidRPr="00B87C3A">
        <w:rPr>
          <w:b/>
          <w:noProof/>
        </w:rPr>
        <w:t>Ukidanjem lista s podacima o sastojcima za opasne deterdžente</w:t>
      </w:r>
      <w:r w:rsidRPr="00B87C3A">
        <w:rPr>
          <w:noProof/>
        </w:rPr>
        <w:t xml:space="preserve"> godišnje će se uštedjeti do 7 milijuna EUR.</w:t>
      </w:r>
    </w:p>
    <w:p w14:paraId="098379BC" w14:textId="77777777" w:rsidR="00F85A3F" w:rsidRPr="00B87C3A" w:rsidRDefault="00F85A3F" w:rsidP="0005449C">
      <w:pPr>
        <w:pStyle w:val="Bullet0"/>
        <w:rPr>
          <w:noProof/>
        </w:rPr>
      </w:pPr>
      <w:r w:rsidRPr="00B87C3A">
        <w:rPr>
          <w:noProof/>
        </w:rPr>
        <w:t xml:space="preserve">Prijedlogom se </w:t>
      </w:r>
      <w:r w:rsidRPr="00B87C3A">
        <w:rPr>
          <w:b/>
          <w:noProof/>
        </w:rPr>
        <w:t>ukida i obvezno sudjelovanje ovlaštenih laboratorija</w:t>
      </w:r>
      <w:r w:rsidRPr="00B87C3A">
        <w:rPr>
          <w:noProof/>
        </w:rPr>
        <w:t xml:space="preserve"> koji su morali provoditi ispitivanja u skladu s Uredbom.</w:t>
      </w:r>
    </w:p>
    <w:p w14:paraId="13E1E436" w14:textId="77777777" w:rsidR="00F85A3F" w:rsidRPr="00B87C3A" w:rsidRDefault="00F85A3F" w:rsidP="0005449C">
      <w:pPr>
        <w:pStyle w:val="Bullet0"/>
        <w:rPr>
          <w:noProof/>
        </w:rPr>
      </w:pPr>
      <w:r w:rsidRPr="00B87C3A">
        <w:rPr>
          <w:noProof/>
        </w:rPr>
        <w:t>Prijedlogom se ukida obveza poslovnog nastana u EU-u za proizvođače deterdženata i površinski aktivnih tvari. No zbog uvođenja putovnice za proizvode i novih odredaba za nadzor tržišta deterdženata svi će deterdženti i površinski aktivne tvari koje se stavljaju na tržište EU-a morati biti u skladu sa zahtjevima, neovisno o mjestu poslovnog nastana proizvođača.</w:t>
      </w:r>
    </w:p>
    <w:p w14:paraId="5BFCA6F6" w14:textId="77777777" w:rsidR="00F85A3F" w:rsidRPr="00B87C3A" w:rsidRDefault="00F85A3F" w:rsidP="0005449C">
      <w:pPr>
        <w:pStyle w:val="Bullet0"/>
        <w:rPr>
          <w:noProof/>
        </w:rPr>
      </w:pPr>
      <w:r w:rsidRPr="00B87C3A">
        <w:rPr>
          <w:noProof/>
        </w:rPr>
        <w:t xml:space="preserve">Procjenjuje se da će se </w:t>
      </w:r>
      <w:r w:rsidRPr="00B87C3A">
        <w:rPr>
          <w:b/>
          <w:noProof/>
        </w:rPr>
        <w:t>olakšavanjem prodaje ponovnog punjenja</w:t>
      </w:r>
      <w:r w:rsidRPr="00B87C3A">
        <w:rPr>
          <w:noProof/>
        </w:rPr>
        <w:t xml:space="preserve"> u industriji deterdženta na godišnjoj razini ostvariti ušteda troškova zbog odlaganja manje količine plastičnog otpada. Iako te uštede nije bilo moguće kvantificirati, u okviru osnovnog scenarija procjenjuje se da one iznose 3,3 milijuna EUR. Općenito, procjenjuje se da će se najpoželjnijom opcijom u industriji deterdženata ostvariti godišnja ušteda troškova veća od 10 milijuna EUR.</w:t>
      </w:r>
    </w:p>
    <w:p w14:paraId="069DFFD1" w14:textId="77777777" w:rsidR="005443FF" w:rsidRPr="00B87C3A" w:rsidRDefault="005443FF" w:rsidP="00A41E33">
      <w:pPr>
        <w:pStyle w:val="ManualHeading1"/>
        <w:rPr>
          <w:noProof/>
        </w:rPr>
      </w:pPr>
      <w:r w:rsidRPr="00B87C3A">
        <w:rPr>
          <w:noProof/>
        </w:rPr>
        <w:t>4.</w:t>
      </w:r>
      <w:r w:rsidRPr="00B87C3A">
        <w:rPr>
          <w:noProof/>
        </w:rPr>
        <w:tab/>
        <w:t>UTJECAJ NA PRORAČUN</w:t>
      </w:r>
    </w:p>
    <w:p w14:paraId="766B9D3C" w14:textId="77777777" w:rsidR="005443FF" w:rsidRPr="00B87C3A" w:rsidRDefault="00C60C6E" w:rsidP="00A41E33">
      <w:pPr>
        <w:pBdr>
          <w:top w:val="nil"/>
          <w:left w:val="nil"/>
          <w:bottom w:val="nil"/>
          <w:right w:val="nil"/>
          <w:between w:val="nil"/>
          <w:bar w:val="nil"/>
        </w:pBdr>
        <w:spacing w:before="0" w:after="240"/>
        <w:rPr>
          <w:rFonts w:eastAsia="Arial Unicode MS"/>
          <w:noProof/>
        </w:rPr>
      </w:pPr>
      <w:r w:rsidRPr="00B87C3A">
        <w:rPr>
          <w:noProof/>
        </w:rPr>
        <w:t>Prijedlog neće utjecati na proračun EU-a.</w:t>
      </w:r>
    </w:p>
    <w:p w14:paraId="197BFC5D" w14:textId="77777777" w:rsidR="005443FF" w:rsidRPr="00B87C3A" w:rsidRDefault="005443FF" w:rsidP="00A41E33">
      <w:pPr>
        <w:pStyle w:val="ManualHeading1"/>
        <w:rPr>
          <w:noProof/>
        </w:rPr>
      </w:pPr>
      <w:r w:rsidRPr="00B87C3A">
        <w:rPr>
          <w:noProof/>
        </w:rPr>
        <w:t>5.</w:t>
      </w:r>
      <w:r w:rsidRPr="00B87C3A">
        <w:rPr>
          <w:noProof/>
        </w:rPr>
        <w:tab/>
        <w:t>OSTALI ELEMENTI</w:t>
      </w:r>
    </w:p>
    <w:p w14:paraId="448D2F1C" w14:textId="77777777" w:rsidR="005443FF" w:rsidRPr="00B87C3A" w:rsidRDefault="005443FF" w:rsidP="00A41E33">
      <w:pPr>
        <w:pStyle w:val="ManualHeading2"/>
        <w:rPr>
          <w:rFonts w:eastAsia="Arial Unicode MS"/>
          <w:noProof/>
          <w:u w:color="000000"/>
          <w:bdr w:val="nil"/>
        </w:rPr>
      </w:pPr>
      <w:r w:rsidRPr="00B87C3A">
        <w:rPr>
          <w:noProof/>
          <w:u w:color="000000"/>
          <w:bdr w:val="nil"/>
        </w:rPr>
        <w:t>•</w:t>
      </w:r>
      <w:r w:rsidRPr="00B87C3A">
        <w:rPr>
          <w:noProof/>
        </w:rPr>
        <w:tab/>
      </w:r>
      <w:r w:rsidRPr="00B87C3A">
        <w:rPr>
          <w:noProof/>
          <w:u w:color="000000"/>
          <w:bdr w:val="nil"/>
        </w:rPr>
        <w:t>Planovi provedbe i mehanizmi praćenja, evaluacije i izvješćivanja</w:t>
      </w:r>
    </w:p>
    <w:p w14:paraId="77552F44" w14:textId="77777777" w:rsidR="00F85A3F" w:rsidRPr="00B87C3A" w:rsidRDefault="00F85A3F" w:rsidP="00F85A3F">
      <w:pPr>
        <w:pBdr>
          <w:top w:val="nil"/>
          <w:left w:val="nil"/>
          <w:bottom w:val="nil"/>
          <w:right w:val="nil"/>
          <w:between w:val="nil"/>
          <w:bar w:val="nil"/>
        </w:pBdr>
        <w:spacing w:before="0" w:after="240"/>
        <w:rPr>
          <w:rFonts w:eastAsia="Arial Unicode MS"/>
          <w:noProof/>
        </w:rPr>
      </w:pPr>
      <w:r w:rsidRPr="00B87C3A">
        <w:rPr>
          <w:noProof/>
        </w:rPr>
        <w:t>Komisija će pratiti provedbu i primjenu novih odredaba te sukladnost s njima kako bi ocijenila njihovu djelotvornost. Uredbom će se predvidjeti redovita evaluacija i preispitivanje koje provodi Komisija, a povezano javno izvješće dostavit će se Europskom parlamentu i Vijeću.</w:t>
      </w:r>
    </w:p>
    <w:p w14:paraId="1A034BB3" w14:textId="77777777" w:rsidR="004206CC" w:rsidRPr="00B87C3A" w:rsidRDefault="005443FF" w:rsidP="00A12AC3">
      <w:pPr>
        <w:pStyle w:val="ManualHeading2"/>
        <w:rPr>
          <w:noProof/>
        </w:rPr>
      </w:pPr>
      <w:r w:rsidRPr="00B87C3A">
        <w:rPr>
          <w:noProof/>
          <w:u w:color="000000"/>
          <w:bdr w:val="nil"/>
        </w:rPr>
        <w:lastRenderedPageBreak/>
        <w:t>•</w:t>
      </w:r>
      <w:r w:rsidRPr="00B87C3A">
        <w:rPr>
          <w:noProof/>
        </w:rPr>
        <w:tab/>
      </w:r>
      <w:r w:rsidRPr="00B87C3A">
        <w:rPr>
          <w:noProof/>
          <w:u w:color="000000"/>
          <w:bdr w:val="nil"/>
        </w:rPr>
        <w:t>Detaljno obrazloženje posebnih odredaba prijedloga</w:t>
      </w:r>
      <w:r w:rsidRPr="00B87C3A">
        <w:rPr>
          <w:noProof/>
        </w:rPr>
        <w:t xml:space="preserve"> </w:t>
      </w:r>
    </w:p>
    <w:p w14:paraId="0B7BDF95" w14:textId="77777777" w:rsidR="00804221" w:rsidRPr="00B87C3A" w:rsidRDefault="00804221" w:rsidP="004206CC">
      <w:pPr>
        <w:rPr>
          <w:b/>
          <w:noProof/>
        </w:rPr>
      </w:pPr>
      <w:r w:rsidRPr="00B87C3A">
        <w:rPr>
          <w:b/>
          <w:noProof/>
        </w:rPr>
        <w:t>Poglavlje I. – Opće odredbe</w:t>
      </w:r>
    </w:p>
    <w:p w14:paraId="2A3D0A88" w14:textId="77777777" w:rsidR="00804221" w:rsidRPr="00B87C3A" w:rsidRDefault="004206CC" w:rsidP="004206CC">
      <w:pPr>
        <w:rPr>
          <w:noProof/>
        </w:rPr>
      </w:pPr>
      <w:r w:rsidRPr="00B87C3A">
        <w:rPr>
          <w:noProof/>
        </w:rPr>
        <w:t xml:space="preserve">Predloženom Uredbom obuhvaćeni su deterdženti i površinski aktivne tvari koje se stavljaju na tržište pojedinačno ili kao sastojci deterdženata. Osim toga, predloženom Uredbom i dalje se utvrđuju strogi zahtjevi za biorazgradivost za površinski aktivne tvari. Međutim, u usporedbi s Uredbom (EZ) br. 648/2004 uvodi se mogućnost proširenja područja primjene u budućnosti kako bi se obuhvatila biorazgradivost tvari i smjesa u deterdžentima. Prošireno područje primjene obuhvaća i digitalizaciju oznaka deterdženata i sigurnost mikroorganizama u deterdžentima. </w:t>
      </w:r>
    </w:p>
    <w:p w14:paraId="02C9CE1D" w14:textId="77777777" w:rsidR="00170B59" w:rsidRPr="00B87C3A" w:rsidRDefault="00170B59" w:rsidP="00170B59">
      <w:pPr>
        <w:rPr>
          <w:noProof/>
        </w:rPr>
      </w:pPr>
      <w:r w:rsidRPr="00B87C3A">
        <w:rPr>
          <w:noProof/>
        </w:rPr>
        <w:t xml:space="preserve">Prijedlogom se zadržava niz postojećih definicija, ali se uvodi i nova definicija deterdženta. Ta se definicija uglavnom temelji na definiciji iz Uredbe (EZ) br. 648/2004, ali je, s jedne strane, pojašnjena, a s druge strane aktualizirana novim proizvodima kojima se namjerno dodaju mikroorganizmi.  </w:t>
      </w:r>
    </w:p>
    <w:p w14:paraId="12F4E5AF" w14:textId="77777777" w:rsidR="004206CC" w:rsidRPr="00B87C3A" w:rsidRDefault="00170B59" w:rsidP="00170B59">
      <w:pPr>
        <w:rPr>
          <w:noProof/>
        </w:rPr>
      </w:pPr>
      <w:r w:rsidRPr="00B87C3A">
        <w:rPr>
          <w:noProof/>
        </w:rPr>
        <w:t>U prijedlogu se upotrebljavaju i opće definicije iz Odluke br. 768/2008/EZ</w:t>
      </w:r>
      <w:r w:rsidRPr="00B87C3A">
        <w:rPr>
          <w:rStyle w:val="FootnoteReference"/>
          <w:noProof/>
        </w:rPr>
        <w:footnoteReference w:id="26"/>
      </w:r>
      <w:r w:rsidRPr="00B87C3A">
        <w:rPr>
          <w:noProof/>
        </w:rPr>
        <w:t>, a uključene su i dodatne definicije povezane s putovnicom za proizvode u skladu s definicijama iz europskog prijedloga o održivim proizvodima. Definicija ponovnog punjenja usklađena je s definicijom koja se upotrebljava u prijedlogu o ambalaži i ambalažnom otpadu.</w:t>
      </w:r>
    </w:p>
    <w:p w14:paraId="581C386D" w14:textId="77777777" w:rsidR="00650EC9" w:rsidRPr="00B87C3A" w:rsidRDefault="00650EC9" w:rsidP="00650EC9">
      <w:pPr>
        <w:rPr>
          <w:rFonts w:eastAsia="Arial Unicode MS"/>
          <w:b/>
          <w:noProof/>
        </w:rPr>
      </w:pPr>
      <w:r w:rsidRPr="00B87C3A">
        <w:rPr>
          <w:b/>
          <w:noProof/>
        </w:rPr>
        <w:t xml:space="preserve">Poglavlje II. – Zahtjevi za proizvode </w:t>
      </w:r>
    </w:p>
    <w:p w14:paraId="4DAD93E0" w14:textId="77777777" w:rsidR="00650EC9" w:rsidRPr="00B87C3A" w:rsidRDefault="008D443E" w:rsidP="00650EC9">
      <w:pPr>
        <w:rPr>
          <w:noProof/>
        </w:rPr>
      </w:pPr>
      <w:r w:rsidRPr="00B87C3A">
        <w:rPr>
          <w:noProof/>
        </w:rPr>
        <w:t xml:space="preserve">Kao i u slučaju Uredbe (EZ) br. 648/2004, površinski aktivne tvari moraju ispunjavati kriterije za krajnju biorazgradivost kako bi se stavile na tržište pojedinačno ili kao sastojak deterdženata. Ovim se Prijedlogom prvi put uvode sigurnosni zahtjevi za mikroorganizme u deterdžentima. </w:t>
      </w:r>
    </w:p>
    <w:p w14:paraId="170ECFE5" w14:textId="77777777" w:rsidR="00650EC9" w:rsidRPr="00B87C3A" w:rsidRDefault="00650EC9" w:rsidP="00650EC9">
      <w:pPr>
        <w:rPr>
          <w:rFonts w:eastAsia="Arial Unicode MS"/>
          <w:noProof/>
        </w:rPr>
      </w:pPr>
      <w:r w:rsidRPr="00B87C3A">
        <w:rPr>
          <w:noProof/>
        </w:rPr>
        <w:t xml:space="preserve">Zadržana su ograničenja udjela fosfata i drugih spojeva fosfora u deterdžentima za pranje rublja i deterdžentima za strojno pranje posuđa koji se koriste u kućanstvu. </w:t>
      </w:r>
    </w:p>
    <w:p w14:paraId="2E4A3DAA" w14:textId="77777777" w:rsidR="00E67676" w:rsidRPr="00B87C3A" w:rsidRDefault="00F5219E" w:rsidP="00E67676">
      <w:pPr>
        <w:rPr>
          <w:b/>
          <w:noProof/>
        </w:rPr>
      </w:pPr>
      <w:r w:rsidRPr="00B87C3A">
        <w:rPr>
          <w:b/>
          <w:noProof/>
        </w:rPr>
        <w:t xml:space="preserve">Poglavlje III. – Obveze gospodarskih subjekata </w:t>
      </w:r>
    </w:p>
    <w:p w14:paraId="712C6272" w14:textId="77777777" w:rsidR="00F5219E" w:rsidRPr="00B87C3A" w:rsidRDefault="00170B59" w:rsidP="00A12AC3">
      <w:pPr>
        <w:pBdr>
          <w:top w:val="nil"/>
          <w:left w:val="nil"/>
          <w:bottom w:val="nil"/>
          <w:right w:val="nil"/>
          <w:between w:val="nil"/>
          <w:bar w:val="nil"/>
        </w:pBdr>
        <w:spacing w:before="0" w:after="240"/>
        <w:rPr>
          <w:noProof/>
        </w:rPr>
      </w:pPr>
      <w:r w:rsidRPr="00B87C3A">
        <w:rPr>
          <w:noProof/>
        </w:rPr>
        <w:t xml:space="preserve">Prijedlogom se pojednostavnjuju obveze proizvođača, uvoznika i distributera u odnosu na one u Odluci br. 768/2008/EZ. Ovime se pojašnjavaju odgovarajuće obveze koje su razmjerne odgovornostima gospodarskih subjekata. Umjesto izdavanja izjave o sukladnosti kako je utvrđeno u Odluci br. 768/2008/EZ, proizvođač će izraditi putovnicu za proizvode za deterdžent ili površinski aktivnu tvar koja će sadržavati relevantne informacije o sukladnosti. Proizvođači deterdženata i površinski aktivnih tvari više nisu obvezni imati poslovni nastan u EU-u. Međutim, ako proizvođači nemaju poslovni nastan u EU-u, trebali bi imenovati ovlaštenog zastupnika za obavljanje određenih zadaća u njihovo ime.  </w:t>
      </w:r>
    </w:p>
    <w:p w14:paraId="4EC99863" w14:textId="77777777" w:rsidR="00650EC9" w:rsidRPr="00B87C3A" w:rsidRDefault="00650EC9" w:rsidP="00A12AC3">
      <w:pPr>
        <w:pBdr>
          <w:top w:val="nil"/>
          <w:left w:val="nil"/>
          <w:bottom w:val="nil"/>
          <w:right w:val="nil"/>
          <w:between w:val="nil"/>
          <w:bar w:val="nil"/>
        </w:pBdr>
        <w:spacing w:before="0" w:after="240"/>
        <w:rPr>
          <w:noProof/>
        </w:rPr>
      </w:pPr>
      <w:r w:rsidRPr="00B87C3A">
        <w:rPr>
          <w:noProof/>
        </w:rPr>
        <w:t>Proizvođači će morati ocijeniti sukladnost deterdženata i površinski aktivnih tvari kako bi osigurali da oni ispunjavaju zahtjeve iz Uredbe. Prijedlogom se predviđa samo ocjenjivanje sukladnosti prve strane (osobna izjava) i oslanja se na odgovarajući modul A Odluke br. 768/2008/EZ.</w:t>
      </w:r>
    </w:p>
    <w:p w14:paraId="26E7FA3D" w14:textId="77777777" w:rsidR="00650EC9" w:rsidRPr="00B87C3A" w:rsidRDefault="00650EC9" w:rsidP="00A12AC3">
      <w:pPr>
        <w:pBdr>
          <w:top w:val="nil"/>
          <w:left w:val="nil"/>
          <w:bottom w:val="nil"/>
          <w:right w:val="nil"/>
          <w:between w:val="nil"/>
          <w:bar w:val="nil"/>
        </w:pBdr>
        <w:spacing w:before="0" w:after="240"/>
        <w:rPr>
          <w:noProof/>
        </w:rPr>
      </w:pPr>
      <w:r w:rsidRPr="00B87C3A">
        <w:rPr>
          <w:noProof/>
        </w:rPr>
        <w:t xml:space="preserve">List s podacima o sastojcima sada je obvezan samo za neopasne deterdžente. Taj će se list također morati na zahtjev izravno dostaviti imenovanim tijelima država članica odgovornima za primanje informacija o hitnim zdravstvenim intervencijama (centri za otrovanja). Odsad će </w:t>
      </w:r>
      <w:r w:rsidRPr="00B87C3A">
        <w:rPr>
          <w:noProof/>
        </w:rPr>
        <w:lastRenderedPageBreak/>
        <w:t>list s podacima o sastojcima biti dio tehničke dokumentacije koju će proizvođači morati izraditi.</w:t>
      </w:r>
    </w:p>
    <w:p w14:paraId="2C77BBB2" w14:textId="77777777" w:rsidR="00892451" w:rsidRPr="00B87C3A" w:rsidRDefault="00892451" w:rsidP="00F5219E">
      <w:pPr>
        <w:rPr>
          <w:rFonts w:eastAsia="Arial Unicode MS"/>
          <w:b/>
          <w:noProof/>
        </w:rPr>
      </w:pPr>
      <w:r w:rsidRPr="00B87C3A">
        <w:rPr>
          <w:b/>
          <w:noProof/>
        </w:rPr>
        <w:t>Poglavlje IV. – Označivanje i stavljanje oznake CE</w:t>
      </w:r>
    </w:p>
    <w:p w14:paraId="086864B9" w14:textId="77777777" w:rsidR="00EE5C4C" w:rsidRPr="00B87C3A" w:rsidRDefault="00EE5C4C" w:rsidP="00892451">
      <w:pPr>
        <w:rPr>
          <w:rFonts w:eastAsia="Arial Unicode MS"/>
          <w:noProof/>
        </w:rPr>
      </w:pPr>
      <w:r w:rsidRPr="00B87C3A">
        <w:rPr>
          <w:noProof/>
        </w:rPr>
        <w:t xml:space="preserve">Po završetku ocjenjivanja sukladnosti proizvođači moraju staviti oznaku CE na deterdžente i površinski aktivne tvari u skladu s općim načelima i pravilima koja se primjenjuju na oznaku CE. </w:t>
      </w:r>
    </w:p>
    <w:p w14:paraId="27ECC482" w14:textId="77777777" w:rsidR="00B47CD4" w:rsidRPr="00B87C3A" w:rsidRDefault="00B47CD4" w:rsidP="00892451">
      <w:pPr>
        <w:rPr>
          <w:rFonts w:eastAsia="Arial Unicode MS"/>
          <w:noProof/>
        </w:rPr>
      </w:pPr>
      <w:r w:rsidRPr="00B87C3A">
        <w:rPr>
          <w:noProof/>
        </w:rPr>
        <w:t>Prijedlogom se zadržava većina postojećih pravila o označivanju utvrđenih u Uredbi (EZ) br. 648/2004 i uvodi se mogućnost stavljanja digitalne oznake, kako je ranije opisano.</w:t>
      </w:r>
    </w:p>
    <w:p w14:paraId="413B64A7" w14:textId="77777777" w:rsidR="00892451" w:rsidRPr="00B87C3A" w:rsidRDefault="00892451" w:rsidP="00F5219E">
      <w:pPr>
        <w:rPr>
          <w:rFonts w:eastAsia="Arial Unicode MS"/>
          <w:b/>
          <w:noProof/>
        </w:rPr>
      </w:pPr>
      <w:r w:rsidRPr="00B87C3A">
        <w:rPr>
          <w:b/>
          <w:noProof/>
        </w:rPr>
        <w:t>Poglavlje V. – Putovnica za proizvode</w:t>
      </w:r>
    </w:p>
    <w:p w14:paraId="1E9121B4" w14:textId="77777777" w:rsidR="006B13B1" w:rsidRPr="00B87C3A" w:rsidRDefault="00B47CD4" w:rsidP="00F5219E">
      <w:pPr>
        <w:rPr>
          <w:rFonts w:eastAsia="Arial Unicode MS"/>
          <w:noProof/>
        </w:rPr>
      </w:pPr>
      <w:r w:rsidRPr="00B87C3A">
        <w:rPr>
          <w:noProof/>
        </w:rPr>
        <w:t>Za jednake uvjete na jedinstvenom tržištu važno je, s jedne strane, povećati transparentnost o glavnim značajkama deterdženata i površinski aktivnih tvari u lancu vrijednosti te, s druge strane, ojačati provedbu pravila kako bi se smanjila nesukladnost. Umjesto oslanjanja na EU izjavu o sukladnosti iz Odluke br. 768/2008/EZ, ovim se Prijedlogom predviđa inovativan način postizanja tog dvostrukog cilja. U evaluaciji novog zakonodavnog okvira</w:t>
      </w:r>
      <w:r w:rsidRPr="00B87C3A">
        <w:rPr>
          <w:rStyle w:val="FootnoteReference"/>
          <w:rFonts w:eastAsia="Arial Unicode MS"/>
          <w:noProof/>
        </w:rPr>
        <w:footnoteReference w:id="27"/>
      </w:r>
      <w:r w:rsidRPr="00B87C3A">
        <w:rPr>
          <w:noProof/>
        </w:rPr>
        <w:t xml:space="preserve"> navedeno je da bi se u mogućoj budućoj reviziji okvira moglo razmotriti uvođenje mogućnosti putovnice za proizvode. Prema evaluaciji, putovnica za proizvode mogla bi uključivati elektroničku izjavu o sukladnosti i opis postupka ocjenjivanja sukladnosti. U evaluaciji se ističe da bi digitalizacija informacija o proizvodu mogla povećati učinkovitost rada tijela za nadzor tržišta i carinskih tijela. </w:t>
      </w:r>
    </w:p>
    <w:p w14:paraId="40C6B15C" w14:textId="77777777" w:rsidR="00F5219E" w:rsidRPr="00B87C3A" w:rsidRDefault="00E66232" w:rsidP="00F5219E">
      <w:pPr>
        <w:rPr>
          <w:rFonts w:eastAsia="Arial Unicode MS"/>
          <w:noProof/>
        </w:rPr>
      </w:pPr>
      <w:r w:rsidRPr="00B87C3A">
        <w:rPr>
          <w:noProof/>
        </w:rPr>
        <w:t>Kako bi Uredba bila otporna na buduće izazove, ovim se Prijedlogom EU izjava o sukladnosti iz Odluke br. 768/2008/EZ zamjenjuje obvezom izrade putovnice za deterdžente i površinski aktivne tvari kojom se dokazuje sukladnost sa zahtjevima Uredbe. Putovnica za proizvode bit će povezana s jedinstvenom identifikacijskom oznakom proizvoda preko nosača podataka i ispunjavat će iste tehničke zahtjeve za putovnicu za proizvode u skladu s uredbom o ekološkom dizajnu održivih proizvoda</w:t>
      </w:r>
      <w:r w:rsidRPr="00B87C3A">
        <w:rPr>
          <w:rStyle w:val="FootnoteReference"/>
          <w:noProof/>
        </w:rPr>
        <w:footnoteReference w:id="28"/>
      </w:r>
      <w:r w:rsidRPr="00B87C3A">
        <w:rPr>
          <w:noProof/>
        </w:rPr>
        <w:t xml:space="preserve">. Upućivanje na putovnicu za proizvode mora se uključiti u središnji registar Komisije koji će se uspostaviti u skladu s uredbom o ekološkom dizajnu održivih proizvoda, a te se informacije moraju podnijeti carini. </w:t>
      </w:r>
    </w:p>
    <w:p w14:paraId="218EEE64" w14:textId="77777777" w:rsidR="00F5219E" w:rsidRPr="00B87C3A" w:rsidRDefault="00DD245A" w:rsidP="00F5219E">
      <w:pPr>
        <w:rPr>
          <w:b/>
          <w:noProof/>
        </w:rPr>
      </w:pPr>
      <w:r w:rsidRPr="00B87C3A">
        <w:rPr>
          <w:b/>
          <w:noProof/>
        </w:rPr>
        <w:t xml:space="preserve">Poglavlje VI. – Nadzor tržišta </w:t>
      </w:r>
    </w:p>
    <w:p w14:paraId="035C2F40" w14:textId="77777777" w:rsidR="00F5219E" w:rsidRPr="00B87C3A" w:rsidRDefault="006B13B1" w:rsidP="00F5219E">
      <w:pPr>
        <w:rPr>
          <w:noProof/>
        </w:rPr>
      </w:pPr>
      <w:r w:rsidRPr="00B87C3A">
        <w:rPr>
          <w:noProof/>
        </w:rPr>
        <w:t xml:space="preserve">Osim putovnice za proizvode, ovim se Prijedlogom stvara jasniji okvir za bolju provedbu pravila. Prijedlogom se potvrđuje da će se Uredba (EU) 2019/1020 i dalje primjenjivati na deterdžente i površinski aktivne tvari. Utvrđuju se i podrobnije odredbe za nadzor tržišta na temelju Odluke br. 768/2008/EZ. Nadalje, u posebnoj odredbi koja se temelji na Odluci br. 768/2008/EZ navode se posebni razlozi za postupanje s deterdžentima ili površinski aktivnim tvarima koji su u skladu sa zahtjevima, ali predstavljaju rizik za zdravlje ili okoliš. Tom se odredbom Komisiji daje ovlast da u određenim okolnostima donosi mjere protiv određenih deterdženata ili površinski aktivnih tvari. </w:t>
      </w:r>
    </w:p>
    <w:p w14:paraId="028D5137" w14:textId="77777777" w:rsidR="00DD245A" w:rsidRPr="00B87C3A" w:rsidRDefault="00DD245A" w:rsidP="00F5219E">
      <w:pPr>
        <w:rPr>
          <w:b/>
          <w:noProof/>
        </w:rPr>
      </w:pPr>
      <w:r w:rsidRPr="00B87C3A">
        <w:rPr>
          <w:b/>
          <w:noProof/>
        </w:rPr>
        <w:t xml:space="preserve">Poglavlje VII. – Delegirane ovlasti i postupak odbora </w:t>
      </w:r>
    </w:p>
    <w:p w14:paraId="02716FD8" w14:textId="30A38F07" w:rsidR="00B82EB1" w:rsidRPr="00B87C3A" w:rsidRDefault="00F5219E" w:rsidP="00F5219E">
      <w:pPr>
        <w:rPr>
          <w:noProof/>
        </w:rPr>
      </w:pPr>
      <w:r w:rsidRPr="00B87C3A">
        <w:rPr>
          <w:noProof/>
        </w:rPr>
        <w:t xml:space="preserve">Prijedlogom se Komisiji dodjeljuju ovlasti za donošenje delegiranih akata kako bi se u obzir uzeli tehnički i znanstveni napredak, novi znanstveni dokazi i razina digitalne spremnosti/pismenosti. Tu bi ovlast trebalo delegirati Komisiji prije svega kako bi se i. </w:t>
      </w:r>
      <w:r w:rsidRPr="00B87C3A">
        <w:rPr>
          <w:noProof/>
        </w:rPr>
        <w:lastRenderedPageBreak/>
        <w:t xml:space="preserve">dopunili opći zahtjevi za digitalno označivanje; ii. izmijenio popis informacija na oznakama koje se smiju navesti samo u digitalnom obliku; iii. prilagodila granična vrijednost za alergene mirise kad se u skladu s Uredbom (EZ) br. 1223/2009 na temelju rizika utvrde pojedinačne granične vrijednosti koncentracije za alergene mirise; iv. utvrdili zahtjevi za biorazgradivost za tvari i smjese u deterdžentima (uključujući kapsule za deterdžente) koje nisu površinski aktivne tvari ako to zahtijevaju novi znanstveni dokazi; v. izmijenile određene informacije koje bi trebalo uključiti u putovnicu, kao i informacije koje treba uključiti u registar Komisije; vi. odredile dodatne informacije pohranjene u registru koji će voditi carinska tijela; vii. izradio prilog ovoj Uredbi koji sadržava popis oznaka kombinirane nomenklature, kako je utvrđeno u Prilogu I. Uredbi (EEZ) br. 2658/87, i opise proizvoda za deterdžente i površinski aktivne tvari te kako bi se isti prilog ažurirao; i viii. izmijenili prilozi od I. do VII. </w:t>
      </w:r>
    </w:p>
    <w:p w14:paraId="54DC622C" w14:textId="77777777" w:rsidR="00B15813" w:rsidRPr="00B87C3A" w:rsidRDefault="00DC2735" w:rsidP="00DC2735">
      <w:pPr>
        <w:rPr>
          <w:noProof/>
        </w:rPr>
      </w:pPr>
      <w:r w:rsidRPr="00B87C3A">
        <w:rPr>
          <w:noProof/>
        </w:rPr>
        <w:t>Prijedlogom se Komisiji dodjeljuje ovlast da prema potrebi donosi provedbene akte kako bi se ostvarila ujednačena primjena ove Uredbe. Konkretno, Komisiji bi provedbene ovlasti trebalo dodijeliti kako bi se utvrdili podrobni tehnički zahtjevi za putovnicu za proizvode za deterdžente i površinski aktivne tvari. Te bi ovlasti trebalo izvršavati u skladu s Uredbom (EU) br. 182/2011 Europskog parlamenta i Vijeća od 16. veljače 2011. o utvrđivanju pravila i općih načela o mehanizmima država članica za kontrolu izvršavanja provedbenih ovlasti Komisije.</w:t>
      </w:r>
    </w:p>
    <w:p w14:paraId="25AF255F" w14:textId="77777777" w:rsidR="00DC2735" w:rsidRPr="00B87C3A" w:rsidRDefault="000705F2" w:rsidP="00DC2735">
      <w:pPr>
        <w:rPr>
          <w:noProof/>
        </w:rPr>
      </w:pPr>
      <w:r w:rsidRPr="00B87C3A">
        <w:rPr>
          <w:noProof/>
        </w:rPr>
        <w:t xml:space="preserve">Komisiji bi provedbene ovlasti trebalo dodijeliti i kako bi mogla utvrditi je li neka nacionalna mjera povezana s deterdžentom ili površinski aktivnom tvari koji predstavljaju rizik za zdravlje i sigurnost ljudi ili za okoliš opravdana. Provedbene ovlasti trebalo bi joj dodijeliti i kako bi utvrdila je li opravdana neka nacionalna mjera povezana sa sukladnim deterdžentima ili površinski aktivnim tvarima za koje država članica smatra da predstavljaju rizik za zdravlje i sigurnost ljudi ili za okoliš. Ti se provedbeni akti s obzirom na svoju specifičnu i tehničku prirodu neće donositi u skladu s odredbama o provedbenim aktima iz Uredbe (EU) br. 182/2011.  </w:t>
      </w:r>
    </w:p>
    <w:p w14:paraId="4B397538" w14:textId="77777777" w:rsidR="00DD245A" w:rsidRPr="00B87C3A" w:rsidRDefault="00DD245A" w:rsidP="00F5219E">
      <w:pPr>
        <w:spacing w:after="240"/>
        <w:rPr>
          <w:b/>
          <w:noProof/>
        </w:rPr>
      </w:pPr>
      <w:r w:rsidRPr="00B87C3A">
        <w:rPr>
          <w:b/>
          <w:noProof/>
        </w:rPr>
        <w:t xml:space="preserve">Poglavlje VIII. – Prijelazne i završne odredbe </w:t>
      </w:r>
    </w:p>
    <w:p w14:paraId="7652B8A9" w14:textId="77777777" w:rsidR="00E66232" w:rsidRPr="00B87C3A" w:rsidRDefault="00E66232" w:rsidP="00E66232">
      <w:pPr>
        <w:spacing w:after="240"/>
        <w:rPr>
          <w:noProof/>
        </w:rPr>
      </w:pPr>
      <w:r w:rsidRPr="00B87C3A">
        <w:rPr>
          <w:noProof/>
        </w:rPr>
        <w:t>Komisija će pratiti provedbu i primjenu ovih novih odredaba kao i sukladnost s njima kako bi ocijenila njihovu djelotvornost. Komisija će nakon pet godina primjene podnijeti Europskom parlamentu i Vijeću izvješće o procjeni djelotvornosti Uredbe. Prijedlogom se predviđa i preispitivanje sigurnosnih zahtjeva za mikroorganizme u deterdžentima te mogućnost dopuštanja upotrebe većeg broja sojeva mikroorganizama u deterdžentima.</w:t>
      </w:r>
    </w:p>
    <w:p w14:paraId="5E832AFF" w14:textId="77777777" w:rsidR="005443FF" w:rsidRPr="00B87C3A" w:rsidRDefault="00F5219E" w:rsidP="00A41E33">
      <w:pPr>
        <w:rPr>
          <w:noProof/>
        </w:rPr>
      </w:pPr>
      <w:r w:rsidRPr="00B87C3A">
        <w:rPr>
          <w:noProof/>
        </w:rPr>
        <w:t xml:space="preserve">Predložena uredba počet će se primjenjivati dvije i pol godine nakon njezina stupanja na snagu kako bi se, s jedne strane, Komisiji omogućilo da pripremi provedbu tehničkih zahtjeva za putovnice za proizvode, a s druge strane kako bi se proizvođačima i državama članicama dalo vremena za prilagodbu novim zahtjevima utvrđenima u ovoj Uredbi. Predviđene su prijelazne odredbe za deterdžente i površinski aktivne tvari proizvedene u skladu s Uredbom (EZ) br. 648/2004 kako bi se mogle prodati zalihe koje su u trenutku početka primjene ove Uredbe u distribucijskom lancu ili u skladištu na lokaciji proizvođača ili uvoznika. Uredba (EZ) br. 648/2004 stavit će se izvan snage i zamijeniti predloženom Uredbom. </w:t>
      </w:r>
    </w:p>
    <w:p w14:paraId="69155F5C" w14:textId="77777777" w:rsidR="00C263EB" w:rsidRPr="00B87C3A" w:rsidRDefault="00C263EB" w:rsidP="00A41E33">
      <w:pPr>
        <w:rPr>
          <w:noProof/>
        </w:rPr>
        <w:sectPr w:rsidR="00C263EB" w:rsidRPr="00B87C3A" w:rsidSect="002A29E9">
          <w:footerReference w:type="default" r:id="rId13"/>
          <w:footerReference w:type="first" r:id="rId14"/>
          <w:pgSz w:w="11907" w:h="16839"/>
          <w:pgMar w:top="1134" w:right="1417" w:bottom="1134" w:left="1417" w:header="709" w:footer="709" w:gutter="0"/>
          <w:cols w:space="708"/>
          <w:docGrid w:linePitch="360"/>
        </w:sectPr>
      </w:pPr>
    </w:p>
    <w:p w14:paraId="32807A07" w14:textId="380F3CFB" w:rsidR="00A52E99" w:rsidRDefault="00A52E99" w:rsidP="00A52E99">
      <w:pPr>
        <w:pStyle w:val="Rfrenceinterinstitutionnelle"/>
        <w:rPr>
          <w:noProof/>
        </w:rPr>
      </w:pPr>
      <w:r w:rsidRPr="00A52E99">
        <w:lastRenderedPageBreak/>
        <w:t>2023/0124 (COD)</w:t>
      </w:r>
    </w:p>
    <w:p w14:paraId="73F84DBF" w14:textId="311CA205" w:rsidR="005443FF" w:rsidRPr="00B87C3A" w:rsidRDefault="00B87C3A" w:rsidP="00B87C3A">
      <w:pPr>
        <w:pStyle w:val="Statut"/>
        <w:rPr>
          <w:noProof/>
        </w:rPr>
      </w:pPr>
      <w:r w:rsidRPr="00B87C3A">
        <w:rPr>
          <w:noProof/>
        </w:rPr>
        <w:t>Prijedlog</w:t>
      </w:r>
    </w:p>
    <w:p w14:paraId="17CB85DC" w14:textId="6D381F0A" w:rsidR="005443FF" w:rsidRPr="00B87C3A" w:rsidRDefault="00B87C3A" w:rsidP="00B87C3A">
      <w:pPr>
        <w:pStyle w:val="Typedudocument"/>
        <w:rPr>
          <w:noProof/>
        </w:rPr>
      </w:pPr>
      <w:r w:rsidRPr="00B87C3A">
        <w:rPr>
          <w:noProof/>
        </w:rPr>
        <w:t>UREDBE EUROPSKOG PARLAMENTA I VIJEĆA</w:t>
      </w:r>
    </w:p>
    <w:p w14:paraId="75DB0AEE" w14:textId="402AB6AA" w:rsidR="005443FF" w:rsidRPr="00B87C3A" w:rsidRDefault="00B87C3A" w:rsidP="00B87C3A">
      <w:pPr>
        <w:pStyle w:val="Titreobjet"/>
        <w:rPr>
          <w:noProof/>
        </w:rPr>
      </w:pPr>
      <w:r w:rsidRPr="00B87C3A">
        <w:rPr>
          <w:noProof/>
        </w:rPr>
        <w:t>o deterdžentima i površinski aktivnim tvarima, izmjeni Uredbe (EU) 2019/1020 i stavljanju izvan snage Uredbe (EZ) br. 648/2004</w:t>
      </w:r>
    </w:p>
    <w:p w14:paraId="6F3F4DA2" w14:textId="1E6F06D2" w:rsidR="00C263EB" w:rsidRPr="00B87C3A" w:rsidRDefault="00B87C3A" w:rsidP="00B87C3A">
      <w:pPr>
        <w:pStyle w:val="IntrtEEE"/>
        <w:rPr>
          <w:noProof/>
        </w:rPr>
      </w:pPr>
      <w:r w:rsidRPr="00B87C3A">
        <w:rPr>
          <w:noProof/>
        </w:rPr>
        <w:t>(Tekst značajan za EGP)</w:t>
      </w:r>
    </w:p>
    <w:p w14:paraId="6A9245BF" w14:textId="77777777" w:rsidR="005443FF" w:rsidRPr="00B87C3A" w:rsidRDefault="005443FF" w:rsidP="00A41E33">
      <w:pPr>
        <w:pStyle w:val="Institutionquiagit"/>
        <w:rPr>
          <w:noProof/>
        </w:rPr>
      </w:pPr>
      <w:r w:rsidRPr="00B87C3A">
        <w:rPr>
          <w:noProof/>
        </w:rPr>
        <w:t>EUROPSKI PARLAMENT I VIJEĆE EUROPSKE UNIJE,</w:t>
      </w:r>
    </w:p>
    <w:p w14:paraId="088AA102" w14:textId="77777777" w:rsidR="005443FF" w:rsidRPr="00B87C3A" w:rsidRDefault="005443FF" w:rsidP="00A41E33">
      <w:pPr>
        <w:rPr>
          <w:noProof/>
        </w:rPr>
      </w:pPr>
      <w:r w:rsidRPr="00B87C3A">
        <w:rPr>
          <w:noProof/>
        </w:rPr>
        <w:t>uzimajući u obzir Ugovor o funkcioniranju Europske Unije, a posebno njegov članak 114.,</w:t>
      </w:r>
    </w:p>
    <w:p w14:paraId="494F7D6D" w14:textId="77777777" w:rsidR="005443FF" w:rsidRPr="00B87C3A" w:rsidRDefault="005443FF" w:rsidP="00A41E33">
      <w:pPr>
        <w:rPr>
          <w:noProof/>
        </w:rPr>
      </w:pPr>
      <w:r w:rsidRPr="00B87C3A">
        <w:rPr>
          <w:noProof/>
        </w:rPr>
        <w:t>uzimajući u obzir prijedlog Europske komisije,</w:t>
      </w:r>
    </w:p>
    <w:p w14:paraId="098BA52E" w14:textId="77777777" w:rsidR="005443FF" w:rsidRPr="00B87C3A" w:rsidRDefault="005443FF" w:rsidP="00A41E33">
      <w:pPr>
        <w:rPr>
          <w:noProof/>
        </w:rPr>
      </w:pPr>
      <w:r w:rsidRPr="00B87C3A">
        <w:rPr>
          <w:noProof/>
        </w:rPr>
        <w:t>nakon prosljeđivanja nacrta zakonodavnog akta nacionalnim parlamentima,</w:t>
      </w:r>
    </w:p>
    <w:p w14:paraId="4D4C7C60" w14:textId="77777777" w:rsidR="005443FF" w:rsidRPr="00B87C3A" w:rsidRDefault="005443FF" w:rsidP="00A41E33">
      <w:pPr>
        <w:rPr>
          <w:noProof/>
        </w:rPr>
      </w:pPr>
      <w:r w:rsidRPr="00B87C3A">
        <w:rPr>
          <w:noProof/>
        </w:rPr>
        <w:t>uzimajući u obzir mišljenje Europskog gospodarskog i socijalnog odbora</w:t>
      </w:r>
      <w:r w:rsidRPr="00B87C3A">
        <w:rPr>
          <w:rStyle w:val="FootnoteReference"/>
          <w:noProof/>
        </w:rPr>
        <w:footnoteReference w:id="29"/>
      </w:r>
      <w:r w:rsidRPr="00B87C3A">
        <w:rPr>
          <w:noProof/>
        </w:rPr>
        <w:t xml:space="preserve">, </w:t>
      </w:r>
    </w:p>
    <w:p w14:paraId="0A4C3E3A" w14:textId="77777777" w:rsidR="005443FF" w:rsidRPr="00B87C3A" w:rsidRDefault="005443FF" w:rsidP="00A41E33">
      <w:pPr>
        <w:rPr>
          <w:noProof/>
        </w:rPr>
      </w:pPr>
      <w:r w:rsidRPr="00B87C3A">
        <w:rPr>
          <w:noProof/>
        </w:rPr>
        <w:t>u skladu s redovnim zakonodavnim postupkom,</w:t>
      </w:r>
    </w:p>
    <w:p w14:paraId="29FBF842" w14:textId="77777777" w:rsidR="005443FF" w:rsidRPr="00B87C3A" w:rsidRDefault="005443FF" w:rsidP="00A41E33">
      <w:pPr>
        <w:rPr>
          <w:noProof/>
        </w:rPr>
      </w:pPr>
      <w:r w:rsidRPr="00B87C3A">
        <w:rPr>
          <w:noProof/>
        </w:rPr>
        <w:t>budući da:</w:t>
      </w:r>
    </w:p>
    <w:p w14:paraId="426FD6DD" w14:textId="1380EDA4" w:rsidR="00941122" w:rsidRPr="00B87C3A" w:rsidRDefault="00180A6D" w:rsidP="00180A6D">
      <w:pPr>
        <w:pStyle w:val="ManualConsidrant"/>
        <w:rPr>
          <w:noProof/>
        </w:rPr>
      </w:pPr>
      <w:r w:rsidRPr="00180A6D">
        <w:t>(1)</w:t>
      </w:r>
      <w:r w:rsidRPr="00180A6D">
        <w:tab/>
      </w:r>
      <w:r w:rsidR="0099710E" w:rsidRPr="00B87C3A">
        <w:rPr>
          <w:noProof/>
        </w:rPr>
        <w:t>Uvjeti za stavljanje na tržište i na raspolaganje na tržištu deterdženata i površinski aktivnih tvari za deterdžente usklađeni su Uredbom (EZ) br. 648/2004 Europskog parlamenta i Vijeća</w:t>
      </w:r>
      <w:r w:rsidR="0099710E" w:rsidRPr="00B87C3A">
        <w:rPr>
          <w:rStyle w:val="FootnoteReference"/>
          <w:noProof/>
        </w:rPr>
        <w:footnoteReference w:id="30"/>
      </w:r>
      <w:r w:rsidR="0099710E" w:rsidRPr="00B87C3A">
        <w:rPr>
          <w:noProof/>
        </w:rPr>
        <w:t xml:space="preserve">. </w:t>
      </w:r>
    </w:p>
    <w:p w14:paraId="5792C2C9" w14:textId="769028FA" w:rsidR="00755ED8" w:rsidRPr="00B87C3A" w:rsidRDefault="00180A6D" w:rsidP="00180A6D">
      <w:pPr>
        <w:pStyle w:val="ManualConsidrant"/>
        <w:rPr>
          <w:noProof/>
        </w:rPr>
      </w:pPr>
      <w:r w:rsidRPr="00180A6D">
        <w:t>(2)</w:t>
      </w:r>
      <w:r w:rsidRPr="00180A6D">
        <w:tab/>
      </w:r>
      <w:r w:rsidR="006B38D5" w:rsidRPr="00B87C3A">
        <w:rPr>
          <w:noProof/>
        </w:rPr>
        <w:t>U Komisijinoj evaluaciji Uredbe (EZ) br. 648/2004</w:t>
      </w:r>
      <w:r w:rsidR="006B38D5" w:rsidRPr="00B87C3A">
        <w:rPr>
          <w:rStyle w:val="FootnoteReference"/>
          <w:noProof/>
        </w:rPr>
        <w:footnoteReference w:id="31"/>
      </w:r>
      <w:r w:rsidR="006B38D5" w:rsidRPr="00B87C3A">
        <w:rPr>
          <w:noProof/>
        </w:rPr>
        <w:t xml:space="preserve"> zaključeno je da su sveukupno gledano ciljevi te uredbe u velikoj mjeri ostvareni. Međutim, evaluacijom su utvrđeni brojni nedostaci i područja u kojima su potrebna poboljšanja. Posljednjih se godina regulatorni okvir za kemikalije radikalno promijenio, što je dovelo do nedostatka usklađenosti i udvostručavanja pravila koja se primjenjuju na deterdžente, a posebno na zahtjeve za informiranje. Stoga je potrebno osigurati dosljednost i ukloniti dvostruke zahtjeve za informiranje. </w:t>
      </w:r>
    </w:p>
    <w:p w14:paraId="34478571" w14:textId="7F262CC3" w:rsidR="001B1770" w:rsidRPr="00B87C3A" w:rsidRDefault="00180A6D" w:rsidP="00180A6D">
      <w:pPr>
        <w:pStyle w:val="ManualConsidrant"/>
        <w:rPr>
          <w:noProof/>
        </w:rPr>
      </w:pPr>
      <w:r w:rsidRPr="00180A6D">
        <w:t>(3)</w:t>
      </w:r>
      <w:r w:rsidRPr="00180A6D">
        <w:tab/>
      </w:r>
      <w:r w:rsidR="00755ED8" w:rsidRPr="00B87C3A">
        <w:rPr>
          <w:noProof/>
        </w:rPr>
        <w:t xml:space="preserve">Pojavila su se nova kretanja na tržištu, posebno razvoj deterdženata koji sadržavaju mikroorganizme i prodaja ponovnog punjenja za deterdžente, koja ili u cijelosti ili djelomično nisu obuhvaćena Uredbom (EZ) br. 648/2004. S druge strane, digitalizacija pruža mogućnosti za pojednostavnjenje, smanjenje opterećenja i lakšu upotrebu i razumljivost informacija o sigurnosti i upotrebi koje trenutačno nedostaju. Stoga je potrebno uzeti u obzir nove proizvode i praksu i još intenzivnije raditi na digitalizaciji u skladu s općim ciljevima Unije koji se posebno odnose na održivost te zelenu i digitalnu tranziciju. </w:t>
      </w:r>
    </w:p>
    <w:p w14:paraId="36D71386" w14:textId="3D9B0546" w:rsidR="00CA67A5" w:rsidRPr="00B87C3A" w:rsidRDefault="00180A6D" w:rsidP="00180A6D">
      <w:pPr>
        <w:pStyle w:val="ManualConsidrant"/>
        <w:rPr>
          <w:noProof/>
        </w:rPr>
      </w:pPr>
      <w:r w:rsidRPr="00180A6D">
        <w:lastRenderedPageBreak/>
        <w:t>(4)</w:t>
      </w:r>
      <w:r w:rsidRPr="00180A6D">
        <w:tab/>
      </w:r>
      <w:r w:rsidR="006B38D5" w:rsidRPr="00B87C3A">
        <w:rPr>
          <w:noProof/>
        </w:rPr>
        <w:t>Provjerom primjerenosti najrelevantnijeg zakonodavstva o kemikalijama</w:t>
      </w:r>
      <w:r w:rsidR="006B38D5" w:rsidRPr="00B87C3A">
        <w:rPr>
          <w:rStyle w:val="FootnoteReference"/>
          <w:noProof/>
        </w:rPr>
        <w:footnoteReference w:id="32"/>
      </w:r>
      <w:r w:rsidR="006B38D5" w:rsidRPr="00B87C3A">
        <w:rPr>
          <w:noProof/>
        </w:rPr>
        <w:t xml:space="preserve"> (osim Uredbe (EZ) br. 1907/2006 Europskog parlamenta i Vijeća</w:t>
      </w:r>
      <w:r w:rsidR="006B38D5" w:rsidRPr="00B87C3A">
        <w:rPr>
          <w:rStyle w:val="FootnoteReference"/>
          <w:noProof/>
        </w:rPr>
        <w:footnoteReference w:id="33"/>
      </w:r>
      <w:r w:rsidR="006B38D5" w:rsidRPr="00B87C3A">
        <w:rPr>
          <w:noProof/>
        </w:rPr>
        <w:t xml:space="preserve">) izašla je na vidjelo složenost regulatornog okvira Unije za kemikalije zbog velikog broja propisa za proizvode i sektorskih propisa koji su međusobno povezani. Istaknuto je i da je moguće pojednostavniti informiranje korisnika proizvoda koje se sad provodi oznakama na kojima je previše informacija i utvrđeno da se upotreba inovativnih alata za priopćavanje informacija o proizvodima trenutačno ne iskorištava. Stoga je potrebno pojednostavniti postojeća pravila kako bi se smanjilo opterećenje gospodarskih subjekata, poboljšalo njihovo razumijevanje kod potrošača i olakšao nadzor tržišta. Uredbu (EZ) br. 648/2004 trebalo bi stoga zamijeniti. </w:t>
      </w:r>
    </w:p>
    <w:p w14:paraId="7414BC7D" w14:textId="2DCD71FF" w:rsidR="004D542A" w:rsidRPr="00B87C3A" w:rsidRDefault="00180A6D" w:rsidP="00180A6D">
      <w:pPr>
        <w:pStyle w:val="ManualConsidrant"/>
        <w:rPr>
          <w:noProof/>
        </w:rPr>
      </w:pPr>
      <w:r w:rsidRPr="00180A6D">
        <w:t>(5)</w:t>
      </w:r>
      <w:r w:rsidRPr="00180A6D">
        <w:tab/>
      </w:r>
      <w:r w:rsidR="004D542A" w:rsidRPr="00B87C3A">
        <w:rPr>
          <w:noProof/>
        </w:rPr>
        <w:t>Odlukom br. 768/2008/EZ Europskog parlamenta i Vijeća</w:t>
      </w:r>
      <w:r w:rsidR="004D542A" w:rsidRPr="00B87C3A">
        <w:rPr>
          <w:rStyle w:val="FootnoteReference"/>
          <w:noProof/>
        </w:rPr>
        <w:footnoteReference w:id="34"/>
      </w:r>
      <w:r w:rsidR="004D542A" w:rsidRPr="00B87C3A">
        <w:rPr>
          <w:noProof/>
          <w:vertAlign w:val="superscript"/>
        </w:rPr>
        <w:t xml:space="preserve"> </w:t>
      </w:r>
      <w:r w:rsidR="004D542A" w:rsidRPr="00B87C3A">
        <w:rPr>
          <w:noProof/>
        </w:rPr>
        <w:t xml:space="preserve">utvrđuju se zajednička načela i referentne odredbe za primjenu u sektorskom zakonodavstvu kako bi se osigurala usklađena osnova za reviziju tog zakonodavstva. Novi pravni okvir za deterdžente i površinski aktivne tvari trebalo bi u najvećoj mogućoj mjeri uskladiti s tim zajedničkim načelima i referentnim odredbama. </w:t>
      </w:r>
    </w:p>
    <w:p w14:paraId="5A900C2F" w14:textId="03C4BE84" w:rsidR="00D71A0A" w:rsidRPr="00B87C3A" w:rsidRDefault="00180A6D" w:rsidP="00180A6D">
      <w:pPr>
        <w:pStyle w:val="ManualConsidrant"/>
        <w:rPr>
          <w:noProof/>
        </w:rPr>
      </w:pPr>
      <w:r w:rsidRPr="00180A6D">
        <w:t>(6)</w:t>
      </w:r>
      <w:r w:rsidRPr="00180A6D">
        <w:tab/>
      </w:r>
      <w:r w:rsidR="007848C5" w:rsidRPr="00B87C3A">
        <w:rPr>
          <w:noProof/>
        </w:rPr>
        <w:t>Kako bi se osigurala pravna sigurnost i jednaki uvjeti za gospodarske subjekte, definicija deterdženta trebala bi obuhvaćati sve proizvode obuhvaćene područjem primjene usklađivanja, uključujući novorazvijene deterdžente koji sadržavaju namjerno dodane mikroorganizme. Definicija bi trebala obuhvaćati i proizvode za čišćenje površine voća i povrća.</w:t>
      </w:r>
    </w:p>
    <w:p w14:paraId="63303BD1" w14:textId="64AE0A0F" w:rsidR="007E74B8" w:rsidRPr="00B87C3A" w:rsidRDefault="00180A6D" w:rsidP="00180A6D">
      <w:pPr>
        <w:pStyle w:val="ManualConsidrant"/>
        <w:rPr>
          <w:noProof/>
        </w:rPr>
      </w:pPr>
      <w:r w:rsidRPr="00180A6D">
        <w:t>(7)</w:t>
      </w:r>
      <w:r w:rsidRPr="00180A6D">
        <w:tab/>
      </w:r>
      <w:r w:rsidR="00E25528" w:rsidRPr="00B87C3A">
        <w:rPr>
          <w:noProof/>
        </w:rPr>
        <w:t xml:space="preserve">Budući da se površinski aktivne tvari prvenstveno prodaju u transakcijama među poduzećima kako bi se upotrebljavale u proizvodnji deterdženata, ne moraju podlijegati istim zahtjevima kao i deterdženti. Stoga bi trebalo utvrditi minimalna pravila za površinski aktivne tvari, odnosno pravila o konačnoj biorazgradivosti, minimalni skup informacija na oznakama i obvezu gospodarskih subjekata da sastave tehničku dokumentaciju i izrade putovnicu za proizvode. </w:t>
      </w:r>
    </w:p>
    <w:p w14:paraId="4C73AB79" w14:textId="08028B7E" w:rsidR="00DC2735" w:rsidRPr="00B87C3A" w:rsidRDefault="00180A6D" w:rsidP="00180A6D">
      <w:pPr>
        <w:pStyle w:val="ManualConsidrant"/>
        <w:rPr>
          <w:noProof/>
        </w:rPr>
      </w:pPr>
      <w:r w:rsidRPr="00180A6D">
        <w:t>(8)</w:t>
      </w:r>
      <w:r w:rsidRPr="00180A6D">
        <w:tab/>
      </w:r>
      <w:r w:rsidR="00772C9B" w:rsidRPr="00B87C3A">
        <w:rPr>
          <w:noProof/>
        </w:rPr>
        <w:t>Ova Uredba, kojom bi se trebala dopuniti postojeća pravila utvrđena drugim zakonodavnim instrumentima, ne bi trebala utjecati na primjenu postojećeg zakonodavstva Unije koje se odnosi na aspekte zaštite zdravlja, sigurnosti i okoliša koji nisu obuhvaćeni ovom Uredbom. Konkretno, ova bi se Uredba trebala primjenjivati ne dovodeći u pitanje Uredbu (EZ) br. 1907/2006, Uredbu (EU) br. 528/2012 Europskog parlamenta i Vijeća</w:t>
      </w:r>
      <w:r w:rsidR="00772C9B" w:rsidRPr="00B87C3A">
        <w:rPr>
          <w:rStyle w:val="FootnoteReference"/>
          <w:noProof/>
        </w:rPr>
        <w:footnoteReference w:id="35"/>
      </w:r>
      <w:r w:rsidR="00772C9B" w:rsidRPr="00B87C3A">
        <w:rPr>
          <w:noProof/>
        </w:rPr>
        <w:t xml:space="preserve"> i Uredbu (EZ) br. 1272/2008 Europskog parlamenta i Vijeća</w:t>
      </w:r>
      <w:r w:rsidR="00772C9B" w:rsidRPr="00B87C3A">
        <w:rPr>
          <w:rStyle w:val="FootnoteReference"/>
          <w:noProof/>
        </w:rPr>
        <w:footnoteReference w:id="36"/>
      </w:r>
      <w:r w:rsidR="00772C9B" w:rsidRPr="00B87C3A">
        <w:rPr>
          <w:noProof/>
        </w:rPr>
        <w:t>.</w:t>
      </w:r>
    </w:p>
    <w:p w14:paraId="0C86260A" w14:textId="20F8E8AA" w:rsidR="00DC2735" w:rsidRPr="00B87C3A" w:rsidRDefault="00180A6D" w:rsidP="00180A6D">
      <w:pPr>
        <w:pStyle w:val="ManualConsidrant"/>
        <w:rPr>
          <w:noProof/>
        </w:rPr>
      </w:pPr>
      <w:r w:rsidRPr="00180A6D">
        <w:lastRenderedPageBreak/>
        <w:t>(9)</w:t>
      </w:r>
      <w:r w:rsidRPr="00180A6D">
        <w:tab/>
      </w:r>
      <w:r w:rsidR="00DC2735" w:rsidRPr="00B87C3A">
        <w:rPr>
          <w:noProof/>
        </w:rPr>
        <w:t xml:space="preserve">Površinski aktivne tvari su one koje imaju svojstvo površinskog djelovanja i pomažu u razgradnji barijere između vode i ulja ili prljavštine. Jedan su od glavnih sastojaka deterdženata. Međutim, površinski aktivne tvari mogu predstavljati rizik za okoliš jer se ispuštaju u kanalizacijske sustave ili izravno u površinske vode. Kako bi se spriječili potencijalni štetni učinci površinski aktivnih tvari na okoliš, potrebno je utvrditi zahtjeve za njihovu potpunu biorazgradivost i u slučajevima kad se na tržište stavljaju pojedinačno i za upotrebu u deterdžentima i kad su u sastavu deterdženata. </w:t>
      </w:r>
    </w:p>
    <w:p w14:paraId="116E0263" w14:textId="54CB93FB" w:rsidR="00DC2735" w:rsidRPr="00B87C3A" w:rsidRDefault="00180A6D" w:rsidP="00180A6D">
      <w:pPr>
        <w:pStyle w:val="ManualConsidrant"/>
        <w:rPr>
          <w:noProof/>
        </w:rPr>
      </w:pPr>
      <w:r w:rsidRPr="00180A6D">
        <w:t>(10)</w:t>
      </w:r>
      <w:r w:rsidRPr="00180A6D">
        <w:tab/>
      </w:r>
      <w:r w:rsidR="00DC2735" w:rsidRPr="00B87C3A">
        <w:rPr>
          <w:noProof/>
        </w:rPr>
        <w:t>Fosfor je ključni sastojak koji se upotrebljava u deterdžentima. Međutim, fosfor i njegovi spojevi mogu naštetiti ekosustavima i vodenim okolišima jer pridonose eutrofikaciji. Kako bi se dodatno osigurala visoka razina zaštite okoliša i smanjio doprinos deterdženata toj pojavi, potrebno je utvrditi usklađene granične vrijednosti za udio fosfata i spojeva fosfora u deterdžentima za pranje rublja i deterdžentima za strojno pranje posuđa koji se koriste u kućanstvu. Slična ograničenja nisu potrebna za druge vrste deterdženata ili zato što njihov doprinos nije znatan ili zato što trenutačno nisu dostupne prikladne alternative.</w:t>
      </w:r>
    </w:p>
    <w:p w14:paraId="445E3EA5" w14:textId="29FC72C4" w:rsidR="00DC2735" w:rsidRPr="00B87C3A" w:rsidRDefault="00180A6D" w:rsidP="00180A6D">
      <w:pPr>
        <w:pStyle w:val="ManualConsidrant"/>
        <w:rPr>
          <w:noProof/>
        </w:rPr>
      </w:pPr>
      <w:r w:rsidRPr="00180A6D">
        <w:t>(11)</w:t>
      </w:r>
      <w:r w:rsidRPr="00180A6D">
        <w:tab/>
      </w:r>
      <w:r w:rsidR="00DC2735" w:rsidRPr="00B87C3A">
        <w:rPr>
          <w:noProof/>
        </w:rPr>
        <w:t>Posljednjih su godina razvijeni novi proizvodi za čišćenje koji sadržavaju žive mikroorganizme kao aktivne sastojke. Mikroorganizmi imaju vlastitu biologiju i reakciju na okoliš. Zbog njihove sposobnosti razmnožavanja postoji jasna razlika između konvencionalnih deterdženata i deterdženata s mikroorganizmima. Stoga svojstvene opasnosti i nastali rizici nisu nužno iste prirode kao oni koje uzrokuju kemikalije, osobito s obzirom na sposobnosti mikroorganizama da opstanu i razmnožavaju se u različitim okruženjima te da proizvode niz različitih metabolita i toksina koji mogu biti toksikološki relevantni.</w:t>
      </w:r>
    </w:p>
    <w:p w14:paraId="6E961FFF" w14:textId="3E8C5DEF" w:rsidR="00DC2735" w:rsidRPr="00B87C3A" w:rsidRDefault="00180A6D" w:rsidP="00180A6D">
      <w:pPr>
        <w:pStyle w:val="ManualConsidrant"/>
        <w:rPr>
          <w:noProof/>
        </w:rPr>
      </w:pPr>
      <w:r w:rsidRPr="00180A6D">
        <w:t>(12)</w:t>
      </w:r>
      <w:r w:rsidRPr="00180A6D">
        <w:tab/>
      </w:r>
      <w:r w:rsidR="00DC2735" w:rsidRPr="00B87C3A">
        <w:rPr>
          <w:noProof/>
        </w:rPr>
        <w:t xml:space="preserve">Budući da mikroorganizmi ne podliježu registraciji u skladu s Uredbom (EZ) br. 1907/2006 ni bilo kojem drugom zakonodavstvu Unije kojim se od proizvođača zahtijeva da dokažu da je predviđena upotreba sigurna, trebali bi biti prihvatljivi za upotrebu u deterdžentima samo u mjeri u kojoj su jasno identificirani i popraćeni podacima kojima se dokazuje da je njihova upotreba sigurna, a podložno posebnim zahtjevima kojima se uređuje njihova sigurnost. Stoga bi trebalo utvrditi usklađena pravila kojima se uređuje sigurnost upotrebe mikroorganizama u deterdžentima i odgovarajuće metode ispitivanja kojima gospodarski subjekti mogu dokazali sukladnost s tim pravilima. Potrebno je uvesti ograničenja za obliku u kojem se na tržište stavljaju deterdženti koji sadržavaju mikroorganizme kad sadržavaju sastojke koji izazivaju preosjetljivost. Kako bi se osigurala visoka razina zaštite zdravlja ljudi, čak i kod preosjetljivih osoba, deterdžente koji sadržavaju mikroorganizme i koji se stavljaju na tržište u obliku raspršivača trebalo bi stoga smatrati sigurnima za upotrebu u tom obliku. </w:t>
      </w:r>
    </w:p>
    <w:p w14:paraId="10567499" w14:textId="7BBA8BA6" w:rsidR="00772C9B" w:rsidRPr="00B87C3A" w:rsidRDefault="00180A6D" w:rsidP="00180A6D">
      <w:pPr>
        <w:pStyle w:val="ManualConsidrant"/>
        <w:rPr>
          <w:noProof/>
        </w:rPr>
      </w:pPr>
      <w:r w:rsidRPr="00180A6D">
        <w:t>(13)</w:t>
      </w:r>
      <w:r w:rsidRPr="00180A6D">
        <w:tab/>
      </w:r>
      <w:r w:rsidR="0090083F" w:rsidRPr="00B87C3A">
        <w:rPr>
          <w:noProof/>
        </w:rPr>
        <w:t>Kako bi se osigurala visoka razina zaštite aspekata od javnog interesa i zajamčilo pošteno tržišno natjecanje na unutarnjem tržištu, gospodarski subjekti trebali bi biti odgovorni za sukladnost deterdženata ili površinski aktivnih tvari s ovom Uredbom s obzirom na njihovu ulogu u opskrbnom lancu. Kad god je to primjereno, proizvođači i uvoznici trebali bi ispitati uzorke deterdženata i površinski aktivnih tvari koje su stavili na raspolaganje na tržištu kako bi zaštitili zdravlje i sigurnost potrošača te okoliš.</w:t>
      </w:r>
    </w:p>
    <w:p w14:paraId="5FC3C7E7" w14:textId="46F68E36" w:rsidR="00772C9B" w:rsidRPr="00B87C3A" w:rsidRDefault="00180A6D" w:rsidP="00180A6D">
      <w:pPr>
        <w:pStyle w:val="ManualConsidrant"/>
        <w:rPr>
          <w:noProof/>
        </w:rPr>
      </w:pPr>
      <w:r w:rsidRPr="00180A6D">
        <w:t>(14)</w:t>
      </w:r>
      <w:r w:rsidRPr="00180A6D">
        <w:tab/>
      </w:r>
      <w:r w:rsidR="00772C9B" w:rsidRPr="00B87C3A">
        <w:rPr>
          <w:noProof/>
        </w:rPr>
        <w:t xml:space="preserve">Svi gospodarski subjekti koji sudjeluju u opskrbnom i distribucijskom lancu trebali bi poduzeti odgovarajuće mjere kako bi osigurali da stavljaju na raspolaganje na tržištu Unije samo deterdžente i površinski aktivne tvari koji su u skladu s ovom Uredbom. </w:t>
      </w:r>
      <w:r w:rsidR="00772C9B" w:rsidRPr="00B87C3A">
        <w:rPr>
          <w:noProof/>
        </w:rPr>
        <w:lastRenderedPageBreak/>
        <w:t xml:space="preserve">Potrebno je osigurati jasnu i razmjernu raspodjelu obveza koje odgovaraju ulozi svakog gospodarskog subjekta u opskrbnom i distribucijskom lancu. </w:t>
      </w:r>
    </w:p>
    <w:p w14:paraId="74D8DD34" w14:textId="45E6EBF2" w:rsidR="00A576E4" w:rsidRPr="00B87C3A" w:rsidRDefault="00180A6D" w:rsidP="00180A6D">
      <w:pPr>
        <w:pStyle w:val="ManualConsidrant"/>
        <w:rPr>
          <w:noProof/>
        </w:rPr>
      </w:pPr>
      <w:r w:rsidRPr="00180A6D">
        <w:t>(15)</w:t>
      </w:r>
      <w:r w:rsidRPr="00180A6D">
        <w:tab/>
      </w:r>
      <w:r w:rsidR="00A576E4" w:rsidRPr="00B87C3A">
        <w:rPr>
          <w:noProof/>
        </w:rPr>
        <w:t xml:space="preserve">Kako bi se gospodarskim subjektima omogućilo da dokažu, a nadležnim tijelima da provjere jesu li deterdženti i površinski aktivne tvari koji su stavljeni na raspolaganje na tržištu u skladu sa zahtjevima ove Uredbe, potrebno je utvrditi postupak ocjenjivanja sukladnosti. Odlukom br. 768/2008/EZ utvrđeni su moduli za postupke ocjenjivanja sukladnosti, od najmanje strogog do najstrožeg, razmjerno pojedinoj razini rizika i razini potrebne sigurnosti. Kako bi se osigurala međusektorska usklađenost i izbjegle </w:t>
      </w:r>
      <w:r w:rsidR="00A576E4" w:rsidRPr="00B87C3A">
        <w:rPr>
          <w:i/>
          <w:noProof/>
        </w:rPr>
        <w:t>ad hoc</w:t>
      </w:r>
      <w:r w:rsidR="00A576E4" w:rsidRPr="00B87C3A">
        <w:rPr>
          <w:noProof/>
        </w:rPr>
        <w:t xml:space="preserve"> varijante, u Odluci br. 768/2008/EZ navodi se da bi postupke ocjenjivanja sukladnosti trebalo odabrati među tim modulima. </w:t>
      </w:r>
    </w:p>
    <w:p w14:paraId="3EAB107F" w14:textId="69178219" w:rsidR="00A576E4" w:rsidRPr="00B87C3A" w:rsidRDefault="00180A6D" w:rsidP="00180A6D">
      <w:pPr>
        <w:pStyle w:val="ManualConsidrant"/>
        <w:rPr>
          <w:noProof/>
        </w:rPr>
      </w:pPr>
      <w:r w:rsidRPr="00180A6D">
        <w:t>(16)</w:t>
      </w:r>
      <w:r w:rsidRPr="00180A6D">
        <w:tab/>
      </w:r>
      <w:r w:rsidR="00CA39D9" w:rsidRPr="00B87C3A">
        <w:rPr>
          <w:noProof/>
        </w:rPr>
        <w:t xml:space="preserve">Proizvođač, koji detaljno poznaje postupak projektiranja i proizvodnje, u najboljem je položaju da osigura sukladnost deterdženta ili površinski aktivne tvari sa zahtjevima ove Uredbe. Proizvođači bi stoga trebali biti jedini odgovorni za provedbu postupka ocjenjivanja sukladnosti za deterdžente i površinski aktivne tvari. Modul A trebao bi se primjenjivati na ocjenjivanje sukladnosti deterdženata i površinski aktivnih tvari. Proizvođači bi također trebali sastaviti tehničku dokumentaciju kojom se dokazuje sukladnost deterdženta ili površinski aktivne tvari s relevantnim pravilima i metodama ispitivanja. </w:t>
      </w:r>
    </w:p>
    <w:p w14:paraId="43A4B4AC" w14:textId="0509EEB6" w:rsidR="00772C9B" w:rsidRPr="00B87C3A" w:rsidRDefault="00180A6D" w:rsidP="00180A6D">
      <w:pPr>
        <w:pStyle w:val="ManualConsidrant"/>
        <w:rPr>
          <w:noProof/>
        </w:rPr>
      </w:pPr>
      <w:r w:rsidRPr="00180A6D">
        <w:t>(17)</w:t>
      </w:r>
      <w:r w:rsidRPr="00180A6D">
        <w:tab/>
      </w:r>
      <w:r w:rsidR="009527D0" w:rsidRPr="00B87C3A">
        <w:rPr>
          <w:noProof/>
        </w:rPr>
        <w:t xml:space="preserve">Kako bi se proizvođačima olakšalo ispunjavanje njihovih obveza na temelju ove Uredbe, proizvođačima s poslovnim nastanom u Uniji trebalo bi dopustiti da imenuju ovlaštenog zastupnika za obavljanje posebnih zadaća u njihovo ime. Nadalje, kako bi se osigurala jasna i razmjerna raspodjela odgovornosti između proizvođača i ovlaštenog zastupnika, potrebno je utvrditi popis zadaća koje bi proizvođači trebali moći povjeriti ovlaštenom zastupniku. Nadalje, kako bi se osigurala provedivost i djelotvornost zahtjeva za nadzor tržišta i stavljanje na tržište Unije samo sukladnih deterdženata i površinski aktivnih tvari, imenovanje ovlaštenog zastupnika trebalo bi biti obvezno ako proizvođač ima poslovni nastan izvan Unije. </w:t>
      </w:r>
    </w:p>
    <w:p w14:paraId="20B410D7" w14:textId="21A9AACB" w:rsidR="00760189" w:rsidRPr="00B87C3A" w:rsidRDefault="00180A6D" w:rsidP="00180A6D">
      <w:pPr>
        <w:pStyle w:val="ManualConsidrant"/>
        <w:rPr>
          <w:noProof/>
        </w:rPr>
      </w:pPr>
      <w:r w:rsidRPr="00180A6D">
        <w:t>(18)</w:t>
      </w:r>
      <w:r w:rsidRPr="00180A6D">
        <w:tab/>
      </w:r>
      <w:r w:rsidR="00942A6C" w:rsidRPr="00B87C3A">
        <w:rPr>
          <w:noProof/>
        </w:rPr>
        <w:t>Kako bi se olakšala komunikacija među gospodarskim subjektima, tijelima za nadzor tržišta i potrošačima, gospodarski subjekti trebali bi u svojim podacima za kontakt osim poštanske adrese navesti i adresu internetskih stranica.</w:t>
      </w:r>
    </w:p>
    <w:p w14:paraId="36F6C03A" w14:textId="5561BD58" w:rsidR="00A576E4" w:rsidRPr="00B87C3A" w:rsidRDefault="00180A6D" w:rsidP="00180A6D">
      <w:pPr>
        <w:pStyle w:val="ManualConsidrant"/>
        <w:rPr>
          <w:noProof/>
        </w:rPr>
      </w:pPr>
      <w:r w:rsidRPr="00180A6D">
        <w:t>(19)</w:t>
      </w:r>
      <w:r w:rsidRPr="00180A6D">
        <w:tab/>
      </w:r>
      <w:r w:rsidR="00A576E4" w:rsidRPr="00B87C3A">
        <w:rPr>
          <w:noProof/>
        </w:rPr>
        <w:t>Kako bi se zaštitilo funkcioniranje unutarnjeg tržišta i osiguralo postizanje cilja osiguravanja visoke razine zaštite zdravlja i okoliša, potrebno je utvrditi da su deterdženti i površinski aktivne tvari koji ulaze na tržište Unije iz trećih zemalja također u skladu s ovom Uredbom. Posebno je potrebno osigurati da su proizvođači proveli odgovarajuće postupke ocjenjivanja sukladnosti tih proizvoda. Potrebno je i utvrditi pravila za uvoznike kako bi se osiguralo da su deterdženti i površinski aktivne tvari koje oni stavljaju na tržište u skladu s tim zahtjevima te da su dokumentacija koju su sastavili proizvođači i, prema potrebi, oznaka CE dostupne nadležnim nacionalnim tijelima za inspekciju. Također bi trebalo propisati da uvoznici za te proizvode osiguraju dostupnost putovnice za proizvode.</w:t>
      </w:r>
    </w:p>
    <w:p w14:paraId="33394CC9" w14:textId="2958F953" w:rsidR="00A576E4" w:rsidRPr="00B87C3A" w:rsidRDefault="00180A6D" w:rsidP="00180A6D">
      <w:pPr>
        <w:pStyle w:val="ManualConsidrant"/>
        <w:rPr>
          <w:noProof/>
        </w:rPr>
      </w:pPr>
      <w:r w:rsidRPr="00180A6D">
        <w:t>(20)</w:t>
      </w:r>
      <w:r w:rsidRPr="00180A6D">
        <w:tab/>
      </w:r>
      <w:r w:rsidR="007C20E2" w:rsidRPr="00B87C3A">
        <w:rPr>
          <w:noProof/>
        </w:rPr>
        <w:t>Budući da uvoznici imaju ključnu ulogu u jamčenju sukladnosti uvezenih deterdženata i površinski aktivnih tvari na tržištu Unije, uvoznici bi pri stavljanju deterdženta ili površinski aktivne tvari na tržište trebali na proizvodu navesti svoje ime, registrirano trgovačko ime ili registriranu trgovačku oznaku i svoju poštansku adresu i, ako je dostupno, elektroničko sredstvo komunikacije putem kojeg su dostupni.</w:t>
      </w:r>
    </w:p>
    <w:p w14:paraId="38437B16" w14:textId="39450EE3" w:rsidR="00A576E4" w:rsidRPr="00B87C3A" w:rsidRDefault="00180A6D" w:rsidP="00180A6D">
      <w:pPr>
        <w:pStyle w:val="ManualConsidrant"/>
        <w:rPr>
          <w:noProof/>
        </w:rPr>
      </w:pPr>
      <w:r w:rsidRPr="00180A6D">
        <w:t>(21)</w:t>
      </w:r>
      <w:r w:rsidRPr="00180A6D">
        <w:tab/>
      </w:r>
      <w:r w:rsidR="00A576E4" w:rsidRPr="00B87C3A">
        <w:rPr>
          <w:noProof/>
        </w:rPr>
        <w:t xml:space="preserve">Budući da distributer stavlja deterdžent ili površinski aktivnu tvar na raspolaganje na tržištu nakon što ju je proizvođač ili uvoznik stavio na tržište, distributer bi trebao </w:t>
      </w:r>
      <w:r w:rsidR="00A576E4" w:rsidRPr="00B87C3A">
        <w:rPr>
          <w:noProof/>
        </w:rPr>
        <w:lastRenderedPageBreak/>
        <w:t>postupati s dužnom pažnjom u odnosu na primjenjive zahtjeve. Distributer bi također trebao osigurati da njegovo rukovanje deterdžentom ili površinski aktivnom tvari ne utječe negativno na njihovu sukladnost sa zahtjevima ove Uredbe.</w:t>
      </w:r>
    </w:p>
    <w:p w14:paraId="0FD5BA16" w14:textId="21F7C4C9" w:rsidR="00A576E4" w:rsidRPr="00B87C3A" w:rsidRDefault="00180A6D" w:rsidP="00180A6D">
      <w:pPr>
        <w:pStyle w:val="ManualConsidrant"/>
        <w:rPr>
          <w:noProof/>
        </w:rPr>
      </w:pPr>
      <w:r w:rsidRPr="00180A6D">
        <w:t>(22)</w:t>
      </w:r>
      <w:r w:rsidRPr="00180A6D">
        <w:tab/>
      </w:r>
      <w:r w:rsidR="00E46093" w:rsidRPr="00B87C3A">
        <w:rPr>
          <w:noProof/>
        </w:rPr>
        <w:t>Budući da su distributeri i uvoznici bliski tržištu i imaju važnu ulogu u osiguravanju sukladnosti proizvoda, trebali bi biti uključeni u zadaće nadzora tržišta koje provode nadležna nacionalna tijela i pripremljeni za aktivno sudjelovanje, pružajući tim tijelima sve potrebne informacije koje se odnose na dotični deterdžent ili površinski aktivnu tvar.</w:t>
      </w:r>
    </w:p>
    <w:p w14:paraId="15508F39" w14:textId="67AAE3F3" w:rsidR="00080D21" w:rsidRPr="00B87C3A" w:rsidRDefault="00180A6D" w:rsidP="00180A6D">
      <w:pPr>
        <w:pStyle w:val="ManualConsidrant"/>
        <w:rPr>
          <w:noProof/>
        </w:rPr>
      </w:pPr>
      <w:r w:rsidRPr="00180A6D">
        <w:t>(23)</w:t>
      </w:r>
      <w:r w:rsidRPr="00180A6D">
        <w:tab/>
      </w:r>
      <w:r w:rsidR="00760189" w:rsidRPr="00B87C3A">
        <w:rPr>
          <w:noProof/>
        </w:rPr>
        <w:t>Gospodarski subjekti koji ili stavljaju na tržište deterdžent ili površinski aktivnu tvar pod svojim imenom ili trgovačkom oznakom ili pak preinačuju deterdžent ili površinski aktivnu tvar na način koji bi mogao utjecati na sukladnost s ovom Uredbom trebali bi se smatrati proizvođačima i preuzeti obveze proizvođača. U drugim slučajevima gospodarski subjekti koji samo pakiraju ili prepakiraju deterdžent ili površinski aktivnu tvar koju su drugi gospodarski subjekti već stavili na tržište trebali bi moći dokazati da to ne utječe na sukladnost sa zahtjevima ove Uredbe navođenjem svojeg identiteta na ambalaži i zadržavanjem preslike izvornih informacija s oznake.</w:t>
      </w:r>
    </w:p>
    <w:p w14:paraId="4E933E25" w14:textId="6993D6F8" w:rsidR="00760189" w:rsidRPr="00B87C3A" w:rsidRDefault="00180A6D" w:rsidP="00180A6D">
      <w:pPr>
        <w:pStyle w:val="ManualConsidrant"/>
        <w:rPr>
          <w:noProof/>
        </w:rPr>
      </w:pPr>
      <w:r w:rsidRPr="00180A6D">
        <w:t>(24)</w:t>
      </w:r>
      <w:r w:rsidRPr="00180A6D">
        <w:tab/>
      </w:r>
      <w:r w:rsidR="00760189" w:rsidRPr="00B87C3A">
        <w:rPr>
          <w:noProof/>
        </w:rPr>
        <w:t>Oznaka CE, kojom se označava sukladnost deterdženta s ovom Uredbom, vidljiv je rezultat cjelovitog postupka koji obuhvaća ocjenjivanje sukladnosti u širem smislu. Uredbom (EZ) br. 765/2008 Europskog parlamenta i Vijeća</w:t>
      </w:r>
      <w:r w:rsidR="00760189" w:rsidRPr="00B87C3A">
        <w:rPr>
          <w:rStyle w:val="FootnoteReference"/>
          <w:noProof/>
        </w:rPr>
        <w:footnoteReference w:id="37"/>
      </w:r>
      <w:r w:rsidR="00760189" w:rsidRPr="00B87C3A">
        <w:rPr>
          <w:noProof/>
        </w:rPr>
        <w:t xml:space="preserve"> utvrđuju se opća načela za oznaku CE. Ta bi se Uredba trebala primjenjivati na deterdžente obuhvaćene ovom Uredbom kako bi se osiguralo da proizvodi na koje se primjenjuje sloboda kretanja robe unutar Unije ispunjavaju zahtjeve kojima se osigurava visoka razina zaštite javnih interesa kao što su zdravlje i okoliš. U skladu s Uredbom (EZ) br. 765/2008 oznaka CE trebala bi biti jedina oznaka sukladnosti koja označava da je deterdžent u skladu sa zakonodavstvom Unije o usklađivanju. </w:t>
      </w:r>
    </w:p>
    <w:p w14:paraId="01C3F360" w14:textId="31F39B26" w:rsidR="00DC2735" w:rsidRPr="00B87C3A" w:rsidRDefault="00180A6D" w:rsidP="00180A6D">
      <w:pPr>
        <w:pStyle w:val="ManualConsidrant"/>
        <w:rPr>
          <w:noProof/>
        </w:rPr>
      </w:pPr>
      <w:r w:rsidRPr="00180A6D">
        <w:t>(25)</w:t>
      </w:r>
      <w:r w:rsidRPr="00180A6D">
        <w:tab/>
      </w:r>
      <w:r w:rsidR="007F0CBE" w:rsidRPr="00B87C3A">
        <w:rPr>
          <w:noProof/>
        </w:rPr>
        <w:t xml:space="preserve">Kako bi se osigurala visoka razina zaštite zdravlja ljudi, od proizvođača bi trebalo zahtijevati da dostave list s podacima o sastojcima za neopasne deterdžente. Kako bi se optimizirala učinkovitost relevantnih zahtjeva te s obzirom na sustav povezan s hitnim zdravstvenim intervencijama koji je već uspostavljen Uredbom (EZ) br. 1272/2008, proizvođači bi te informacije trebali na zahtjev staviti na raspolaganje centrima za nadzor otrova. </w:t>
      </w:r>
    </w:p>
    <w:p w14:paraId="555C6CDC" w14:textId="60FBAB9D" w:rsidR="00DC2735" w:rsidRPr="00B87C3A" w:rsidRDefault="00180A6D" w:rsidP="00180A6D">
      <w:pPr>
        <w:pStyle w:val="ManualConsidrant"/>
        <w:rPr>
          <w:noProof/>
        </w:rPr>
      </w:pPr>
      <w:r w:rsidRPr="00180A6D">
        <w:t>(26)</w:t>
      </w:r>
      <w:r w:rsidRPr="00180A6D">
        <w:tab/>
      </w:r>
      <w:r w:rsidR="00B27385" w:rsidRPr="00B87C3A">
        <w:rPr>
          <w:noProof/>
        </w:rPr>
        <w:t xml:space="preserve">Oznake korisnicima prenose važne informacije o upotrebi i sigurnosti, kao što je prisutnost tvari koje izazivaju preosjetljivost kože ili dišnih putova (npr. alergeni mirisi, konzervansi ili enzimi) u deterdžentima i površinski aktivnim tvarima. Navođenjem informacija o udjelu tih tvari na oznakama deterdženata i površinski aktivnih tvari korisnici s alergijama ili alergijskim predispozicijama mogu donijeti informirane odluke, čime se smanjuju potencijalne reakcije povezane s upotrebom deterdženata i površinski aktivnih tvari. Stoga je potrebno utvrditi zahtjeve za označivanje deterdženata i površinski aktivnih tvari. </w:t>
      </w:r>
    </w:p>
    <w:p w14:paraId="55C91C99" w14:textId="7F00E91B" w:rsidR="00DC2735" w:rsidRPr="00B87C3A" w:rsidRDefault="00180A6D" w:rsidP="00180A6D">
      <w:pPr>
        <w:pStyle w:val="ManualConsidrant"/>
        <w:rPr>
          <w:noProof/>
        </w:rPr>
      </w:pPr>
      <w:r w:rsidRPr="00180A6D">
        <w:t>(27)</w:t>
      </w:r>
      <w:r w:rsidRPr="00180A6D">
        <w:tab/>
      </w:r>
      <w:r w:rsidR="00DC2735" w:rsidRPr="00B87C3A">
        <w:rPr>
          <w:noProof/>
        </w:rPr>
        <w:t xml:space="preserve">Budući da označivanje deterdženata i površinski aktivnih tvari može biti obuhvaćeno raznim dijelovima zakonodavstva Unije, informacije na oznakama deterdženata i površinski aktivnih tvari potrebno je pojednostavniti tako da se, ako se na oznakama deterdženata i površinski aktivnih tvari zbog različitih dijelova zakonodavstva Unije </w:t>
      </w:r>
      <w:r w:rsidR="00DC2735" w:rsidRPr="00B87C3A">
        <w:rPr>
          <w:noProof/>
        </w:rPr>
        <w:lastRenderedPageBreak/>
        <w:t>zahtijevaju slične informacije, te informacije pružaju samo jednom u skladu sa strožim pravilima. Time će se, s jedne strane, poboljšati čitljivost i razumljivost oznaka deterdženata i površinski aktivnih tvari za krajnje korisnike i, s druge strane, smanjiti regulatorno opterećenje za proizvođače deterdženata i površinski aktivnih tvari.</w:t>
      </w:r>
    </w:p>
    <w:p w14:paraId="1F5B00E9" w14:textId="39760093" w:rsidR="002F5C29" w:rsidRPr="00B87C3A" w:rsidRDefault="00180A6D" w:rsidP="00180A6D">
      <w:pPr>
        <w:pStyle w:val="ManualConsidrant"/>
        <w:rPr>
          <w:noProof/>
        </w:rPr>
      </w:pPr>
      <w:r w:rsidRPr="00180A6D">
        <w:t>(28)</w:t>
      </w:r>
      <w:r w:rsidRPr="00180A6D">
        <w:tab/>
      </w:r>
      <w:r w:rsidR="004C218D" w:rsidRPr="00B87C3A">
        <w:rPr>
          <w:noProof/>
        </w:rPr>
        <w:t xml:space="preserve">Mirisne tvari organski su spojevi s karakterističnim, obično ugodnim mirisima, koji se često upotrebljavaju u deterdžentima, ali i u mnogim drugim proizvodima kao što su parfemi i drugi parfimirani kozmetički proizvodi. Te bi tvari u slučaju kontakta mogle uzrokovati alergijsku reakciju, posebno kod preosjetljivih osoba, čak i ako su sadržane u niskim koncentracijama. Stoga je važno pružiti informacije o prisutnosti pojedinačnih alergenih mirisa u deterdžentima kako bi preosjetljive osobe mogle izbjeći kontakt s tvari na koju su alergični. Stoga je potrebno utvrditi stroge zahtjeve za označivanje alergenih mirisa. Međutim, na te bi se tvari mogli odnositi i zahtjevi za označivanje prema Uredbi (EZ) br. 1272/2008. Stoga bi trebalo utvrditi posebne zahtjeve za označivanje koji bi se primjenjivali samo ako nisu ispunjeni pragovi za označivanje u skladu s Uredbom (EZ) br. 1272/2008. Time će se ne samo spriječiti nepotrebno opterećenje za gospodarske subjekte već i osigurati da krajnji korisnici dobiju te informacije predstavljene na jasan način, čime će se osigurati visoka razina zaštite zdravlja ljudi, čak i kod preosjetljivih osoba. </w:t>
      </w:r>
    </w:p>
    <w:p w14:paraId="013EB0A2" w14:textId="455DC5B1" w:rsidR="00DC2735" w:rsidRPr="00B87C3A" w:rsidRDefault="00180A6D" w:rsidP="00180A6D">
      <w:pPr>
        <w:pStyle w:val="ManualConsidrant"/>
        <w:rPr>
          <w:noProof/>
        </w:rPr>
      </w:pPr>
      <w:r w:rsidRPr="00180A6D">
        <w:t>(29)</w:t>
      </w:r>
      <w:r w:rsidRPr="00180A6D">
        <w:tab/>
      </w:r>
      <w:r w:rsidR="00DC2735" w:rsidRPr="00B87C3A">
        <w:rPr>
          <w:noProof/>
        </w:rPr>
        <w:t xml:space="preserve">Potrebni su dodatni zahtjevi za označivanje određenih tvari kao što su konzervansi kako bi se osigurala visoka razina zaštite zdravlja. Zahtjevi za označivanje konzervansa stoga bi trebali obuhvaćati ne samo one konzervanse koje je proizvođač namjerno dodao u deterdžent već i one koji proizlaze iz njegovih sastavnih smjesa i koji se često nazivaju „preneseni konzervansi”. </w:t>
      </w:r>
    </w:p>
    <w:p w14:paraId="5D0ADCFD" w14:textId="75186EC1" w:rsidR="00DC2735" w:rsidRPr="00B87C3A" w:rsidRDefault="00180A6D" w:rsidP="00180A6D">
      <w:pPr>
        <w:pStyle w:val="ManualConsidrant"/>
        <w:rPr>
          <w:noProof/>
        </w:rPr>
      </w:pPr>
      <w:r w:rsidRPr="00180A6D">
        <w:t>(30)</w:t>
      </w:r>
      <w:r w:rsidRPr="00180A6D">
        <w:tab/>
      </w:r>
      <w:r w:rsidR="00DC2735" w:rsidRPr="00B87C3A">
        <w:rPr>
          <w:noProof/>
        </w:rPr>
        <w:t>Informacije o ispravnoj količini deterdženta koju potrošači trebaju upotrebljavati pri čišćenju, odnosno informacije o doziranju, trebale bi biti navedene na oznaci deterdženata za pranje rublja i deterdženata za strojno pranje posuđa koji se koriste u kućanstvu kako bi se spriječila moguća prekomjerna upotreba deterdženata, čime bi se smanjila ukupna količina deterdženta i površinski aktivne tvari koji dospijevaju u okoliš.</w:t>
      </w:r>
    </w:p>
    <w:p w14:paraId="04CCC136" w14:textId="4075750E" w:rsidR="00DC2735" w:rsidRPr="00B87C3A" w:rsidRDefault="00180A6D" w:rsidP="00180A6D">
      <w:pPr>
        <w:pStyle w:val="ManualConsidrant"/>
        <w:rPr>
          <w:noProof/>
        </w:rPr>
      </w:pPr>
      <w:r w:rsidRPr="00180A6D">
        <w:t>(31)</w:t>
      </w:r>
      <w:r w:rsidRPr="00180A6D">
        <w:tab/>
      </w:r>
      <w:r w:rsidR="00DC2735" w:rsidRPr="00B87C3A">
        <w:rPr>
          <w:noProof/>
        </w:rPr>
        <w:t xml:space="preserve">Digitalnim označivanjem moglo bi se poboljšati priopćavanje informacija na oznakama izbjegavanjem fizičkih oznaka s previše informacija i omogućavanjem korisnicima da se oslone na različite mogućnosti čitanja dostupne samo za digitalne formate, kao što su povećana veličina znakova, automatsko pretraživanje, zvučna reprodukcija ili prijevod na druge jezike. Pružanje digitalnih oznaka moglo bi dovesti i do toga da gospodarski subjekti učinkovitije upravljaju svojim obvezama za označivanje jer bi se olakšalo ažuriranje informacija na oznakama, smanjili troškovi označivanja i omogućilo usmjerenije informiranje korisnika. Stoga bi gospodarskim subjektima pod određenim uvjetima trebalo dopustiti da neke informacije navode samo na digitalnim oznakama kako bi se osigurala visoka razina zaštite korisnika deterdženata. </w:t>
      </w:r>
    </w:p>
    <w:p w14:paraId="3E1CF7C1" w14:textId="59FFABFA" w:rsidR="00DC2735" w:rsidRPr="00B87C3A" w:rsidRDefault="00180A6D" w:rsidP="00180A6D">
      <w:pPr>
        <w:pStyle w:val="ManualConsidrant"/>
        <w:rPr>
          <w:noProof/>
        </w:rPr>
      </w:pPr>
      <w:r w:rsidRPr="00180A6D">
        <w:t>(32)</w:t>
      </w:r>
      <w:r w:rsidRPr="00180A6D">
        <w:tab/>
      </w:r>
      <w:r w:rsidR="00E565B6" w:rsidRPr="00B87C3A">
        <w:rPr>
          <w:noProof/>
        </w:rPr>
        <w:t xml:space="preserve">Kako se ne bi stvorilo nepotrebno administrativno opterećenje za gospodarske subjekte i s obzirom na to da je u većini slučajeva digitalna oznaka samo dopuna fizičkoj oznaci, gospodarski subjekti trebali bi moći odlučiti hoće li upotrebljavati digitalne oznake ili navesti sve informacije samo na fizičkoj oznaci. Odluku o stavljanju digitalne oznake trebali bi donositi proizvođači i uvoznici, koji su odgovorni za navođenje točnih informacija na oznakama. </w:t>
      </w:r>
    </w:p>
    <w:p w14:paraId="7859775C" w14:textId="7DE1C997" w:rsidR="00DC2735" w:rsidRPr="00B87C3A" w:rsidRDefault="00180A6D" w:rsidP="00180A6D">
      <w:pPr>
        <w:pStyle w:val="ManualConsidrant"/>
        <w:rPr>
          <w:noProof/>
        </w:rPr>
      </w:pPr>
      <w:r w:rsidRPr="00180A6D">
        <w:t>(33)</w:t>
      </w:r>
      <w:r w:rsidRPr="00180A6D">
        <w:tab/>
      </w:r>
      <w:r w:rsidR="002D0302" w:rsidRPr="00B87C3A">
        <w:rPr>
          <w:noProof/>
        </w:rPr>
        <w:t xml:space="preserve">Digitalno označivanje moglo bi stvoriti poteškoće za ranjive društvene skupine koje ne posjeduju digitalne vještine ili su one nedostatne i tako produbiti digitalni jaz. Zbog </w:t>
      </w:r>
      <w:r w:rsidR="002D0302" w:rsidRPr="00B87C3A">
        <w:rPr>
          <w:noProof/>
        </w:rPr>
        <w:lastRenderedPageBreak/>
        <w:t xml:space="preserve">toga bi posebne informacije koje će se navoditi samo na digitalnoj oznaci trebale odražavati trenutačno stanje digitalizacije društva i konkretnu situaciju korisnika deterdženata. Osim toga, sve informacije na oznakama koje se odnose na zaštitu zdravlja i okoliša, kao i minimalne upute za upotrebu deterdženata, trebale bi ostati na fizičkoj oznaci kako bi se svim krajnjim korisnicima omogućilo donošenje informiranih odluka prije kupnje deterdženta i osiguralo sigurno rukovanje deterdžentom. </w:t>
      </w:r>
    </w:p>
    <w:p w14:paraId="1B44F2DE" w14:textId="07310036" w:rsidR="00DC2735" w:rsidRPr="00B87C3A" w:rsidRDefault="00180A6D" w:rsidP="00180A6D">
      <w:pPr>
        <w:pStyle w:val="ManualConsidrant"/>
        <w:rPr>
          <w:noProof/>
        </w:rPr>
      </w:pPr>
      <w:r w:rsidRPr="00180A6D">
        <w:t>(34)</w:t>
      </w:r>
      <w:r w:rsidRPr="00180A6D">
        <w:tab/>
      </w:r>
      <w:r w:rsidR="00B95893" w:rsidRPr="00B87C3A">
        <w:rPr>
          <w:noProof/>
        </w:rPr>
        <w:t xml:space="preserve">Međutim, trebalo bi napraviti iznimku za deterdžente koji se krajnjim korisnicima prodaju u obliku ponovnog punjenja. Kako bi se u potpunosti iskoristile ne samo prednosti digitalizacije nego i velike koristi za okoliš u obliku smanjenja ambalaže i povezanog ambalažnog otpada koje proizlaze iz prakse prodaje ponovnog punjenja, trebalo bi dopustiti da se sve informacije na oznakama pružaju digitalnim putem, uz iznimku uputa o doziranju deterdženata za pranje rublja koji se koriste u kućanstvu. </w:t>
      </w:r>
    </w:p>
    <w:p w14:paraId="3F25FE99" w14:textId="7CC0B01B" w:rsidR="00DC2735" w:rsidRPr="00B87C3A" w:rsidRDefault="00180A6D" w:rsidP="00180A6D">
      <w:pPr>
        <w:pStyle w:val="ManualConsidrant"/>
        <w:rPr>
          <w:noProof/>
        </w:rPr>
      </w:pPr>
      <w:r w:rsidRPr="00180A6D">
        <w:t>(35)</w:t>
      </w:r>
      <w:r w:rsidRPr="00180A6D">
        <w:tab/>
      </w:r>
      <w:r w:rsidR="00DC2735" w:rsidRPr="00B87C3A">
        <w:rPr>
          <w:noProof/>
        </w:rPr>
        <w:t>Kako bi se osigurali jednaki uvjeti među gospodarskim subjektima koji deterdžente stavljaju na raspolaganje na tržištu i zaštitili krajnji korisnici, trebalo bi utvrditi opće zahtjeve za digitalno označivanje. Na primjer, gospodarski subjekti trebali bi osigurati besplatan i jednostavan pristup digitalnim oznakama i da obvezne informacije na oznakama koje se zahtijevaju u skladu s ovom Uredbom budu odvojene od drugih informacija.</w:t>
      </w:r>
    </w:p>
    <w:p w14:paraId="2FA50628" w14:textId="1CC2EB11" w:rsidR="00DC2735" w:rsidRPr="00B87C3A" w:rsidRDefault="00180A6D" w:rsidP="00180A6D">
      <w:pPr>
        <w:pStyle w:val="ManualConsidrant"/>
        <w:rPr>
          <w:noProof/>
        </w:rPr>
      </w:pPr>
      <w:r w:rsidRPr="00180A6D">
        <w:t>(36)</w:t>
      </w:r>
      <w:r w:rsidRPr="00180A6D">
        <w:tab/>
      </w:r>
      <w:r w:rsidR="00DC2735" w:rsidRPr="00B87C3A">
        <w:rPr>
          <w:noProof/>
        </w:rPr>
        <w:t xml:space="preserve">S obzirom na trenutačni razvoj digitalnih vještina, gospodarski subjekti trebali bi krajnjim korisnicima informacije na oznakama učiniti dostupnima i na druge načine ako pristup digitalnoj oznaci nije moguć. Ta bi se obveza trebala uvesti kao sigurnosna mjera kako bi se smanjili svi potencijalni rizici zbog nedostupnosti informacija na oznakama, posebno za ponovno napunjene deterdžente, u slučajevima u kojima se sve informacije mogu navesti na digitalnoj oznaci. </w:t>
      </w:r>
    </w:p>
    <w:p w14:paraId="68E9E673" w14:textId="683D8FCF" w:rsidR="00DC2735" w:rsidRPr="00B87C3A" w:rsidDel="00B631D7" w:rsidRDefault="00180A6D" w:rsidP="00180A6D">
      <w:pPr>
        <w:pStyle w:val="ManualConsidrant"/>
        <w:rPr>
          <w:noProof/>
        </w:rPr>
      </w:pPr>
      <w:r w:rsidRPr="00180A6D">
        <w:t>(37)</w:t>
      </w:r>
      <w:r w:rsidRPr="00180A6D">
        <w:tab/>
      </w:r>
      <w:r w:rsidR="0077309C" w:rsidRPr="00B87C3A">
        <w:rPr>
          <w:noProof/>
        </w:rPr>
        <w:t xml:space="preserve">Budući da deterdženti imaju istu upotrebu i podrazumijevaju isti rizik neovisno o obliku u kojem se stavljaju na raspolaganje na tržištu, gospodarski subjekti koji stavljaju deterdžente na raspolaganje na tržištu u obliku ponovnog punjenja trebali bi osigurati da ti deterdženti ispunjavaju iste zahtjeve kao i oni pretpakirani. Osim toga, potrošači bi trebali dobiti potrebne informacije na oznakama i ako se odluče za ponovno napunjene deterdžente. Prodaja ponovnog punjenja za deterdžente stoga bi trebala biti izričito obuhvaćena ovom Uredbom kako bi se osigurala visoka razina zaštite zdravlja i okoliša te jednaki uvjeti za gospodarske subjekte. </w:t>
      </w:r>
    </w:p>
    <w:p w14:paraId="703AB346" w14:textId="7A173AF4" w:rsidR="00A576E4" w:rsidRPr="00B87C3A" w:rsidRDefault="00180A6D" w:rsidP="00180A6D">
      <w:pPr>
        <w:pStyle w:val="ManualConsidrant"/>
        <w:rPr>
          <w:noProof/>
        </w:rPr>
      </w:pPr>
      <w:r w:rsidRPr="00180A6D">
        <w:t>(38)</w:t>
      </w:r>
      <w:r w:rsidRPr="00180A6D">
        <w:tab/>
      </w:r>
      <w:r w:rsidR="00A576E4" w:rsidRPr="00B87C3A">
        <w:rPr>
          <w:noProof/>
        </w:rPr>
        <w:t xml:space="preserve">Osiguravanje sljedivosti deterdženta ili površinski aktivne tvari u cijelom opskrbnom lancu pomaže u pojednostavnjenju i povećanju učinkovitosti nadzora tržišta. Učinkovit sustav sljedivosti olakšava tijelima za nadzor tržišta praćenje gospodarskih subjekata koji su nesukladne deterdžente ili površinski aktivne tvari stavili na raspolaganje na tržištu. </w:t>
      </w:r>
    </w:p>
    <w:p w14:paraId="16FC7B0B" w14:textId="1562605B" w:rsidR="00333296" w:rsidRPr="00B87C3A" w:rsidRDefault="00180A6D" w:rsidP="00180A6D">
      <w:pPr>
        <w:pStyle w:val="ManualConsidrant"/>
        <w:rPr>
          <w:noProof/>
        </w:rPr>
      </w:pPr>
      <w:r w:rsidRPr="00180A6D">
        <w:t>(39)</w:t>
      </w:r>
      <w:r w:rsidRPr="00180A6D">
        <w:tab/>
      </w:r>
      <w:r w:rsidR="00AD35FD" w:rsidRPr="00B87C3A">
        <w:rPr>
          <w:noProof/>
        </w:rPr>
        <w:t xml:space="preserve">Proizvođači bi trebali izraditi putovnicu za proizvode kako bi pružili informacije o sukladnosti deterdženata i površinski aktivnih tvari s ovom Uredbom i sa svim drugim propisima koje deterdžent ili površinski aktivna tvar mora poštovati. Kako bi se olakšale provjere deterdženata ili površinski aktivnih tvari te sudionicima u opskrbnom lancu i krajnjim korisnicima omogućio pristup potrebnim informacijama kao što su sastojci i upute za upotrebu, informacije u putovnici za proizvode trebale bi se pružati digitalno i na izravno dostupan način, putem nosača podataka pričvršćenog na oznaku deterdženta ili površinski aktivne tvari, njegovo pakiranje ili popratnu dokumentaciju. Tijela za nadzor tržišta, gospodarski subjekti i krajnji korisnici trebali </w:t>
      </w:r>
      <w:r w:rsidR="00AD35FD" w:rsidRPr="00B87C3A">
        <w:rPr>
          <w:noProof/>
        </w:rPr>
        <w:lastRenderedPageBreak/>
        <w:t xml:space="preserve">bi stoga imati neposredan pristup informacijama o sukladnosti ili drugim informacijama o deterdžentu ili površinski aktivnoj tvari putem nosača podataka. </w:t>
      </w:r>
    </w:p>
    <w:p w14:paraId="6F091D26" w14:textId="2EA1EF34" w:rsidR="0054232F" w:rsidRPr="00B87C3A" w:rsidRDefault="00180A6D" w:rsidP="00180A6D">
      <w:pPr>
        <w:pStyle w:val="ManualConsidrant"/>
        <w:rPr>
          <w:noProof/>
        </w:rPr>
      </w:pPr>
      <w:r w:rsidRPr="00180A6D">
        <w:t>(40)</w:t>
      </w:r>
      <w:r w:rsidRPr="00180A6D">
        <w:tab/>
      </w:r>
      <w:r w:rsidR="00724E8E" w:rsidRPr="00B87C3A">
        <w:rPr>
          <w:noProof/>
        </w:rPr>
        <w:t xml:space="preserve">Kako bi se izbjeglo udvostručavanje ulaganja svih uključenih sudionika u digitalizaciju, uključujući proizvođače, tijela za nadzor tržišta i carinska tijela, putovnica za proizvode uspostavljena prema ovoj Uredbi trebala bi biti potpuno interoperabilna s putovnicom za proizvode koja se zahtijeva drugim zakonodavstvom Unije. </w:t>
      </w:r>
    </w:p>
    <w:p w14:paraId="4BB037EF" w14:textId="7C99AD80" w:rsidR="00AE44EA" w:rsidRPr="00B87C3A" w:rsidRDefault="00180A6D" w:rsidP="00180A6D">
      <w:pPr>
        <w:pStyle w:val="ManualConsidrant"/>
        <w:rPr>
          <w:noProof/>
        </w:rPr>
      </w:pPr>
      <w:r w:rsidRPr="00180A6D">
        <w:t>(41)</w:t>
      </w:r>
      <w:r w:rsidRPr="00180A6D">
        <w:tab/>
      </w:r>
      <w:r w:rsidR="0054232F" w:rsidRPr="00B87C3A">
        <w:rPr>
          <w:noProof/>
        </w:rPr>
        <w:t>Konkretno, Uredbom (EU) .../... [Europskog parlamenta i Vijeća o uspostavi okvira za utvrđivanje zahtjeva za ekološki dizajn održivih proizvoda i stavljanju izvan snage Direktive 2009/125/EZ] utvrđuju se i zahtjevi te tehničke specifikacije za digitalnu putovnicu za proizvode, uspostava središnjeg registra Komisije u kojem se pohranjuju informacije iz putovnica i povezivanje tog registra s carinskim informatičkim sustavima. Područjem primjene te uredbe srednjoročno bi mogli biti obuhvaćeni deterdženti ili površinski aktivne tvari, čime bi se za njih zahtijevala dostupnost digitalne putovnice za proizvode.</w:t>
      </w:r>
    </w:p>
    <w:p w14:paraId="425EB2DA" w14:textId="23332831" w:rsidR="00333296" w:rsidRPr="00B87C3A" w:rsidRDefault="00180A6D" w:rsidP="00180A6D">
      <w:pPr>
        <w:pStyle w:val="ManualConsidrant"/>
        <w:rPr>
          <w:noProof/>
        </w:rPr>
      </w:pPr>
      <w:r w:rsidRPr="00180A6D">
        <w:t>(42)</w:t>
      </w:r>
      <w:r w:rsidRPr="00180A6D">
        <w:tab/>
      </w:r>
      <w:r w:rsidR="00AE44EA" w:rsidRPr="00B87C3A">
        <w:rPr>
          <w:noProof/>
        </w:rPr>
        <w:t xml:space="preserve">Putovnica za proizvode za deterdžente i površinski aktivne tvari izrađena na temelju ove Uredbe trebala bi stoga biti u skladu s istim zahtjevima i tehničkim elementima kao što su oni utvrđeni u Uredbi (EU) .../... o zahtjevima za ekološki dizajn održivih proizvoda, </w:t>
      </w:r>
      <w:r w:rsidR="00AE44EA" w:rsidRPr="00B87C3A">
        <w:rPr>
          <w:rStyle w:val="normaltextrun"/>
          <w:noProof/>
        </w:rPr>
        <w:t xml:space="preserve">uključujući njezine </w:t>
      </w:r>
      <w:r w:rsidR="00AE44EA" w:rsidRPr="00B87C3A">
        <w:rPr>
          <w:noProof/>
        </w:rPr>
        <w:t>tehničke, semantičke i organizacijske aspekte komunikacije s kraja na kraj i prijenosa podataka</w:t>
      </w:r>
      <w:r w:rsidR="00AE44EA" w:rsidRPr="00B87C3A">
        <w:rPr>
          <w:rStyle w:val="normaltextrun"/>
          <w:noProof/>
        </w:rPr>
        <w:t>.</w:t>
      </w:r>
      <w:r w:rsidR="00AE44EA" w:rsidRPr="00B87C3A">
        <w:rPr>
          <w:rStyle w:val="normaltextrun"/>
          <w:noProof/>
          <w:color w:val="000000" w:themeColor="text1"/>
        </w:rPr>
        <w:t xml:space="preserve"> </w:t>
      </w:r>
    </w:p>
    <w:p w14:paraId="460025AB" w14:textId="21B7CCA9" w:rsidR="0089732B" w:rsidRPr="00B87C3A" w:rsidRDefault="00180A6D" w:rsidP="00180A6D">
      <w:pPr>
        <w:pStyle w:val="ManualConsidrant"/>
        <w:rPr>
          <w:noProof/>
        </w:rPr>
      </w:pPr>
      <w:r w:rsidRPr="00180A6D">
        <w:t>(43)</w:t>
      </w:r>
      <w:r w:rsidRPr="00180A6D">
        <w:tab/>
      </w:r>
      <w:r w:rsidR="002A0BC6" w:rsidRPr="00B87C3A">
        <w:rPr>
          <w:noProof/>
        </w:rPr>
        <w:t>Ako se drugim zakonodavstvom Unije koje se primjenjuje na deterdžente ili površinski aktivne tvari zahtijeva putovnica za proizvode, za deterdžente i površinski aktivne tvari trebala bi biti dostupna jedna putovnica za proizvode koja sadržava informacije propisane ovom Uredbom i drugim zakonodavstvom Unije.</w:t>
      </w:r>
    </w:p>
    <w:p w14:paraId="0EB1EE1C" w14:textId="5B67370D" w:rsidR="001552EF" w:rsidRPr="00B87C3A" w:rsidRDefault="00180A6D" w:rsidP="00180A6D">
      <w:pPr>
        <w:pStyle w:val="ManualConsidrant"/>
        <w:rPr>
          <w:noProof/>
        </w:rPr>
      </w:pPr>
      <w:r w:rsidRPr="00180A6D">
        <w:t>(44)</w:t>
      </w:r>
      <w:r w:rsidRPr="00180A6D">
        <w:tab/>
      </w:r>
      <w:r w:rsidR="001552EF" w:rsidRPr="00B87C3A">
        <w:rPr>
          <w:noProof/>
        </w:rPr>
        <w:t>Ključno je i proizvođačima i korisnicima pojasniti da izradom putovnice za proizvode za deterdžent ili površinski aktivnu tvar te, prema potrebi, stavljanjem oznake CE proizvođač izjavljuje da je deterdžent ili površinski aktivna tvar u skladu sa svim primjenjivim zahtjevima i da za to preuzima punu odgovornost.</w:t>
      </w:r>
    </w:p>
    <w:p w14:paraId="5B086B9B" w14:textId="576867E9" w:rsidR="001552EF" w:rsidRPr="00B87C3A" w:rsidRDefault="00180A6D" w:rsidP="00180A6D">
      <w:pPr>
        <w:pStyle w:val="ManualConsidrant"/>
        <w:rPr>
          <w:noProof/>
        </w:rPr>
      </w:pPr>
      <w:r w:rsidRPr="00180A6D">
        <w:t>(45)</w:t>
      </w:r>
      <w:r w:rsidRPr="00180A6D">
        <w:tab/>
      </w:r>
      <w:r w:rsidR="001552EF" w:rsidRPr="00B87C3A">
        <w:rPr>
          <w:noProof/>
        </w:rPr>
        <w:t>Ako se određene informacije pružaju samo u digitalnom obliku, potrebno je pojasniti da te informacije treba dostaviti odvojeno i jasno razlikovati jednu od druge, ali na jednom nosaču podataka. Time će se olakšati rad tijela za nadzor tržišta, ali i krajnjim korisnicima pojasniti različite informacije koje su im dostupne u digitalnom obliku.</w:t>
      </w:r>
    </w:p>
    <w:p w14:paraId="6D15056D" w14:textId="597E2543" w:rsidR="00CE1109" w:rsidRPr="00B87C3A" w:rsidRDefault="00180A6D" w:rsidP="00180A6D">
      <w:pPr>
        <w:pStyle w:val="ManualConsidrant"/>
        <w:rPr>
          <w:noProof/>
        </w:rPr>
      </w:pPr>
      <w:r w:rsidRPr="00180A6D">
        <w:t>(46)</w:t>
      </w:r>
      <w:r w:rsidRPr="00180A6D">
        <w:tab/>
      </w:r>
      <w:r w:rsidR="00333296" w:rsidRPr="00B87C3A">
        <w:rPr>
          <w:noProof/>
        </w:rPr>
        <w:t>Poglavlje VII. Uredbe (EU) 2019/1020 Europskog parlamenta i Vijeća</w:t>
      </w:r>
      <w:r w:rsidR="00333296" w:rsidRPr="00B87C3A">
        <w:rPr>
          <w:rStyle w:val="FootnoteReference"/>
          <w:noProof/>
        </w:rPr>
        <w:footnoteReference w:id="38"/>
      </w:r>
      <w:r w:rsidR="00333296" w:rsidRPr="00B87C3A">
        <w:rPr>
          <w:noProof/>
        </w:rPr>
        <w:t>, kojim se utvrđuju pravila kontrole proizvoda koji ulaze na tržište Unije, primjenjuje se na deterdžente i površinski aktivne tvari. Tijela zadužena za tu kontrolu, a to su u gotovo svim državama članicama carinska tijela, trebaju je provoditi na temelju analize rizika iz članaka 46. i 47. Uredbe (EU) br. 952/2013 Europskog parlamenta i Vijeća</w:t>
      </w:r>
      <w:r w:rsidR="00333296" w:rsidRPr="00B87C3A">
        <w:rPr>
          <w:rStyle w:val="FootnoteReference"/>
          <w:noProof/>
        </w:rPr>
        <w:footnoteReference w:id="39"/>
      </w:r>
      <w:r w:rsidR="00333296" w:rsidRPr="00B87C3A">
        <w:rPr>
          <w:noProof/>
        </w:rPr>
        <w:t xml:space="preserve">, njezina provedbenog zakonodavstva i odgovarajućih smjernica. Ovom se Uredbom stoga ni na koji način ne bi trebalo mijenjati poglavlje VII. Uredbe (EU) 2019/1020 ni način na koji se tijela nadležna za kontrolu proizvoda koji ulaze na tržište Unije organiziraju i obavljaju svoje aktivnosti. </w:t>
      </w:r>
    </w:p>
    <w:p w14:paraId="5A7E2AEB" w14:textId="2E46497E" w:rsidR="00504B6B" w:rsidRPr="00B87C3A" w:rsidRDefault="00180A6D" w:rsidP="00180A6D">
      <w:pPr>
        <w:pStyle w:val="ManualConsidrant"/>
        <w:rPr>
          <w:noProof/>
        </w:rPr>
      </w:pPr>
      <w:r w:rsidRPr="00180A6D">
        <w:lastRenderedPageBreak/>
        <w:t>(47)</w:t>
      </w:r>
      <w:r w:rsidRPr="00180A6D">
        <w:tab/>
      </w:r>
      <w:r w:rsidR="00CE1109" w:rsidRPr="00B87C3A">
        <w:rPr>
          <w:noProof/>
        </w:rPr>
        <w:t>Osim okvira za kontrolu uspostavljenog poglavljem VII. Uredbe (EU) 2019/1020, carinska tijela trebala bi moći automatski provjeriti postoji li putovnica za proizvode za uvezene deterdžente i površinski aktivne tvari na koje se primjenjuje ova Uredba kako bi se pojačala kontrola na vanjskim granicama Unije i spriječio ulazak nesukladnih deterdženata i površinski aktivnih tvari na tržište Unije.</w:t>
      </w:r>
    </w:p>
    <w:p w14:paraId="3541712F" w14:textId="183116D9" w:rsidR="0089732B" w:rsidRPr="00B87C3A" w:rsidRDefault="00180A6D" w:rsidP="00180A6D">
      <w:pPr>
        <w:pStyle w:val="ManualConsidrant"/>
        <w:rPr>
          <w:rStyle w:val="normaltextrun"/>
          <w:rFonts w:eastAsia="Times New Roman"/>
          <w:noProof/>
          <w:szCs w:val="24"/>
        </w:rPr>
      </w:pPr>
      <w:r w:rsidRPr="00180A6D">
        <w:rPr>
          <w:rStyle w:val="normaltextrun"/>
        </w:rPr>
        <w:t>(48)</w:t>
      </w:r>
      <w:r w:rsidRPr="00180A6D">
        <w:rPr>
          <w:rStyle w:val="normaltextrun"/>
        </w:rPr>
        <w:tab/>
      </w:r>
      <w:r w:rsidR="00504B6B" w:rsidRPr="00B87C3A">
        <w:rPr>
          <w:noProof/>
        </w:rPr>
        <w:t xml:space="preserve">Kad se deterdženti i površinski aktivne tvari iz trećih zemalja podnose za puštanje u slobodni promet, carina bi trebala osigurati da gospodarski subjekt carinskim tijelima stavi na raspolaganje upućivanje na putovnicu za proizvode i da to upućivanje odgovara jedinstvenoj identifikacijskoj oznaci proizvoda pohranjenoj u registru putovnica za proizvode koji je Komisija uspostavila u skladu s [člankom 12. Uredbe (EU) .../... o ekološkom dizajnu za održive proizvode].  Međusobna povezanost tog registra i carinskog informatičkog sustava kako je predviđeno u [članku 13. Uredbe (EU) .../... o zahtjevima za ekološki dizajn održivih proizvoda] trebala bi omogućiti automatsku provjeru putovnice za proizvode podnesene carini za taj deterdžent ili površinski aktivnu tvar </w:t>
      </w:r>
      <w:r w:rsidR="00504B6B" w:rsidRPr="00B87C3A">
        <w:rPr>
          <w:rStyle w:val="normaltextrun"/>
          <w:noProof/>
        </w:rPr>
        <w:t xml:space="preserve">kako bi se osiguralo da se u slobodni promet puštaju samo </w:t>
      </w:r>
      <w:r w:rsidR="00504B6B" w:rsidRPr="00B87C3A">
        <w:rPr>
          <w:noProof/>
        </w:rPr>
        <w:t>deterdženti i površinski aktivne tvari</w:t>
      </w:r>
      <w:r w:rsidR="00504B6B" w:rsidRPr="00B87C3A">
        <w:rPr>
          <w:rStyle w:val="normaltextrun"/>
          <w:noProof/>
        </w:rPr>
        <w:t xml:space="preserve"> s valjanim upućivanjem na </w:t>
      </w:r>
      <w:r w:rsidR="00504B6B" w:rsidRPr="00B87C3A">
        <w:rPr>
          <w:noProof/>
        </w:rPr>
        <w:t xml:space="preserve">jedinstvenu identifikacijsku oznaku proizvoda </w:t>
      </w:r>
      <w:r w:rsidR="00504B6B" w:rsidRPr="00B87C3A">
        <w:rPr>
          <w:rStyle w:val="normaltextrun"/>
          <w:noProof/>
        </w:rPr>
        <w:t xml:space="preserve">kako je navedena u registru. </w:t>
      </w:r>
    </w:p>
    <w:p w14:paraId="2A9FDC8F" w14:textId="7CDBD2C0" w:rsidR="0089732B" w:rsidRPr="00B87C3A" w:rsidRDefault="00180A6D" w:rsidP="00180A6D">
      <w:pPr>
        <w:pStyle w:val="ManualConsidrant"/>
        <w:rPr>
          <w:noProof/>
        </w:rPr>
      </w:pPr>
      <w:r w:rsidRPr="00180A6D">
        <w:t>(49)</w:t>
      </w:r>
      <w:r w:rsidRPr="00180A6D">
        <w:tab/>
      </w:r>
      <w:r w:rsidR="0089732B" w:rsidRPr="00B87C3A">
        <w:rPr>
          <w:noProof/>
        </w:rPr>
        <w:t>Ako su druge informacije uz jedinstvenu identifikacijsku oznaku proizvoda i jedinstvenu identifikacijsku oznaku subjekta pohranjene u registru putovnica za proizvode uspostavljenom na temelju [članka 12. Uredbe (EU) .../... o ekološkom dizajnu za održive proizvode], Komisija bi trebala moći delegiranim aktom utvrditi da carinska tijela mogu provjeriti dosljednost između tih dodatnih informacija i informacija koje gospodarski subjekt stavlja na raspolaganje carini kako bi se poboljšala sukladnost deterdženata i površinski aktivnih tvari stavljenih u carinski postupak puštanja u slobodni promet s ovom Uredbom.</w:t>
      </w:r>
    </w:p>
    <w:p w14:paraId="51DD3489" w14:textId="078E6596" w:rsidR="0089732B" w:rsidRPr="00B87C3A" w:rsidRDefault="00180A6D" w:rsidP="00180A6D">
      <w:pPr>
        <w:pStyle w:val="ManualConsidrant"/>
        <w:rPr>
          <w:noProof/>
        </w:rPr>
      </w:pPr>
      <w:r w:rsidRPr="00180A6D">
        <w:t>(50)</w:t>
      </w:r>
      <w:r w:rsidRPr="00180A6D">
        <w:tab/>
      </w:r>
      <w:r w:rsidR="0089732B" w:rsidRPr="00B87C3A">
        <w:rPr>
          <w:noProof/>
        </w:rPr>
        <w:t>Informacije sadržane u putovnici za proizvode mogu carinskim tijelima omogućiti poboljšano i olakšano upravljanje rizikom i bolje usmjeravanje kontrole na vanjskim granicama Unije. Stoga bi carinska tijela trebala moći dohvatiti i upotrebljavati informacije sadržane u putovnici za proizvode i povezanom registru za obavljanje svojih zadaća u skladu sa zakonodavstvom Unije, među ostalim za upravljanje rizikom u skladu s Uredbom (EU) br. 952/2013.</w:t>
      </w:r>
    </w:p>
    <w:p w14:paraId="2E355CC3" w14:textId="2EC2F06E" w:rsidR="004C7095" w:rsidRPr="00B87C3A" w:rsidRDefault="00180A6D" w:rsidP="00180A6D">
      <w:pPr>
        <w:pStyle w:val="ManualConsidrant"/>
        <w:rPr>
          <w:noProof/>
        </w:rPr>
      </w:pPr>
      <w:r w:rsidRPr="00180A6D">
        <w:t>(51)</w:t>
      </w:r>
      <w:r w:rsidRPr="00180A6D">
        <w:tab/>
      </w:r>
      <w:r w:rsidR="004C7095" w:rsidRPr="00B87C3A">
        <w:rPr>
          <w:noProof/>
        </w:rPr>
        <w:t xml:space="preserve">Primjereno je propisati objavu obavijesti u </w:t>
      </w:r>
      <w:r w:rsidR="004C7095" w:rsidRPr="00B87C3A">
        <w:rPr>
          <w:i/>
          <w:noProof/>
        </w:rPr>
        <w:t>Službenom listu Europske unije</w:t>
      </w:r>
      <w:r w:rsidR="004C7095" w:rsidRPr="00B87C3A">
        <w:rPr>
          <w:noProof/>
        </w:rPr>
        <w:t xml:space="preserve"> u kojoj se navodi datum početka primjene međusobnog povezivanja tog registra i sustava razmjene potvrda u okviru jedinstvenog sučelja EU-a za carinu iz [članka 13. Uredbe (EU) .../... o ekološkom dizajnu za održive proizvode] kako bi se olakšao javni pristup tim informacijama.</w:t>
      </w:r>
    </w:p>
    <w:p w14:paraId="50347B62" w14:textId="46E3DDDB" w:rsidR="00AD6ECF" w:rsidRPr="00B87C3A" w:rsidRDefault="00180A6D" w:rsidP="00180A6D">
      <w:pPr>
        <w:pStyle w:val="ManualConsidrant"/>
        <w:rPr>
          <w:noProof/>
        </w:rPr>
      </w:pPr>
      <w:r w:rsidRPr="00180A6D">
        <w:t>(52)</w:t>
      </w:r>
      <w:r w:rsidRPr="00180A6D">
        <w:tab/>
      </w:r>
      <w:r w:rsidR="00AD6ECF" w:rsidRPr="00B87C3A">
        <w:rPr>
          <w:noProof/>
        </w:rPr>
        <w:t>Carinska automatska provjera upućivanja na putovnicu za proizvode za deterdžente i površinski aktivne tvari koji ulaze na tržište Unije ne bi trebala zamijeniti ili izmijeniti odgovornosti tijela za nadzor tržišta, već samo dopuniti opći okvir za kontrolu proizvoda koji ulaze na tržište Unije. Tijela za nadzor tržišta trebala bi, u skladu s Uredbom (EU) 2019/1020, provoditi provjere informacija sadržanih u putovnicama za proizvode, provjeravati proizvode na tržištu i, u slučaju da tijela određena za kontrolu na vanjskim granicama Unije obustave puštanje u slobodni promet, utvrditi sukladnost i ozbiljne rizike proizvoda u skladu s poglavljem VII. Uredbe (EU) 2019/1020.</w:t>
      </w:r>
    </w:p>
    <w:p w14:paraId="086E3094" w14:textId="17EF001C" w:rsidR="00A50814" w:rsidRPr="00B87C3A" w:rsidRDefault="00180A6D" w:rsidP="00180A6D">
      <w:pPr>
        <w:pStyle w:val="ManualConsidrant"/>
        <w:rPr>
          <w:noProof/>
        </w:rPr>
      </w:pPr>
      <w:r w:rsidRPr="00180A6D">
        <w:t>(53)</w:t>
      </w:r>
      <w:r w:rsidRPr="00180A6D">
        <w:tab/>
      </w:r>
      <w:r w:rsidR="00B609C7" w:rsidRPr="00B87C3A">
        <w:rPr>
          <w:noProof/>
        </w:rPr>
        <w:t xml:space="preserve">Nadzor tržišta ključan je instrument jer se njime osigurava pravilna i ujednačena primjena zakonodavstva Unije. Uredbom (EU) 2019/1020 utvrđuje se okvir za nadzor tržišta proizvoda koji podliježu zakonodavstvu Unije o usklađivanju. Države članice </w:t>
      </w:r>
      <w:r w:rsidR="00B609C7" w:rsidRPr="00B87C3A">
        <w:rPr>
          <w:noProof/>
        </w:rPr>
        <w:lastRenderedPageBreak/>
        <w:t xml:space="preserve">stoga bi trebale organizirati i provoditi nadzor tržišta deterdženata i površinski aktivnih tvari u skladu s tom uredbom. </w:t>
      </w:r>
    </w:p>
    <w:p w14:paraId="064A464E" w14:textId="1D0D07C0" w:rsidR="00B74D15" w:rsidRPr="00B87C3A" w:rsidRDefault="00180A6D" w:rsidP="00180A6D">
      <w:pPr>
        <w:pStyle w:val="ManualConsidrant"/>
        <w:rPr>
          <w:noProof/>
        </w:rPr>
      </w:pPr>
      <w:r w:rsidRPr="00180A6D">
        <w:t>(54)</w:t>
      </w:r>
      <w:r w:rsidRPr="00180A6D">
        <w:tab/>
      </w:r>
      <w:r w:rsidR="000446D0" w:rsidRPr="00B87C3A">
        <w:rPr>
          <w:noProof/>
        </w:rPr>
        <w:t>Uredba (EU) 2019/1020 već se primjenjuje na deterdžente i površinski aktivne tvari jer je Uredba (EZ) br. 648/2004 navedena u njezinu Prilogu I. Međutim, kako bi se osigurala pravna sigurnost, potrebno je pojasniti da se pravila o nadzoru unutarnjeg tržišta i kontroli proizvoda koji ulaze na unutarnje tržište utvrđena Uredbom (EU) 2019/1020 primjenjuju i na deterdžente i površinski aktivne tvari obuhvaćene ovom Uredbom. Ova Uredba ne bi državama članicama trebala onemogućiti da odaberu nadležna tijela za obavljanje tih zadaća. Uredbu (EU) 2019/1020 trebalo bi stoga izmijeniti kako bi se uključilo upućivanje na ovu Uredbu.</w:t>
      </w:r>
    </w:p>
    <w:p w14:paraId="6A77DC13" w14:textId="0D8E0972" w:rsidR="004D542A" w:rsidRPr="00B87C3A" w:rsidRDefault="00180A6D" w:rsidP="00180A6D">
      <w:pPr>
        <w:pStyle w:val="ManualConsidrant"/>
        <w:rPr>
          <w:noProof/>
        </w:rPr>
      </w:pPr>
      <w:r w:rsidRPr="00180A6D">
        <w:t>(55)</w:t>
      </w:r>
      <w:r w:rsidRPr="00180A6D">
        <w:tab/>
      </w:r>
      <w:r w:rsidR="009A0ED8" w:rsidRPr="00B87C3A">
        <w:rPr>
          <w:noProof/>
        </w:rPr>
        <w:t xml:space="preserve">Uredbom (EZ) br. 648/2004 utvrđen je zaštitni postupak kojim se Komisiji omogućuje da ispita opravdanost mjere koju je neka država članica poduzela protiv deterdženata i površinski aktivnih tvari za koje se smatra da predstavljaju rizik. Kako bi se povećala transparentnost i skratilo vrijeme obrade, postojeći zaštitni postupak trebalo bi poboljšati kako bi postao učinkovitiji i kako bi se iskoristilo stručno znanje dostupno u državama članicama. Postojeći sustav trebalo bi zamijeniti postupkom u kojem se zainteresirane strane obavješćuju o mjerama koje se namjeravaju poduzeti za deterdžente i površinski aktivne tvari koje predstavljaju rizik za zdravlje ili okoliš. Tijelima za nadzor tržišta trebalo bi omogućiti da u suradnji s relevantnim gospodarskim subjektima u slučaju tih deterdženata i površinski aktivnih tvari mogu rano reagirati. Komisija bi trebala provedbenim aktima i, s obzirom na njihovu posebnu i tehničku prirodu, bez primjene Uredbe (EU) br. 182/2011, utvrditi je li određena nacionalna mjera za deterdžent ili površinski aktivnu tvar koja predstavlja rizik opravdana. </w:t>
      </w:r>
    </w:p>
    <w:p w14:paraId="1342B885" w14:textId="7256F8A7" w:rsidR="00080D21" w:rsidRPr="00B87C3A" w:rsidRDefault="00180A6D" w:rsidP="00180A6D">
      <w:pPr>
        <w:pStyle w:val="ManualConsidrant"/>
        <w:rPr>
          <w:noProof/>
        </w:rPr>
      </w:pPr>
      <w:r w:rsidRPr="00180A6D">
        <w:t>(56)</w:t>
      </w:r>
      <w:r w:rsidRPr="00180A6D">
        <w:tab/>
      </w:r>
      <w:r w:rsidR="00ED4CB6" w:rsidRPr="00B87C3A">
        <w:rPr>
          <w:noProof/>
        </w:rPr>
        <w:t xml:space="preserve">Iskustvo s Uredbom (EZ) br. 648/2004 pokazalo je da su deterdženti i površinski aktivne tvari koji su bili u skladu s primjenjivim zahtjevima u pojedinim slučajevima predstavljali rizik za zdravlje ili okoliš. Trebalo bi predvidjeti mogućnost da tijela za nadzor tržišta mogu poduzeti mjere protiv svih deterdženta ili površinski aktivnih tvari koji predstavljaju rizik za zdravlje ili okoliš, čak i ako su u skladu s pravnim zahtjevima. Komisija bi trebala provedbenim aktima i, s obzirom na njihovu posebnu i tehničku prirodu, bez primjene Uredbe (EU) br. 182/2011, utvrditi je li opravdana određena nacionalna mjera za sukladne deterdžente ili površinski aktivne tvari za koje država članica smatra da predstavljaju rizik za zdravlje i sigurnost osoba ili okoliš. </w:t>
      </w:r>
    </w:p>
    <w:p w14:paraId="01AD8436" w14:textId="6C1164DA" w:rsidR="00CE5BAD" w:rsidRPr="00B87C3A" w:rsidRDefault="00180A6D" w:rsidP="00180A6D">
      <w:pPr>
        <w:pStyle w:val="ManualConsidrant"/>
        <w:rPr>
          <w:noProof/>
        </w:rPr>
      </w:pPr>
      <w:r w:rsidRPr="00180A6D">
        <w:t>(57)</w:t>
      </w:r>
      <w:r w:rsidRPr="00180A6D">
        <w:tab/>
      </w:r>
      <w:r w:rsidR="00AE2B80" w:rsidRPr="00B87C3A">
        <w:rPr>
          <w:noProof/>
        </w:rPr>
        <w:t xml:space="preserve">Kako bi se u obzir uzeo tehnički i znanstveni napredak ili novi znanstveni dokazi te razina digitalne spremnosti, Komisiji bi trebalo delegirati ovlast za donošenje akata u skladu s člankom 290. Ugovora o funkcioniranju Europske unije radi dopune općih zahtjeva za digitalno označivanje; izmjenom informacija na oznakama koje se mogu pružiti samo u digitalnom obliku; izmjenom granične vrijednosti alergenih mirisa ako su Uredbom (EZ) br. 1223/2009 utvrđene pojedinačne granične vrijednosti koncentracije alergenih mirisa koje se temelje na riziku; izmjenom postojećih zahtjeva o biorazgradivosti radi uvođenja zahtjeva o biorazgradivosti za tvari i smjese u deterdžentima (uključujući kapsule za deterdžente) koje nisu površinski aktivne tvari ako to zahtijevaju novi znanstveni dokazi; i izmjenom priloga od I. do VII. Komisiju bi trebalo ovlastiti i za izmjenu posebnih informacija koje bi trebalo uključiti u putovnicu za proizvode, kao i informacija koje treba uključiti u registar Komisije. Nadalje, Komisiju bi trebalo ovlastiti za dopunu ove Uredbe utvrđivanjem dodatnih informacija pohranjenih u registru koji će voditi carinska tijela. Osim toga, kako bi se carinskim tijelima olakšao rad povezan s deterdžentima i površinski aktivnim tvarima u skladu sa zahtjevima iz ove Uredbe, Komisiju bi trebalo ovlastiti za donošenje </w:t>
      </w:r>
      <w:r w:rsidR="00AE2B80" w:rsidRPr="00B87C3A">
        <w:rPr>
          <w:noProof/>
        </w:rPr>
        <w:lastRenderedPageBreak/>
        <w:t>delegiranih akata o izmjeni ove Uredbe utvrđivanjem priloga koji sadržava popis oznaka kombinirane nomenklature, kako je utvrđeno u Prilogu I. Uredbi (EEZ) br. 2658/87, kao i opise proizvoda za deterdžente i površinski aktivne tvari te ažuriranjem tog priloga.</w:t>
      </w:r>
    </w:p>
    <w:p w14:paraId="78B5C070" w14:textId="0BFC6091" w:rsidR="004B74B3" w:rsidRPr="00B87C3A" w:rsidRDefault="00180A6D" w:rsidP="00180A6D">
      <w:pPr>
        <w:pStyle w:val="ManualConsidrant"/>
        <w:rPr>
          <w:noProof/>
        </w:rPr>
      </w:pPr>
      <w:r w:rsidRPr="00180A6D">
        <w:t>(58)</w:t>
      </w:r>
      <w:r w:rsidRPr="00180A6D">
        <w:tab/>
      </w:r>
      <w:r w:rsidR="004B74B3" w:rsidRPr="00B87C3A">
        <w:rPr>
          <w:noProof/>
        </w:rPr>
        <w:t>Pri donošenju delegiranih akata na temelju ove Uredbe posebno je važno da Komisija tijekom svojeg pripremnog rada provede odgovarajuća savjetovanja, uključujući ona na razini stručnjaka, te da se ta savjetovanja provedu u skladu s načelima utvrđenima u Međuinstitucijskom sporazumu o boljoj izradi zakonodavstva od 13. travnja 2016</w:t>
      </w:r>
      <w:r w:rsidR="004B74B3" w:rsidRPr="00B87C3A">
        <w:rPr>
          <w:rStyle w:val="FootnoteReference"/>
          <w:noProof/>
        </w:rPr>
        <w:footnoteReference w:id="40"/>
      </w:r>
      <w:r w:rsidR="004B74B3" w:rsidRPr="00B87C3A">
        <w:rPr>
          <w:noProof/>
        </w:rPr>
        <w:t>. Kako bi stručnjaci Europskog parlamenta i Vijeća mogli ravnopravno sudjelovati u pripremi delegiranih akata, sve dokumente dobivaju istodobno kad i stručnjaci iz država članica i sustavno imaju pristup sastancima stručnih skupina Komisije za pripremu delegiranih akata.</w:t>
      </w:r>
    </w:p>
    <w:p w14:paraId="6FA48B10" w14:textId="57A264A8" w:rsidR="00321EE9" w:rsidRPr="00B87C3A" w:rsidRDefault="00180A6D" w:rsidP="00180A6D">
      <w:pPr>
        <w:pStyle w:val="ManualConsidrant"/>
        <w:rPr>
          <w:noProof/>
        </w:rPr>
      </w:pPr>
      <w:r w:rsidRPr="00180A6D">
        <w:t>(59)</w:t>
      </w:r>
      <w:r w:rsidRPr="00180A6D">
        <w:tab/>
      </w:r>
      <w:r w:rsidR="00321EE9" w:rsidRPr="00B87C3A">
        <w:rPr>
          <w:noProof/>
        </w:rPr>
        <w:t>Kako bi se osigurali jedinstveni uvjeti za provedbu ove Uredbe, Komisiji bi trebalo dodijeliti provedbene ovlasti za utvrđivanje detaljnih tehničkih zahtjeva za putovnicu za proizvode za deterdžente i površinski aktivne tvari. Te bi se ovlasti trebale izvršavati u skladu s Uredbom (EU) br. 182/2011 Europskog parlamenta i Vijeća</w:t>
      </w:r>
      <w:r w:rsidR="00321EE9" w:rsidRPr="00B87C3A">
        <w:rPr>
          <w:rStyle w:val="FootnoteReference"/>
          <w:noProof/>
        </w:rPr>
        <w:footnoteReference w:id="41"/>
      </w:r>
      <w:r w:rsidR="00321EE9" w:rsidRPr="00B87C3A">
        <w:rPr>
          <w:noProof/>
        </w:rPr>
        <w:t>.</w:t>
      </w:r>
    </w:p>
    <w:p w14:paraId="1677D7D5" w14:textId="7BA081D9" w:rsidR="005447D1" w:rsidRPr="00B87C3A" w:rsidRDefault="00180A6D" w:rsidP="00180A6D">
      <w:pPr>
        <w:pStyle w:val="ManualConsidrant"/>
        <w:rPr>
          <w:noProof/>
        </w:rPr>
      </w:pPr>
      <w:r w:rsidRPr="00180A6D">
        <w:t>(60)</w:t>
      </w:r>
      <w:r w:rsidRPr="00180A6D">
        <w:tab/>
      </w:r>
      <w:r w:rsidR="00C675E0" w:rsidRPr="00B87C3A">
        <w:rPr>
          <w:noProof/>
        </w:rPr>
        <w:t>S obzirom na potrebu da se osigura visoka razina zaštite zdravlja ljudi i okoliša te potrebu da se u obzir uzmu nova kretanja na temelju znanstvenih činjenica, Komisija bi Europskom parlamentu i Vijeću trebala podnijeti izvješće o primjeni ove Uredbe. Komisija bi u svojem izvješću trebala, među ostalim, procijeniti ostvaruju li se ovom Uredbom njezini ciljevi, uzimajući u obzir učinke na mala i srednja poduzeća.</w:t>
      </w:r>
    </w:p>
    <w:p w14:paraId="0E9FB2F7" w14:textId="5094E84C" w:rsidR="00C675E0" w:rsidRPr="00B87C3A" w:rsidRDefault="00180A6D" w:rsidP="00180A6D">
      <w:pPr>
        <w:pStyle w:val="ManualConsidrant"/>
        <w:rPr>
          <w:noProof/>
        </w:rPr>
      </w:pPr>
      <w:r w:rsidRPr="00180A6D">
        <w:t>(61)</w:t>
      </w:r>
      <w:r w:rsidRPr="00180A6D">
        <w:tab/>
      </w:r>
      <w:r w:rsidR="005447D1" w:rsidRPr="00B87C3A">
        <w:rPr>
          <w:noProof/>
        </w:rPr>
        <w:t>Kako bi se osigurala visoka razina zaštite zdravlja i okoliša, potaknule inovacije i povećala konkurentnost, Komisija bi trebala procijeniti sigurnosne zahtjeve za deterdžente koji sadržavaju mikroorganizme i mogućnost dopuštanja upotrebe novih mikroorganizama ili sojeva mikroorganizama u deterdžentima.</w:t>
      </w:r>
    </w:p>
    <w:p w14:paraId="1FA16421" w14:textId="34843FEB" w:rsidR="008B419D" w:rsidRPr="00B87C3A" w:rsidRDefault="00180A6D" w:rsidP="00180A6D">
      <w:pPr>
        <w:pStyle w:val="ManualConsidrant"/>
        <w:rPr>
          <w:noProof/>
        </w:rPr>
      </w:pPr>
      <w:r w:rsidRPr="00180A6D">
        <w:t>(62)</w:t>
      </w:r>
      <w:r w:rsidRPr="00180A6D">
        <w:tab/>
      </w:r>
      <w:r w:rsidR="008B419D" w:rsidRPr="00B87C3A">
        <w:rPr>
          <w:noProof/>
        </w:rPr>
        <w:t xml:space="preserve">Ovom se Uredbom uvodi mogućnost da se u određenim situacijama svi zahtjevi za obvezno označivanje ili jedan njihov dio navedu samo u obliku digitalne oznake i zahtijeva se izrada digitalne putovnice za deterdžente i površinski aktivne tvari. Gospodarskim subjektima zato treba osigurati dovoljno vremena da ispune svoje obveze na temelju ove Uredbe, državama članicama da uspostave administrativnu infrastrukturu potrebnu za njezinu primjenu, a Komisiji da pripremi provedbu tehničkih zahtjeva za putovnicu za proizvode. Stoga bi primjenu ove Uredbe trebalo odgoditi do datuma do kojeg se te pripreme mogu u razumnom roku dovršiti. </w:t>
      </w:r>
    </w:p>
    <w:p w14:paraId="0D8B1AE3" w14:textId="47C6E677" w:rsidR="00E81498" w:rsidRPr="00B87C3A" w:rsidRDefault="00180A6D" w:rsidP="00180A6D">
      <w:pPr>
        <w:pStyle w:val="ManualConsidrant"/>
        <w:rPr>
          <w:noProof/>
        </w:rPr>
      </w:pPr>
      <w:r w:rsidRPr="00180A6D">
        <w:t>(63)</w:t>
      </w:r>
      <w:r w:rsidRPr="00180A6D">
        <w:tab/>
      </w:r>
      <w:r w:rsidR="00CA5A1F" w:rsidRPr="00B87C3A">
        <w:rPr>
          <w:noProof/>
        </w:rPr>
        <w:t xml:space="preserve">Kako bi se osigurala pravna sigurnost i spriječio nastanak otpada, gospodarski subjekti moraju na datum početka primjene ove Uredbe moći prodati zalihe koje su u distribucijskom lancu ili skladištu. Stoga je potrebno utvrditi prijelazna rješenja kojima se dopušta stavljanje na raspolaganje na tržištu deterdženata i površinski aktivnih tvari koji su stavljeni na tržište u skladu s Uredbom (EZ) br. 648/2004 prije datuma početka primjene ove Uredbe, a da ti proizvodi ne moraju ispunjavati zahtjeve za proizvode utvrđene ovom Uredbom.  Distributeri bi stoga trebali moći isporučivati deterdžente i površinski aktivne tvari koji su stavljeni na tržište prije datuma početka primjene ove Uredbe, odnosno zalihu koja je već u distribucijskom lancu. </w:t>
      </w:r>
    </w:p>
    <w:p w14:paraId="2C932239" w14:textId="14A98E5B" w:rsidR="00CA5A1F" w:rsidRPr="00B87C3A" w:rsidRDefault="00180A6D" w:rsidP="00180A6D">
      <w:pPr>
        <w:pStyle w:val="ManualConsidrant"/>
        <w:rPr>
          <w:noProof/>
        </w:rPr>
      </w:pPr>
      <w:r w:rsidRPr="00180A6D">
        <w:lastRenderedPageBreak/>
        <w:t>(64)</w:t>
      </w:r>
      <w:r w:rsidRPr="00180A6D">
        <w:tab/>
      </w:r>
      <w:r w:rsidR="0033718E" w:rsidRPr="00B87C3A">
        <w:rPr>
          <w:noProof/>
        </w:rPr>
        <w:t>Također bi trebalo utvrditi prijelazna rješenja koja omogućuju stavljanje na tržište deterdženata i površinski aktivnih tvari koji na dan početka primjene ove Uredbe još nisu u distribucijskom lancu, a da ti proizvodi ne moraju ispunjavati zahtjeve utvrđene ovom Uredbom, pod uvjetom da su u trenutku stavljanja na tržište još uvijek u skladu s Uredbom (EZ) br. 648/2004. Stoga bi proizvođači i uvoznici trebali moći na tržište staviti deterdžente i površinski aktivne tvari, točnije zalihe koje još nisu u distribucijskom lancu, nakon datuma početka primjene ove Uredbe.</w:t>
      </w:r>
    </w:p>
    <w:p w14:paraId="2394C18C" w14:textId="23873283" w:rsidR="00C675E0" w:rsidRPr="00B87C3A" w:rsidRDefault="00180A6D" w:rsidP="00180A6D">
      <w:pPr>
        <w:pStyle w:val="ManualConsidrant"/>
        <w:rPr>
          <w:noProof/>
        </w:rPr>
      </w:pPr>
      <w:r w:rsidRPr="00180A6D">
        <w:t>(65)</w:t>
      </w:r>
      <w:r w:rsidRPr="00180A6D">
        <w:tab/>
      </w:r>
      <w:r w:rsidR="00C675E0" w:rsidRPr="00B87C3A">
        <w:rPr>
          <w:noProof/>
        </w:rPr>
        <w:t>S obzirom na to da cilj ove Uredbe, to jest jamčenje funkcioniranja unutarnjeg tržišta uz osiguravanje da deterdženti i površinski aktivne tvari na tržištu ispunjavaju zahtjeve kojima se predviđa visoka razina zaštite zdravlja i okoliša, ne mogu dostatno ostvariti države članice, nego se zbog njezina opsega ili učinaka on na bolji način može ostvariti na razini Unije, Unija može donijeti mjere u skladu s načelom supsidijarnosti utvrđenim u članku 5. Ugovora o Europskoj uniji. U skladu s načelom proporcionalnosti, kako je utvrđeno u tom članku, ova Uredba ne prelazi ono što je potrebno za ostvarivanje tog cilja,</w:t>
      </w:r>
    </w:p>
    <w:p w14:paraId="1CD1CD5C" w14:textId="77777777" w:rsidR="005443FF" w:rsidRPr="00B87C3A" w:rsidRDefault="005443FF" w:rsidP="000D0F03">
      <w:pPr>
        <w:rPr>
          <w:noProof/>
        </w:rPr>
      </w:pPr>
    </w:p>
    <w:p w14:paraId="37C0106C" w14:textId="77777777" w:rsidR="005443FF" w:rsidRPr="00B87C3A" w:rsidRDefault="005443FF" w:rsidP="00A41E33">
      <w:pPr>
        <w:pStyle w:val="Formuledadoption"/>
        <w:rPr>
          <w:noProof/>
        </w:rPr>
      </w:pPr>
      <w:r w:rsidRPr="00B87C3A">
        <w:rPr>
          <w:noProof/>
        </w:rPr>
        <w:t>DONIJELI SU OVU UREDBU:</w:t>
      </w:r>
    </w:p>
    <w:p w14:paraId="5E42DC72" w14:textId="77777777" w:rsidR="00080D21" w:rsidRPr="00B87C3A" w:rsidRDefault="00183976" w:rsidP="00080D21">
      <w:pPr>
        <w:pStyle w:val="ChapterTitle"/>
        <w:spacing w:after="0"/>
        <w:rPr>
          <w:noProof/>
        </w:rPr>
      </w:pPr>
      <w:r w:rsidRPr="00B87C3A">
        <w:rPr>
          <w:noProof/>
        </w:rPr>
        <w:t xml:space="preserve">POGLAVLJE I. </w:t>
      </w:r>
    </w:p>
    <w:p w14:paraId="460FD9C1" w14:textId="77777777" w:rsidR="001773DF" w:rsidRPr="00B87C3A" w:rsidRDefault="001773DF" w:rsidP="00C263EB">
      <w:pPr>
        <w:pStyle w:val="ChapterTitle"/>
        <w:rPr>
          <w:noProof/>
        </w:rPr>
      </w:pPr>
      <w:r w:rsidRPr="00B87C3A">
        <w:rPr>
          <w:noProof/>
        </w:rPr>
        <w:t>OPĆE ODREDBE</w:t>
      </w:r>
    </w:p>
    <w:p w14:paraId="6921A0DF" w14:textId="77777777" w:rsidR="005443FF" w:rsidRPr="00B87C3A" w:rsidRDefault="005443FF" w:rsidP="00543F83">
      <w:pPr>
        <w:pStyle w:val="Titrearticle"/>
        <w:spacing w:before="0" w:after="0"/>
        <w:rPr>
          <w:noProof/>
        </w:rPr>
      </w:pPr>
      <w:r w:rsidRPr="00B87C3A">
        <w:rPr>
          <w:noProof/>
        </w:rPr>
        <w:t>Članak 1.</w:t>
      </w:r>
    </w:p>
    <w:p w14:paraId="4A256A18" w14:textId="77777777" w:rsidR="00AA4531" w:rsidRPr="00B87C3A" w:rsidRDefault="00DF70A3" w:rsidP="00543F83">
      <w:pPr>
        <w:pStyle w:val="Titrearticle"/>
        <w:spacing w:before="0" w:after="0"/>
        <w:rPr>
          <w:b/>
          <w:i w:val="0"/>
          <w:noProof/>
        </w:rPr>
      </w:pPr>
      <w:r w:rsidRPr="00B87C3A">
        <w:rPr>
          <w:b/>
          <w:i w:val="0"/>
          <w:noProof/>
        </w:rPr>
        <w:t xml:space="preserve">Predmet </w:t>
      </w:r>
    </w:p>
    <w:p w14:paraId="186407D1" w14:textId="760B1DE8" w:rsidR="00AA4531" w:rsidRPr="00B87C3A" w:rsidRDefault="00180A6D" w:rsidP="00180A6D">
      <w:pPr>
        <w:pStyle w:val="ManualNumPar1"/>
        <w:rPr>
          <w:noProof/>
        </w:rPr>
      </w:pPr>
      <w:r w:rsidRPr="00180A6D">
        <w:t>1.</w:t>
      </w:r>
      <w:r w:rsidRPr="00180A6D">
        <w:tab/>
      </w:r>
      <w:r w:rsidR="00AA4531" w:rsidRPr="00B87C3A">
        <w:rPr>
          <w:noProof/>
        </w:rPr>
        <w:t>Ovom se Uredbom utvrđuju pravila za slobodu kretanja deterdženata i površinski aktivnih tvari na unutarnjem tržištu i istodobno osigurava visok stupanj zaštite zdravlja i okoliša.</w:t>
      </w:r>
    </w:p>
    <w:p w14:paraId="508CA262" w14:textId="45CD74EA" w:rsidR="003E1EA9" w:rsidRPr="00B87C3A" w:rsidRDefault="00180A6D" w:rsidP="00180A6D">
      <w:pPr>
        <w:pStyle w:val="ManualNumPar1"/>
        <w:rPr>
          <w:noProof/>
        </w:rPr>
      </w:pPr>
      <w:r w:rsidRPr="00180A6D">
        <w:t>2.</w:t>
      </w:r>
      <w:r w:rsidRPr="00180A6D">
        <w:tab/>
      </w:r>
      <w:r w:rsidR="00823344" w:rsidRPr="00B87C3A">
        <w:rPr>
          <w:noProof/>
        </w:rPr>
        <w:t xml:space="preserve">Ova Uredba ne utječe na primjenu sljedećih pravnih akata: </w:t>
      </w:r>
    </w:p>
    <w:p w14:paraId="3E3E720D" w14:textId="39B09193" w:rsidR="00EE0652" w:rsidRPr="00B87C3A" w:rsidRDefault="00180A6D" w:rsidP="00180A6D">
      <w:pPr>
        <w:pStyle w:val="Point1"/>
        <w:rPr>
          <w:noProof/>
        </w:rPr>
      </w:pPr>
      <w:r w:rsidRPr="00180A6D">
        <w:t>(a)</w:t>
      </w:r>
      <w:r w:rsidRPr="00180A6D">
        <w:tab/>
      </w:r>
      <w:r w:rsidR="00EE0652" w:rsidRPr="00B87C3A">
        <w:rPr>
          <w:noProof/>
        </w:rPr>
        <w:t>Uredbe (EZ) br. 1907/2006 Europskog parlamenta i Vijeća</w:t>
      </w:r>
      <w:r w:rsidR="00EE0652" w:rsidRPr="00B87C3A">
        <w:rPr>
          <w:rStyle w:val="FootnoteReference"/>
          <w:noProof/>
        </w:rPr>
        <w:footnoteReference w:id="42"/>
      </w:r>
      <w:r w:rsidR="00EE0652" w:rsidRPr="00B87C3A">
        <w:rPr>
          <w:noProof/>
        </w:rPr>
        <w:t>;</w:t>
      </w:r>
    </w:p>
    <w:p w14:paraId="7CAA3E80" w14:textId="24039D26" w:rsidR="003E1EA9" w:rsidRPr="00B87C3A" w:rsidRDefault="00180A6D" w:rsidP="00180A6D">
      <w:pPr>
        <w:pStyle w:val="Point1"/>
        <w:rPr>
          <w:noProof/>
        </w:rPr>
      </w:pPr>
      <w:r w:rsidRPr="00180A6D">
        <w:t>(b)</w:t>
      </w:r>
      <w:r w:rsidRPr="00180A6D">
        <w:tab/>
      </w:r>
      <w:r w:rsidR="008253C8" w:rsidRPr="00B87C3A">
        <w:rPr>
          <w:noProof/>
        </w:rPr>
        <w:t>Uredbe (EZ) br. 1272/2008 Europskog parlamenta i Vijeća</w:t>
      </w:r>
      <w:r w:rsidR="008253C8" w:rsidRPr="00B87C3A">
        <w:rPr>
          <w:rStyle w:val="FootnoteReference"/>
          <w:noProof/>
        </w:rPr>
        <w:footnoteReference w:id="43"/>
      </w:r>
      <w:r w:rsidR="008253C8" w:rsidRPr="00B87C3A">
        <w:rPr>
          <w:noProof/>
        </w:rPr>
        <w:t>;</w:t>
      </w:r>
    </w:p>
    <w:p w14:paraId="2A2CB647" w14:textId="37571D16" w:rsidR="00237FD2" w:rsidRPr="00B87C3A" w:rsidRDefault="00180A6D" w:rsidP="00180A6D">
      <w:pPr>
        <w:pStyle w:val="Point1"/>
        <w:rPr>
          <w:noProof/>
        </w:rPr>
      </w:pPr>
      <w:r w:rsidRPr="00180A6D">
        <w:t>(c)</w:t>
      </w:r>
      <w:r w:rsidRPr="00180A6D">
        <w:tab/>
      </w:r>
      <w:r w:rsidR="00237FD2" w:rsidRPr="00B87C3A">
        <w:rPr>
          <w:noProof/>
        </w:rPr>
        <w:t>Uredbe (EU) br. 528/2012 Europskog parlamenta i Vijeća</w:t>
      </w:r>
      <w:r w:rsidR="00237FD2" w:rsidRPr="00B87C3A">
        <w:rPr>
          <w:rStyle w:val="FootnoteReference"/>
          <w:noProof/>
        </w:rPr>
        <w:footnoteReference w:id="44"/>
      </w:r>
      <w:r w:rsidR="00237FD2" w:rsidRPr="00B87C3A">
        <w:rPr>
          <w:noProof/>
        </w:rPr>
        <w:t xml:space="preserve">. </w:t>
      </w:r>
    </w:p>
    <w:p w14:paraId="10598C5A" w14:textId="77777777" w:rsidR="00237FD2" w:rsidRPr="00B87C3A" w:rsidRDefault="00237FD2" w:rsidP="008F66AE">
      <w:pPr>
        <w:rPr>
          <w:noProof/>
        </w:rPr>
      </w:pPr>
    </w:p>
    <w:p w14:paraId="566A01E8" w14:textId="77777777" w:rsidR="00005881" w:rsidRPr="00B87C3A" w:rsidRDefault="00005881" w:rsidP="00543F83">
      <w:pPr>
        <w:pStyle w:val="Titrearticle"/>
        <w:spacing w:before="0" w:after="0"/>
        <w:rPr>
          <w:rFonts w:eastAsia="Times New Roman"/>
          <w:bCs/>
          <w:noProof/>
          <w:szCs w:val="24"/>
        </w:rPr>
      </w:pPr>
      <w:r w:rsidRPr="00B87C3A">
        <w:rPr>
          <w:noProof/>
        </w:rPr>
        <w:t>Članak 2.</w:t>
      </w:r>
    </w:p>
    <w:p w14:paraId="3BD7F760" w14:textId="77777777" w:rsidR="00005881" w:rsidRPr="00B87C3A" w:rsidRDefault="00005881" w:rsidP="00543F83">
      <w:pPr>
        <w:pStyle w:val="Titrearticle"/>
        <w:spacing w:before="0" w:after="0"/>
        <w:rPr>
          <w:b/>
          <w:i w:val="0"/>
          <w:noProof/>
        </w:rPr>
      </w:pPr>
      <w:r w:rsidRPr="00B87C3A">
        <w:rPr>
          <w:b/>
          <w:i w:val="0"/>
          <w:noProof/>
        </w:rPr>
        <w:t>Definicije</w:t>
      </w:r>
    </w:p>
    <w:p w14:paraId="6739EC66" w14:textId="77777777" w:rsidR="00AA4531" w:rsidRPr="00B87C3A" w:rsidRDefault="00AA4531" w:rsidP="00AA4531">
      <w:pPr>
        <w:rPr>
          <w:noProof/>
        </w:rPr>
      </w:pPr>
      <w:r w:rsidRPr="00B87C3A">
        <w:rPr>
          <w:noProof/>
        </w:rPr>
        <w:t>Za potrebe ove Uredbe primjenjuju se sljedeće definicije:</w:t>
      </w:r>
    </w:p>
    <w:p w14:paraId="342EECAE" w14:textId="44B037BD" w:rsidR="00C53004" w:rsidRPr="00B87C3A" w:rsidRDefault="00180A6D" w:rsidP="00180A6D">
      <w:pPr>
        <w:pStyle w:val="Point0"/>
        <w:rPr>
          <w:noProof/>
        </w:rPr>
      </w:pPr>
      <w:r w:rsidRPr="00180A6D">
        <w:lastRenderedPageBreak/>
        <w:t>(1)</w:t>
      </w:r>
      <w:r w:rsidRPr="00180A6D">
        <w:tab/>
      </w:r>
      <w:r w:rsidR="006D304E" w:rsidRPr="00B87C3A">
        <w:rPr>
          <w:noProof/>
        </w:rPr>
        <w:t>„deterdžent” znači bilo što od sljedećeg:</w:t>
      </w:r>
    </w:p>
    <w:p w14:paraId="073AB112" w14:textId="77777777" w:rsidR="006D304E" w:rsidRPr="00B87C3A" w:rsidRDefault="00250BC2" w:rsidP="00DF795B">
      <w:pPr>
        <w:pStyle w:val="Tiret1"/>
        <w:numPr>
          <w:ilvl w:val="0"/>
          <w:numId w:val="26"/>
        </w:numPr>
        <w:rPr>
          <w:noProof/>
        </w:rPr>
      </w:pPr>
      <w:r w:rsidRPr="00B87C3A">
        <w:rPr>
          <w:noProof/>
        </w:rPr>
        <w:t>tvar, smjesa ili mikroorganizam ili pak dva ili više takvih materijala u kombinaciji koji su namijenjeni za čišćenje tkanina, posuđa ili površina,</w:t>
      </w:r>
    </w:p>
    <w:p w14:paraId="71A7BB8E" w14:textId="77777777" w:rsidR="00AA4531" w:rsidRPr="00B87C3A" w:rsidRDefault="005D490D" w:rsidP="0005449C">
      <w:pPr>
        <w:pStyle w:val="Tiret1"/>
        <w:rPr>
          <w:noProof/>
        </w:rPr>
      </w:pPr>
      <w:r w:rsidRPr="00B87C3A">
        <w:rPr>
          <w:noProof/>
        </w:rPr>
        <w:t>smjesa namijenjena za namakanje (pretpranje), ispiranje ili izbjeljivanje tkanina ili posuđa;</w:t>
      </w:r>
    </w:p>
    <w:p w14:paraId="4AD32362" w14:textId="77777777" w:rsidR="00AA4531" w:rsidRPr="00B87C3A" w:rsidRDefault="005D490D" w:rsidP="0005449C">
      <w:pPr>
        <w:pStyle w:val="Tiret1"/>
        <w:rPr>
          <w:noProof/>
        </w:rPr>
      </w:pPr>
      <w:r w:rsidRPr="00B87C3A">
        <w:rPr>
          <w:noProof/>
        </w:rPr>
        <w:t>smjesa namijenjena tome da se promijeni osjećaj tkanina na dodir u sklopu postupaka kojima se dopunjuje pranje tkanina;</w:t>
      </w:r>
    </w:p>
    <w:p w14:paraId="2101368D" w14:textId="5BA42F1C" w:rsidR="00AA4531" w:rsidRPr="00B87C3A" w:rsidRDefault="00180A6D" w:rsidP="00180A6D">
      <w:pPr>
        <w:pStyle w:val="Point0"/>
        <w:rPr>
          <w:noProof/>
        </w:rPr>
      </w:pPr>
      <w:r w:rsidRPr="00180A6D">
        <w:t>(2)</w:t>
      </w:r>
      <w:r w:rsidRPr="00180A6D">
        <w:tab/>
      </w:r>
      <w:r w:rsidR="00AA4531" w:rsidRPr="00B87C3A">
        <w:rPr>
          <w:noProof/>
        </w:rPr>
        <w:t>„deterdžent za pranje rublja koji se koristi u kućanstvu” znači deterdžent za pranje rublja koji se stavlja na tržište za neprofesionalne korisnike, među ostalim u javnim praonicama rublja;</w:t>
      </w:r>
    </w:p>
    <w:p w14:paraId="469691CB" w14:textId="6FD864E9" w:rsidR="00586482" w:rsidRPr="00B87C3A" w:rsidRDefault="00180A6D" w:rsidP="00180A6D">
      <w:pPr>
        <w:pStyle w:val="Point0"/>
        <w:rPr>
          <w:noProof/>
        </w:rPr>
      </w:pPr>
      <w:r w:rsidRPr="00180A6D">
        <w:t>(3)</w:t>
      </w:r>
      <w:r w:rsidRPr="00180A6D">
        <w:tab/>
      </w:r>
      <w:r w:rsidR="00AA4531" w:rsidRPr="00B87C3A">
        <w:rPr>
          <w:noProof/>
        </w:rPr>
        <w:t>„deterdžent za strojno pranje posuđa koji se koristi u kućanstvu” znači deterdžent koji se stavlja na tržište za upotrebu u perilicama posuđa za neprofesionalne korisnike;</w:t>
      </w:r>
    </w:p>
    <w:p w14:paraId="1963F908" w14:textId="630271E6" w:rsidR="004500DB" w:rsidRPr="00B87C3A" w:rsidRDefault="00180A6D" w:rsidP="00180A6D">
      <w:pPr>
        <w:pStyle w:val="Point0"/>
        <w:rPr>
          <w:noProof/>
        </w:rPr>
      </w:pPr>
      <w:r w:rsidRPr="00180A6D">
        <w:t>(4)</w:t>
      </w:r>
      <w:r w:rsidRPr="00180A6D">
        <w:tab/>
      </w:r>
      <w:r w:rsidR="00FC30EB" w:rsidRPr="00B87C3A">
        <w:rPr>
          <w:noProof/>
        </w:rPr>
        <w:t>„deterdžent koji sadržava mikroorganizme” znači deterdžent kojem je namjerno dodan jedan mikroorganizam ili više njih, zasebno ili u jednom od sastojaka deterdženta;</w:t>
      </w:r>
    </w:p>
    <w:p w14:paraId="2B556B0B" w14:textId="509AF053" w:rsidR="003C0D33" w:rsidRPr="00B87C3A" w:rsidRDefault="00180A6D" w:rsidP="00180A6D">
      <w:pPr>
        <w:pStyle w:val="Point0"/>
        <w:rPr>
          <w:noProof/>
        </w:rPr>
      </w:pPr>
      <w:r w:rsidRPr="00180A6D">
        <w:t>(5)</w:t>
      </w:r>
      <w:r w:rsidRPr="00180A6D">
        <w:tab/>
      </w:r>
      <w:r w:rsidR="009B6D96" w:rsidRPr="00B87C3A">
        <w:rPr>
          <w:noProof/>
        </w:rPr>
        <w:t>„profesionalni deterdžent” znači deterdžent za čišćenje izvan kućanstva koje obavlja stručno osoblje upotrebljavajući posebne proizvode;</w:t>
      </w:r>
    </w:p>
    <w:p w14:paraId="06F85540" w14:textId="048A819C" w:rsidR="00245CB1" w:rsidRPr="00B87C3A" w:rsidRDefault="00180A6D" w:rsidP="00180A6D">
      <w:pPr>
        <w:pStyle w:val="Point0"/>
        <w:rPr>
          <w:rFonts w:eastAsia="Times New Roman"/>
          <w:noProof/>
          <w:szCs w:val="24"/>
        </w:rPr>
      </w:pPr>
      <w:r w:rsidRPr="00180A6D">
        <w:t>(6)</w:t>
      </w:r>
      <w:r w:rsidRPr="00180A6D">
        <w:tab/>
      </w:r>
      <w:r w:rsidR="00245CB1" w:rsidRPr="00B87C3A">
        <w:rPr>
          <w:noProof/>
        </w:rPr>
        <w:t xml:space="preserve">„čišćenje” znači postupak kojim se neželjena naslaga uklanja sa supstrata ili iz supstrata i prenosi u otopinu ili disperziju; </w:t>
      </w:r>
    </w:p>
    <w:p w14:paraId="7FEB19F7" w14:textId="6467FE0F" w:rsidR="00245CB1" w:rsidRPr="00B87C3A" w:rsidRDefault="00180A6D" w:rsidP="00180A6D">
      <w:pPr>
        <w:pStyle w:val="Point0"/>
        <w:rPr>
          <w:noProof/>
        </w:rPr>
      </w:pPr>
      <w:r w:rsidRPr="00180A6D">
        <w:t>(7)</w:t>
      </w:r>
      <w:r w:rsidRPr="00180A6D">
        <w:tab/>
      </w:r>
      <w:r w:rsidR="00245CB1" w:rsidRPr="00B87C3A">
        <w:rPr>
          <w:noProof/>
        </w:rPr>
        <w:t>„tvar” znači tvar kako je definirana u članku 3. točki 1. Uredbe (EZ) br. 1907/2006;</w:t>
      </w:r>
    </w:p>
    <w:p w14:paraId="79500EE4" w14:textId="419AA2E5" w:rsidR="00245CB1" w:rsidRPr="00B87C3A" w:rsidRDefault="00180A6D" w:rsidP="00180A6D">
      <w:pPr>
        <w:pStyle w:val="Point0"/>
        <w:rPr>
          <w:rFonts w:eastAsia="Times New Roman"/>
          <w:noProof/>
          <w:szCs w:val="24"/>
        </w:rPr>
      </w:pPr>
      <w:r w:rsidRPr="00180A6D">
        <w:t>(8)</w:t>
      </w:r>
      <w:r w:rsidRPr="00180A6D">
        <w:tab/>
      </w:r>
      <w:r w:rsidR="00245CB1" w:rsidRPr="00B87C3A">
        <w:rPr>
          <w:noProof/>
        </w:rPr>
        <w:t xml:space="preserve">„smjesa” znači smjesa kako je definirana u članku 3. točki 2. Uredbe (EZ) br. 1907/2006; </w:t>
      </w:r>
    </w:p>
    <w:p w14:paraId="0F582BE7" w14:textId="3E2F8F56" w:rsidR="00586482" w:rsidRPr="00B87C3A" w:rsidRDefault="00180A6D" w:rsidP="00180A6D">
      <w:pPr>
        <w:pStyle w:val="Point0"/>
        <w:rPr>
          <w:noProof/>
        </w:rPr>
      </w:pPr>
      <w:r w:rsidRPr="00180A6D">
        <w:t>(9)</w:t>
      </w:r>
      <w:r w:rsidRPr="00180A6D">
        <w:tab/>
      </w:r>
      <w:r w:rsidR="00586482" w:rsidRPr="00B87C3A">
        <w:rPr>
          <w:noProof/>
        </w:rPr>
        <w:t>„mikroorganizam” znači mikroorganizam kako je definiran u članku 3. stavku 1. točki (b) Uredbe (EU) br. 528/2012;</w:t>
      </w:r>
    </w:p>
    <w:p w14:paraId="4499061F" w14:textId="71615610" w:rsidR="00844605" w:rsidRPr="00B87C3A" w:rsidRDefault="00180A6D" w:rsidP="00180A6D">
      <w:pPr>
        <w:pStyle w:val="Point0"/>
        <w:rPr>
          <w:noProof/>
        </w:rPr>
      </w:pPr>
      <w:r w:rsidRPr="00180A6D">
        <w:t>(10)</w:t>
      </w:r>
      <w:r w:rsidRPr="00180A6D">
        <w:tab/>
      </w:r>
      <w:r w:rsidR="00974EB4" w:rsidRPr="00B87C3A">
        <w:rPr>
          <w:noProof/>
        </w:rPr>
        <w:t>„genetski modificirani mikroorganizmi” znači mikroorganizmi u kojima je genetski materijal izmijenjen primjenom genske ili stanične tehnologije ili na bilo koji drugi način do kojeg ne dolazi prirodno parenjem ili prirodnom rekombinacijom;</w:t>
      </w:r>
    </w:p>
    <w:p w14:paraId="3D8CBEDC" w14:textId="778CD8AD" w:rsidR="009D3C81" w:rsidRPr="00B87C3A" w:rsidRDefault="00180A6D" w:rsidP="00180A6D">
      <w:pPr>
        <w:pStyle w:val="Point0"/>
        <w:rPr>
          <w:rFonts w:eastAsia="Times New Roman"/>
          <w:noProof/>
          <w:szCs w:val="24"/>
        </w:rPr>
      </w:pPr>
      <w:r w:rsidRPr="00180A6D">
        <w:t>(11)</w:t>
      </w:r>
      <w:r w:rsidRPr="00180A6D">
        <w:tab/>
      </w:r>
      <w:r w:rsidR="00AA4531" w:rsidRPr="00B87C3A">
        <w:rPr>
          <w:noProof/>
        </w:rPr>
        <w:t xml:space="preserve">„površinski aktivna tvar” znači svaka organska tvar ili smjesa koja se upotrebljava u deterdžentima, koja ima svojstva površinskog djelovanja i koja se sastoji od jedne ili više hidrofilnih i jedne ili više hidrofobnih skupina takve prirode i veličine da može imati svako od sljedećih djelovanja: </w:t>
      </w:r>
    </w:p>
    <w:p w14:paraId="5B82D177" w14:textId="77777777" w:rsidR="009D3C81" w:rsidRPr="00B87C3A" w:rsidRDefault="00EF2EE0" w:rsidP="0005449C">
      <w:pPr>
        <w:pStyle w:val="Tiret1"/>
        <w:rPr>
          <w:noProof/>
        </w:rPr>
      </w:pPr>
      <w:r w:rsidRPr="00B87C3A">
        <w:rPr>
          <w:noProof/>
        </w:rPr>
        <w:t xml:space="preserve">smanjiti površinsku napetost vode na vrijednost ispod 45 mN/m,  </w:t>
      </w:r>
    </w:p>
    <w:p w14:paraId="44AAB060" w14:textId="77777777" w:rsidR="009D3C81" w:rsidRPr="00B87C3A" w:rsidRDefault="00EF2EE0" w:rsidP="0005449C">
      <w:pPr>
        <w:pStyle w:val="Tiret1"/>
        <w:rPr>
          <w:noProof/>
        </w:rPr>
      </w:pPr>
      <w:r w:rsidRPr="00B87C3A">
        <w:rPr>
          <w:noProof/>
        </w:rPr>
        <w:t xml:space="preserve">stvarati jednostruke slojeve sa svojstvom širenja ili adsorpcije na graničnoj površini vode i zraka, </w:t>
      </w:r>
    </w:p>
    <w:p w14:paraId="633D2D29" w14:textId="77777777" w:rsidR="009D3C81" w:rsidRPr="00B87C3A" w:rsidRDefault="00EF2EE0" w:rsidP="0005449C">
      <w:pPr>
        <w:pStyle w:val="Tiret1"/>
        <w:rPr>
          <w:noProof/>
        </w:rPr>
      </w:pPr>
      <w:r w:rsidRPr="00B87C3A">
        <w:rPr>
          <w:noProof/>
        </w:rPr>
        <w:t xml:space="preserve">stvarati emulzije i/ili mikroemulzije i/ili micele, </w:t>
      </w:r>
    </w:p>
    <w:p w14:paraId="3CFA7960" w14:textId="77777777" w:rsidR="00AA4531" w:rsidRPr="00B87C3A" w:rsidRDefault="00EF2EE0" w:rsidP="0005449C">
      <w:pPr>
        <w:pStyle w:val="Tiret1"/>
        <w:rPr>
          <w:noProof/>
        </w:rPr>
      </w:pPr>
      <w:r w:rsidRPr="00B87C3A">
        <w:rPr>
          <w:noProof/>
        </w:rPr>
        <w:t>adsorbirati se na graničnim površinama vode i čvrste tvari;</w:t>
      </w:r>
    </w:p>
    <w:p w14:paraId="700F3EE6" w14:textId="358CD9D0" w:rsidR="00AA4531" w:rsidRPr="00B87C3A" w:rsidRDefault="00180A6D" w:rsidP="00180A6D">
      <w:pPr>
        <w:pStyle w:val="Point0"/>
        <w:rPr>
          <w:rFonts w:eastAsia="Times New Roman"/>
          <w:noProof/>
          <w:szCs w:val="24"/>
        </w:rPr>
      </w:pPr>
      <w:r w:rsidRPr="00180A6D">
        <w:t>(12)</w:t>
      </w:r>
      <w:r w:rsidRPr="00180A6D">
        <w:tab/>
      </w:r>
      <w:r w:rsidR="00AA4531" w:rsidRPr="00B87C3A">
        <w:rPr>
          <w:noProof/>
        </w:rPr>
        <w:t>„potpuna aerobna biorazgradnja” znači razina biorazgradnje koja se postiže kad mikroorganizmi u uvjetima gdje ima kisika potpuno iskoriste tvar ili smjesu tako da se ona razgrađuje na ugljikov dioksid, vodu i mineralne soli drugih sadržanih elemenata, što se mjeri metodama ispitivanja navedenima u Prilogu I., kao i na nove mikrobne stanične sastavne dijelove;</w:t>
      </w:r>
    </w:p>
    <w:p w14:paraId="13ECF465" w14:textId="6169DE95" w:rsidR="003E3723" w:rsidRPr="00B87C3A" w:rsidRDefault="00180A6D" w:rsidP="00180A6D">
      <w:pPr>
        <w:pStyle w:val="Point0"/>
        <w:rPr>
          <w:noProof/>
        </w:rPr>
      </w:pPr>
      <w:r w:rsidRPr="00180A6D">
        <w:lastRenderedPageBreak/>
        <w:t>(13)</w:t>
      </w:r>
      <w:r w:rsidRPr="00180A6D">
        <w:tab/>
      </w:r>
      <w:r w:rsidR="003E3723" w:rsidRPr="00B87C3A">
        <w:rPr>
          <w:noProof/>
        </w:rPr>
        <w:t>„stavljanje na raspolaganje na tržištu” znači svaka opskrba za distribuciju, potrošnju ili upotrebu na tržištu Unije u okviru gospodarske aktivnosti uz plaćanje ili bez njega;</w:t>
      </w:r>
    </w:p>
    <w:p w14:paraId="04687D78" w14:textId="18BE8E68" w:rsidR="00AA4531" w:rsidRPr="00B87C3A" w:rsidRDefault="00180A6D" w:rsidP="00180A6D">
      <w:pPr>
        <w:pStyle w:val="Point0"/>
        <w:rPr>
          <w:rFonts w:eastAsia="Times New Roman"/>
          <w:noProof/>
          <w:szCs w:val="24"/>
        </w:rPr>
      </w:pPr>
      <w:r w:rsidRPr="00180A6D">
        <w:t>(14)</w:t>
      </w:r>
      <w:r w:rsidRPr="00180A6D">
        <w:tab/>
      </w:r>
      <w:r w:rsidR="00AA4531" w:rsidRPr="00B87C3A">
        <w:rPr>
          <w:noProof/>
        </w:rPr>
        <w:t xml:space="preserve">„stavljanje na tržište” znači prvo stavljanje na raspolaganje na tržištu Unije; </w:t>
      </w:r>
    </w:p>
    <w:p w14:paraId="37A20F9A" w14:textId="52E43B2A" w:rsidR="00F716BD" w:rsidRPr="00B87C3A" w:rsidRDefault="00180A6D" w:rsidP="00180A6D">
      <w:pPr>
        <w:pStyle w:val="Point0"/>
        <w:rPr>
          <w:noProof/>
        </w:rPr>
      </w:pPr>
      <w:r w:rsidRPr="00180A6D">
        <w:t>(15)</w:t>
      </w:r>
      <w:r w:rsidRPr="00180A6D">
        <w:tab/>
      </w:r>
      <w:r w:rsidR="005E6E6D" w:rsidRPr="00B87C3A">
        <w:rPr>
          <w:noProof/>
        </w:rPr>
        <w:t>„proizvođač” znači svaka fizička ili pravna osoba koja proizvodi ili za koju je osmišljen ili proizveden deterdžent ili površinski aktivna tvar te koja stavlja taj deterdžent ili površinski aktivnu tvar na tržište pod svojim imenom ili trgovačkom oznakom;</w:t>
      </w:r>
    </w:p>
    <w:p w14:paraId="5F3D6AD3" w14:textId="5B7FDA3D" w:rsidR="00F716BD" w:rsidRPr="00B87C3A" w:rsidRDefault="00180A6D" w:rsidP="00180A6D">
      <w:pPr>
        <w:pStyle w:val="Point0"/>
        <w:rPr>
          <w:noProof/>
        </w:rPr>
      </w:pPr>
      <w:r w:rsidRPr="00180A6D">
        <w:t>(16)</w:t>
      </w:r>
      <w:r w:rsidRPr="00180A6D">
        <w:tab/>
      </w:r>
      <w:r w:rsidR="005E6E6D" w:rsidRPr="00B87C3A">
        <w:rPr>
          <w:noProof/>
        </w:rPr>
        <w:t>„ovlašteni zastupnik” znači svaka fizička ili pravna osoba s poslovnim nastanom u Uniji koju je proizvođač pisanim putem ovlastio da u njihovo ime obavlja određene zadaće;</w:t>
      </w:r>
    </w:p>
    <w:p w14:paraId="5237FF5C" w14:textId="51524076" w:rsidR="00F716BD" w:rsidRPr="00B87C3A" w:rsidRDefault="00180A6D" w:rsidP="00180A6D">
      <w:pPr>
        <w:pStyle w:val="Point0"/>
        <w:rPr>
          <w:noProof/>
        </w:rPr>
      </w:pPr>
      <w:r w:rsidRPr="00180A6D">
        <w:t>(17)</w:t>
      </w:r>
      <w:r w:rsidRPr="00180A6D">
        <w:tab/>
      </w:r>
      <w:r w:rsidR="00F716BD" w:rsidRPr="00B87C3A">
        <w:rPr>
          <w:noProof/>
        </w:rPr>
        <w:t xml:space="preserve">„uvoznik” znači svaka fizička ili pravna osoba s poslovnim nastanom u Uniji koja na tržište Unije stavlja deterdžent ili površinski aktivnu tvar iz treće zemlje; </w:t>
      </w:r>
    </w:p>
    <w:p w14:paraId="494C5D0A" w14:textId="35F3495D" w:rsidR="00746469" w:rsidRPr="00B87C3A" w:rsidRDefault="00180A6D" w:rsidP="00180A6D">
      <w:pPr>
        <w:pStyle w:val="Point0"/>
        <w:rPr>
          <w:noProof/>
        </w:rPr>
      </w:pPr>
      <w:r w:rsidRPr="00180A6D">
        <w:t>(18)</w:t>
      </w:r>
      <w:r w:rsidRPr="00180A6D">
        <w:tab/>
      </w:r>
      <w:r w:rsidR="00333F58" w:rsidRPr="00B87C3A">
        <w:rPr>
          <w:noProof/>
        </w:rPr>
        <w:t xml:space="preserve">„distributer” znači svaka fizička ili pravna osoba u opskrbnom lancu koja nije proizvođač ni uvoznik i koja deterdžent ili površinski aktivnu tvar stavlja na raspolaganje na tržištu; </w:t>
      </w:r>
    </w:p>
    <w:p w14:paraId="119A22B3" w14:textId="267A1E90" w:rsidR="003E3723" w:rsidRPr="00B87C3A" w:rsidRDefault="00180A6D" w:rsidP="00180A6D">
      <w:pPr>
        <w:pStyle w:val="Point0"/>
        <w:rPr>
          <w:noProof/>
        </w:rPr>
      </w:pPr>
      <w:r w:rsidRPr="00180A6D">
        <w:t>(19)</w:t>
      </w:r>
      <w:r w:rsidRPr="00180A6D">
        <w:tab/>
      </w:r>
      <w:r w:rsidR="003E3723" w:rsidRPr="00B87C3A">
        <w:rPr>
          <w:noProof/>
        </w:rPr>
        <w:t>„gospodarski subjekt” znači proizvođač, ovlašteni zastupnik, uvoznik ili distributer;</w:t>
      </w:r>
    </w:p>
    <w:p w14:paraId="6131ED3D" w14:textId="56C38960" w:rsidR="00926917" w:rsidRPr="00B87C3A" w:rsidRDefault="00180A6D" w:rsidP="00180A6D">
      <w:pPr>
        <w:pStyle w:val="Point0"/>
        <w:rPr>
          <w:noProof/>
        </w:rPr>
      </w:pPr>
      <w:r w:rsidRPr="00180A6D">
        <w:t>(20)</w:t>
      </w:r>
      <w:r w:rsidRPr="00180A6D">
        <w:tab/>
      </w:r>
      <w:r w:rsidR="00746469" w:rsidRPr="00B87C3A">
        <w:rPr>
          <w:noProof/>
        </w:rPr>
        <w:t xml:space="preserve">„nadzor tržišta” znači aktivnosti koje provode i mjere koje poduzimaju tijela za nadzor tržišta kako bi osigurala da proizvodi ispunjavaju zahtjeve utvrđene u ovoj Uredbi; </w:t>
      </w:r>
    </w:p>
    <w:p w14:paraId="5367308D" w14:textId="68B73044" w:rsidR="00926917" w:rsidRPr="00B87C3A" w:rsidRDefault="00180A6D" w:rsidP="00180A6D">
      <w:pPr>
        <w:pStyle w:val="Point0"/>
        <w:rPr>
          <w:noProof/>
        </w:rPr>
      </w:pPr>
      <w:r w:rsidRPr="00180A6D">
        <w:t>(21)</w:t>
      </w:r>
      <w:r w:rsidRPr="00180A6D">
        <w:tab/>
      </w:r>
      <w:r w:rsidR="00926917" w:rsidRPr="00B87C3A">
        <w:rPr>
          <w:noProof/>
        </w:rPr>
        <w:t>„tijelo za nadzor tržišta” znači tijelo za nadzor tržišta kako je definirano u članku 3. točki 4. Uredbe (EU) 2019/1020;</w:t>
      </w:r>
    </w:p>
    <w:p w14:paraId="38BE6093" w14:textId="58B9BDE7" w:rsidR="003E3723" w:rsidRPr="00B87C3A" w:rsidRDefault="00180A6D" w:rsidP="00180A6D">
      <w:pPr>
        <w:pStyle w:val="Point0"/>
        <w:rPr>
          <w:noProof/>
        </w:rPr>
      </w:pPr>
      <w:r w:rsidRPr="00180A6D">
        <w:t>(22)</w:t>
      </w:r>
      <w:r w:rsidRPr="00180A6D">
        <w:tab/>
      </w:r>
      <w:r w:rsidR="003E3723" w:rsidRPr="00B87C3A">
        <w:rPr>
          <w:noProof/>
        </w:rPr>
        <w:t>„opoziv” znači opoziv kako je definiran u članku 3. točki 22. Uredbe (EU) 2019/1020;</w:t>
      </w:r>
    </w:p>
    <w:p w14:paraId="7A8BA896" w14:textId="512D7A4D" w:rsidR="00790E0F" w:rsidRPr="00B87C3A" w:rsidRDefault="00180A6D" w:rsidP="00180A6D">
      <w:pPr>
        <w:pStyle w:val="Point0"/>
        <w:rPr>
          <w:noProof/>
        </w:rPr>
      </w:pPr>
      <w:r w:rsidRPr="00180A6D">
        <w:t>(23)</w:t>
      </w:r>
      <w:r w:rsidRPr="00180A6D">
        <w:tab/>
      </w:r>
      <w:r w:rsidR="003E3723" w:rsidRPr="00B87C3A">
        <w:rPr>
          <w:noProof/>
        </w:rPr>
        <w:t>„povlačenje” znači povlačenje kako je definirano u članku 3. točki 23. Uredbe (EU) 2019/1020;</w:t>
      </w:r>
    </w:p>
    <w:p w14:paraId="5ACF83BE" w14:textId="1002A981" w:rsidR="004F75D4" w:rsidRPr="00B87C3A" w:rsidRDefault="00180A6D" w:rsidP="00180A6D">
      <w:pPr>
        <w:pStyle w:val="Point0"/>
        <w:rPr>
          <w:noProof/>
        </w:rPr>
      </w:pPr>
      <w:r w:rsidRPr="00180A6D">
        <w:t>(24)</w:t>
      </w:r>
      <w:r w:rsidRPr="00180A6D">
        <w:tab/>
      </w:r>
      <w:r w:rsidR="000C3325" w:rsidRPr="00B87C3A">
        <w:rPr>
          <w:noProof/>
        </w:rPr>
        <w:t>„oznaka CE” znači oznaka kojom proizvođač označuje da je deterdžent usklađen s primjenjivim zahtjevima utvrđenima zakonodavstvom Unije o usklađivanju koje propisuje njezino stavljanje;</w:t>
      </w:r>
    </w:p>
    <w:p w14:paraId="65FDF699" w14:textId="2E4108FD" w:rsidR="00193E3D" w:rsidRPr="00B87C3A" w:rsidRDefault="00180A6D" w:rsidP="00180A6D">
      <w:pPr>
        <w:pStyle w:val="Point0"/>
        <w:rPr>
          <w:noProof/>
        </w:rPr>
      </w:pPr>
      <w:r w:rsidRPr="00180A6D">
        <w:t>(25)</w:t>
      </w:r>
      <w:r w:rsidRPr="00180A6D">
        <w:tab/>
      </w:r>
      <w:r w:rsidR="00193E3D" w:rsidRPr="00B87C3A">
        <w:rPr>
          <w:noProof/>
        </w:rPr>
        <w:t>„korektivna mjera” znači mjera kako je definirana u članku 3. točki 16. Uredbe (EU) 2019/1020;</w:t>
      </w:r>
    </w:p>
    <w:p w14:paraId="5AEA3EF8" w14:textId="09FC471E" w:rsidR="00E32B8E" w:rsidRPr="00B87C3A" w:rsidRDefault="00180A6D" w:rsidP="00180A6D">
      <w:pPr>
        <w:pStyle w:val="Point0"/>
        <w:rPr>
          <w:noProof/>
        </w:rPr>
      </w:pPr>
      <w:r w:rsidRPr="00180A6D">
        <w:t>(26)</w:t>
      </w:r>
      <w:r w:rsidRPr="00180A6D">
        <w:tab/>
      </w:r>
      <w:r w:rsidR="00E32B8E" w:rsidRPr="00B87C3A">
        <w:rPr>
          <w:noProof/>
        </w:rPr>
        <w:t xml:space="preserve">„puštanje u slobodni promet” znači postupak utvrđen člankom 201. Uredbe (EU) br. 952/2013; </w:t>
      </w:r>
    </w:p>
    <w:p w14:paraId="677EA5CE" w14:textId="5C3F7870" w:rsidR="00333F58" w:rsidRPr="00B87C3A" w:rsidRDefault="00180A6D" w:rsidP="00180A6D">
      <w:pPr>
        <w:pStyle w:val="Point0"/>
        <w:rPr>
          <w:noProof/>
        </w:rPr>
      </w:pPr>
      <w:r w:rsidRPr="00180A6D">
        <w:t>(27)</w:t>
      </w:r>
      <w:r w:rsidRPr="00180A6D">
        <w:tab/>
      </w:r>
      <w:r w:rsidR="00A37C31" w:rsidRPr="00B87C3A">
        <w:rPr>
          <w:noProof/>
        </w:rPr>
        <w:t>„nosač podataka” znači simbol linearnog crtičnog koda, dvodimenzionalni simbol ili drugi medij za automatsko bilježenje identifikacijskih podataka koji se može očitati uređajem;</w:t>
      </w:r>
    </w:p>
    <w:p w14:paraId="00ABB764" w14:textId="24369003" w:rsidR="00986580" w:rsidRPr="00B87C3A" w:rsidRDefault="00180A6D" w:rsidP="00180A6D">
      <w:pPr>
        <w:pStyle w:val="Point0"/>
        <w:rPr>
          <w:noProof/>
        </w:rPr>
      </w:pPr>
      <w:r w:rsidRPr="00180A6D">
        <w:t>(28)</w:t>
      </w:r>
      <w:r w:rsidRPr="00180A6D">
        <w:tab/>
      </w:r>
      <w:r w:rsidR="00986580" w:rsidRPr="00B87C3A">
        <w:rPr>
          <w:noProof/>
        </w:rPr>
        <w:t>„jedinstvena identifikacijska oznaka proizvoda” znači jedinstveni niz znakova koji omogućuje identifikaciju proizvoda i daje internetsku poveznicu na putovnicu tog proizvoda;</w:t>
      </w:r>
    </w:p>
    <w:p w14:paraId="56A72BDA" w14:textId="3BED933E" w:rsidR="00E32B8E" w:rsidRPr="00B87C3A" w:rsidRDefault="00180A6D" w:rsidP="00180A6D">
      <w:pPr>
        <w:pStyle w:val="Point0"/>
        <w:rPr>
          <w:noProof/>
        </w:rPr>
      </w:pPr>
      <w:r w:rsidRPr="00180A6D">
        <w:t>(29)</w:t>
      </w:r>
      <w:r w:rsidRPr="00180A6D">
        <w:tab/>
      </w:r>
      <w:r w:rsidR="00E32B8E" w:rsidRPr="00B87C3A">
        <w:rPr>
          <w:noProof/>
        </w:rPr>
        <w:t xml:space="preserve">„jedinstvena identifikacijska oznaka subjekta” znači jedinstveni niz znakova za identifikaciju gospodarskih subjekata uključenih u lanac vrijednosti proizvoda; </w:t>
      </w:r>
    </w:p>
    <w:p w14:paraId="664A30B2" w14:textId="4CAA4A34" w:rsidR="00E32B8E" w:rsidRPr="00B87C3A" w:rsidRDefault="00180A6D" w:rsidP="00180A6D">
      <w:pPr>
        <w:pStyle w:val="Point0"/>
        <w:rPr>
          <w:noProof/>
        </w:rPr>
      </w:pPr>
      <w:r w:rsidRPr="00180A6D">
        <w:t>(30)</w:t>
      </w:r>
      <w:r w:rsidRPr="00180A6D">
        <w:tab/>
      </w:r>
      <w:r w:rsidR="00E32B8E" w:rsidRPr="00B87C3A">
        <w:rPr>
          <w:noProof/>
        </w:rPr>
        <w:t xml:space="preserve">„carinska tijela” znači carinska tijela kako su definirana u članku 5. točki 1. Uredbe (EU) br. 952/2013; </w:t>
      </w:r>
    </w:p>
    <w:p w14:paraId="473B148D" w14:textId="37A193A7" w:rsidR="00E32B8E" w:rsidRPr="00B87C3A" w:rsidRDefault="00180A6D" w:rsidP="00180A6D">
      <w:pPr>
        <w:pStyle w:val="Point0"/>
        <w:rPr>
          <w:noProof/>
        </w:rPr>
      </w:pPr>
      <w:r w:rsidRPr="00180A6D">
        <w:lastRenderedPageBreak/>
        <w:t>(31)</w:t>
      </w:r>
      <w:r w:rsidRPr="00180A6D">
        <w:tab/>
      </w:r>
      <w:r w:rsidR="00E32B8E" w:rsidRPr="00B87C3A">
        <w:rPr>
          <w:noProof/>
        </w:rPr>
        <w:t>„sustav razmjene potvrda u okviru jedinstvenog sučelja EU-a za carinu” znači sustav iz članka 4. Uredbe (EU) 2022/2399 Europskog parlamenta i Vijeća</w:t>
      </w:r>
      <w:r w:rsidR="00E32B8E" w:rsidRPr="00B87C3A">
        <w:rPr>
          <w:rStyle w:val="FootnoteReference"/>
          <w:noProof/>
        </w:rPr>
        <w:footnoteReference w:id="45"/>
      </w:r>
      <w:r w:rsidR="00E32B8E" w:rsidRPr="00B87C3A">
        <w:rPr>
          <w:noProof/>
        </w:rPr>
        <w:t>;</w:t>
      </w:r>
    </w:p>
    <w:p w14:paraId="409030AD" w14:textId="694FDB6B" w:rsidR="00914A17" w:rsidRPr="00B87C3A" w:rsidRDefault="00180A6D" w:rsidP="00180A6D">
      <w:pPr>
        <w:pStyle w:val="Point0"/>
        <w:rPr>
          <w:noProof/>
        </w:rPr>
      </w:pPr>
      <w:r w:rsidRPr="00180A6D">
        <w:t>(32)</w:t>
      </w:r>
      <w:r w:rsidRPr="00180A6D">
        <w:tab/>
      </w:r>
      <w:r w:rsidR="00914A17" w:rsidRPr="00B87C3A">
        <w:rPr>
          <w:noProof/>
        </w:rPr>
        <w:t>„pojedinačno pakiranje” znači pakiranje u kojem se deterdžent ili površinski aktivna tvar stavlja na raspolaganje na tržištu i koje je namijenjeno da prati sadržaj do mjesta upotrebe;</w:t>
      </w:r>
    </w:p>
    <w:p w14:paraId="76A83350" w14:textId="4FA43346" w:rsidR="00976B12" w:rsidRPr="00B87C3A" w:rsidRDefault="00180A6D" w:rsidP="00180A6D">
      <w:pPr>
        <w:pStyle w:val="Point0"/>
        <w:rPr>
          <w:noProof/>
        </w:rPr>
      </w:pPr>
      <w:r w:rsidRPr="00180A6D">
        <w:t>(33)</w:t>
      </w:r>
      <w:r w:rsidRPr="00180A6D">
        <w:tab/>
      </w:r>
      <w:r w:rsidR="00FE692B" w:rsidRPr="00B87C3A">
        <w:rPr>
          <w:noProof/>
        </w:rPr>
        <w:t>„ponovno punjenje” znači postupak kojim se vlastito pakiranje krajnjih korisnika u trgovini puni deterdžentom iz velikog spremnika, ručno ili s pomoću automatske ili poluautomatske opreme;</w:t>
      </w:r>
    </w:p>
    <w:p w14:paraId="2DC5756E" w14:textId="553E3C82" w:rsidR="00D305E8" w:rsidRPr="00B87C3A" w:rsidRDefault="00180A6D" w:rsidP="00180A6D">
      <w:pPr>
        <w:pStyle w:val="Point0"/>
        <w:rPr>
          <w:noProof/>
        </w:rPr>
      </w:pPr>
      <w:r w:rsidRPr="00180A6D">
        <w:t>(34)</w:t>
      </w:r>
      <w:r w:rsidRPr="00180A6D">
        <w:tab/>
      </w:r>
      <w:r w:rsidR="00F83D9C" w:rsidRPr="00B87C3A">
        <w:rPr>
          <w:noProof/>
        </w:rPr>
        <w:t>„serija” znači definirana količina gotovih proizvoda koja ispunjava sljedeće uvjete:</w:t>
      </w:r>
    </w:p>
    <w:p w14:paraId="0B36D00F" w14:textId="77777777" w:rsidR="00D305E8" w:rsidRPr="00B87C3A" w:rsidRDefault="00D305E8" w:rsidP="0005449C">
      <w:pPr>
        <w:pStyle w:val="Tiret1"/>
        <w:rPr>
          <w:noProof/>
        </w:rPr>
      </w:pPr>
      <w:r w:rsidRPr="00B87C3A">
        <w:rPr>
          <w:noProof/>
        </w:rPr>
        <w:t>proizvodi se u jednom proizvodnom postupku ili u nizu postupaka tijekom istog proizvodnog ciklusa,</w:t>
      </w:r>
    </w:p>
    <w:p w14:paraId="50D893C8" w14:textId="77777777" w:rsidR="007279BD" w:rsidRPr="00B87C3A" w:rsidRDefault="00D305E8" w:rsidP="0005449C">
      <w:pPr>
        <w:pStyle w:val="Tiret1"/>
        <w:rPr>
          <w:noProof/>
        </w:rPr>
      </w:pPr>
      <w:r w:rsidRPr="00B87C3A">
        <w:rPr>
          <w:noProof/>
        </w:rPr>
        <w:t xml:space="preserve">predviđeno je da pri ispitivanju u skladu s istim metodama ispitivanja ima ujednačen sastav, i </w:t>
      </w:r>
    </w:p>
    <w:p w14:paraId="1FAA52AC" w14:textId="77777777" w:rsidR="00D305E8" w:rsidRPr="00B87C3A" w:rsidRDefault="00244720" w:rsidP="0005449C">
      <w:pPr>
        <w:pStyle w:val="Tiret1"/>
        <w:rPr>
          <w:noProof/>
        </w:rPr>
      </w:pPr>
      <w:r w:rsidRPr="00B87C3A">
        <w:rPr>
          <w:noProof/>
        </w:rPr>
        <w:t xml:space="preserve">jasno je definirana brojem tipa, brojem serije ili drugim elementom koji omogućuje njezinu identifikaciju; </w:t>
      </w:r>
    </w:p>
    <w:p w14:paraId="6432635A" w14:textId="5667553F" w:rsidR="00F83D9C" w:rsidRPr="00B87C3A" w:rsidRDefault="00180A6D" w:rsidP="00180A6D">
      <w:pPr>
        <w:pStyle w:val="Point0"/>
        <w:rPr>
          <w:noProof/>
        </w:rPr>
      </w:pPr>
      <w:r w:rsidRPr="00180A6D">
        <w:t>(35)</w:t>
      </w:r>
      <w:r w:rsidRPr="00180A6D">
        <w:tab/>
      </w:r>
      <w:r w:rsidR="00FD2CA3" w:rsidRPr="00B87C3A">
        <w:rPr>
          <w:noProof/>
        </w:rPr>
        <w:t>„krajnji korisnik” znači svaka fizička ili pravna osoba s boravištem ili poslovnim nastanom u Uniji kojoj je deterdžent ili površinski aktivna tvar stavljena na raspolaganje, ili kao potrošaču izvan bilo koje trgovačke, poslovne, obrtničke ili profesionalne djelatnosti ili kao profesionalnom krajnjem korisniku u okviru njegovih industrijskih ili profesionalnih aktivnosti.</w:t>
      </w:r>
    </w:p>
    <w:p w14:paraId="7C1A6FD9" w14:textId="77777777" w:rsidR="003A34E5" w:rsidRPr="00B87C3A" w:rsidRDefault="003A34E5" w:rsidP="0085260F">
      <w:pPr>
        <w:pStyle w:val="ChapterTitle"/>
        <w:spacing w:after="0"/>
        <w:rPr>
          <w:noProof/>
          <w:lang w:eastAsia="fr-BE"/>
        </w:rPr>
      </w:pPr>
    </w:p>
    <w:p w14:paraId="1D41D736" w14:textId="77777777" w:rsidR="0085260F" w:rsidRPr="00B87C3A" w:rsidRDefault="0085260F" w:rsidP="0085260F">
      <w:pPr>
        <w:pStyle w:val="ChapterTitle"/>
        <w:spacing w:after="0"/>
        <w:rPr>
          <w:noProof/>
        </w:rPr>
      </w:pPr>
      <w:r w:rsidRPr="00B87C3A">
        <w:rPr>
          <w:noProof/>
        </w:rPr>
        <w:t>POGLAVLJE II.</w:t>
      </w:r>
    </w:p>
    <w:p w14:paraId="01EA045E" w14:textId="77777777" w:rsidR="0085260F" w:rsidRPr="00B87C3A" w:rsidRDefault="0085260F" w:rsidP="0085260F">
      <w:pPr>
        <w:pStyle w:val="ChapterTitle"/>
        <w:rPr>
          <w:noProof/>
        </w:rPr>
      </w:pPr>
      <w:r w:rsidRPr="00B87C3A">
        <w:rPr>
          <w:noProof/>
        </w:rPr>
        <w:t>ZAHTJEVI ZA PROIZVODE</w:t>
      </w:r>
    </w:p>
    <w:p w14:paraId="09B64426" w14:textId="77777777" w:rsidR="000855D6" w:rsidRPr="00B87C3A" w:rsidRDefault="00AA4531" w:rsidP="00543F83">
      <w:pPr>
        <w:pStyle w:val="Titrearticle"/>
        <w:spacing w:before="0" w:after="0"/>
        <w:rPr>
          <w:noProof/>
        </w:rPr>
      </w:pPr>
      <w:r w:rsidRPr="00B87C3A">
        <w:rPr>
          <w:noProof/>
        </w:rPr>
        <w:t>Članak 3.</w:t>
      </w:r>
    </w:p>
    <w:p w14:paraId="3061098D" w14:textId="77777777" w:rsidR="000855D6" w:rsidRPr="00B87C3A" w:rsidRDefault="0085260F" w:rsidP="00543F83">
      <w:pPr>
        <w:pStyle w:val="Titrearticle"/>
        <w:spacing w:before="0" w:after="0"/>
        <w:rPr>
          <w:noProof/>
        </w:rPr>
      </w:pPr>
      <w:r w:rsidRPr="00B87C3A">
        <w:rPr>
          <w:b/>
          <w:i w:val="0"/>
          <w:noProof/>
        </w:rPr>
        <w:t>Sloboda kretanja</w:t>
      </w:r>
    </w:p>
    <w:p w14:paraId="15B822FC" w14:textId="56174964" w:rsidR="00803E53" w:rsidRPr="00B87C3A" w:rsidRDefault="00180A6D" w:rsidP="00180A6D">
      <w:pPr>
        <w:pStyle w:val="ManualNumPar11"/>
        <w:rPr>
          <w:noProof/>
        </w:rPr>
      </w:pPr>
      <w:r w:rsidRPr="00180A6D">
        <w:t>1.</w:t>
      </w:r>
      <w:r w:rsidRPr="00180A6D">
        <w:tab/>
      </w:r>
      <w:r w:rsidR="00803E53" w:rsidRPr="00B87C3A">
        <w:rPr>
          <w:noProof/>
        </w:rPr>
        <w:t>Deterdženti i površinski aktivne tvari mogu se staviti na tržište samo ako su u skladu s ovom Uredbom.</w:t>
      </w:r>
    </w:p>
    <w:p w14:paraId="5422CDB0" w14:textId="6420B6F2" w:rsidR="00A90523" w:rsidRPr="00B87C3A" w:rsidRDefault="00180A6D" w:rsidP="00180A6D">
      <w:pPr>
        <w:pStyle w:val="ManualNumPar1"/>
        <w:rPr>
          <w:noProof/>
        </w:rPr>
      </w:pPr>
      <w:r w:rsidRPr="00180A6D">
        <w:t>2.</w:t>
      </w:r>
      <w:r w:rsidRPr="00180A6D">
        <w:tab/>
      </w:r>
      <w:r w:rsidR="00A90523" w:rsidRPr="00B87C3A">
        <w:rPr>
          <w:noProof/>
        </w:rPr>
        <w:t>Države članice ne smiju zabranjivati, ograničavati ili sprečavati stavljanje na tržište deterdženata ili površinski aktivnih tvari koje su u skladu s ovom Uredbom.</w:t>
      </w:r>
    </w:p>
    <w:p w14:paraId="5639BA9B" w14:textId="77777777" w:rsidR="0085260F" w:rsidRPr="00B87C3A" w:rsidRDefault="0085260F" w:rsidP="00A12AC3">
      <w:pPr>
        <w:rPr>
          <w:noProof/>
          <w:lang w:eastAsia="fr-BE"/>
        </w:rPr>
      </w:pPr>
    </w:p>
    <w:p w14:paraId="7FB8B069" w14:textId="77777777" w:rsidR="0085260F" w:rsidRPr="00B87C3A" w:rsidRDefault="0085260F" w:rsidP="0085260F">
      <w:pPr>
        <w:pStyle w:val="Titrearticle"/>
        <w:spacing w:before="0" w:after="0"/>
        <w:rPr>
          <w:noProof/>
        </w:rPr>
      </w:pPr>
      <w:r w:rsidRPr="00B87C3A">
        <w:rPr>
          <w:noProof/>
        </w:rPr>
        <w:t>Članak 4.</w:t>
      </w:r>
    </w:p>
    <w:p w14:paraId="6B549FC2" w14:textId="77777777" w:rsidR="0085260F" w:rsidRPr="00B87C3A" w:rsidRDefault="0085260F" w:rsidP="0085260F">
      <w:pPr>
        <w:pStyle w:val="Titrearticle"/>
        <w:spacing w:before="0"/>
        <w:rPr>
          <w:noProof/>
        </w:rPr>
      </w:pPr>
      <w:r w:rsidRPr="00B87C3A">
        <w:rPr>
          <w:b/>
          <w:i w:val="0"/>
          <w:noProof/>
        </w:rPr>
        <w:t xml:space="preserve">Biorazgradivost </w:t>
      </w:r>
    </w:p>
    <w:p w14:paraId="2881B9CF" w14:textId="244AC97E" w:rsidR="0085260F" w:rsidRPr="00B87C3A" w:rsidRDefault="00180A6D" w:rsidP="00180A6D">
      <w:pPr>
        <w:pStyle w:val="ManualNumPar11"/>
        <w:rPr>
          <w:noProof/>
        </w:rPr>
      </w:pPr>
      <w:r w:rsidRPr="00180A6D">
        <w:t>1.</w:t>
      </w:r>
      <w:r w:rsidRPr="00180A6D">
        <w:tab/>
      </w:r>
      <w:r w:rsidR="0085260F" w:rsidRPr="00B87C3A">
        <w:rPr>
          <w:noProof/>
        </w:rPr>
        <w:t xml:space="preserve">Deterdženti i površinski aktivne tvari moraju ispunjavati zahtjeve o biorazgradivosti utvrđene u Prilogu I. </w:t>
      </w:r>
    </w:p>
    <w:p w14:paraId="13C1F612" w14:textId="57A9B327" w:rsidR="0062021D" w:rsidRPr="00B87C3A" w:rsidRDefault="00180A6D" w:rsidP="00180A6D">
      <w:pPr>
        <w:pStyle w:val="ManualNumPar1"/>
        <w:rPr>
          <w:noProof/>
        </w:rPr>
      </w:pPr>
      <w:r w:rsidRPr="00180A6D">
        <w:t>2.</w:t>
      </w:r>
      <w:r w:rsidRPr="00180A6D">
        <w:tab/>
      </w:r>
      <w:r w:rsidR="000B0CE4" w:rsidRPr="00B87C3A">
        <w:rPr>
          <w:noProof/>
        </w:rPr>
        <w:t xml:space="preserve">Stavak 1. ne primjenjuje se na sljedeće: </w:t>
      </w:r>
    </w:p>
    <w:p w14:paraId="1309C90A" w14:textId="09ECACB1" w:rsidR="0085260F" w:rsidRPr="00B87C3A" w:rsidRDefault="00180A6D" w:rsidP="00180A6D">
      <w:pPr>
        <w:pStyle w:val="Point1"/>
        <w:rPr>
          <w:noProof/>
        </w:rPr>
      </w:pPr>
      <w:r w:rsidRPr="00180A6D">
        <w:lastRenderedPageBreak/>
        <w:t>(a)</w:t>
      </w:r>
      <w:r w:rsidRPr="00180A6D">
        <w:tab/>
      </w:r>
      <w:r w:rsidR="0085260F" w:rsidRPr="00B87C3A">
        <w:rPr>
          <w:noProof/>
        </w:rPr>
        <w:t>površinski aktivne tvari koje su aktivne tvari u smislu članka 3 stavka 1. točke (c) Uredbe (EU) br. 528/2012 i koje se upotrebljavaju kao dezinficijensi ako ispunjavaju bilo koji od sljedećih uvjeta:</w:t>
      </w:r>
    </w:p>
    <w:p w14:paraId="79723675" w14:textId="25754E81" w:rsidR="0085260F" w:rsidRPr="00B87C3A" w:rsidRDefault="00CA5B14" w:rsidP="00CA5B14">
      <w:pPr>
        <w:pStyle w:val="Point2"/>
        <w:rPr>
          <w:noProof/>
        </w:rPr>
      </w:pPr>
      <w:r w:rsidRPr="00B87C3A">
        <w:rPr>
          <w:noProof/>
        </w:rPr>
        <w:t>(i)</w:t>
      </w:r>
      <w:r w:rsidRPr="00B87C3A">
        <w:rPr>
          <w:noProof/>
        </w:rPr>
        <w:tab/>
        <w:t xml:space="preserve">te površinski aktivne tvari uvrštene su na Unijin popis odobrenih aktivnih tvari kako je utvrđeno u članku 9. stavku 2. Uredbe (EU) br. 528/2012; </w:t>
      </w:r>
    </w:p>
    <w:p w14:paraId="2DA01EB1" w14:textId="2F7A83C3" w:rsidR="0085260F" w:rsidRPr="00B87C3A" w:rsidRDefault="00CA5B14" w:rsidP="00CA5B14">
      <w:pPr>
        <w:pStyle w:val="Point2"/>
        <w:rPr>
          <w:noProof/>
        </w:rPr>
      </w:pPr>
      <w:r w:rsidRPr="00B87C3A">
        <w:rPr>
          <w:noProof/>
        </w:rPr>
        <w:t>(ii)</w:t>
      </w:r>
      <w:r w:rsidRPr="00B87C3A">
        <w:rPr>
          <w:noProof/>
        </w:rPr>
        <w:tab/>
        <w:t>te površinski aktivne tvari uključene su u program revizije kako je utvrđeno u Delegiranoj uredbi Komisije (EU) br. 1062/2014</w:t>
      </w:r>
      <w:r w:rsidRPr="00B87C3A">
        <w:rPr>
          <w:rStyle w:val="FootnoteReference"/>
          <w:noProof/>
        </w:rPr>
        <w:footnoteReference w:id="46"/>
      </w:r>
      <w:r w:rsidRPr="00B87C3A">
        <w:rPr>
          <w:noProof/>
        </w:rPr>
        <w:t xml:space="preserve">; </w:t>
      </w:r>
    </w:p>
    <w:p w14:paraId="72C62D43" w14:textId="2B12C3C2" w:rsidR="00285555" w:rsidRPr="00B87C3A" w:rsidRDefault="00180A6D" w:rsidP="00180A6D">
      <w:pPr>
        <w:pStyle w:val="Point1"/>
        <w:rPr>
          <w:noProof/>
        </w:rPr>
      </w:pPr>
      <w:r w:rsidRPr="00180A6D">
        <w:t>(b)</w:t>
      </w:r>
      <w:r w:rsidRPr="00180A6D">
        <w:tab/>
      </w:r>
      <w:r w:rsidR="00285555" w:rsidRPr="00B87C3A">
        <w:rPr>
          <w:noProof/>
        </w:rPr>
        <w:t>površinski aktivne tvari koje su sastojci biocidnih proizvoda odobrenih u skladu s Uredbom (EU) br. 528/2012;</w:t>
      </w:r>
    </w:p>
    <w:p w14:paraId="37C34FB0" w14:textId="368518BC" w:rsidR="00285555" w:rsidRPr="00B87C3A" w:rsidRDefault="00180A6D" w:rsidP="00180A6D">
      <w:pPr>
        <w:pStyle w:val="Point1"/>
        <w:rPr>
          <w:noProof/>
        </w:rPr>
      </w:pPr>
      <w:r w:rsidRPr="00180A6D">
        <w:t>(c)</w:t>
      </w:r>
      <w:r w:rsidRPr="00180A6D">
        <w:tab/>
      </w:r>
      <w:r w:rsidR="00285555" w:rsidRPr="00B87C3A">
        <w:rPr>
          <w:noProof/>
        </w:rPr>
        <w:t xml:space="preserve">površinski aktivne tvari koje su sastojci biocidnih proizvoda i koje se mogu staviti na raspolaganje na tržištu ili upotrebljavati u skladu s člankom 89. stavkom 2. Uredbe (EU) br. 528/2012. </w:t>
      </w:r>
    </w:p>
    <w:p w14:paraId="5AD4DF96" w14:textId="77777777" w:rsidR="0085260F" w:rsidRPr="00B87C3A" w:rsidRDefault="0085260F" w:rsidP="005765D3">
      <w:pPr>
        <w:rPr>
          <w:noProof/>
        </w:rPr>
      </w:pPr>
    </w:p>
    <w:p w14:paraId="339276BA" w14:textId="77777777" w:rsidR="0085260F" w:rsidRPr="00B87C3A" w:rsidRDefault="0085260F" w:rsidP="0085260F">
      <w:pPr>
        <w:pStyle w:val="NormalCentered"/>
        <w:spacing w:before="0" w:after="0"/>
        <w:rPr>
          <w:b/>
          <w:noProof/>
        </w:rPr>
      </w:pPr>
      <w:r w:rsidRPr="00B87C3A">
        <w:rPr>
          <w:i/>
          <w:noProof/>
        </w:rPr>
        <w:t>Članak 5.</w:t>
      </w:r>
      <w:r w:rsidRPr="00B87C3A">
        <w:rPr>
          <w:noProof/>
        </w:rPr>
        <w:t xml:space="preserve"> </w:t>
      </w:r>
      <w:r w:rsidRPr="00B87C3A">
        <w:rPr>
          <w:noProof/>
        </w:rPr>
        <w:br/>
      </w:r>
      <w:r w:rsidRPr="00B87C3A">
        <w:rPr>
          <w:b/>
          <w:noProof/>
        </w:rPr>
        <w:t>Deterdženti koji sadržavaju mikroorganizme</w:t>
      </w:r>
    </w:p>
    <w:p w14:paraId="14E1935E" w14:textId="77777777" w:rsidR="0085260F" w:rsidRPr="00B87C3A" w:rsidRDefault="0085260F" w:rsidP="001A7F12">
      <w:pPr>
        <w:rPr>
          <w:noProof/>
        </w:rPr>
      </w:pPr>
      <w:r w:rsidRPr="00B87C3A">
        <w:rPr>
          <w:noProof/>
        </w:rPr>
        <w:t>Deterdženti koji sadržavaju mikroorganizme moraju ispunjavati zahtjeve utvrđene u Prilogu II.</w:t>
      </w:r>
    </w:p>
    <w:p w14:paraId="2CDF2FCD" w14:textId="77777777" w:rsidR="0085260F" w:rsidRPr="00B87C3A" w:rsidRDefault="0085260F" w:rsidP="0085260F">
      <w:pPr>
        <w:pStyle w:val="Titrearticle"/>
        <w:spacing w:before="0" w:after="0"/>
        <w:rPr>
          <w:noProof/>
        </w:rPr>
      </w:pPr>
    </w:p>
    <w:p w14:paraId="09399D39" w14:textId="77777777" w:rsidR="0085260F" w:rsidRPr="00B87C3A" w:rsidRDefault="0085260F" w:rsidP="0085260F">
      <w:pPr>
        <w:pStyle w:val="Titrearticle"/>
        <w:spacing w:before="0" w:after="0"/>
        <w:rPr>
          <w:noProof/>
        </w:rPr>
      </w:pPr>
      <w:r w:rsidRPr="00B87C3A">
        <w:rPr>
          <w:noProof/>
        </w:rPr>
        <w:t>Članak 6.</w:t>
      </w:r>
    </w:p>
    <w:p w14:paraId="02514DB5" w14:textId="77777777" w:rsidR="0085260F" w:rsidRPr="00B87C3A" w:rsidRDefault="0085260F" w:rsidP="0085260F">
      <w:pPr>
        <w:pStyle w:val="NormalCentered"/>
        <w:spacing w:before="0" w:after="0"/>
        <w:rPr>
          <w:b/>
          <w:noProof/>
        </w:rPr>
      </w:pPr>
      <w:r w:rsidRPr="00B87C3A">
        <w:rPr>
          <w:b/>
          <w:noProof/>
        </w:rPr>
        <w:t xml:space="preserve">Ograničenja udjela fosfata i drugih spojeva fosfora </w:t>
      </w:r>
    </w:p>
    <w:p w14:paraId="041EBC80" w14:textId="77777777" w:rsidR="0085260F" w:rsidRPr="00B87C3A" w:rsidRDefault="0085260F" w:rsidP="0085260F">
      <w:pPr>
        <w:rPr>
          <w:noProof/>
        </w:rPr>
      </w:pPr>
      <w:r w:rsidRPr="00B87C3A">
        <w:rPr>
          <w:noProof/>
        </w:rPr>
        <w:t xml:space="preserve">Deterdženti navedeni u Prilogu III. moraju biti u skladu s ograničenjima udjela fosfata i drugih spojeva fosfora utvrđenima u tom prilogu. </w:t>
      </w:r>
    </w:p>
    <w:p w14:paraId="2A322045" w14:textId="77777777" w:rsidR="00A90523" w:rsidRPr="00B87C3A" w:rsidRDefault="00A90523" w:rsidP="00885048">
      <w:pPr>
        <w:pStyle w:val="Text1"/>
        <w:ind w:left="0"/>
        <w:rPr>
          <w:noProof/>
          <w:lang w:eastAsia="fr-BE"/>
        </w:rPr>
      </w:pPr>
    </w:p>
    <w:p w14:paraId="600CB027" w14:textId="77777777" w:rsidR="00C51933" w:rsidRPr="00B87C3A" w:rsidRDefault="00C51933" w:rsidP="00AE64F3">
      <w:pPr>
        <w:pStyle w:val="ChapterTitle"/>
        <w:spacing w:after="0"/>
        <w:rPr>
          <w:noProof/>
        </w:rPr>
      </w:pPr>
      <w:r w:rsidRPr="00B87C3A">
        <w:rPr>
          <w:noProof/>
        </w:rPr>
        <w:t>POGLAVLJE III.</w:t>
      </w:r>
    </w:p>
    <w:p w14:paraId="61CEA27E" w14:textId="77777777" w:rsidR="00C51933" w:rsidRPr="00B87C3A" w:rsidRDefault="005B7084" w:rsidP="00AE64F3">
      <w:pPr>
        <w:pStyle w:val="ChapterTitle"/>
        <w:rPr>
          <w:noProof/>
        </w:rPr>
      </w:pPr>
      <w:r w:rsidRPr="00B87C3A">
        <w:rPr>
          <w:noProof/>
        </w:rPr>
        <w:t>OBVEZE GOSPODARSKIH SUBJEKATA</w:t>
      </w:r>
    </w:p>
    <w:p w14:paraId="4F3CA785" w14:textId="77777777" w:rsidR="00AA4531" w:rsidRPr="00B87C3A" w:rsidRDefault="00AA4531" w:rsidP="00543F83">
      <w:pPr>
        <w:pStyle w:val="Titrearticle"/>
        <w:rPr>
          <w:noProof/>
        </w:rPr>
      </w:pPr>
      <w:r w:rsidRPr="00B87C3A">
        <w:rPr>
          <w:noProof/>
        </w:rPr>
        <w:t xml:space="preserve">Članak 7. </w:t>
      </w:r>
      <w:r w:rsidRPr="00B87C3A">
        <w:rPr>
          <w:noProof/>
        </w:rPr>
        <w:br/>
      </w:r>
      <w:r w:rsidRPr="00B87C3A">
        <w:rPr>
          <w:b/>
          <w:i w:val="0"/>
          <w:noProof/>
        </w:rPr>
        <w:t>Obveze proizvođača</w:t>
      </w:r>
    </w:p>
    <w:p w14:paraId="64F37ACC" w14:textId="64CA0DED" w:rsidR="00CF194C" w:rsidRPr="00B87C3A" w:rsidRDefault="00180A6D" w:rsidP="00180A6D">
      <w:pPr>
        <w:pStyle w:val="ManualNumPar11"/>
        <w:rPr>
          <w:noProof/>
        </w:rPr>
      </w:pPr>
      <w:r w:rsidRPr="00180A6D">
        <w:t>1.</w:t>
      </w:r>
      <w:r w:rsidRPr="00180A6D">
        <w:tab/>
      </w:r>
      <w:r w:rsidR="0029428E" w:rsidRPr="00B87C3A">
        <w:rPr>
          <w:noProof/>
        </w:rPr>
        <w:t xml:space="preserve">Pri stavljanju deterdženata ili površinski aktivnih tvari na tržište proizvođači osiguravaju da su ti deterdženti ili površinski aktivne tvari projektirani i proizvedeni u skladu s ovom Uredbom. </w:t>
      </w:r>
    </w:p>
    <w:p w14:paraId="6BBACA02" w14:textId="73001246" w:rsidR="003C6550" w:rsidRPr="00B87C3A" w:rsidRDefault="00180A6D" w:rsidP="00180A6D">
      <w:pPr>
        <w:pStyle w:val="ManualNumPar1"/>
        <w:rPr>
          <w:noProof/>
        </w:rPr>
      </w:pPr>
      <w:r w:rsidRPr="00180A6D">
        <w:t>2.</w:t>
      </w:r>
      <w:r w:rsidRPr="00180A6D">
        <w:tab/>
      </w:r>
      <w:r w:rsidR="002633C0" w:rsidRPr="00B87C3A">
        <w:rPr>
          <w:noProof/>
        </w:rPr>
        <w:t xml:space="preserve">Proizvođači sastavljaju tehničku dokumentaciju iz Priloga IV. i provode postupak ocjenjivanja sukladnosti iz tog priloga. </w:t>
      </w:r>
    </w:p>
    <w:p w14:paraId="77E4B020" w14:textId="77777777" w:rsidR="00A80D55" w:rsidRPr="00B87C3A" w:rsidRDefault="0034200D" w:rsidP="003E0D07">
      <w:pPr>
        <w:pStyle w:val="Text1"/>
        <w:rPr>
          <w:noProof/>
        </w:rPr>
      </w:pPr>
      <w:r w:rsidRPr="00B87C3A">
        <w:rPr>
          <w:noProof/>
        </w:rPr>
        <w:t xml:space="preserve">Ako je postupkom iz prvog podstavka dokazana sukladnost deterdženta ili površinski aktivne tvari s primjenjivim zahtjevima, proizvođači: </w:t>
      </w:r>
    </w:p>
    <w:p w14:paraId="1B45B024" w14:textId="3117A41F" w:rsidR="00A80D55" w:rsidRPr="00B87C3A" w:rsidRDefault="00180A6D" w:rsidP="00180A6D">
      <w:pPr>
        <w:pStyle w:val="Point1"/>
        <w:rPr>
          <w:noProof/>
        </w:rPr>
      </w:pPr>
      <w:r w:rsidRPr="00180A6D">
        <w:t>(a)</w:t>
      </w:r>
      <w:r w:rsidRPr="00180A6D">
        <w:tab/>
      </w:r>
      <w:r w:rsidR="00A80D55" w:rsidRPr="00B87C3A">
        <w:rPr>
          <w:noProof/>
        </w:rPr>
        <w:t xml:space="preserve">moraju izraditi putovnicu za proizvode u skladu s člankom 18.; </w:t>
      </w:r>
    </w:p>
    <w:p w14:paraId="5B8319F0" w14:textId="0049FA65" w:rsidR="00A80D55" w:rsidRPr="00B87C3A" w:rsidRDefault="00180A6D" w:rsidP="00180A6D">
      <w:pPr>
        <w:pStyle w:val="Point1"/>
        <w:rPr>
          <w:noProof/>
        </w:rPr>
      </w:pPr>
      <w:r w:rsidRPr="00180A6D">
        <w:lastRenderedPageBreak/>
        <w:t>(b)</w:t>
      </w:r>
      <w:r w:rsidRPr="00180A6D">
        <w:tab/>
      </w:r>
      <w:r w:rsidR="00A80D55" w:rsidRPr="00B87C3A">
        <w:rPr>
          <w:noProof/>
        </w:rPr>
        <w:t xml:space="preserve">moraju osigurati da se nosač podataka tiska ili na drugi način stavlja na oznaku ili na pakiranje deterdženta ili površinski aktivne tvari na vidljiv i čitljiv način u skladu s člankom 18. stavkom 3.; </w:t>
      </w:r>
    </w:p>
    <w:p w14:paraId="4F86E341" w14:textId="0989A34A" w:rsidR="0034200D" w:rsidRPr="00B87C3A" w:rsidRDefault="00180A6D" w:rsidP="00180A6D">
      <w:pPr>
        <w:pStyle w:val="Point1"/>
        <w:rPr>
          <w:noProof/>
        </w:rPr>
      </w:pPr>
      <w:r w:rsidRPr="00180A6D">
        <w:t>(c)</w:t>
      </w:r>
      <w:r w:rsidRPr="00180A6D">
        <w:tab/>
      </w:r>
      <w:r w:rsidR="00A80D55" w:rsidRPr="00B87C3A">
        <w:rPr>
          <w:noProof/>
        </w:rPr>
        <w:t>moraju prema potrebi stavljati oznaku CE u skladu s člankom 14.;</w:t>
      </w:r>
    </w:p>
    <w:p w14:paraId="04C91101" w14:textId="2D25430A" w:rsidR="00A45BE8" w:rsidRPr="00B87C3A" w:rsidRDefault="00180A6D" w:rsidP="00180A6D">
      <w:pPr>
        <w:pStyle w:val="Point1"/>
        <w:rPr>
          <w:noProof/>
        </w:rPr>
      </w:pPr>
      <w:r w:rsidRPr="00180A6D">
        <w:t>(d)</w:t>
      </w:r>
      <w:r w:rsidRPr="00180A6D">
        <w:tab/>
      </w:r>
      <w:r w:rsidR="003110B9" w:rsidRPr="00B87C3A">
        <w:rPr>
          <w:noProof/>
        </w:rPr>
        <w:t xml:space="preserve">moraju, prije stavljanja deterdženata ili površinski aktivnih tvari na tržište, u registar iz članka 20. stavka 1. uključiti upućivanje na putovnicu za proizvode. </w:t>
      </w:r>
    </w:p>
    <w:p w14:paraId="309E056B" w14:textId="2F06A644" w:rsidR="003C6550" w:rsidRPr="00B87C3A" w:rsidRDefault="00180A6D" w:rsidP="00180A6D">
      <w:pPr>
        <w:pStyle w:val="ManualNumPar1"/>
        <w:rPr>
          <w:noProof/>
        </w:rPr>
      </w:pPr>
      <w:r w:rsidRPr="00180A6D">
        <w:t>3.</w:t>
      </w:r>
      <w:r w:rsidRPr="00180A6D">
        <w:tab/>
      </w:r>
      <w:r w:rsidR="004F73AF" w:rsidRPr="00B87C3A">
        <w:rPr>
          <w:noProof/>
        </w:rPr>
        <w:t>Proizvođači čuvaju tehničku dokumentaciju i putovnicu za proizvode 10 godina nakon što su deterdžent ili površinski aktivna tvar na koje se odnosi ta dokumentacija ili putovnica za proizvode stavljeni na tržište.</w:t>
      </w:r>
    </w:p>
    <w:p w14:paraId="39429A3C" w14:textId="532E3727" w:rsidR="004F73AF" w:rsidRPr="00B87C3A" w:rsidRDefault="00180A6D" w:rsidP="00180A6D">
      <w:pPr>
        <w:pStyle w:val="ManualNumPar1"/>
        <w:rPr>
          <w:noProof/>
        </w:rPr>
      </w:pPr>
      <w:r w:rsidRPr="00180A6D">
        <w:t>4.</w:t>
      </w:r>
      <w:r w:rsidRPr="00180A6D">
        <w:tab/>
      </w:r>
      <w:r w:rsidR="004F73AF" w:rsidRPr="00B87C3A">
        <w:rPr>
          <w:noProof/>
        </w:rPr>
        <w:t>Proizvođači osiguravaju postupke za očuvanje sukladnosti proizvodne serije. Promjene u oblikovanju ili karakteristikama proizvoda te promjene u metodama ispitivanja na temelju kojih je objavljena sukladnost proizvoda uzimaju se u obzir na primjeren način.</w:t>
      </w:r>
    </w:p>
    <w:p w14:paraId="4B23CAC2" w14:textId="77777777" w:rsidR="004F73AF" w:rsidRPr="00B87C3A" w:rsidRDefault="004F73AF" w:rsidP="003E0D07">
      <w:pPr>
        <w:pStyle w:val="Text1"/>
        <w:rPr>
          <w:noProof/>
        </w:rPr>
      </w:pPr>
      <w:r w:rsidRPr="00B87C3A">
        <w:rPr>
          <w:noProof/>
        </w:rPr>
        <w:t>Ako to smatraju prikladnim s obzirom na djelovanje deterdženata ili površinski aktivnih tvari ili rizike koje oni predstavljaju, proizvođači ispituju uzorke takvih deterdženata ili površinski aktivnih tvari, istražuju pritužbe i, prema potrebi, vode knjigu pritužbi i registar nesukladnih deterdženata ili površinski aktivnih tvari i opoziva takvih deterdženata ili površinski aktivnih tvari te o svakom takvom praćenju obavješćuju distributere.</w:t>
      </w:r>
    </w:p>
    <w:p w14:paraId="372661F3" w14:textId="14E93F4D" w:rsidR="003C6550" w:rsidRPr="00B87C3A" w:rsidRDefault="00180A6D" w:rsidP="00180A6D">
      <w:pPr>
        <w:pStyle w:val="ManualNumPar1"/>
        <w:rPr>
          <w:noProof/>
        </w:rPr>
      </w:pPr>
      <w:r w:rsidRPr="00180A6D">
        <w:t>5.</w:t>
      </w:r>
      <w:r w:rsidRPr="00180A6D">
        <w:tab/>
      </w:r>
      <w:r w:rsidR="00D05DD4" w:rsidRPr="00B87C3A">
        <w:rPr>
          <w:noProof/>
        </w:rPr>
        <w:t>Proizvođači koji na tržište stavljaju deterdžente ili površinski aktivne tvari osiguravaju da su oni u skladu sa zahtjevima za označivanje utvrđenima u člancima 15., 16. i 17.</w:t>
      </w:r>
    </w:p>
    <w:p w14:paraId="56886937" w14:textId="15D7DA95" w:rsidR="003950EB" w:rsidRPr="00B87C3A" w:rsidRDefault="00180A6D" w:rsidP="00180A6D">
      <w:pPr>
        <w:pStyle w:val="ManualNumPar1"/>
        <w:rPr>
          <w:noProof/>
        </w:rPr>
      </w:pPr>
      <w:r w:rsidRPr="00180A6D">
        <w:t>6.</w:t>
      </w:r>
      <w:r w:rsidRPr="00180A6D">
        <w:tab/>
      </w:r>
      <w:r w:rsidR="003950EB" w:rsidRPr="00B87C3A">
        <w:rPr>
          <w:noProof/>
        </w:rPr>
        <w:t>Proizvođači koji na tržište stavljaju deterdžente koji ne ispunjavaju kriterije za razvrstavanje u opasne deterdžente u smislu Uredbe (EZ) br. 1272/2008 dostavljaju imenovanim tijelima država članica iz članka 45. te uredbe list s podacima o sastojcima iz točke 2.2. podtočke (e) Priloga IV.</w:t>
      </w:r>
    </w:p>
    <w:p w14:paraId="4A3936D3" w14:textId="77777777" w:rsidR="005F24C3" w:rsidRPr="00B87C3A" w:rsidRDefault="005F24C3" w:rsidP="005F24C3">
      <w:pPr>
        <w:pStyle w:val="Text1"/>
        <w:rPr>
          <w:noProof/>
        </w:rPr>
      </w:pPr>
      <w:r w:rsidRPr="00B87C3A">
        <w:rPr>
          <w:noProof/>
        </w:rPr>
        <w:t>Proizvođači dostavljaju list s podacima o sastojcima imenovanim tijelima država članica iz prvog podstavka u sljedećim slučajevima:</w:t>
      </w:r>
    </w:p>
    <w:p w14:paraId="0FF9204F" w14:textId="77777777" w:rsidR="005F24C3" w:rsidRPr="00B87C3A" w:rsidRDefault="005F24C3" w:rsidP="005F24C3">
      <w:pPr>
        <w:pStyle w:val="Text1"/>
        <w:ind w:firstLine="590"/>
        <w:rPr>
          <w:noProof/>
        </w:rPr>
      </w:pPr>
      <w:r w:rsidRPr="00B87C3A">
        <w:rPr>
          <w:noProof/>
        </w:rPr>
        <w:t>(a) na zahtjev imenovanih tijela država članica;</w:t>
      </w:r>
    </w:p>
    <w:p w14:paraId="63594080" w14:textId="56DCE36A" w:rsidR="005F24C3" w:rsidRPr="00B87C3A" w:rsidRDefault="005F24C3" w:rsidP="0086740A">
      <w:pPr>
        <w:pStyle w:val="Text1"/>
        <w:ind w:firstLine="590"/>
        <w:rPr>
          <w:noProof/>
        </w:rPr>
      </w:pPr>
      <w:r w:rsidRPr="00B87C3A">
        <w:rPr>
          <w:noProof/>
        </w:rPr>
        <w:t xml:space="preserve">(b) ako deterdžent za koji je već zatražen list s podacima o sastojcima više ne odgovara informacijama iz tog lista. </w:t>
      </w:r>
    </w:p>
    <w:p w14:paraId="720C6B7A" w14:textId="77777777" w:rsidR="003950EB" w:rsidRPr="00B87C3A" w:rsidRDefault="00540029" w:rsidP="005F5A99">
      <w:pPr>
        <w:pStyle w:val="Text1"/>
        <w:rPr>
          <w:noProof/>
        </w:rPr>
      </w:pPr>
      <w:r w:rsidRPr="00B87C3A">
        <w:rPr>
          <w:noProof/>
        </w:rPr>
        <w:t xml:space="preserve">Imenovano tijelo iz prvog podstavka i medicinsko osoblje kojima su dostavljene informacije sadržane u listu čuvaju ih kao povjerljive i upotrebljavaju ih samo u medicinske svrhe. </w:t>
      </w:r>
    </w:p>
    <w:p w14:paraId="6184269F" w14:textId="772D09A4" w:rsidR="003950EB" w:rsidRPr="00B87C3A" w:rsidRDefault="00180A6D" w:rsidP="00180A6D">
      <w:pPr>
        <w:pStyle w:val="ManualNumPar1"/>
        <w:rPr>
          <w:noProof/>
        </w:rPr>
      </w:pPr>
      <w:r w:rsidRPr="00180A6D">
        <w:t>7.</w:t>
      </w:r>
      <w:r w:rsidRPr="00180A6D">
        <w:tab/>
      </w:r>
      <w:r w:rsidR="003950EB" w:rsidRPr="00B87C3A">
        <w:rPr>
          <w:noProof/>
        </w:rPr>
        <w:t>Proizvođači koji smatraju ili imaju razloga vjerovati da deterdžent ili površinski aktivna tvar koje su stavili na tržište nisu u skladu s ovom Uredbom odmah poduzimaju korektivne mjere potrebne kako bi ih s njom uskladili ili, prema potrebi, povukli s tržišta ili opozvali. Osim toga, ako proizvođači smatraju ili imaju razloga vjerovati da deterdžent ili površinski aktivna tvar koje su stavili na tržište predstavljaju rizik za zdravlje ili okoliš, o tome odmah obavješćuju nadležna nacionalna tijela država članica u kojima su ih stavili na raspolaganje na tržištu te im dostavljaju detaljne podatke, posebno o svim nesukladnostima i poduzetim korektivnim mjerama.</w:t>
      </w:r>
    </w:p>
    <w:p w14:paraId="25CA92FB" w14:textId="06EAC24F" w:rsidR="003C6550" w:rsidRPr="00B87C3A" w:rsidRDefault="00180A6D" w:rsidP="00180A6D">
      <w:pPr>
        <w:pStyle w:val="ManualNumPar1"/>
        <w:rPr>
          <w:noProof/>
        </w:rPr>
      </w:pPr>
      <w:r w:rsidRPr="00180A6D">
        <w:t>8.</w:t>
      </w:r>
      <w:r w:rsidRPr="00180A6D">
        <w:tab/>
      </w:r>
      <w:r w:rsidR="003950EB" w:rsidRPr="00B87C3A">
        <w:rPr>
          <w:noProof/>
        </w:rPr>
        <w:t xml:space="preserve">Na obrazložen zahtjev nadležnog nacionalnog tijela proizvođači tom tijelu na jeziku koje ono bez poteškoća razumije dostavljaju sve informacije i dokumentaciju, u </w:t>
      </w:r>
      <w:r w:rsidR="003950EB" w:rsidRPr="00B87C3A">
        <w:rPr>
          <w:noProof/>
        </w:rPr>
        <w:lastRenderedPageBreak/>
        <w:t>papirnatom ili elektroničkom obliku, potrebne za dokazivanje sukladnosti deterdženta ili površinski aktivne tvari s ovom Uredbom. Na zahtjev nadležnog nacionalnog tijela proizvođači surađuju s njim u svakoj radnji poduzetoj kako bi se uklonili rizici koje predstavljaju deterdžent ili površinski aktivna tvar koje su stavili na tržište.</w:t>
      </w:r>
    </w:p>
    <w:p w14:paraId="67756C44" w14:textId="77777777" w:rsidR="00917FE1" w:rsidRPr="00B87C3A" w:rsidRDefault="00917FE1" w:rsidP="003950EB">
      <w:pPr>
        <w:pStyle w:val="ManualNumPar1"/>
        <w:ind w:left="0" w:firstLine="0"/>
        <w:rPr>
          <w:noProof/>
        </w:rPr>
      </w:pPr>
    </w:p>
    <w:p w14:paraId="1EC758AD" w14:textId="77777777" w:rsidR="008959C1" w:rsidRPr="00B87C3A" w:rsidRDefault="008959C1" w:rsidP="00543F83">
      <w:pPr>
        <w:pStyle w:val="Titrearticle"/>
        <w:spacing w:before="0" w:after="0"/>
        <w:rPr>
          <w:noProof/>
        </w:rPr>
      </w:pPr>
      <w:r w:rsidRPr="00B87C3A">
        <w:rPr>
          <w:noProof/>
        </w:rPr>
        <w:t>Članak 8.</w:t>
      </w:r>
    </w:p>
    <w:p w14:paraId="60A1B4DF" w14:textId="77777777" w:rsidR="008959C1" w:rsidRPr="00B87C3A" w:rsidRDefault="008959C1" w:rsidP="00543F83">
      <w:pPr>
        <w:pStyle w:val="NormalCentered"/>
        <w:spacing w:before="0" w:after="0"/>
        <w:rPr>
          <w:b/>
          <w:noProof/>
        </w:rPr>
      </w:pPr>
      <w:r w:rsidRPr="00B87C3A">
        <w:rPr>
          <w:b/>
          <w:noProof/>
        </w:rPr>
        <w:t>Ovlašteni zastupnik</w:t>
      </w:r>
    </w:p>
    <w:p w14:paraId="36A4A88D" w14:textId="32767EC9" w:rsidR="00927163" w:rsidRPr="00B87C3A" w:rsidRDefault="00180A6D" w:rsidP="00180A6D">
      <w:pPr>
        <w:pStyle w:val="ManualNumPar11"/>
        <w:rPr>
          <w:noProof/>
        </w:rPr>
      </w:pPr>
      <w:r w:rsidRPr="00180A6D">
        <w:t>1.</w:t>
      </w:r>
      <w:r w:rsidRPr="00180A6D">
        <w:tab/>
      </w:r>
      <w:r w:rsidR="009151C9" w:rsidRPr="00B87C3A">
        <w:rPr>
          <w:noProof/>
        </w:rPr>
        <w:t xml:space="preserve">Proizvođači mogu pisanim ovlaštenjem imenovati ovlaštenog zastupnika. </w:t>
      </w:r>
    </w:p>
    <w:p w14:paraId="65E30562" w14:textId="5496A64B" w:rsidR="00FF009F" w:rsidRPr="00B87C3A" w:rsidRDefault="00180A6D" w:rsidP="00180A6D">
      <w:pPr>
        <w:pStyle w:val="ManualNumPar1"/>
        <w:rPr>
          <w:noProof/>
        </w:rPr>
      </w:pPr>
      <w:r w:rsidRPr="00180A6D">
        <w:t>2.</w:t>
      </w:r>
      <w:r w:rsidRPr="00180A6D">
        <w:tab/>
      </w:r>
      <w:r w:rsidR="008D054E" w:rsidRPr="00B87C3A">
        <w:rPr>
          <w:noProof/>
        </w:rPr>
        <w:t>Ako proizvođač nema poslovni nastan u Uniji, deterdžent ili površinski aktivna tvar mogu se staviti na tržište Unije samo ako proizvođač pisanim ovlaštenjem odredi ovlaštenog zastupnika.</w:t>
      </w:r>
    </w:p>
    <w:p w14:paraId="51526A79" w14:textId="6A6234F6" w:rsidR="0007485A" w:rsidRPr="00B87C3A" w:rsidRDefault="00180A6D" w:rsidP="00180A6D">
      <w:pPr>
        <w:pStyle w:val="ManualNumPar1"/>
        <w:rPr>
          <w:noProof/>
        </w:rPr>
      </w:pPr>
      <w:r w:rsidRPr="00180A6D">
        <w:t>3.</w:t>
      </w:r>
      <w:r w:rsidRPr="00180A6D">
        <w:tab/>
      </w:r>
      <w:r w:rsidR="008959C1" w:rsidRPr="00B87C3A">
        <w:rPr>
          <w:noProof/>
        </w:rPr>
        <w:t xml:space="preserve">Ovlašteni zastupnik obavlja zadaće navedene u ovlaštenju koje je dobio od proizvođača. Ovlašteni zastupnik nadležnom tijelu na zahtjev dostavlja presliku ovlaštenja. </w:t>
      </w:r>
    </w:p>
    <w:p w14:paraId="61CB970C" w14:textId="77777777" w:rsidR="008959C1" w:rsidRPr="00B87C3A" w:rsidRDefault="008959C1" w:rsidP="00532C01">
      <w:pPr>
        <w:pStyle w:val="NumPar11"/>
        <w:tabs>
          <w:tab w:val="clear" w:pos="850"/>
        </w:tabs>
        <w:ind w:firstLine="0"/>
        <w:rPr>
          <w:noProof/>
        </w:rPr>
      </w:pPr>
      <w:r w:rsidRPr="00B87C3A">
        <w:rPr>
          <w:noProof/>
        </w:rPr>
        <w:t>Tim se ovlaštenjem ovlaštenom zastupniku omogućuje da obavlja najmanje sljedeće:</w:t>
      </w:r>
    </w:p>
    <w:p w14:paraId="5A6E8132" w14:textId="0CB3D795" w:rsidR="007126A7" w:rsidRPr="00B87C3A" w:rsidRDefault="00180A6D" w:rsidP="00180A6D">
      <w:pPr>
        <w:pStyle w:val="Point1"/>
        <w:rPr>
          <w:noProof/>
        </w:rPr>
      </w:pPr>
      <w:r w:rsidRPr="00180A6D">
        <w:t>(a)</w:t>
      </w:r>
      <w:r w:rsidRPr="00180A6D">
        <w:tab/>
      </w:r>
      <w:r w:rsidR="007126A7" w:rsidRPr="00B87C3A">
        <w:rPr>
          <w:noProof/>
        </w:rPr>
        <w:t xml:space="preserve">provjerava je li putovnica za proizvode izrađena u skladu s člankom 7. stavkom 2. točkom (a), je li tehnička dokumentacija sastavljena i je li proizvođač proveo postupak ocjenjivanja sukladnosti u skladu s člankom 7. stavkom 2.; </w:t>
      </w:r>
    </w:p>
    <w:p w14:paraId="5C5F5333" w14:textId="57F92957" w:rsidR="008959C1" w:rsidRPr="00B87C3A" w:rsidRDefault="00180A6D" w:rsidP="00180A6D">
      <w:pPr>
        <w:pStyle w:val="Point1"/>
        <w:rPr>
          <w:noProof/>
        </w:rPr>
      </w:pPr>
      <w:r w:rsidRPr="00180A6D">
        <w:t>(b)</w:t>
      </w:r>
      <w:r w:rsidRPr="00180A6D">
        <w:tab/>
      </w:r>
      <w:r w:rsidR="008959C1" w:rsidRPr="00B87C3A">
        <w:rPr>
          <w:noProof/>
        </w:rPr>
        <w:t>da putovnicu za proizvode i tehničku dokumentaciju ima na raspolaganju za potrebe nacionalnih tijela za nadzor tržišta u razdoblju od 10 godina nakon što je deterdžent ili površinski aktivna tvar na koju se ti dokumenti odnose stavljena na tržište;</w:t>
      </w:r>
    </w:p>
    <w:p w14:paraId="5007A4EB" w14:textId="663D47D2" w:rsidR="008959C1" w:rsidRPr="00B87C3A" w:rsidRDefault="00180A6D" w:rsidP="00180A6D">
      <w:pPr>
        <w:pStyle w:val="Point1"/>
        <w:rPr>
          <w:noProof/>
        </w:rPr>
      </w:pPr>
      <w:r w:rsidRPr="00180A6D">
        <w:t>(c)</w:t>
      </w:r>
      <w:r w:rsidRPr="00180A6D">
        <w:tab/>
      </w:r>
      <w:r w:rsidR="008959C1" w:rsidRPr="00B87C3A">
        <w:rPr>
          <w:noProof/>
        </w:rPr>
        <w:t>na obrazložen zahtjev nadležnog nacionalnog tijela tom tijelu dostavlja sve podatke i dokumentaciju potrebne za dokazivanje sukladnosti deterdženta ili površinski aktivne tvari sa zahtjevima iz ove Uredbe;</w:t>
      </w:r>
    </w:p>
    <w:p w14:paraId="504E9998" w14:textId="2B75EE22" w:rsidR="00A907A4" w:rsidRPr="00B87C3A" w:rsidRDefault="00180A6D" w:rsidP="00180A6D">
      <w:pPr>
        <w:pStyle w:val="Point1"/>
        <w:rPr>
          <w:noProof/>
        </w:rPr>
      </w:pPr>
      <w:r w:rsidRPr="00180A6D">
        <w:t>(d)</w:t>
      </w:r>
      <w:r w:rsidRPr="00180A6D">
        <w:tab/>
      </w:r>
      <w:r w:rsidR="008959C1" w:rsidRPr="00B87C3A">
        <w:rPr>
          <w:noProof/>
        </w:rPr>
        <w:t>surađuje s nadležnim nacionalnim tijelima, na njihov zahtjev, u svakoj radnji poduzetoj kako bi se uklonili rizici koje predstavlja deterdžent ili površinski aktivna tvar obuhvaćena ovlaštenjem ovlaštenog zastupnika;</w:t>
      </w:r>
    </w:p>
    <w:p w14:paraId="72674E55" w14:textId="34152D41" w:rsidR="00694404" w:rsidRPr="00B87C3A" w:rsidRDefault="00180A6D" w:rsidP="00180A6D">
      <w:pPr>
        <w:pStyle w:val="Point1"/>
        <w:rPr>
          <w:noProof/>
        </w:rPr>
      </w:pPr>
      <w:r w:rsidRPr="00180A6D">
        <w:t>(e)</w:t>
      </w:r>
      <w:r w:rsidRPr="00180A6D">
        <w:tab/>
      </w:r>
      <w:r w:rsidR="00694404" w:rsidRPr="00B87C3A">
        <w:rPr>
          <w:noProof/>
        </w:rPr>
        <w:t>ukida ovlaštenje ako proizvođač ne ispunjava obveze proizvođača u skladu s ovom Uredbom.</w:t>
      </w:r>
    </w:p>
    <w:p w14:paraId="00350539" w14:textId="09EBBF43" w:rsidR="00FF009F" w:rsidRPr="00B87C3A" w:rsidRDefault="00180A6D" w:rsidP="00180A6D">
      <w:pPr>
        <w:pStyle w:val="ManualNumPar1"/>
        <w:rPr>
          <w:noProof/>
        </w:rPr>
      </w:pPr>
      <w:r w:rsidRPr="00180A6D">
        <w:t>4.</w:t>
      </w:r>
      <w:r w:rsidRPr="00180A6D">
        <w:tab/>
      </w:r>
      <w:r w:rsidR="00FF009F" w:rsidRPr="00B87C3A">
        <w:rPr>
          <w:noProof/>
        </w:rPr>
        <w:t xml:space="preserve">Obveze iz članka 7. stavka 1. i obveza sastavljanja tehničke dokumentacije navedena u članku 7. stavku 2. nisu dio zadaća ovlaštenog zastupnika. </w:t>
      </w:r>
    </w:p>
    <w:p w14:paraId="0D161661" w14:textId="77777777" w:rsidR="00A907A4" w:rsidRPr="00B87C3A" w:rsidRDefault="00A907A4" w:rsidP="00A907A4">
      <w:pPr>
        <w:rPr>
          <w:noProof/>
        </w:rPr>
      </w:pPr>
    </w:p>
    <w:p w14:paraId="23654356" w14:textId="77777777" w:rsidR="008959C1" w:rsidRPr="00B87C3A" w:rsidRDefault="008959C1" w:rsidP="00543F83">
      <w:pPr>
        <w:pStyle w:val="Titrearticle"/>
        <w:spacing w:before="0" w:after="0"/>
        <w:rPr>
          <w:noProof/>
        </w:rPr>
      </w:pPr>
      <w:r w:rsidRPr="00B87C3A">
        <w:rPr>
          <w:noProof/>
        </w:rPr>
        <w:t>Članak 9.</w:t>
      </w:r>
    </w:p>
    <w:p w14:paraId="7ED4EFA7" w14:textId="77777777" w:rsidR="008959C1" w:rsidRPr="00B87C3A" w:rsidRDefault="008959C1" w:rsidP="00543F83">
      <w:pPr>
        <w:pStyle w:val="NormalCentered"/>
        <w:spacing w:before="0" w:after="0"/>
        <w:rPr>
          <w:b/>
          <w:noProof/>
        </w:rPr>
      </w:pPr>
      <w:r w:rsidRPr="00B87C3A">
        <w:rPr>
          <w:b/>
          <w:noProof/>
        </w:rPr>
        <w:t>Obveze uvoznika</w:t>
      </w:r>
    </w:p>
    <w:p w14:paraId="49FADE2E" w14:textId="7E4DCE2E" w:rsidR="008959C1" w:rsidRPr="00B87C3A" w:rsidRDefault="00180A6D" w:rsidP="00180A6D">
      <w:pPr>
        <w:pStyle w:val="ManualNumPar11"/>
        <w:rPr>
          <w:noProof/>
        </w:rPr>
      </w:pPr>
      <w:r w:rsidRPr="00180A6D">
        <w:t>1.</w:t>
      </w:r>
      <w:r w:rsidRPr="00180A6D">
        <w:tab/>
      </w:r>
      <w:r w:rsidR="008959C1" w:rsidRPr="00B87C3A">
        <w:rPr>
          <w:noProof/>
        </w:rPr>
        <w:t>Uvoznici stavljaju na tržište samo sukladne deterdžente ili površinski aktivne tvari.</w:t>
      </w:r>
    </w:p>
    <w:p w14:paraId="382A5A5C" w14:textId="49CDFC1D" w:rsidR="006E45D8" w:rsidRPr="00B87C3A" w:rsidRDefault="00180A6D" w:rsidP="00180A6D">
      <w:pPr>
        <w:pStyle w:val="ManualNumPar1"/>
        <w:rPr>
          <w:noProof/>
        </w:rPr>
      </w:pPr>
      <w:r w:rsidRPr="00180A6D">
        <w:t>2.</w:t>
      </w:r>
      <w:r w:rsidRPr="00180A6D">
        <w:tab/>
      </w:r>
      <w:r w:rsidR="004A51AD" w:rsidRPr="00B87C3A">
        <w:rPr>
          <w:noProof/>
        </w:rPr>
        <w:t xml:space="preserve">Prije stavljanja deterdženta ili površinski aktivne tvari na tržište uvoznici osiguravaju sljedeće: </w:t>
      </w:r>
    </w:p>
    <w:p w14:paraId="4BD9587B" w14:textId="3F5F65B7" w:rsidR="00E4277D" w:rsidRPr="00B87C3A" w:rsidRDefault="00180A6D" w:rsidP="00180A6D">
      <w:pPr>
        <w:pStyle w:val="Point1"/>
        <w:rPr>
          <w:noProof/>
        </w:rPr>
      </w:pPr>
      <w:r w:rsidRPr="00180A6D">
        <w:t>(a)</w:t>
      </w:r>
      <w:r w:rsidRPr="00180A6D">
        <w:tab/>
      </w:r>
      <w:r w:rsidR="004A51AD" w:rsidRPr="00B87C3A">
        <w:rPr>
          <w:noProof/>
        </w:rPr>
        <w:t xml:space="preserve">da je proizvođač proveo postupak ocjenjivanja sukladnosti i sastavio tehničku dokumentaciju iz članka 7. stavka 2.; </w:t>
      </w:r>
    </w:p>
    <w:p w14:paraId="6C245773" w14:textId="58F80EDF" w:rsidR="004F60EA" w:rsidRPr="00B87C3A" w:rsidRDefault="00180A6D" w:rsidP="00180A6D">
      <w:pPr>
        <w:pStyle w:val="Point1"/>
        <w:rPr>
          <w:noProof/>
        </w:rPr>
      </w:pPr>
      <w:r w:rsidRPr="00180A6D">
        <w:t>(b)</w:t>
      </w:r>
      <w:r w:rsidRPr="00180A6D">
        <w:tab/>
      </w:r>
      <w:r w:rsidR="004F60EA" w:rsidRPr="00B87C3A">
        <w:rPr>
          <w:noProof/>
        </w:rPr>
        <w:t xml:space="preserve">da deterdžent nosi oznaku CE iz članka 14.; </w:t>
      </w:r>
    </w:p>
    <w:p w14:paraId="493BBEC7" w14:textId="6686B5C4" w:rsidR="000B2AD6" w:rsidRPr="00B87C3A" w:rsidRDefault="00180A6D" w:rsidP="00180A6D">
      <w:pPr>
        <w:pStyle w:val="Point1"/>
        <w:rPr>
          <w:noProof/>
        </w:rPr>
      </w:pPr>
      <w:r w:rsidRPr="00180A6D">
        <w:lastRenderedPageBreak/>
        <w:t>(c)</w:t>
      </w:r>
      <w:r w:rsidRPr="00180A6D">
        <w:tab/>
      </w:r>
      <w:r w:rsidR="00E4277D" w:rsidRPr="00B87C3A">
        <w:rPr>
          <w:noProof/>
        </w:rPr>
        <w:t>da je proizvođač izradio putovnicu za proizvode iz članka 7. stavka 2.;</w:t>
      </w:r>
    </w:p>
    <w:p w14:paraId="1412B6A1" w14:textId="392F4C16" w:rsidR="00341708" w:rsidRPr="00B87C3A" w:rsidRDefault="00180A6D" w:rsidP="00180A6D">
      <w:pPr>
        <w:pStyle w:val="Point1"/>
        <w:rPr>
          <w:noProof/>
        </w:rPr>
      </w:pPr>
      <w:r w:rsidRPr="00180A6D">
        <w:t>(d)</w:t>
      </w:r>
      <w:r w:rsidRPr="00180A6D">
        <w:tab/>
      </w:r>
      <w:r w:rsidR="00341708" w:rsidRPr="00B87C3A">
        <w:rPr>
          <w:noProof/>
        </w:rPr>
        <w:t>da su relevantne informacije u putovnici za proizvode uključene u registar iz članka 20. stavka 1.</w:t>
      </w:r>
    </w:p>
    <w:p w14:paraId="2CF50C44" w14:textId="4571C8C0" w:rsidR="008959C1" w:rsidRPr="00B87C3A" w:rsidRDefault="00180A6D" w:rsidP="00180A6D">
      <w:pPr>
        <w:pStyle w:val="ManualNumPar1"/>
        <w:rPr>
          <w:noProof/>
        </w:rPr>
      </w:pPr>
      <w:r w:rsidRPr="00180A6D">
        <w:t>3.</w:t>
      </w:r>
      <w:r w:rsidRPr="00180A6D">
        <w:tab/>
      </w:r>
      <w:r w:rsidR="008959C1" w:rsidRPr="00B87C3A">
        <w:rPr>
          <w:noProof/>
        </w:rPr>
        <w:t>Ako smatra ili ima razloga vjerovati da deterdžent ili površinski aktivna tvar nije sukladna s ovom Uredbom, uvoznik ne stavlja taj deterdžent ili tu površinski aktivnu tvar na tržište sve dok se ne provede njezino usklađivanje. Nadalje, ako deterdžent ili površinski aktivna tvar predstavljaju rizik za zdravlje ili okoliš, uvoznik o tome obavješćuje proizvođača i tijela za nadzor tržišta.</w:t>
      </w:r>
    </w:p>
    <w:p w14:paraId="4FE45502" w14:textId="7150D7C0" w:rsidR="008959C1" w:rsidRPr="00B87C3A" w:rsidRDefault="00180A6D" w:rsidP="00180A6D">
      <w:pPr>
        <w:pStyle w:val="ManualNumPar1"/>
        <w:rPr>
          <w:noProof/>
        </w:rPr>
      </w:pPr>
      <w:r w:rsidRPr="00180A6D">
        <w:t>4.</w:t>
      </w:r>
      <w:r w:rsidRPr="00180A6D">
        <w:tab/>
      </w:r>
      <w:r w:rsidR="008959C1" w:rsidRPr="00B87C3A">
        <w:rPr>
          <w:noProof/>
        </w:rPr>
        <w:t xml:space="preserve">Uvoznici na oznaci deterdženta ili površinski aktivne tvari navode svoje ime, registrirano trgovačko ime ili registriranu trgovačku oznaku te poštansku adresu i adresu elektroničke pošte na kojoj su dostupni. Podaci za kontakt moraju biti na jeziku koji bez poteškoća razumiju krajnji korisnici i tijela za nadzor tržišta. </w:t>
      </w:r>
    </w:p>
    <w:p w14:paraId="059E126F" w14:textId="64DF9B2C" w:rsidR="006C6A60" w:rsidRPr="00B87C3A" w:rsidRDefault="00180A6D" w:rsidP="00180A6D">
      <w:pPr>
        <w:pStyle w:val="ManualNumPar1"/>
        <w:rPr>
          <w:noProof/>
        </w:rPr>
      </w:pPr>
      <w:r w:rsidRPr="00180A6D">
        <w:t>5.</w:t>
      </w:r>
      <w:r w:rsidRPr="00180A6D">
        <w:tab/>
      </w:r>
      <w:r w:rsidR="006C6A60" w:rsidRPr="00B87C3A">
        <w:rPr>
          <w:noProof/>
        </w:rPr>
        <w:t>Uvoznici osiguravaju da su deterdženti i površinski aktivne tvari koje stavljaju na tržište u skladu sa zahtjevima za označivanje utvrđenima u člancima 15., 16. i 17.</w:t>
      </w:r>
    </w:p>
    <w:p w14:paraId="1C35E499" w14:textId="134BFAC2" w:rsidR="008959C1" w:rsidRPr="00B87C3A" w:rsidRDefault="00180A6D" w:rsidP="00180A6D">
      <w:pPr>
        <w:pStyle w:val="ManualNumPar1"/>
        <w:rPr>
          <w:noProof/>
        </w:rPr>
      </w:pPr>
      <w:r w:rsidRPr="00180A6D">
        <w:t>6.</w:t>
      </w:r>
      <w:r w:rsidRPr="00180A6D">
        <w:tab/>
      </w:r>
      <w:r w:rsidR="008959C1" w:rsidRPr="00B87C3A">
        <w:rPr>
          <w:noProof/>
        </w:rPr>
        <w:t>Uvoznici osiguravaju da, dok je deterdžent ili površinski aktivna tvar pod njihovom odgovornošću, uvjeti njihova skladištenja ili prijevoza ne ugrožavaju njihovu sukladnost s ovom Uredbom.</w:t>
      </w:r>
    </w:p>
    <w:p w14:paraId="5A8F84DE" w14:textId="40658FD7" w:rsidR="008959C1" w:rsidRPr="00B87C3A" w:rsidRDefault="00180A6D" w:rsidP="00180A6D">
      <w:pPr>
        <w:pStyle w:val="ManualNumPar1"/>
        <w:rPr>
          <w:noProof/>
        </w:rPr>
      </w:pPr>
      <w:r w:rsidRPr="00180A6D">
        <w:t>7.</w:t>
      </w:r>
      <w:r w:rsidRPr="00180A6D">
        <w:tab/>
      </w:r>
      <w:r w:rsidR="008959C1" w:rsidRPr="00B87C3A">
        <w:rPr>
          <w:noProof/>
        </w:rPr>
        <w:t>Ako to smatraju prikladnim s obzirom na djelovanje deterdženata ili površinski aktivnih tvari ili rizike koje oni predstavljaju, uvoznici ispituju uzorke takvih deterdženata ili površinski aktivnih tvari, istražuju pritužbe i, prema potrebi, vode knjigu pritužbi i registar nesukladnih deterdženata ili površinski aktivnih tvari i opoziva takvih deterdženata ili površinski aktivnih tvari te o svakom takvom praćenju obavješćuju distributere.</w:t>
      </w:r>
    </w:p>
    <w:p w14:paraId="4EE916D5" w14:textId="1397C4CC" w:rsidR="008959C1" w:rsidRPr="00B87C3A" w:rsidRDefault="00180A6D" w:rsidP="00180A6D">
      <w:pPr>
        <w:pStyle w:val="ManualNumPar1"/>
        <w:rPr>
          <w:noProof/>
        </w:rPr>
      </w:pPr>
      <w:r w:rsidRPr="00180A6D">
        <w:t>8.</w:t>
      </w:r>
      <w:r w:rsidRPr="00180A6D">
        <w:tab/>
      </w:r>
      <w:r w:rsidR="008959C1" w:rsidRPr="00B87C3A">
        <w:rPr>
          <w:noProof/>
        </w:rPr>
        <w:t>Uvoznici koji smatraju ili imaju razloga vjerovati da deterdžent ili površinski aktivna tvar koje su stavili na tržište nisu u skladu s ovom Uredbom odmah poduzimaju korektivne mjere potrebne kako bi ih s njom uskladili ili, prema potrebi, povukli s tržišta ili opozvali. Osim toga, ako uvoznici smatraju ili imaju razloga vjerovati da deterdžent ili površinski aktivna tvar koje su stavili na tržište predstavljaju rizik za zdravlje ili okoliš, o tome odmah obavješćuju nadležna nacionalna tijela država članica u kojima su ih stavili na raspolaganje na tržištu te im dostavljaju detaljne podatke, posebno o svim nesukladnostima i poduzetim korektivnim mjerama.</w:t>
      </w:r>
    </w:p>
    <w:p w14:paraId="5F1DCF94" w14:textId="2ABF9A86" w:rsidR="008959C1" w:rsidRPr="00B87C3A" w:rsidRDefault="00180A6D" w:rsidP="00180A6D">
      <w:pPr>
        <w:pStyle w:val="ManualNumPar1"/>
        <w:rPr>
          <w:noProof/>
        </w:rPr>
      </w:pPr>
      <w:r w:rsidRPr="00180A6D">
        <w:t>9.</w:t>
      </w:r>
      <w:r w:rsidRPr="00180A6D">
        <w:tab/>
      </w:r>
      <w:r w:rsidR="008959C1" w:rsidRPr="00B87C3A">
        <w:rPr>
          <w:noProof/>
        </w:rPr>
        <w:t>Uvoznici čuvaju upućivanje na jedinstvenu identifikacijsku oznaku proizvoda na raspolaganju tijelima za nadzor tržišta u razdoblju od 10 godina nakon što je deterdžent ili površinski aktivna tvar stavljena na tržište i osiguravaju da se tehnička dokumentacija može staviti na raspolaganje tim tijelima na njihov zahtjev.</w:t>
      </w:r>
    </w:p>
    <w:p w14:paraId="15B157AE" w14:textId="1375D6D6" w:rsidR="007857F0" w:rsidRPr="00B87C3A" w:rsidRDefault="00180A6D" w:rsidP="00180A6D">
      <w:pPr>
        <w:pStyle w:val="ManualNumPar1"/>
        <w:rPr>
          <w:noProof/>
        </w:rPr>
      </w:pPr>
      <w:r w:rsidRPr="00180A6D">
        <w:t>10.</w:t>
      </w:r>
      <w:r w:rsidRPr="00180A6D">
        <w:tab/>
      </w:r>
      <w:r w:rsidR="008959C1" w:rsidRPr="00B87C3A">
        <w:rPr>
          <w:noProof/>
        </w:rPr>
        <w:t>Na obrazložen zahtjev nadležnog nacionalnog tijela uvoznici tom tijelu na jeziku koje ono bez poteškoća razumije dostavljaju sve informacije i dokumentaciju, u papirnatom ili elektroničkom obliku, potrebne za dokazivanje sukladnosti deterdženta ili površinski aktivne tvari s ovom Uredbom. Na zahtjev nadležnog nacionalnog tijela uvoznici surađuju s njim u svakoj radnji poduzetoj kako bi se uklonili rizici koje predstavljaju deterdžent ili površinski aktivna tvar koje su stavili na tržište.</w:t>
      </w:r>
    </w:p>
    <w:p w14:paraId="4F7D6BCD" w14:textId="77777777" w:rsidR="00543F83" w:rsidRPr="00B87C3A" w:rsidRDefault="00543F83" w:rsidP="00543F83">
      <w:pPr>
        <w:rPr>
          <w:noProof/>
        </w:rPr>
      </w:pPr>
    </w:p>
    <w:p w14:paraId="199D7D27" w14:textId="77777777" w:rsidR="006F538F" w:rsidRPr="00B87C3A" w:rsidRDefault="006F538F" w:rsidP="00543F83">
      <w:pPr>
        <w:pStyle w:val="Titrearticle"/>
        <w:spacing w:before="0" w:after="0"/>
        <w:rPr>
          <w:noProof/>
        </w:rPr>
      </w:pPr>
      <w:r w:rsidRPr="00B87C3A">
        <w:rPr>
          <w:noProof/>
        </w:rPr>
        <w:lastRenderedPageBreak/>
        <w:t>Članak 10.</w:t>
      </w:r>
    </w:p>
    <w:p w14:paraId="49D7074D" w14:textId="77777777" w:rsidR="00997558" w:rsidRPr="00B87C3A" w:rsidRDefault="00997558" w:rsidP="00543F83">
      <w:pPr>
        <w:pStyle w:val="Titrearticle"/>
        <w:spacing w:before="0" w:after="0"/>
        <w:rPr>
          <w:b/>
          <w:i w:val="0"/>
          <w:noProof/>
        </w:rPr>
      </w:pPr>
      <w:r w:rsidRPr="00B87C3A">
        <w:rPr>
          <w:b/>
          <w:i w:val="0"/>
          <w:noProof/>
        </w:rPr>
        <w:t>Obveze distributera</w:t>
      </w:r>
    </w:p>
    <w:p w14:paraId="593FEF69" w14:textId="44EEAD29" w:rsidR="006F538F" w:rsidRPr="00B87C3A" w:rsidRDefault="00180A6D" w:rsidP="00180A6D">
      <w:pPr>
        <w:pStyle w:val="ManualNumPar11"/>
        <w:rPr>
          <w:noProof/>
        </w:rPr>
      </w:pPr>
      <w:r w:rsidRPr="00180A6D">
        <w:t>1.</w:t>
      </w:r>
      <w:r w:rsidRPr="00180A6D">
        <w:tab/>
      </w:r>
      <w:r w:rsidR="006F538F" w:rsidRPr="00B87C3A">
        <w:rPr>
          <w:noProof/>
        </w:rPr>
        <w:t>Pri stavljanju deterdženta ili površinski aktivne tvari na raspolaganje na tržištu distributeri djeluju s dužnom pažnjom u odnosu na zahtjeve ove Uredbe.</w:t>
      </w:r>
    </w:p>
    <w:p w14:paraId="04D07234" w14:textId="2C835207" w:rsidR="00983259" w:rsidRPr="00B87C3A" w:rsidRDefault="00180A6D" w:rsidP="00180A6D">
      <w:pPr>
        <w:pStyle w:val="ManualNumPar1"/>
        <w:rPr>
          <w:noProof/>
        </w:rPr>
      </w:pPr>
      <w:r w:rsidRPr="00180A6D">
        <w:t>2.</w:t>
      </w:r>
      <w:r w:rsidRPr="00180A6D">
        <w:tab/>
      </w:r>
      <w:r w:rsidR="00B577BD" w:rsidRPr="00B87C3A">
        <w:rPr>
          <w:noProof/>
        </w:rPr>
        <w:t xml:space="preserve">Prije stavljanja deterdženta ili površinski aktivne tvari na raspolaganje na tržištu distributeri provjeravaju jesu li ispunjeni sljedeći uvjeti: </w:t>
      </w:r>
    </w:p>
    <w:p w14:paraId="4BB9ED50" w14:textId="3F22938D" w:rsidR="00983259" w:rsidRPr="00B87C3A" w:rsidRDefault="00180A6D" w:rsidP="00180A6D">
      <w:pPr>
        <w:pStyle w:val="Point1"/>
        <w:rPr>
          <w:noProof/>
        </w:rPr>
      </w:pPr>
      <w:r w:rsidRPr="00180A6D">
        <w:t>(a)</w:t>
      </w:r>
      <w:r w:rsidRPr="00180A6D">
        <w:tab/>
      </w:r>
      <w:r w:rsidR="00B577BD" w:rsidRPr="00B87C3A">
        <w:rPr>
          <w:noProof/>
        </w:rPr>
        <w:t>uz deterdžent ili površinski aktivnu tvar priloženi su potrebni dokumenti i oznaka koja ispunjava zahtjeve utvrđene u člancima 15., 16. i 17.;</w:t>
      </w:r>
    </w:p>
    <w:p w14:paraId="36D1E749" w14:textId="75B5163A" w:rsidR="00937EDD" w:rsidRPr="00B87C3A" w:rsidRDefault="00180A6D" w:rsidP="00180A6D">
      <w:pPr>
        <w:pStyle w:val="Point1"/>
        <w:rPr>
          <w:noProof/>
        </w:rPr>
      </w:pPr>
      <w:r w:rsidRPr="00180A6D">
        <w:t>(b)</w:t>
      </w:r>
      <w:r w:rsidRPr="00180A6D">
        <w:tab/>
      </w:r>
      <w:r w:rsidR="00937EDD" w:rsidRPr="00B87C3A">
        <w:rPr>
          <w:noProof/>
        </w:rPr>
        <w:t>deterdžent nosi oznaku CE iz članka 14.;</w:t>
      </w:r>
    </w:p>
    <w:p w14:paraId="2DA2B177" w14:textId="25457C0F" w:rsidR="00B577BD" w:rsidRPr="00B87C3A" w:rsidRDefault="00180A6D" w:rsidP="00180A6D">
      <w:pPr>
        <w:pStyle w:val="Point1"/>
        <w:rPr>
          <w:noProof/>
        </w:rPr>
      </w:pPr>
      <w:r w:rsidRPr="00180A6D">
        <w:t>(c)</w:t>
      </w:r>
      <w:r w:rsidRPr="00180A6D">
        <w:tab/>
      </w:r>
      <w:r w:rsidR="00B577BD" w:rsidRPr="00B87C3A">
        <w:rPr>
          <w:noProof/>
        </w:rPr>
        <w:t xml:space="preserve">proizvođač je ispunio zahtjeve iz članka 7. stavaka 2. i 3. ili je uvoznik ispunio zahtjeve iz članka 9. stavka 2, ovisno o tome što je primjenjivo. </w:t>
      </w:r>
    </w:p>
    <w:p w14:paraId="557EE2D1" w14:textId="446301B6" w:rsidR="006F538F" w:rsidRPr="00B87C3A" w:rsidRDefault="00180A6D" w:rsidP="00180A6D">
      <w:pPr>
        <w:pStyle w:val="ManualNumPar1"/>
        <w:rPr>
          <w:noProof/>
        </w:rPr>
      </w:pPr>
      <w:r w:rsidRPr="00180A6D">
        <w:t>3.</w:t>
      </w:r>
      <w:r w:rsidRPr="00180A6D">
        <w:tab/>
      </w:r>
      <w:r w:rsidR="006F538F" w:rsidRPr="00B87C3A">
        <w:rPr>
          <w:noProof/>
        </w:rPr>
        <w:t>Ako smatra ili ima razloga vjerovati da deterdžent ili površinski aktivna tvar nije sukladna s ovom Uredbom, distributer ne stavlja taj deterdžent ili tu površinski aktivnu tvar na tržište sve dok se ne provede njezino usklađivanje. Nadalje, ako deterdžent ili površinski aktivna tvar predstavlja rizik za zdravlje ili okoliš, distributer o tome obavješćuje proizvođača te, ako je primjenjivo, ovlaštenog zastupnika ili uvoznika kao i tijela za nadzor tržišta.</w:t>
      </w:r>
    </w:p>
    <w:p w14:paraId="7FD05BCA" w14:textId="77990508" w:rsidR="002A7613" w:rsidRPr="00B87C3A" w:rsidRDefault="00180A6D" w:rsidP="00180A6D">
      <w:pPr>
        <w:pStyle w:val="ManualNumPar1"/>
        <w:rPr>
          <w:noProof/>
        </w:rPr>
      </w:pPr>
      <w:r w:rsidRPr="00180A6D">
        <w:t>4.</w:t>
      </w:r>
      <w:r w:rsidRPr="00180A6D">
        <w:tab/>
      </w:r>
      <w:r w:rsidR="002A7613" w:rsidRPr="00B87C3A">
        <w:rPr>
          <w:noProof/>
        </w:rPr>
        <w:t>Distributeri osiguravaju da, dok je deterdžent ili površinski aktivna tvar pod njihovom odgovornošću, uvjeti njihova skladištenja ili prijevoza ne ugrožavaju njihovu sukladnost s ovom Uredbom.</w:t>
      </w:r>
    </w:p>
    <w:p w14:paraId="775E5BDA" w14:textId="53FEF8BB" w:rsidR="002A7613" w:rsidRPr="00B87C3A" w:rsidRDefault="00180A6D" w:rsidP="00180A6D">
      <w:pPr>
        <w:pStyle w:val="ManualNumPar1"/>
        <w:rPr>
          <w:noProof/>
        </w:rPr>
      </w:pPr>
      <w:r w:rsidRPr="00180A6D">
        <w:t>5.</w:t>
      </w:r>
      <w:r w:rsidRPr="00180A6D">
        <w:tab/>
      </w:r>
      <w:r w:rsidR="002A7613" w:rsidRPr="00B87C3A">
        <w:rPr>
          <w:noProof/>
        </w:rPr>
        <w:t>Distributeri koji smatraju ili imaju razloga vjerovati da deterdžent ili površinski aktivna tvar koje su stavili na tržište nisu u skladu s ovom Uredbom osiguravaju poduzimanje korektivnih mjera potrebnih kako bi ih s njom uskladili ili, prema potrebi, povukli s tržišta ili opozvali. Osim toga, ako distributeri smatraju ili imaju razloga vjerovati da deterdžent ili površinski aktivna tvar koje su stavili na tržište predstavljaju rizik za zdravlje ili okoliš, o tome odmah obavješćuju nadležna nacionalna tijela država članica u kojima su ih stavili na raspolaganje na tržištu te im dostavljaju detaljne podatke, posebno o svim nesukladnostima i poduzetim korektivnim mjerama.</w:t>
      </w:r>
    </w:p>
    <w:p w14:paraId="79F6A39E" w14:textId="5FA18F2F" w:rsidR="002A7613" w:rsidRPr="00B87C3A" w:rsidRDefault="00180A6D" w:rsidP="00180A6D">
      <w:pPr>
        <w:pStyle w:val="ManualNumPar1"/>
        <w:rPr>
          <w:noProof/>
        </w:rPr>
      </w:pPr>
      <w:r w:rsidRPr="00180A6D">
        <w:t>6.</w:t>
      </w:r>
      <w:r w:rsidRPr="00180A6D">
        <w:tab/>
      </w:r>
      <w:r w:rsidR="007179CE" w:rsidRPr="00B87C3A">
        <w:rPr>
          <w:noProof/>
        </w:rPr>
        <w:t>Na obrazložen zahtjev nadležnog nacionalnog tijela distributeri tom tijelu dostavljaju sve informacije i dokumentaciju koji su potrebni za dokazivanje sukladnosti deterdženta ili površinski aktivne tvari s ovom Uredbom u papirnatom ili elektroničkom obliku. Na zahtjev nadležnog nacionalnog tijela distributeri surađuju s njim u svakoj radnji poduzetoj kako bi se uklonili rizici koje predstavljaju deterdžent ili površinski aktivna tvar koje su stavili na raspolaganje na tržištu.</w:t>
      </w:r>
    </w:p>
    <w:p w14:paraId="05EFD41F" w14:textId="77777777" w:rsidR="00543F83" w:rsidRPr="00B87C3A" w:rsidRDefault="00543F83" w:rsidP="00543F83">
      <w:pPr>
        <w:rPr>
          <w:noProof/>
        </w:rPr>
      </w:pPr>
    </w:p>
    <w:p w14:paraId="5CA95624" w14:textId="77777777" w:rsidR="008E485E" w:rsidRPr="00B87C3A" w:rsidRDefault="008E485E" w:rsidP="00543F83">
      <w:pPr>
        <w:pStyle w:val="Titrearticle"/>
        <w:spacing w:before="0" w:after="0"/>
        <w:rPr>
          <w:noProof/>
        </w:rPr>
      </w:pPr>
      <w:r w:rsidRPr="00B87C3A">
        <w:rPr>
          <w:noProof/>
        </w:rPr>
        <w:t>Članak 11.</w:t>
      </w:r>
    </w:p>
    <w:p w14:paraId="675A9BB6" w14:textId="77777777" w:rsidR="008E485E" w:rsidRPr="00B87C3A" w:rsidRDefault="008E485E" w:rsidP="00543F83">
      <w:pPr>
        <w:pStyle w:val="NormalCentered"/>
        <w:spacing w:before="0" w:after="0"/>
        <w:rPr>
          <w:b/>
          <w:noProof/>
        </w:rPr>
      </w:pPr>
      <w:r w:rsidRPr="00B87C3A">
        <w:rPr>
          <w:b/>
          <w:noProof/>
        </w:rPr>
        <w:t>Slučajevi u kojima se obveze proizvođača primjenjuju na uvoznike i distributere</w:t>
      </w:r>
    </w:p>
    <w:p w14:paraId="1A147FE5" w14:textId="77777777" w:rsidR="00B255A2" w:rsidRPr="00B87C3A" w:rsidRDefault="008E485E" w:rsidP="00B255A2">
      <w:pPr>
        <w:rPr>
          <w:noProof/>
        </w:rPr>
      </w:pPr>
      <w:r w:rsidRPr="00B87C3A">
        <w:rPr>
          <w:noProof/>
        </w:rPr>
        <w:t>Uvoznik ili distributer smatra se proizvođačem za potrebe ove Uredbe i podliježe obvezama proizvođača u skladu s člankom 7. ako taj uvoznik ili distributer stavlja deterdžent ili površinski aktivnu tvar na tržište pod svojim imenom ili trgovačkom oznakom ili pak preinačuje deterdžent ili površinski aktivnu tvar koji su već stavljeni na tržište tako da bi se time moglo utjecati na sukladnost s ovom Uredbom.</w:t>
      </w:r>
    </w:p>
    <w:p w14:paraId="1F7B2173" w14:textId="77777777" w:rsidR="00543F83" w:rsidRPr="00B87C3A" w:rsidRDefault="00543F83" w:rsidP="00B255A2">
      <w:pPr>
        <w:rPr>
          <w:noProof/>
        </w:rPr>
      </w:pPr>
    </w:p>
    <w:p w14:paraId="51BF0787" w14:textId="77777777" w:rsidR="00837C89" w:rsidRPr="00B87C3A" w:rsidRDefault="00837C89" w:rsidP="00543F83">
      <w:pPr>
        <w:pStyle w:val="Titrearticle"/>
        <w:spacing w:before="0" w:after="0"/>
        <w:rPr>
          <w:noProof/>
        </w:rPr>
      </w:pPr>
      <w:r w:rsidRPr="00B87C3A">
        <w:rPr>
          <w:noProof/>
        </w:rPr>
        <w:lastRenderedPageBreak/>
        <w:t>Članak 12.</w:t>
      </w:r>
    </w:p>
    <w:p w14:paraId="28909C36" w14:textId="77777777" w:rsidR="00837C89" w:rsidRPr="00B87C3A" w:rsidRDefault="00837C89" w:rsidP="00543F83">
      <w:pPr>
        <w:pStyle w:val="NormalCentered"/>
        <w:spacing w:before="0" w:after="0"/>
        <w:rPr>
          <w:b/>
          <w:noProof/>
        </w:rPr>
      </w:pPr>
      <w:r w:rsidRPr="00B87C3A">
        <w:rPr>
          <w:b/>
          <w:noProof/>
        </w:rPr>
        <w:t>Pakiranje i prepakiranje koje provode uvoznici i distributeri</w:t>
      </w:r>
    </w:p>
    <w:p w14:paraId="4EC5991C" w14:textId="77777777" w:rsidR="00837C89" w:rsidRPr="00B87C3A" w:rsidRDefault="00837C89" w:rsidP="00837C89">
      <w:pPr>
        <w:rPr>
          <w:noProof/>
        </w:rPr>
      </w:pPr>
      <w:r w:rsidRPr="00B87C3A">
        <w:rPr>
          <w:noProof/>
        </w:rPr>
        <w:t>Ako uvoznik ili distributer pakira ili prepakira deterdžent ili površinski aktivnu tvar i ne podliježe obvezama proizvođača u skladu s člankom 11., taj uvoznik ili distributer, ovisno o slučaju, ima sljedeće obveze:</w:t>
      </w:r>
    </w:p>
    <w:p w14:paraId="0D8FAAAE" w14:textId="6CAA62EA" w:rsidR="00837C89" w:rsidRPr="00B87C3A" w:rsidRDefault="00180A6D" w:rsidP="00180A6D">
      <w:pPr>
        <w:pStyle w:val="Point0"/>
        <w:rPr>
          <w:noProof/>
        </w:rPr>
      </w:pPr>
      <w:r w:rsidRPr="00180A6D">
        <w:t>(a)</w:t>
      </w:r>
      <w:r w:rsidRPr="00180A6D">
        <w:tab/>
      </w:r>
      <w:r w:rsidR="00DB21A4" w:rsidRPr="00B87C3A">
        <w:rPr>
          <w:noProof/>
        </w:rPr>
        <w:t xml:space="preserve">osigurava da ambalaža nosi njegovo ime, registrirano trgovačko ime ili registriranu trgovačku oznaku i poštansku adresu kojima prethode riječi „pakirao” ili „prepakirao”; </w:t>
      </w:r>
    </w:p>
    <w:p w14:paraId="5B939114" w14:textId="2B440CC3" w:rsidR="00A45F7B" w:rsidRPr="00B87C3A" w:rsidRDefault="00180A6D" w:rsidP="00180A6D">
      <w:pPr>
        <w:pStyle w:val="Point0"/>
        <w:rPr>
          <w:noProof/>
        </w:rPr>
      </w:pPr>
      <w:r w:rsidRPr="00180A6D">
        <w:t>(b)</w:t>
      </w:r>
      <w:r w:rsidRPr="00180A6D">
        <w:tab/>
      </w:r>
      <w:r w:rsidR="00A45F7B" w:rsidRPr="00B87C3A">
        <w:rPr>
          <w:noProof/>
        </w:rPr>
        <w:t>osigurava sukladnost s člancima od 14. do 17.;</w:t>
      </w:r>
    </w:p>
    <w:p w14:paraId="47318B20" w14:textId="47C35296" w:rsidR="00837C89" w:rsidRPr="00B87C3A" w:rsidRDefault="00180A6D" w:rsidP="00180A6D">
      <w:pPr>
        <w:pStyle w:val="Point0"/>
        <w:rPr>
          <w:noProof/>
        </w:rPr>
      </w:pPr>
      <w:r w:rsidRPr="00180A6D">
        <w:t>(c)</w:t>
      </w:r>
      <w:r w:rsidRPr="00180A6D">
        <w:tab/>
      </w:r>
      <w:r w:rsidR="00DB21A4" w:rsidRPr="00B87C3A">
        <w:rPr>
          <w:noProof/>
        </w:rPr>
        <w:t>da upućivanje na jedinstvenu identifikacijsku oznaku proizvoda ima na raspolaganju za potrebe tijela za nadzor tržišta u razdoblju od 10 godina nakon što je deterdžent ili površinski aktivnu tvar stavio na tržište.</w:t>
      </w:r>
    </w:p>
    <w:p w14:paraId="52B322D1" w14:textId="77777777" w:rsidR="00543F83" w:rsidRPr="00B87C3A" w:rsidRDefault="00543F83" w:rsidP="00837C89">
      <w:pPr>
        <w:rPr>
          <w:noProof/>
        </w:rPr>
      </w:pPr>
    </w:p>
    <w:p w14:paraId="3D4B7DBF" w14:textId="77777777" w:rsidR="00B255A2" w:rsidRPr="00B87C3A" w:rsidRDefault="00B255A2" w:rsidP="00543F83">
      <w:pPr>
        <w:pStyle w:val="Titrearticle"/>
        <w:spacing w:before="0" w:after="0"/>
        <w:rPr>
          <w:noProof/>
        </w:rPr>
      </w:pPr>
      <w:r w:rsidRPr="00B87C3A">
        <w:rPr>
          <w:noProof/>
        </w:rPr>
        <w:t>Članak 13.</w:t>
      </w:r>
    </w:p>
    <w:p w14:paraId="1423EFB7" w14:textId="77777777" w:rsidR="00B255A2" w:rsidRPr="00B87C3A" w:rsidRDefault="00B255A2" w:rsidP="00543F83">
      <w:pPr>
        <w:pStyle w:val="NormalCentered"/>
        <w:spacing w:before="0" w:after="0"/>
        <w:rPr>
          <w:b/>
          <w:noProof/>
        </w:rPr>
      </w:pPr>
      <w:r w:rsidRPr="00B87C3A">
        <w:rPr>
          <w:b/>
          <w:noProof/>
        </w:rPr>
        <w:t>Identifikacija gospodarskih subjekata</w:t>
      </w:r>
    </w:p>
    <w:p w14:paraId="41B00577" w14:textId="20ADD4A4" w:rsidR="00B255A2" w:rsidRPr="00B87C3A" w:rsidRDefault="00180A6D" w:rsidP="00180A6D">
      <w:pPr>
        <w:pStyle w:val="ManualNumPar11"/>
        <w:rPr>
          <w:noProof/>
        </w:rPr>
      </w:pPr>
      <w:r w:rsidRPr="00180A6D">
        <w:t>1.</w:t>
      </w:r>
      <w:r w:rsidRPr="00180A6D">
        <w:tab/>
      </w:r>
      <w:r w:rsidR="00B255A2" w:rsidRPr="00B87C3A">
        <w:rPr>
          <w:noProof/>
        </w:rPr>
        <w:t>Gospodarski subjekti, na zahtjev, daju tijelima za nadzor tržišta podatke u kojima navode:</w:t>
      </w:r>
    </w:p>
    <w:p w14:paraId="18CE72BC" w14:textId="33B0CCCE" w:rsidR="00B255A2" w:rsidRPr="00B87C3A" w:rsidRDefault="00180A6D" w:rsidP="00180A6D">
      <w:pPr>
        <w:pStyle w:val="Point1"/>
        <w:rPr>
          <w:noProof/>
        </w:rPr>
      </w:pPr>
      <w:r w:rsidRPr="00180A6D">
        <w:t>(a)</w:t>
      </w:r>
      <w:r w:rsidRPr="00180A6D">
        <w:tab/>
      </w:r>
      <w:r w:rsidR="00B255A2" w:rsidRPr="00B87C3A">
        <w:rPr>
          <w:noProof/>
        </w:rPr>
        <w:t>svaki gospodarski subjekt koji im je isporučio deterdžent ili površinski aktivnu tvar;</w:t>
      </w:r>
    </w:p>
    <w:p w14:paraId="43145B3B" w14:textId="0F5E6762" w:rsidR="00CB3B19" w:rsidRPr="00B87C3A" w:rsidRDefault="00180A6D" w:rsidP="00180A6D">
      <w:pPr>
        <w:pStyle w:val="Point1"/>
        <w:rPr>
          <w:noProof/>
        </w:rPr>
      </w:pPr>
      <w:r w:rsidRPr="00180A6D">
        <w:t>(b)</w:t>
      </w:r>
      <w:r w:rsidRPr="00180A6D">
        <w:tab/>
      </w:r>
      <w:r w:rsidR="00B255A2" w:rsidRPr="00B87C3A">
        <w:rPr>
          <w:noProof/>
        </w:rPr>
        <w:t>svaki gospodarski subjekt kojem su sami isporučili deterdžent ili površinski aktivnu tvar.</w:t>
      </w:r>
    </w:p>
    <w:p w14:paraId="7EFCC477" w14:textId="00992CF5" w:rsidR="00B255A2" w:rsidRPr="00B87C3A" w:rsidRDefault="00180A6D" w:rsidP="00180A6D">
      <w:pPr>
        <w:pStyle w:val="ManualNumPar1"/>
        <w:rPr>
          <w:noProof/>
        </w:rPr>
      </w:pPr>
      <w:r w:rsidRPr="00180A6D">
        <w:t>2.</w:t>
      </w:r>
      <w:r w:rsidRPr="00180A6D">
        <w:tab/>
      </w:r>
      <w:r w:rsidR="00545CEE" w:rsidRPr="00B87C3A">
        <w:rPr>
          <w:noProof/>
        </w:rPr>
        <w:t xml:space="preserve">Gospodarski subjekti moraju biti u mogućnosti pružiti podatke iz stavka 1. 10 godina nakon što im je isporučen deterdžent ili površinski aktivna tvar i 10 godina nakon što su sami isporučili deterdžent ili površinski aktivnu tvar. </w:t>
      </w:r>
    </w:p>
    <w:p w14:paraId="420A07DC" w14:textId="77777777" w:rsidR="00FE4C4F" w:rsidRPr="00B87C3A" w:rsidRDefault="00FE4C4F" w:rsidP="00FF475D">
      <w:pPr>
        <w:rPr>
          <w:noProof/>
        </w:rPr>
      </w:pPr>
    </w:p>
    <w:p w14:paraId="15DC5BDD" w14:textId="77777777" w:rsidR="00B30EB9" w:rsidRPr="00B87C3A" w:rsidRDefault="00C94FDA" w:rsidP="00D41940">
      <w:pPr>
        <w:pStyle w:val="ChapterTitle"/>
        <w:spacing w:after="0"/>
        <w:rPr>
          <w:noProof/>
        </w:rPr>
      </w:pPr>
      <w:r w:rsidRPr="00B87C3A">
        <w:rPr>
          <w:noProof/>
        </w:rPr>
        <w:t>POGLAVLJE IV.</w:t>
      </w:r>
    </w:p>
    <w:p w14:paraId="41BCF810" w14:textId="77777777" w:rsidR="00E666E8" w:rsidRPr="00B87C3A" w:rsidRDefault="0068431E" w:rsidP="00D41940">
      <w:pPr>
        <w:pStyle w:val="ChapterTitle"/>
        <w:rPr>
          <w:noProof/>
        </w:rPr>
      </w:pPr>
      <w:r w:rsidRPr="00B87C3A">
        <w:rPr>
          <w:noProof/>
        </w:rPr>
        <w:t xml:space="preserve">OZNAKA CE I OZNAČIVANJE </w:t>
      </w:r>
    </w:p>
    <w:p w14:paraId="0985624C" w14:textId="77777777" w:rsidR="00BA779E" w:rsidRPr="00B87C3A" w:rsidRDefault="00BA779E" w:rsidP="00BA779E">
      <w:pPr>
        <w:pStyle w:val="Titrearticle"/>
        <w:rPr>
          <w:noProof/>
        </w:rPr>
      </w:pPr>
      <w:r w:rsidRPr="00B87C3A">
        <w:rPr>
          <w:noProof/>
        </w:rPr>
        <w:t>Članak 14.</w:t>
      </w:r>
    </w:p>
    <w:p w14:paraId="5D18A0F9" w14:textId="77777777" w:rsidR="00BA779E" w:rsidRPr="00B87C3A" w:rsidRDefault="0068431E" w:rsidP="00BA779E">
      <w:pPr>
        <w:pStyle w:val="NormalCentered"/>
        <w:rPr>
          <w:b/>
          <w:noProof/>
        </w:rPr>
      </w:pPr>
      <w:r w:rsidRPr="00B87C3A">
        <w:rPr>
          <w:b/>
          <w:noProof/>
        </w:rPr>
        <w:t>Pravila i uvjeti stavljanja oznake CE</w:t>
      </w:r>
    </w:p>
    <w:p w14:paraId="14E46679" w14:textId="655B74B5" w:rsidR="00BA779E" w:rsidRPr="00B87C3A" w:rsidRDefault="00180A6D" w:rsidP="00180A6D">
      <w:pPr>
        <w:pStyle w:val="ManualNumPar11"/>
        <w:rPr>
          <w:noProof/>
        </w:rPr>
      </w:pPr>
      <w:r w:rsidRPr="00180A6D">
        <w:t>1.</w:t>
      </w:r>
      <w:r w:rsidRPr="00180A6D">
        <w:tab/>
      </w:r>
      <w:r w:rsidR="00BA779E" w:rsidRPr="00B87C3A">
        <w:rPr>
          <w:noProof/>
        </w:rPr>
        <w:t>Na oznaku CE primjenjuju se opća načela utvrđena u članku 30. Uredbe (EZ) br. 765/2008.</w:t>
      </w:r>
    </w:p>
    <w:p w14:paraId="193BE6A8" w14:textId="317B6196" w:rsidR="00F9358D" w:rsidRPr="00B87C3A" w:rsidRDefault="00180A6D" w:rsidP="00180A6D">
      <w:pPr>
        <w:pStyle w:val="ManualNumPar11"/>
        <w:rPr>
          <w:noProof/>
        </w:rPr>
      </w:pPr>
      <w:r w:rsidRPr="00180A6D">
        <w:t>2.</w:t>
      </w:r>
      <w:r w:rsidRPr="00180A6D">
        <w:tab/>
      </w:r>
      <w:r w:rsidR="00BA779E" w:rsidRPr="00B87C3A">
        <w:rPr>
          <w:noProof/>
        </w:rPr>
        <w:t xml:space="preserve">Oznaka CE stavlja se vidljivo, čitljivo i neizbrisivo prije stavljanja deterdženta na tržište. </w:t>
      </w:r>
    </w:p>
    <w:p w14:paraId="2A0C8570" w14:textId="77777777" w:rsidR="00FC6F5B" w:rsidRPr="00B87C3A" w:rsidRDefault="00F95F2C" w:rsidP="00360B1E">
      <w:pPr>
        <w:pStyle w:val="NumPar11"/>
        <w:tabs>
          <w:tab w:val="clear" w:pos="850"/>
        </w:tabs>
        <w:ind w:firstLine="0"/>
        <w:rPr>
          <w:noProof/>
        </w:rPr>
      </w:pPr>
      <w:r w:rsidRPr="00B87C3A">
        <w:rPr>
          <w:noProof/>
        </w:rPr>
        <w:t>Oznaka CE stavlja se na oznaku ili na pakiranje deterdženta ili, ako se deterdžent isporučuje u rasutom stanju, na dokument priložen uz deterdžent.</w:t>
      </w:r>
    </w:p>
    <w:p w14:paraId="3D67DB53" w14:textId="77777777" w:rsidR="00082098" w:rsidRPr="00B87C3A" w:rsidRDefault="00FC6F5B" w:rsidP="00FF22C2">
      <w:pPr>
        <w:pStyle w:val="Text1"/>
        <w:rPr>
          <w:noProof/>
        </w:rPr>
      </w:pPr>
      <w:r w:rsidRPr="00B87C3A">
        <w:rPr>
          <w:noProof/>
        </w:rPr>
        <w:t>Ako u skladu s člankom 16. stavkom 2. gospodarski subjekti mogu predočiti samo digitalnu oznaku, oznaka CE stavlja se na digitalnu oznaku.</w:t>
      </w:r>
    </w:p>
    <w:p w14:paraId="5455DD7C" w14:textId="1F1CDDF2" w:rsidR="00BA779E" w:rsidRPr="00B87C3A" w:rsidRDefault="00180A6D" w:rsidP="00180A6D">
      <w:pPr>
        <w:pStyle w:val="ManualNumPar1"/>
        <w:rPr>
          <w:noProof/>
        </w:rPr>
      </w:pPr>
      <w:r w:rsidRPr="00180A6D">
        <w:t>3.</w:t>
      </w:r>
      <w:r w:rsidRPr="00180A6D">
        <w:tab/>
      </w:r>
      <w:r w:rsidR="00BA779E" w:rsidRPr="00B87C3A">
        <w:rPr>
          <w:noProof/>
        </w:rPr>
        <w:t xml:space="preserve">Države članice oslanjaju se na postojeće mehanizme kako bi osigurale ispravnu primjenu sustava pravila za stavljanje oznake CE i poduzimaju odgovarajuće mjere u slučaju nepravilne upotrebe te oznake. </w:t>
      </w:r>
    </w:p>
    <w:p w14:paraId="7D1ED22F" w14:textId="77777777" w:rsidR="0068431E" w:rsidRPr="00B87C3A" w:rsidRDefault="0068431E" w:rsidP="00FF475D">
      <w:pPr>
        <w:pStyle w:val="Text1"/>
        <w:rPr>
          <w:noProof/>
        </w:rPr>
      </w:pPr>
    </w:p>
    <w:p w14:paraId="227243BF" w14:textId="77777777" w:rsidR="0068431E" w:rsidRPr="00B87C3A" w:rsidRDefault="0068431E" w:rsidP="0068431E">
      <w:pPr>
        <w:pStyle w:val="Titrearticle"/>
        <w:spacing w:before="0" w:after="0"/>
        <w:rPr>
          <w:noProof/>
        </w:rPr>
      </w:pPr>
      <w:r w:rsidRPr="00B87C3A">
        <w:rPr>
          <w:noProof/>
        </w:rPr>
        <w:t>Članak 15.</w:t>
      </w:r>
    </w:p>
    <w:p w14:paraId="149DB4CE" w14:textId="77777777" w:rsidR="0068431E" w:rsidRPr="00B87C3A" w:rsidRDefault="0068431E" w:rsidP="0068431E">
      <w:pPr>
        <w:pStyle w:val="Titrearticle"/>
        <w:spacing w:before="0" w:after="0"/>
        <w:rPr>
          <w:b/>
          <w:i w:val="0"/>
          <w:noProof/>
        </w:rPr>
      </w:pPr>
      <w:r w:rsidRPr="00B87C3A">
        <w:rPr>
          <w:b/>
          <w:i w:val="0"/>
          <w:noProof/>
        </w:rPr>
        <w:t>Opći zahtjevi za označivanje</w:t>
      </w:r>
    </w:p>
    <w:p w14:paraId="012E0214" w14:textId="1227E22F" w:rsidR="00703463" w:rsidRPr="00B87C3A" w:rsidRDefault="00180A6D" w:rsidP="00180A6D">
      <w:pPr>
        <w:pStyle w:val="ManualNumPar11"/>
        <w:rPr>
          <w:noProof/>
        </w:rPr>
      </w:pPr>
      <w:r w:rsidRPr="00180A6D">
        <w:t>1.</w:t>
      </w:r>
      <w:r w:rsidRPr="00180A6D">
        <w:tab/>
      </w:r>
      <w:r w:rsidR="00703463" w:rsidRPr="00B87C3A">
        <w:rPr>
          <w:noProof/>
        </w:rPr>
        <w:t xml:space="preserve">Uz deterdžente i površinski aktivne tvari koji se stavljaju na raspolaganje na tržište u pojedinačnom pakiranju ili u obliku ponovnog punjenja mora biti priložena oznaka.  </w:t>
      </w:r>
    </w:p>
    <w:p w14:paraId="5D12786E" w14:textId="39306F3A" w:rsidR="00C13E09" w:rsidRPr="00B87C3A" w:rsidRDefault="00180A6D" w:rsidP="00180A6D">
      <w:pPr>
        <w:pStyle w:val="ManualNumPar11"/>
        <w:rPr>
          <w:noProof/>
        </w:rPr>
      </w:pPr>
      <w:r w:rsidRPr="00180A6D">
        <w:t>2.</w:t>
      </w:r>
      <w:r w:rsidRPr="00180A6D">
        <w:tab/>
      </w:r>
      <w:r w:rsidR="008A26E4" w:rsidRPr="00B87C3A">
        <w:rPr>
          <w:noProof/>
        </w:rPr>
        <w:t xml:space="preserve">Gospodarski subjekt koji stavlja deterdžent na tržište izravno na raspolaganje krajnjem korisniku u obliku ponovnog punjenja osigurava fizičku oznaku ili nosač podataka putem kojeg je digitalna oznaka dostupna krajnjem korisniku. </w:t>
      </w:r>
    </w:p>
    <w:p w14:paraId="28A2F286" w14:textId="4239A9B5" w:rsidR="00EF29A2" w:rsidRPr="00B87C3A" w:rsidRDefault="00180A6D" w:rsidP="00180A6D">
      <w:pPr>
        <w:pStyle w:val="ManualNumPar11"/>
        <w:rPr>
          <w:noProof/>
        </w:rPr>
      </w:pPr>
      <w:bookmarkStart w:id="1" w:name="_Hlk126745617"/>
      <w:r w:rsidRPr="00180A6D">
        <w:t>3.</w:t>
      </w:r>
      <w:r w:rsidRPr="00180A6D">
        <w:tab/>
      </w:r>
      <w:r w:rsidR="00EF29A2" w:rsidRPr="00B87C3A">
        <w:rPr>
          <w:noProof/>
        </w:rPr>
        <w:t>Oznaka deterdženata i površinski aktivnih tvari mora sadržavati sljedeće podatke</w:t>
      </w:r>
      <w:bookmarkEnd w:id="1"/>
      <w:r w:rsidR="00EF29A2" w:rsidRPr="00B87C3A">
        <w:rPr>
          <w:noProof/>
        </w:rPr>
        <w:t>:</w:t>
      </w:r>
    </w:p>
    <w:p w14:paraId="0E3EC677" w14:textId="50AE1A74" w:rsidR="00FE004C" w:rsidRPr="00B87C3A" w:rsidRDefault="00180A6D" w:rsidP="00180A6D">
      <w:pPr>
        <w:pStyle w:val="Point1"/>
        <w:rPr>
          <w:noProof/>
        </w:rPr>
      </w:pPr>
      <w:r w:rsidRPr="00180A6D">
        <w:t>(a)</w:t>
      </w:r>
      <w:r w:rsidRPr="00180A6D">
        <w:tab/>
      </w:r>
      <w:r w:rsidR="00B17F99" w:rsidRPr="00B87C3A">
        <w:rPr>
          <w:noProof/>
        </w:rPr>
        <w:t>broj tipa, broj serije ili drugi element koji omogućuje njihovu identifikaciju;</w:t>
      </w:r>
    </w:p>
    <w:p w14:paraId="19507729" w14:textId="5D9C4FCC" w:rsidR="00EF29A2" w:rsidRPr="00B87C3A" w:rsidRDefault="00180A6D" w:rsidP="00180A6D">
      <w:pPr>
        <w:pStyle w:val="Point1"/>
        <w:rPr>
          <w:noProof/>
        </w:rPr>
      </w:pPr>
      <w:r w:rsidRPr="00180A6D">
        <w:t>(b)</w:t>
      </w:r>
      <w:r w:rsidRPr="00180A6D">
        <w:tab/>
      </w:r>
      <w:r w:rsidR="00B17F99" w:rsidRPr="00B87C3A">
        <w:rPr>
          <w:noProof/>
        </w:rPr>
        <w:t>ime, registrirano trgovačko ime ili registriranu trgovačku oznaku proizvođača te poštansku adresu i adresu elektroničke pošte na kojoj je dostupan, pri čemu se na poštanskoj adresi navodi jedno mjesto na kojem je moguće kontaktirati proizvođača;</w:t>
      </w:r>
    </w:p>
    <w:p w14:paraId="3EF80EA6" w14:textId="627C8236" w:rsidR="002139BA" w:rsidRPr="00B87C3A" w:rsidRDefault="00180A6D" w:rsidP="00180A6D">
      <w:pPr>
        <w:pStyle w:val="Point1"/>
        <w:rPr>
          <w:noProof/>
        </w:rPr>
      </w:pPr>
      <w:r w:rsidRPr="00180A6D">
        <w:t>(c)</w:t>
      </w:r>
      <w:r w:rsidRPr="00180A6D">
        <w:tab/>
      </w:r>
      <w:r w:rsidR="002139BA" w:rsidRPr="00B87C3A">
        <w:rPr>
          <w:noProof/>
        </w:rPr>
        <w:t>naziv i trgovački naziv proizvoda;</w:t>
      </w:r>
    </w:p>
    <w:p w14:paraId="4D56DD55" w14:textId="2206306D" w:rsidR="002139BA" w:rsidRPr="00B87C3A" w:rsidRDefault="00180A6D" w:rsidP="00180A6D">
      <w:pPr>
        <w:pStyle w:val="Point1"/>
        <w:rPr>
          <w:noProof/>
        </w:rPr>
      </w:pPr>
      <w:r w:rsidRPr="00180A6D">
        <w:t>(d)</w:t>
      </w:r>
      <w:r w:rsidRPr="00180A6D">
        <w:tab/>
      </w:r>
      <w:r w:rsidR="002139BA" w:rsidRPr="00B87C3A">
        <w:rPr>
          <w:noProof/>
        </w:rPr>
        <w:t>sadržaj deterdženta ili površinski aktivne tvari u skladu s dijelom A Priloga V.;</w:t>
      </w:r>
    </w:p>
    <w:p w14:paraId="1875D65B" w14:textId="0F2BE53E" w:rsidR="002139BA" w:rsidRPr="00B87C3A" w:rsidRDefault="00180A6D" w:rsidP="00180A6D">
      <w:pPr>
        <w:pStyle w:val="Point1"/>
        <w:rPr>
          <w:noProof/>
        </w:rPr>
      </w:pPr>
      <w:r w:rsidRPr="00180A6D">
        <w:t>(e)</w:t>
      </w:r>
      <w:r w:rsidRPr="00180A6D">
        <w:tab/>
      </w:r>
      <w:r w:rsidR="002139BA" w:rsidRPr="00B87C3A">
        <w:rPr>
          <w:noProof/>
        </w:rPr>
        <w:t>upute za upotrebu i posebne mjere opreza, ako je to potrebno i relevantno.</w:t>
      </w:r>
    </w:p>
    <w:p w14:paraId="7BAD17AE" w14:textId="77777777" w:rsidR="002139BA" w:rsidRPr="00B87C3A" w:rsidRDefault="002139BA" w:rsidP="00BB6316">
      <w:pPr>
        <w:pStyle w:val="Text1"/>
        <w:rPr>
          <w:noProof/>
        </w:rPr>
      </w:pPr>
      <w:r w:rsidRPr="00B87C3A">
        <w:rPr>
          <w:noProof/>
        </w:rPr>
        <w:t>Podaci iz prvog podstavka točaka (a), (b) i (c) navode se na svim dokumentima koji prate deterdžente i površinski aktivne tvari koji se prevoze u rasutom stanju.</w:t>
      </w:r>
    </w:p>
    <w:p w14:paraId="3A725803" w14:textId="1A2B6E1C" w:rsidR="00AB2ECA" w:rsidRPr="00B87C3A" w:rsidRDefault="00180A6D" w:rsidP="00180A6D">
      <w:pPr>
        <w:pStyle w:val="ManualNumPar1"/>
        <w:rPr>
          <w:noProof/>
        </w:rPr>
      </w:pPr>
      <w:r w:rsidRPr="00180A6D">
        <w:t>4.</w:t>
      </w:r>
      <w:r w:rsidRPr="00180A6D">
        <w:tab/>
      </w:r>
      <w:r w:rsidR="00C57C09" w:rsidRPr="00B87C3A">
        <w:rPr>
          <w:noProof/>
        </w:rPr>
        <w:t xml:space="preserve">Osim podataka iz stavka 3. oznaka na deterdžentima za pranje rublja i deterdžentima za strojno pranje posuđa koji se koriste u kućanstvu sadržava informacije o doziranju u skladu s dijelom B Priloga V. </w:t>
      </w:r>
    </w:p>
    <w:p w14:paraId="4FA730D9" w14:textId="77DAA651" w:rsidR="009E20D1" w:rsidRPr="00B87C3A" w:rsidRDefault="00180A6D" w:rsidP="00180A6D">
      <w:pPr>
        <w:pStyle w:val="ManualNumPar1"/>
        <w:rPr>
          <w:noProof/>
        </w:rPr>
      </w:pPr>
      <w:r w:rsidRPr="00180A6D">
        <w:t>5.</w:t>
      </w:r>
      <w:r w:rsidRPr="00180A6D">
        <w:tab/>
      </w:r>
      <w:r w:rsidR="00FE004C" w:rsidRPr="00B87C3A">
        <w:rPr>
          <w:noProof/>
        </w:rPr>
        <w:t xml:space="preserve">Podaci iz stavaka 3. i 4. moraju biti na jeziku koji bez poteškoća razumiju krajnji korisnici, a kojeg određuje dotična država članica, te moraju biti jasne, razumljive i čitljive. Oznaka je dostupna za potrebe inspekcijskog pregleda kad se deterdžent ili površinski aktivna tvar stavljaju na raspolaganje na tržištu. </w:t>
      </w:r>
    </w:p>
    <w:p w14:paraId="5C09D2CA" w14:textId="77777777" w:rsidR="009E20D1" w:rsidRPr="00B87C3A" w:rsidRDefault="009E20D1" w:rsidP="001072FA">
      <w:pPr>
        <w:pStyle w:val="ListParagraph"/>
        <w:ind w:left="850"/>
        <w:rPr>
          <w:noProof/>
        </w:rPr>
      </w:pPr>
    </w:p>
    <w:p w14:paraId="7FE8870A" w14:textId="77777777" w:rsidR="008E183B" w:rsidRPr="00B87C3A" w:rsidRDefault="008E183B" w:rsidP="001072FA">
      <w:pPr>
        <w:pStyle w:val="Titrearticle"/>
        <w:spacing w:before="0" w:after="0"/>
        <w:rPr>
          <w:noProof/>
        </w:rPr>
      </w:pPr>
      <w:r w:rsidRPr="00B87C3A">
        <w:rPr>
          <w:noProof/>
        </w:rPr>
        <w:t>Članak 16.</w:t>
      </w:r>
    </w:p>
    <w:p w14:paraId="16918DE9" w14:textId="77777777" w:rsidR="000D43D4" w:rsidRPr="00B87C3A" w:rsidRDefault="008E183B" w:rsidP="001072FA">
      <w:pPr>
        <w:pStyle w:val="Titrearticle"/>
        <w:spacing w:before="0" w:after="0"/>
        <w:rPr>
          <w:b/>
          <w:noProof/>
        </w:rPr>
      </w:pPr>
      <w:r w:rsidRPr="00B87C3A">
        <w:rPr>
          <w:b/>
          <w:i w:val="0"/>
          <w:noProof/>
        </w:rPr>
        <w:t>Oblici označivanja</w:t>
      </w:r>
    </w:p>
    <w:p w14:paraId="68FDE01C" w14:textId="17BE3A98" w:rsidR="006379EF" w:rsidRPr="00B87C3A" w:rsidRDefault="00180A6D" w:rsidP="00180A6D">
      <w:pPr>
        <w:pStyle w:val="ManualNumPar11"/>
        <w:rPr>
          <w:noProof/>
        </w:rPr>
      </w:pPr>
      <w:r w:rsidRPr="00180A6D">
        <w:t>1.</w:t>
      </w:r>
      <w:r w:rsidRPr="00180A6D">
        <w:tab/>
      </w:r>
      <w:r w:rsidR="006379EF" w:rsidRPr="00B87C3A">
        <w:rPr>
          <w:noProof/>
        </w:rPr>
        <w:t>Ako se deterdženti ili površinski aktivne tvari stavljaju na raspolaganje na tržištu, uz njih se prilažu elementi oznake iz članka 15. stavka 3. i, ako je primjenjivo, članka 15. stavka 4. u sljedećem obliku:</w:t>
      </w:r>
    </w:p>
    <w:p w14:paraId="6E8B8269" w14:textId="31EACCC4" w:rsidR="00DB7187" w:rsidRPr="00B87C3A" w:rsidRDefault="00180A6D" w:rsidP="00180A6D">
      <w:pPr>
        <w:pStyle w:val="Point1"/>
        <w:rPr>
          <w:noProof/>
        </w:rPr>
      </w:pPr>
      <w:r w:rsidRPr="00180A6D">
        <w:t>(a)</w:t>
      </w:r>
      <w:r w:rsidRPr="00180A6D">
        <w:tab/>
      </w:r>
      <w:r w:rsidR="00DB7187" w:rsidRPr="00B87C3A">
        <w:rPr>
          <w:noProof/>
        </w:rPr>
        <w:t>na fizičkoj oznaci;</w:t>
      </w:r>
    </w:p>
    <w:p w14:paraId="7916FA17" w14:textId="5273720A" w:rsidR="008E183B" w:rsidRPr="00B87C3A" w:rsidRDefault="00180A6D" w:rsidP="00180A6D">
      <w:pPr>
        <w:pStyle w:val="Point1"/>
        <w:rPr>
          <w:noProof/>
        </w:rPr>
      </w:pPr>
      <w:r w:rsidRPr="00180A6D">
        <w:t>(b)</w:t>
      </w:r>
      <w:r w:rsidRPr="00180A6D">
        <w:tab/>
      </w:r>
      <w:r w:rsidR="00DB7187" w:rsidRPr="00B87C3A">
        <w:rPr>
          <w:noProof/>
        </w:rPr>
        <w:t xml:space="preserve">na digitalnoj oznaci te ponovno na fizičkoj oznaci.  </w:t>
      </w:r>
    </w:p>
    <w:p w14:paraId="01853F9E" w14:textId="77777777" w:rsidR="00DB7187" w:rsidRPr="00B87C3A" w:rsidRDefault="00DB7187" w:rsidP="00FF22C2">
      <w:pPr>
        <w:pStyle w:val="Text1"/>
        <w:rPr>
          <w:noProof/>
        </w:rPr>
      </w:pPr>
      <w:r w:rsidRPr="00B87C3A">
        <w:rPr>
          <w:noProof/>
        </w:rPr>
        <w:t>Odstupajući od točke (b) iz prvog podstavka elementi označivanja utvrđeni u dijelu C Priloga V. ne moraju se ponovno navoditi na fizičkoj oznaci. Osim toga, ako su informacije o doziranju deterdženata za pranje rublja koji se koriste u kućanstvu u skladu s točkama 1. i 2. dijela B Priloga V. navedene na digitalnoj oznaci, na fizičkoj oznaci može se navesti pojednostavnjena tablica za doziranje kako je utvrđeno u dijelu D Priloga V.</w:t>
      </w:r>
    </w:p>
    <w:p w14:paraId="6FE63C3B" w14:textId="6592F950" w:rsidR="006379EF" w:rsidRPr="00B87C3A" w:rsidRDefault="00180A6D" w:rsidP="00180A6D">
      <w:pPr>
        <w:pStyle w:val="ManualNumPar1"/>
        <w:rPr>
          <w:noProof/>
        </w:rPr>
      </w:pPr>
      <w:r w:rsidRPr="00180A6D">
        <w:t>2.</w:t>
      </w:r>
      <w:r w:rsidRPr="00180A6D">
        <w:tab/>
      </w:r>
      <w:r w:rsidR="009E20D1" w:rsidRPr="00B87C3A">
        <w:rPr>
          <w:noProof/>
        </w:rPr>
        <w:t xml:space="preserve">Odstupajući od stavka 1., ako se deterdženti stavljaju na tržište izravno na raspolaganje krajnjem korisniku u obliku ponovnog punjenja, elementi oznake </w:t>
      </w:r>
      <w:r w:rsidR="009E20D1" w:rsidRPr="00B87C3A">
        <w:rPr>
          <w:noProof/>
        </w:rPr>
        <w:lastRenderedPageBreak/>
        <w:t xml:space="preserve">utvrđeni u članku 15. stavcima 3. i 4. mogu se navesti samo na digitalnoj oznaci, uz iznimku informacija o doziranju deterdženata za pranje rublja koji se koriste u kućanstvu kako je utvrđeno u točkama 1. i 2. dijela B Priloga V., koje se moraju navesti i na fizičkoj oznaci. </w:t>
      </w:r>
    </w:p>
    <w:p w14:paraId="6EA1873D" w14:textId="77777777" w:rsidR="00B01AD1" w:rsidRPr="00B87C3A" w:rsidRDefault="00B01AD1" w:rsidP="001072FA">
      <w:pPr>
        <w:pStyle w:val="ManualNumPar1"/>
        <w:rPr>
          <w:noProof/>
          <w:lang w:eastAsia="fr-BE"/>
        </w:rPr>
      </w:pPr>
    </w:p>
    <w:p w14:paraId="45CE1271" w14:textId="77777777" w:rsidR="0068431E" w:rsidRPr="00B87C3A" w:rsidRDefault="0068431E" w:rsidP="0068431E">
      <w:pPr>
        <w:pStyle w:val="Titrearticle"/>
        <w:spacing w:before="0" w:after="0"/>
        <w:rPr>
          <w:noProof/>
        </w:rPr>
      </w:pPr>
      <w:r w:rsidRPr="00B87C3A">
        <w:rPr>
          <w:noProof/>
        </w:rPr>
        <w:t>Članak 17.</w:t>
      </w:r>
    </w:p>
    <w:p w14:paraId="0DA64675" w14:textId="77777777" w:rsidR="0068431E" w:rsidRPr="00B87C3A" w:rsidRDefault="0068431E" w:rsidP="0068431E">
      <w:pPr>
        <w:pStyle w:val="Titrearticle"/>
        <w:spacing w:before="0" w:after="0"/>
        <w:rPr>
          <w:b/>
          <w:i w:val="0"/>
          <w:noProof/>
        </w:rPr>
      </w:pPr>
      <w:r w:rsidRPr="00B87C3A">
        <w:rPr>
          <w:b/>
          <w:i w:val="0"/>
          <w:noProof/>
        </w:rPr>
        <w:t>Zahtjevi za digitalno označivanje</w:t>
      </w:r>
    </w:p>
    <w:p w14:paraId="3EE99BF8" w14:textId="632034B5" w:rsidR="0068431E" w:rsidRPr="00B87C3A" w:rsidRDefault="00180A6D" w:rsidP="00180A6D">
      <w:pPr>
        <w:pStyle w:val="ManualNumPar11"/>
        <w:rPr>
          <w:noProof/>
        </w:rPr>
      </w:pPr>
      <w:r w:rsidRPr="00180A6D">
        <w:t>1.</w:t>
      </w:r>
      <w:r w:rsidRPr="00180A6D">
        <w:tab/>
      </w:r>
      <w:r w:rsidR="0068431E" w:rsidRPr="00B87C3A">
        <w:rPr>
          <w:noProof/>
        </w:rPr>
        <w:t>Ako deterdženti i površinski aktivne tvari nose digitalnu oznaku u skladu s člankom 16., na tu se oznaku primjenjuju sljedeća pravila:</w:t>
      </w:r>
    </w:p>
    <w:p w14:paraId="23114C0B" w14:textId="528F6B9D" w:rsidR="0068431E" w:rsidRPr="00B87C3A" w:rsidRDefault="00180A6D" w:rsidP="00180A6D">
      <w:pPr>
        <w:pStyle w:val="Point1"/>
        <w:rPr>
          <w:noProof/>
        </w:rPr>
      </w:pPr>
      <w:r w:rsidRPr="00180A6D">
        <w:t>(a)</w:t>
      </w:r>
      <w:r w:rsidRPr="00180A6D">
        <w:tab/>
      </w:r>
      <w:r w:rsidR="0068431E" w:rsidRPr="00B87C3A">
        <w:rPr>
          <w:noProof/>
        </w:rPr>
        <w:t xml:space="preserve">svi elementi oznake iz članka 15. stavka 3. i, ako je primjenjivo, članka 15. stavka 4. navode se na jednom mjestu i odvojeno od ostalih informacija; </w:t>
      </w:r>
    </w:p>
    <w:p w14:paraId="699EF864" w14:textId="2A45CB27" w:rsidR="0068431E" w:rsidRPr="00B87C3A" w:rsidRDefault="00180A6D" w:rsidP="00180A6D">
      <w:pPr>
        <w:pStyle w:val="Point1"/>
        <w:rPr>
          <w:noProof/>
        </w:rPr>
      </w:pPr>
      <w:r w:rsidRPr="00180A6D">
        <w:t>(b)</w:t>
      </w:r>
      <w:r w:rsidRPr="00180A6D">
        <w:tab/>
      </w:r>
      <w:r w:rsidR="0068431E" w:rsidRPr="00B87C3A">
        <w:rPr>
          <w:noProof/>
        </w:rPr>
        <w:t xml:space="preserve">informacije na digitalnoj oznaci moraju biti pretražive; </w:t>
      </w:r>
    </w:p>
    <w:p w14:paraId="12AC0F97" w14:textId="5630D41A" w:rsidR="0068431E" w:rsidRPr="00B87C3A" w:rsidRDefault="00180A6D" w:rsidP="00180A6D">
      <w:pPr>
        <w:pStyle w:val="Point1"/>
        <w:rPr>
          <w:noProof/>
        </w:rPr>
      </w:pPr>
      <w:r w:rsidRPr="00180A6D">
        <w:t>(c)</w:t>
      </w:r>
      <w:r w:rsidRPr="00180A6D">
        <w:tab/>
      </w:r>
      <w:r w:rsidR="0068431E" w:rsidRPr="00B87C3A">
        <w:rPr>
          <w:noProof/>
        </w:rPr>
        <w:t>informacije na digitalnoj oznaci moraju biti dostupne svim korisnicima u Uniji;</w:t>
      </w:r>
    </w:p>
    <w:p w14:paraId="6DDEBF9C" w14:textId="3B6CC0E5" w:rsidR="0068431E" w:rsidRPr="00B87C3A" w:rsidRDefault="00180A6D" w:rsidP="00180A6D">
      <w:pPr>
        <w:pStyle w:val="Point1"/>
        <w:rPr>
          <w:noProof/>
        </w:rPr>
      </w:pPr>
      <w:r w:rsidRPr="00180A6D">
        <w:t>(d)</w:t>
      </w:r>
      <w:r w:rsidRPr="00180A6D">
        <w:tab/>
      </w:r>
      <w:r w:rsidR="0068431E" w:rsidRPr="00B87C3A">
        <w:rPr>
          <w:noProof/>
        </w:rPr>
        <w:t xml:space="preserve">digitalna oznaka dostupna je besplatno, bez potrebe za prethodnom registracijom, preuzimanjem ili instalacijom aplikacija ili pak za upisivanjem lozinke; </w:t>
      </w:r>
    </w:p>
    <w:p w14:paraId="1569C6E0" w14:textId="5446CE7F" w:rsidR="0068431E" w:rsidRPr="00B87C3A" w:rsidRDefault="00180A6D" w:rsidP="00180A6D">
      <w:pPr>
        <w:pStyle w:val="Point1"/>
        <w:rPr>
          <w:noProof/>
        </w:rPr>
      </w:pPr>
      <w:r w:rsidRPr="00180A6D">
        <w:t>(e)</w:t>
      </w:r>
      <w:r w:rsidRPr="00180A6D">
        <w:tab/>
      </w:r>
      <w:r w:rsidR="0068431E" w:rsidRPr="00B87C3A">
        <w:rPr>
          <w:noProof/>
        </w:rPr>
        <w:t xml:space="preserve">informacije na digitalnoj oznaci prikazuju se tako da se uzimaju u obzir potrebe ranjivih skupina i, prema potrebi, podupiru potrebne prilagodbe kako bi se tim skupinama olakšao pristup informacijama; </w:t>
      </w:r>
    </w:p>
    <w:p w14:paraId="15FF34F4" w14:textId="1DAEC1A0" w:rsidR="0068431E" w:rsidRPr="00B87C3A" w:rsidRDefault="00180A6D" w:rsidP="00180A6D">
      <w:pPr>
        <w:pStyle w:val="Point1"/>
        <w:rPr>
          <w:noProof/>
        </w:rPr>
      </w:pPr>
      <w:r w:rsidRPr="00180A6D">
        <w:t>(f)</w:t>
      </w:r>
      <w:r w:rsidRPr="00180A6D">
        <w:tab/>
      </w:r>
      <w:r w:rsidR="0068431E" w:rsidRPr="00B87C3A">
        <w:rPr>
          <w:noProof/>
        </w:rPr>
        <w:t xml:space="preserve">digitalna oznaka dostupna je putem digitalnih tehnologija koje su u širokoj upotrebi i kompatibilne sa svim glavnim operativnim sustavima i preglednicima; </w:t>
      </w:r>
    </w:p>
    <w:p w14:paraId="7A9F233E" w14:textId="763300B3" w:rsidR="0068431E" w:rsidRPr="00B87C3A" w:rsidRDefault="00180A6D" w:rsidP="00180A6D">
      <w:pPr>
        <w:pStyle w:val="Point1"/>
        <w:rPr>
          <w:noProof/>
        </w:rPr>
      </w:pPr>
      <w:r w:rsidRPr="00180A6D">
        <w:t>(g)</w:t>
      </w:r>
      <w:r w:rsidRPr="00180A6D">
        <w:tab/>
      </w:r>
      <w:r w:rsidR="0068431E" w:rsidRPr="00B87C3A">
        <w:rPr>
          <w:noProof/>
        </w:rPr>
        <w:t xml:space="preserve">ako je digitalna oznaka dostupna na više od jednog jezika, odabir jezika nije uvjetovan zemljopisnim položajem krajnjeg korisnika; </w:t>
      </w:r>
    </w:p>
    <w:p w14:paraId="461800FA" w14:textId="2BA864E2" w:rsidR="00B43300" w:rsidRPr="00B87C3A" w:rsidRDefault="00180A6D" w:rsidP="00180A6D">
      <w:pPr>
        <w:pStyle w:val="Point1"/>
        <w:rPr>
          <w:noProof/>
        </w:rPr>
      </w:pPr>
      <w:r w:rsidRPr="00180A6D">
        <w:t>(h)</w:t>
      </w:r>
      <w:r w:rsidRPr="00180A6D">
        <w:tab/>
      </w:r>
      <w:r w:rsidR="0068431E" w:rsidRPr="00B87C3A">
        <w:rPr>
          <w:noProof/>
        </w:rPr>
        <w:t>digitalna oznaka ostaje dostupna u razdoblju od 10 godina od trenutka stavljanja deterdženta ili površinski aktivne tvari na tržište, među ostalim i u slučajevima nesolventnosti, likvidacije ili prestanka djelatnosti u Uniji gospodarskog subjekta koji ju je izradio, ili pak na dulje razdoblje kako se zahtijeva drugim zakonodavstvom Unije koje obuhvaća informacije koje ona sadržava;</w:t>
      </w:r>
    </w:p>
    <w:p w14:paraId="21EA4F9D" w14:textId="4FD7FA41" w:rsidR="00BF4A55" w:rsidRPr="00B87C3A" w:rsidRDefault="00180A6D" w:rsidP="00180A6D">
      <w:pPr>
        <w:pStyle w:val="Point1"/>
        <w:rPr>
          <w:noProof/>
        </w:rPr>
      </w:pPr>
      <w:r w:rsidRPr="00180A6D">
        <w:t>(i)</w:t>
      </w:r>
      <w:r w:rsidRPr="00180A6D">
        <w:tab/>
      </w:r>
      <w:r w:rsidR="00BF4A55" w:rsidRPr="00B87C3A">
        <w:rPr>
          <w:noProof/>
        </w:rPr>
        <w:t>informacije na digitalnoj oznaci moraju biti dostupne putem nosača podataka.</w:t>
      </w:r>
    </w:p>
    <w:p w14:paraId="34FCF6E1" w14:textId="5468B441" w:rsidR="0099032B" w:rsidRPr="00B87C3A" w:rsidRDefault="00180A6D" w:rsidP="00180A6D">
      <w:pPr>
        <w:pStyle w:val="ManualNumPar11"/>
        <w:rPr>
          <w:noProof/>
        </w:rPr>
      </w:pPr>
      <w:r w:rsidRPr="00180A6D">
        <w:t>2.</w:t>
      </w:r>
      <w:r w:rsidRPr="00180A6D">
        <w:tab/>
      </w:r>
      <w:r w:rsidR="00BF4A55" w:rsidRPr="00B87C3A">
        <w:rPr>
          <w:noProof/>
        </w:rPr>
        <w:t xml:space="preserve">Nosač podataka mora biti fizički prisutan na deterdžentu ili površinski aktivnoj tvari, njihovu pakiranju ili popratnoj dokumentaciji. </w:t>
      </w:r>
    </w:p>
    <w:p w14:paraId="6797DC18" w14:textId="77777777" w:rsidR="001319A7" w:rsidRPr="00B87C3A" w:rsidRDefault="000B51D6" w:rsidP="00560F12">
      <w:pPr>
        <w:pStyle w:val="NumPar11"/>
        <w:tabs>
          <w:tab w:val="clear" w:pos="850"/>
        </w:tabs>
        <w:ind w:firstLine="0"/>
        <w:rPr>
          <w:noProof/>
        </w:rPr>
      </w:pPr>
      <w:r w:rsidRPr="00B87C3A">
        <w:rPr>
          <w:noProof/>
        </w:rPr>
        <w:t xml:space="preserve">Osim zahtjeva iz prvog podstavka, ako se deterdženti i površinski aktivne tvari stavljaju na raspolaganje na tržištu u obliku ponovnog punjenja, nosač podataka mora biti prisutan na stanici za ponovno punjenje. </w:t>
      </w:r>
    </w:p>
    <w:p w14:paraId="47E37410" w14:textId="77777777" w:rsidR="00BF4A55" w:rsidRPr="00B87C3A" w:rsidRDefault="00BF4A55" w:rsidP="00560F12">
      <w:pPr>
        <w:pStyle w:val="NumPar11"/>
        <w:tabs>
          <w:tab w:val="clear" w:pos="850"/>
        </w:tabs>
        <w:ind w:firstLine="0"/>
        <w:rPr>
          <w:noProof/>
        </w:rPr>
      </w:pPr>
      <w:r w:rsidRPr="00B87C3A">
        <w:rPr>
          <w:noProof/>
        </w:rPr>
        <w:t>Nosač podataka mora biti jasno vidljiv krajnjem korisniku prije kupnje kao i tijelima za nadzor tržišta, uključujući, prema potrebi, u slučajevima kad je deterdžent ili površinski aktivna tvar stavljena na raspolaganje prodajom na daljinu.</w:t>
      </w:r>
    </w:p>
    <w:p w14:paraId="7BE86080" w14:textId="4BDC1043" w:rsidR="00BF4A55" w:rsidRPr="00B87C3A" w:rsidRDefault="00180A6D" w:rsidP="00180A6D">
      <w:pPr>
        <w:pStyle w:val="ManualNumPar11"/>
        <w:rPr>
          <w:noProof/>
        </w:rPr>
      </w:pPr>
      <w:r w:rsidRPr="00180A6D">
        <w:t>3.</w:t>
      </w:r>
      <w:r w:rsidRPr="00180A6D">
        <w:tab/>
      </w:r>
      <w:r w:rsidR="00BF4A55" w:rsidRPr="00B87C3A">
        <w:rPr>
          <w:noProof/>
        </w:rPr>
        <w:t xml:space="preserve">Ako gospodarski subjekti stavljaju digitalnu oznaku, uz nosač podataka prilaže se izjava „opsežnije informacije o proizvodu dostupne su na internetu” ili slična izjava. </w:t>
      </w:r>
    </w:p>
    <w:p w14:paraId="1CCB14C6" w14:textId="0D3BD80D" w:rsidR="0068431E" w:rsidRPr="00B87C3A" w:rsidRDefault="00180A6D" w:rsidP="00180A6D">
      <w:pPr>
        <w:pStyle w:val="ManualNumPar1"/>
        <w:rPr>
          <w:noProof/>
        </w:rPr>
      </w:pPr>
      <w:r w:rsidRPr="00180A6D">
        <w:lastRenderedPageBreak/>
        <w:t>4.</w:t>
      </w:r>
      <w:r w:rsidRPr="00180A6D">
        <w:tab/>
      </w:r>
      <w:r w:rsidR="001072FA" w:rsidRPr="00B87C3A">
        <w:rPr>
          <w:noProof/>
        </w:rPr>
        <w:t>Gospodarski subjekti koji omogućuju digitalnu oznaku ne smiju pratiti, analizirati ili upotrebljavati informacije o upotrebi za bilo koje druge svrhe osim onih koje su apsolutno potrebne za pružanje informacija na digitalnoj oznaci na internetu.</w:t>
      </w:r>
    </w:p>
    <w:p w14:paraId="35E8B697" w14:textId="606491D7" w:rsidR="0068431E" w:rsidRPr="00B87C3A" w:rsidRDefault="00180A6D" w:rsidP="00180A6D">
      <w:pPr>
        <w:pStyle w:val="ManualNumPar1"/>
        <w:rPr>
          <w:noProof/>
        </w:rPr>
      </w:pPr>
      <w:r w:rsidRPr="00180A6D">
        <w:t>5.</w:t>
      </w:r>
      <w:r w:rsidRPr="00180A6D">
        <w:tab/>
      </w:r>
      <w:r w:rsidR="007D75C1" w:rsidRPr="00B87C3A">
        <w:rPr>
          <w:noProof/>
        </w:rPr>
        <w:t>Gospodarski subjekti koji omogućuju digitalnu oznaku moraju pružati informacije koje se na njoj nalaze i drugim sredstvima u bilo kojem od sljedećih slučajeva:</w:t>
      </w:r>
    </w:p>
    <w:p w14:paraId="3BB17D59" w14:textId="4B88F67A" w:rsidR="0068431E" w:rsidRPr="00B87C3A" w:rsidRDefault="00180A6D" w:rsidP="00180A6D">
      <w:pPr>
        <w:pStyle w:val="Point1"/>
        <w:rPr>
          <w:noProof/>
        </w:rPr>
      </w:pPr>
      <w:r w:rsidRPr="00180A6D">
        <w:t>(a)</w:t>
      </w:r>
      <w:r w:rsidRPr="00180A6D">
        <w:tab/>
      </w:r>
      <w:r w:rsidR="0068431E" w:rsidRPr="00B87C3A">
        <w:rPr>
          <w:noProof/>
        </w:rPr>
        <w:t xml:space="preserve">na usmeni ili pisani zahtjev krajnjeg korisnika; </w:t>
      </w:r>
    </w:p>
    <w:p w14:paraId="2322858B" w14:textId="7348D10E" w:rsidR="0068431E" w:rsidRPr="00B87C3A" w:rsidRDefault="00180A6D" w:rsidP="00180A6D">
      <w:pPr>
        <w:pStyle w:val="Point1"/>
        <w:rPr>
          <w:noProof/>
        </w:rPr>
      </w:pPr>
      <w:r w:rsidRPr="00180A6D">
        <w:t>(b)</w:t>
      </w:r>
      <w:r w:rsidRPr="00180A6D">
        <w:tab/>
      </w:r>
      <w:r w:rsidR="0068431E" w:rsidRPr="00B87C3A">
        <w:rPr>
          <w:noProof/>
        </w:rPr>
        <w:t xml:space="preserve">ako je digitalna oznaka privremeno nedostupna, uključujući u trenutku kupnje.  </w:t>
      </w:r>
    </w:p>
    <w:p w14:paraId="7E69E089" w14:textId="77777777" w:rsidR="0068431E" w:rsidRPr="00B87C3A" w:rsidRDefault="007D75C1" w:rsidP="00532C01">
      <w:pPr>
        <w:pStyle w:val="NumPar11"/>
        <w:tabs>
          <w:tab w:val="clear" w:pos="850"/>
        </w:tabs>
        <w:ind w:firstLine="0"/>
        <w:rPr>
          <w:noProof/>
        </w:rPr>
      </w:pPr>
      <w:r w:rsidRPr="00B87C3A">
        <w:rPr>
          <w:noProof/>
        </w:rPr>
        <w:t>Gospodarski subjekti pružaju informacije iz prvog podstavka neovisno o kupnji deterdženta ili površinski aktivne tvari, i to besplatno.</w:t>
      </w:r>
    </w:p>
    <w:p w14:paraId="3ED7ED11" w14:textId="77777777" w:rsidR="004F7A39" w:rsidRPr="00B87C3A" w:rsidRDefault="004F7A39" w:rsidP="00A12AC3">
      <w:pPr>
        <w:rPr>
          <w:noProof/>
        </w:rPr>
      </w:pPr>
    </w:p>
    <w:p w14:paraId="7CAE8468" w14:textId="77777777" w:rsidR="002F71B4" w:rsidRPr="00B87C3A" w:rsidRDefault="00E263F5" w:rsidP="006C158D">
      <w:pPr>
        <w:pStyle w:val="ChapterTitle"/>
        <w:spacing w:after="0"/>
        <w:rPr>
          <w:noProof/>
        </w:rPr>
      </w:pPr>
      <w:r w:rsidRPr="00B87C3A">
        <w:rPr>
          <w:noProof/>
        </w:rPr>
        <w:t>POGLAVLJE V.</w:t>
      </w:r>
    </w:p>
    <w:p w14:paraId="4E1A84D0" w14:textId="77777777" w:rsidR="002B5848" w:rsidRPr="00B87C3A" w:rsidRDefault="008A26B2" w:rsidP="006C158D">
      <w:pPr>
        <w:pStyle w:val="ChapterTitle"/>
        <w:rPr>
          <w:noProof/>
        </w:rPr>
      </w:pPr>
      <w:r w:rsidRPr="00B87C3A">
        <w:rPr>
          <w:noProof/>
        </w:rPr>
        <w:t>PUTOVNICA ZA PROIZVODE</w:t>
      </w:r>
    </w:p>
    <w:p w14:paraId="6A66034A" w14:textId="77777777" w:rsidR="007F2038" w:rsidRPr="00B87C3A" w:rsidRDefault="00680CF6" w:rsidP="00A12AC3">
      <w:pPr>
        <w:pStyle w:val="Titrearticle"/>
        <w:spacing w:before="0" w:after="0"/>
        <w:rPr>
          <w:noProof/>
        </w:rPr>
      </w:pPr>
      <w:r w:rsidRPr="00B87C3A">
        <w:rPr>
          <w:noProof/>
        </w:rPr>
        <w:t>Članak 18.</w:t>
      </w:r>
    </w:p>
    <w:p w14:paraId="66992504" w14:textId="77777777" w:rsidR="00A95468" w:rsidRPr="00B87C3A" w:rsidRDefault="00D20004" w:rsidP="00B8014F">
      <w:pPr>
        <w:pStyle w:val="Titrearticle"/>
        <w:spacing w:before="0" w:after="0"/>
        <w:rPr>
          <w:b/>
          <w:noProof/>
        </w:rPr>
      </w:pPr>
      <w:r w:rsidRPr="00B87C3A">
        <w:rPr>
          <w:b/>
          <w:i w:val="0"/>
          <w:noProof/>
        </w:rPr>
        <w:t xml:space="preserve">Putovnica za proizvode </w:t>
      </w:r>
    </w:p>
    <w:p w14:paraId="1C2E0351" w14:textId="2350F161" w:rsidR="00B8014F" w:rsidRPr="00B87C3A" w:rsidRDefault="00180A6D" w:rsidP="00180A6D">
      <w:pPr>
        <w:pStyle w:val="ManualNumPar11"/>
        <w:rPr>
          <w:noProof/>
        </w:rPr>
      </w:pPr>
      <w:r w:rsidRPr="00180A6D">
        <w:t>1.</w:t>
      </w:r>
      <w:r w:rsidRPr="00180A6D">
        <w:tab/>
      </w:r>
      <w:r w:rsidR="00B8014F" w:rsidRPr="00B87C3A">
        <w:rPr>
          <w:noProof/>
        </w:rPr>
        <w:t>Prije stavljanja deterdženta ili površinski aktivne tvari na tržište proizvođači za te proizvode izrađuju putovnicu za proizvode. Putovnica za proizvode ispunjava zahtjeve utvrđene u ovom članku i članku 19.</w:t>
      </w:r>
    </w:p>
    <w:p w14:paraId="2C41ED61" w14:textId="3ACE9C5A" w:rsidR="00080187" w:rsidRPr="00B87C3A" w:rsidRDefault="00180A6D" w:rsidP="00180A6D">
      <w:pPr>
        <w:pStyle w:val="ManualNumPar11"/>
        <w:rPr>
          <w:noProof/>
        </w:rPr>
      </w:pPr>
      <w:r w:rsidRPr="00180A6D">
        <w:t>2.</w:t>
      </w:r>
      <w:r w:rsidRPr="00180A6D">
        <w:tab/>
      </w:r>
      <w:r w:rsidR="00282C31" w:rsidRPr="00B87C3A">
        <w:rPr>
          <w:noProof/>
        </w:rPr>
        <w:t>Putovnica za proizvode mora ispunjavati sljedeće zahtjeve:</w:t>
      </w:r>
    </w:p>
    <w:p w14:paraId="783C697E" w14:textId="1BD44E5A" w:rsidR="00C30D8B" w:rsidRPr="00B87C3A" w:rsidRDefault="00180A6D" w:rsidP="00180A6D">
      <w:pPr>
        <w:pStyle w:val="Point1"/>
        <w:rPr>
          <w:noProof/>
        </w:rPr>
      </w:pPr>
      <w:r w:rsidRPr="00180A6D">
        <w:t>(a)</w:t>
      </w:r>
      <w:r w:rsidRPr="00180A6D">
        <w:tab/>
      </w:r>
      <w:r w:rsidR="00C30D8B" w:rsidRPr="00B87C3A">
        <w:rPr>
          <w:noProof/>
        </w:rPr>
        <w:t>mora odgovarati određenoj seriji deterdženta ili površinski aktivne tvari;</w:t>
      </w:r>
    </w:p>
    <w:p w14:paraId="40A7FD03" w14:textId="78E8F38D" w:rsidR="00080187" w:rsidRPr="00B87C3A" w:rsidRDefault="00180A6D" w:rsidP="00180A6D">
      <w:pPr>
        <w:pStyle w:val="Point1"/>
        <w:rPr>
          <w:noProof/>
        </w:rPr>
      </w:pPr>
      <w:r w:rsidRPr="00180A6D">
        <w:t>(b)</w:t>
      </w:r>
      <w:r w:rsidRPr="00180A6D">
        <w:tab/>
      </w:r>
      <w:r w:rsidR="00B248AF" w:rsidRPr="00B87C3A">
        <w:rPr>
          <w:noProof/>
        </w:rPr>
        <w:t xml:space="preserve">mora navoditi da je dokazana sukladnost deterdženta ili površinski aktivne tvari sa zahtjevima utvrđenima u ovoj Uredbi kao i, prema potrebi, primijenjene metode ispitivanja; </w:t>
      </w:r>
    </w:p>
    <w:p w14:paraId="07A227D9" w14:textId="7086A806" w:rsidR="00080187" w:rsidRPr="00B87C3A" w:rsidRDefault="00180A6D" w:rsidP="00180A6D">
      <w:pPr>
        <w:pStyle w:val="Point1"/>
        <w:rPr>
          <w:noProof/>
        </w:rPr>
      </w:pPr>
      <w:r w:rsidRPr="00180A6D">
        <w:t>(c)</w:t>
      </w:r>
      <w:r w:rsidRPr="00180A6D">
        <w:tab/>
      </w:r>
      <w:r w:rsidR="00B248AF" w:rsidRPr="00B87C3A">
        <w:rPr>
          <w:noProof/>
        </w:rPr>
        <w:t>mora sadržavati barem informacije iz Priloga VI.;</w:t>
      </w:r>
    </w:p>
    <w:p w14:paraId="72DF5571" w14:textId="2FEB4A1B" w:rsidR="0034381F" w:rsidRPr="00B87C3A" w:rsidRDefault="00180A6D" w:rsidP="00180A6D">
      <w:pPr>
        <w:pStyle w:val="Point1"/>
        <w:rPr>
          <w:noProof/>
        </w:rPr>
      </w:pPr>
      <w:r w:rsidRPr="00180A6D">
        <w:t>(d)</w:t>
      </w:r>
      <w:r w:rsidRPr="00180A6D">
        <w:tab/>
      </w:r>
      <w:r w:rsidR="00DB2746" w:rsidRPr="00B87C3A">
        <w:rPr>
          <w:noProof/>
        </w:rPr>
        <w:t xml:space="preserve">mora biti ažurna; </w:t>
      </w:r>
    </w:p>
    <w:p w14:paraId="7CDDD74B" w14:textId="394890E4" w:rsidR="00A33B97" w:rsidRPr="00B87C3A" w:rsidRDefault="00180A6D" w:rsidP="00180A6D">
      <w:pPr>
        <w:pStyle w:val="Point1"/>
        <w:rPr>
          <w:noProof/>
        </w:rPr>
      </w:pPr>
      <w:r w:rsidRPr="00180A6D">
        <w:t>(e)</w:t>
      </w:r>
      <w:r w:rsidRPr="00180A6D">
        <w:tab/>
      </w:r>
      <w:r w:rsidR="00B8014F" w:rsidRPr="00B87C3A">
        <w:rPr>
          <w:noProof/>
        </w:rPr>
        <w:t>mora biti dostupna na jeziku ili jezicima koje zahtijeva država članica u kojoj je deterdžent ili površinski aktivna tvar stavljena na tržište ili stavljena na raspolaganje na tržištu;</w:t>
      </w:r>
    </w:p>
    <w:p w14:paraId="65995334" w14:textId="305B4A92" w:rsidR="003E2011" w:rsidRPr="00B87C3A" w:rsidRDefault="00180A6D" w:rsidP="00180A6D">
      <w:pPr>
        <w:pStyle w:val="Point1"/>
        <w:rPr>
          <w:noProof/>
        </w:rPr>
      </w:pPr>
      <w:r w:rsidRPr="00180A6D">
        <w:t>(f)</w:t>
      </w:r>
      <w:r w:rsidRPr="00180A6D">
        <w:tab/>
      </w:r>
      <w:r w:rsidR="00DB2746" w:rsidRPr="00B87C3A">
        <w:rPr>
          <w:noProof/>
        </w:rPr>
        <w:t xml:space="preserve">mora biti dostupna krajnjim korisnicima, tijelima za nadzor tržišta, carinskim tijelima, Komisiji i drugim gospodarskim subjektima; </w:t>
      </w:r>
    </w:p>
    <w:p w14:paraId="4619CE94" w14:textId="4F63525B" w:rsidR="003E2011" w:rsidRPr="00B87C3A" w:rsidRDefault="00180A6D" w:rsidP="00180A6D">
      <w:pPr>
        <w:pStyle w:val="Point1"/>
        <w:rPr>
          <w:noProof/>
        </w:rPr>
      </w:pPr>
      <w:r w:rsidRPr="00180A6D">
        <w:t>(g)</w:t>
      </w:r>
      <w:r w:rsidRPr="00180A6D">
        <w:tab/>
      </w:r>
      <w:r w:rsidR="003E2011" w:rsidRPr="00B87C3A">
        <w:rPr>
          <w:noProof/>
        </w:rPr>
        <w:t xml:space="preserve">mora biti dostupna u razdoblju od 10 godina nakon što je deterdžent ili površinski aktivna tvar stavljena na tržište, među ostalim i u slučajevima nesolventnosti, likvidacije ili prestanka djelatnosti u Uniji gospodarskog subjekta koji je izradio tu putovnicu za proizvode; </w:t>
      </w:r>
    </w:p>
    <w:p w14:paraId="6716D1B0" w14:textId="28B1FDD3" w:rsidR="00374E77" w:rsidRPr="00B87C3A" w:rsidRDefault="00180A6D" w:rsidP="00180A6D">
      <w:pPr>
        <w:pStyle w:val="Point1"/>
        <w:rPr>
          <w:noProof/>
        </w:rPr>
      </w:pPr>
      <w:r w:rsidRPr="00180A6D">
        <w:t>(h)</w:t>
      </w:r>
      <w:r w:rsidRPr="00180A6D">
        <w:tab/>
      </w:r>
      <w:r w:rsidR="003E2011" w:rsidRPr="00B87C3A">
        <w:rPr>
          <w:noProof/>
        </w:rPr>
        <w:t>mora biti dostupna putem nosača podataka;</w:t>
      </w:r>
    </w:p>
    <w:p w14:paraId="7177498A" w14:textId="2D5B755B" w:rsidR="00C26700" w:rsidRPr="00B87C3A" w:rsidRDefault="00180A6D" w:rsidP="00180A6D">
      <w:pPr>
        <w:pStyle w:val="Point1"/>
        <w:rPr>
          <w:noProof/>
        </w:rPr>
      </w:pPr>
      <w:r w:rsidRPr="00180A6D">
        <w:t>(i)</w:t>
      </w:r>
      <w:r w:rsidRPr="00180A6D">
        <w:tab/>
      </w:r>
      <w:r w:rsidR="00A95468" w:rsidRPr="00B87C3A">
        <w:rPr>
          <w:noProof/>
        </w:rPr>
        <w:t>mora ispunjavati posebne i tehničke zahtjeve utvrđene u skladu sa stavkom 8.</w:t>
      </w:r>
    </w:p>
    <w:p w14:paraId="084D35F6" w14:textId="32316E26" w:rsidR="005B12EE" w:rsidRPr="00B87C3A" w:rsidRDefault="00180A6D" w:rsidP="00180A6D">
      <w:pPr>
        <w:pStyle w:val="ManualNumPar1"/>
        <w:rPr>
          <w:noProof/>
        </w:rPr>
      </w:pPr>
      <w:r w:rsidRPr="00180A6D">
        <w:t>3.</w:t>
      </w:r>
      <w:r w:rsidRPr="00180A6D">
        <w:tab/>
      </w:r>
      <w:r w:rsidR="009C2A2A" w:rsidRPr="00B87C3A">
        <w:rPr>
          <w:noProof/>
        </w:rPr>
        <w:t xml:space="preserve">Nosač podataka mora biti fizički prisutan na deterdžentu ili površinski aktivnoj tvari, njihovu pakiranju ili popratnoj dokumentaciji, u skladu s provedbenim aktom iz stavka 8.  </w:t>
      </w:r>
    </w:p>
    <w:p w14:paraId="151BD78A" w14:textId="77777777" w:rsidR="004E3914" w:rsidRPr="00B87C3A" w:rsidRDefault="007A4669" w:rsidP="0034381F">
      <w:pPr>
        <w:pStyle w:val="NumPar11"/>
        <w:tabs>
          <w:tab w:val="clear" w:pos="850"/>
        </w:tabs>
        <w:ind w:firstLine="0"/>
        <w:rPr>
          <w:noProof/>
        </w:rPr>
      </w:pPr>
      <w:r w:rsidRPr="00B87C3A">
        <w:rPr>
          <w:noProof/>
        </w:rPr>
        <w:lastRenderedPageBreak/>
        <w:t xml:space="preserve">Osim zahtjeva iz prvog podstavka, ako se deterdženti i površinski aktivne tvari stavljaju na raspolaganje na tržištu u obliku ponovnog punjenja, nosač podataka mora biti prisutan na stanici za ponovno punjenje. </w:t>
      </w:r>
    </w:p>
    <w:p w14:paraId="6828934F" w14:textId="77777777" w:rsidR="009C2A2A" w:rsidRPr="00B87C3A" w:rsidRDefault="00DB2746" w:rsidP="0034381F">
      <w:pPr>
        <w:pStyle w:val="NumPar11"/>
        <w:tabs>
          <w:tab w:val="clear" w:pos="850"/>
        </w:tabs>
        <w:ind w:firstLine="0"/>
        <w:rPr>
          <w:noProof/>
        </w:rPr>
      </w:pPr>
      <w:r w:rsidRPr="00B87C3A">
        <w:rPr>
          <w:noProof/>
        </w:rPr>
        <w:t>Nosač podataka mora biti jasno vidljiv krajnjem korisniku prije kupnje kao i tijelima za nadzor tržišta, uključujući, prema potrebi, u slučajevima kad je deterdžent ili površinski aktivna tvar stavljena na raspolaganje prodajom na daljinu.</w:t>
      </w:r>
    </w:p>
    <w:p w14:paraId="77A83728" w14:textId="7F4C6E53" w:rsidR="00903741" w:rsidRPr="00B87C3A" w:rsidRDefault="00180A6D" w:rsidP="00180A6D">
      <w:pPr>
        <w:pStyle w:val="ManualNumPar1"/>
        <w:rPr>
          <w:noProof/>
        </w:rPr>
      </w:pPr>
      <w:r w:rsidRPr="00180A6D">
        <w:t>4.</w:t>
      </w:r>
      <w:r w:rsidRPr="00180A6D">
        <w:tab/>
      </w:r>
      <w:r w:rsidR="00EE42D7" w:rsidRPr="00B87C3A">
        <w:rPr>
          <w:noProof/>
        </w:rPr>
        <w:t xml:space="preserve">Ako gospodarski subjekti omogućuju digitalnu oznaku, za pristup putovnici za proizvode i digitalnoj oznaci upotrebljava se jedan nosač podataka. </w:t>
      </w:r>
    </w:p>
    <w:p w14:paraId="0B58E43C" w14:textId="1ECB7B78" w:rsidR="00903741" w:rsidRPr="00B87C3A" w:rsidRDefault="00180A6D" w:rsidP="00180A6D">
      <w:pPr>
        <w:pStyle w:val="ManualNumPar1"/>
        <w:rPr>
          <w:noProof/>
        </w:rPr>
      </w:pPr>
      <w:r w:rsidRPr="00180A6D">
        <w:t>5.</w:t>
      </w:r>
      <w:r w:rsidRPr="00180A6D">
        <w:tab/>
      </w:r>
      <w:r w:rsidR="00903741" w:rsidRPr="00B87C3A">
        <w:rPr>
          <w:noProof/>
        </w:rPr>
        <w:t xml:space="preserve">Ako se drugim zakonodavstvom Unije zahtijeva da informacije na deterdžentu ili površinski aktivnoj tvari budu dostupne putem nosača podataka, za pružanje informacija koje se zahtijevaju na temelju ove Uredbe i drugog zakonodavstva Unije upotrebljava se jedan nosač podataka. </w:t>
      </w:r>
    </w:p>
    <w:p w14:paraId="6C387815" w14:textId="5C009E73" w:rsidR="00713E16" w:rsidRPr="00B87C3A" w:rsidRDefault="00180A6D" w:rsidP="00180A6D">
      <w:pPr>
        <w:pStyle w:val="ManualNumPar1"/>
        <w:rPr>
          <w:noProof/>
        </w:rPr>
      </w:pPr>
      <w:r w:rsidRPr="00180A6D">
        <w:t>6.</w:t>
      </w:r>
      <w:r w:rsidRPr="00180A6D">
        <w:tab/>
      </w:r>
      <w:r w:rsidR="00AB7D97" w:rsidRPr="00B87C3A">
        <w:rPr>
          <w:noProof/>
        </w:rPr>
        <w:t>Ako se drugim zakonodavstvom Unije koje se primjenjuje na deterdžente i površinski aktivne tvari zahtijeva putovnica za proizvode, za deterdžente i površinski aktivne tvari izrađuje se jedna putovnica za proizvode koja sadržava informacije utvrđene u stavku 2. i sve druge informacije koje se tim drugim zakonodavstvom Unije zahtijevaju za putovnicu za proizvode.</w:t>
      </w:r>
    </w:p>
    <w:p w14:paraId="4D63B6DD" w14:textId="2DA9892F" w:rsidR="005C7165" w:rsidRPr="00B87C3A" w:rsidRDefault="00180A6D" w:rsidP="00180A6D">
      <w:pPr>
        <w:pStyle w:val="ManualNumPar1"/>
        <w:rPr>
          <w:noProof/>
        </w:rPr>
      </w:pPr>
      <w:r w:rsidRPr="00180A6D">
        <w:t>7.</w:t>
      </w:r>
      <w:r w:rsidRPr="00180A6D">
        <w:tab/>
      </w:r>
      <w:r w:rsidR="00B744B0" w:rsidRPr="00B87C3A">
        <w:rPr>
          <w:noProof/>
        </w:rPr>
        <w:t>Gospodarski subjekti mogu, uz informacije iz stavaka 5. i 6., omogućiti pristup i drugim informacijama putem nosača podataka iz stavka 6. U tom se slučaju te informacije jasno odvajaju od informacija koje se zahtijevaju na temelju ove Uredbe i, prema potrebi, na temelju drugog zakonodavstva Unije.</w:t>
      </w:r>
    </w:p>
    <w:p w14:paraId="056B123B" w14:textId="2C755E25" w:rsidR="002A7978" w:rsidRPr="00B87C3A" w:rsidRDefault="00180A6D" w:rsidP="00180A6D">
      <w:pPr>
        <w:pStyle w:val="ManualNumPar1"/>
        <w:rPr>
          <w:noProof/>
        </w:rPr>
      </w:pPr>
      <w:r w:rsidRPr="00180A6D">
        <w:t>8.</w:t>
      </w:r>
      <w:r w:rsidRPr="00180A6D">
        <w:tab/>
      </w:r>
      <w:r w:rsidR="00903741" w:rsidRPr="00B87C3A">
        <w:rPr>
          <w:noProof/>
        </w:rPr>
        <w:t>Izradom putovnice za proizvode proizvođač preuzima odgovornost za sukladnost deterdženta ili površinski aktivne tvari s ovom Uredbom.</w:t>
      </w:r>
    </w:p>
    <w:p w14:paraId="77A72205" w14:textId="72E73F54" w:rsidR="00D871CA" w:rsidRPr="00B87C3A" w:rsidRDefault="00180A6D" w:rsidP="00180A6D">
      <w:pPr>
        <w:pStyle w:val="ManualNumPar11"/>
        <w:rPr>
          <w:noProof/>
        </w:rPr>
      </w:pPr>
      <w:r w:rsidRPr="00180A6D">
        <w:t>9.</w:t>
      </w:r>
      <w:r w:rsidRPr="00180A6D">
        <w:tab/>
      </w:r>
      <w:r w:rsidR="005C7165" w:rsidRPr="00B87C3A">
        <w:rPr>
          <w:noProof/>
        </w:rPr>
        <w:t xml:space="preserve">Komisija donosi provedbeni akt kojim se utvrđuju posebni i tehnički zahtjevi povezani s putovnicom za proizvode za deterdžente i površinski aktivne tvari. Tim se zahtjevima utvrđuje barem sljedeće: </w:t>
      </w:r>
    </w:p>
    <w:p w14:paraId="61D109AF" w14:textId="17F025CF" w:rsidR="00D871CA" w:rsidRPr="00B87C3A" w:rsidRDefault="00180A6D" w:rsidP="00180A6D">
      <w:pPr>
        <w:pStyle w:val="Point1"/>
        <w:rPr>
          <w:noProof/>
        </w:rPr>
      </w:pPr>
      <w:r w:rsidRPr="00180A6D">
        <w:t>(a)</w:t>
      </w:r>
      <w:r w:rsidRPr="00180A6D">
        <w:tab/>
      </w:r>
      <w:r w:rsidR="00D871CA" w:rsidRPr="00B87C3A">
        <w:rPr>
          <w:noProof/>
        </w:rPr>
        <w:t>vrste nosača podataka koje se trebaju upotrebljavati;</w:t>
      </w:r>
    </w:p>
    <w:p w14:paraId="2B6D5FC2" w14:textId="426781EC" w:rsidR="00D871CA" w:rsidRPr="00B87C3A" w:rsidRDefault="00180A6D" w:rsidP="00180A6D">
      <w:pPr>
        <w:pStyle w:val="Point1"/>
        <w:rPr>
          <w:noProof/>
        </w:rPr>
      </w:pPr>
      <w:r w:rsidRPr="00180A6D">
        <w:t>(b)</w:t>
      </w:r>
      <w:r w:rsidRPr="00180A6D">
        <w:tab/>
      </w:r>
      <w:r w:rsidR="00D871CA" w:rsidRPr="00B87C3A">
        <w:rPr>
          <w:noProof/>
        </w:rPr>
        <w:t>okruženje u kojem je predstavljen nosač podataka i njegov položaj;</w:t>
      </w:r>
    </w:p>
    <w:p w14:paraId="1DFF5F82" w14:textId="06DC0990" w:rsidR="00D871CA" w:rsidRPr="00B87C3A" w:rsidRDefault="00180A6D" w:rsidP="00180A6D">
      <w:pPr>
        <w:pStyle w:val="Point1"/>
        <w:rPr>
          <w:noProof/>
        </w:rPr>
      </w:pPr>
      <w:r w:rsidRPr="00180A6D">
        <w:t>(c)</w:t>
      </w:r>
      <w:r w:rsidRPr="00180A6D">
        <w:tab/>
      </w:r>
      <w:r w:rsidR="008A2728" w:rsidRPr="00B87C3A">
        <w:rPr>
          <w:noProof/>
        </w:rPr>
        <w:t>tehničke elemente putovnice za koje se upotrebljavaju definirane europske ili međunarodne norme;</w:t>
      </w:r>
    </w:p>
    <w:p w14:paraId="68FFC362" w14:textId="304CA17D" w:rsidR="00D871CA" w:rsidRPr="00B87C3A" w:rsidRDefault="00180A6D" w:rsidP="00180A6D">
      <w:pPr>
        <w:pStyle w:val="Point1"/>
        <w:rPr>
          <w:noProof/>
        </w:rPr>
      </w:pPr>
      <w:r w:rsidRPr="00180A6D">
        <w:t>(d)</w:t>
      </w:r>
      <w:r w:rsidRPr="00180A6D">
        <w:tab/>
      </w:r>
      <w:r w:rsidR="00D871CA" w:rsidRPr="00B87C3A">
        <w:rPr>
          <w:noProof/>
        </w:rPr>
        <w:t>subjekte koji mogu unijeti ili ažurirati informacije u putovnicu za proizvode, uključujući, prema potrebi, izradu nove putovnice za proizvode, što uključuje proizvođače, nadležna nacionalna tijela i Komisiju ili bilo koju organizaciju koja djeluje u njihovo ime, kao i vrste informacija koje oni mogu unositi ili ažurirati.</w:t>
      </w:r>
    </w:p>
    <w:p w14:paraId="36F7798B" w14:textId="77777777" w:rsidR="005F3D07" w:rsidRPr="00B87C3A" w:rsidRDefault="005F3D07" w:rsidP="001E4FBF">
      <w:pPr>
        <w:pStyle w:val="Text1"/>
        <w:rPr>
          <w:noProof/>
        </w:rPr>
      </w:pPr>
      <w:r w:rsidRPr="00B87C3A">
        <w:rPr>
          <w:noProof/>
        </w:rPr>
        <w:t xml:space="preserve">Ti se provedbeni akti donose u skladu s postupkom ispitivanja iz članka 28. stavka 2. </w:t>
      </w:r>
    </w:p>
    <w:p w14:paraId="4EFE9566" w14:textId="77777777" w:rsidR="002A7978" w:rsidRPr="00B87C3A" w:rsidRDefault="002A7978" w:rsidP="001E4FBF">
      <w:pPr>
        <w:rPr>
          <w:noProof/>
        </w:rPr>
      </w:pPr>
    </w:p>
    <w:p w14:paraId="17B643F9" w14:textId="77777777" w:rsidR="002A7978" w:rsidRPr="00B87C3A" w:rsidRDefault="002A7978" w:rsidP="0027060A">
      <w:pPr>
        <w:pStyle w:val="Titrearticle"/>
        <w:spacing w:before="0" w:after="0"/>
        <w:rPr>
          <w:noProof/>
        </w:rPr>
      </w:pPr>
      <w:r w:rsidRPr="00B87C3A">
        <w:rPr>
          <w:noProof/>
        </w:rPr>
        <w:t>Članak 19.</w:t>
      </w:r>
    </w:p>
    <w:p w14:paraId="465A59BC" w14:textId="77777777" w:rsidR="00272937" w:rsidRPr="00B87C3A" w:rsidRDefault="002A7978" w:rsidP="0027060A">
      <w:pPr>
        <w:pStyle w:val="Titrearticle"/>
        <w:spacing w:before="0"/>
        <w:rPr>
          <w:b/>
          <w:noProof/>
        </w:rPr>
      </w:pPr>
      <w:r w:rsidRPr="00B87C3A">
        <w:rPr>
          <w:b/>
          <w:i w:val="0"/>
          <w:noProof/>
        </w:rPr>
        <w:t>Tehničko rješenje i funkcioniranje putovnice za proizvode</w:t>
      </w:r>
    </w:p>
    <w:p w14:paraId="13315691" w14:textId="77777777" w:rsidR="002A7978" w:rsidRPr="00B87C3A" w:rsidRDefault="002A7978" w:rsidP="00D871CA">
      <w:pPr>
        <w:rPr>
          <w:noProof/>
        </w:rPr>
      </w:pPr>
      <w:r w:rsidRPr="00B87C3A">
        <w:rPr>
          <w:noProof/>
        </w:rPr>
        <w:t>Tehničko rješenje i funkcioniranje putovnice za proizvode moraju biti u skladu sa sljedećim zahtjevima:</w:t>
      </w:r>
    </w:p>
    <w:p w14:paraId="66D2C746" w14:textId="73D0E776" w:rsidR="002A7978" w:rsidRPr="00B87C3A" w:rsidRDefault="00180A6D" w:rsidP="00180A6D">
      <w:pPr>
        <w:pStyle w:val="Point0"/>
        <w:rPr>
          <w:noProof/>
        </w:rPr>
      </w:pPr>
      <w:r w:rsidRPr="00180A6D">
        <w:t>(a)</w:t>
      </w:r>
      <w:r w:rsidRPr="00180A6D">
        <w:tab/>
      </w:r>
      <w:r w:rsidR="002A7978" w:rsidRPr="00B87C3A">
        <w:rPr>
          <w:noProof/>
        </w:rPr>
        <w:t xml:space="preserve">putovnice za proizvode izrađene na temelju ove Uredbe moraju biti potpuno interoperabilne s putovnicama za proizvode koje se zahtijevaju drugim </w:t>
      </w:r>
      <w:r w:rsidR="002A7978" w:rsidRPr="00B87C3A">
        <w:rPr>
          <w:noProof/>
        </w:rPr>
        <w:lastRenderedPageBreak/>
        <w:t>zakonodavstvom Unije povezanim s tehničkim, semantičkim i organizacijskim aspektima komunikacije s kraja na kraj i prijenosa podataka;</w:t>
      </w:r>
    </w:p>
    <w:p w14:paraId="3F33B706" w14:textId="1F17EC4C" w:rsidR="002A7978" w:rsidRPr="00B87C3A" w:rsidRDefault="00180A6D" w:rsidP="00180A6D">
      <w:pPr>
        <w:pStyle w:val="Point0"/>
        <w:rPr>
          <w:noProof/>
        </w:rPr>
      </w:pPr>
      <w:r w:rsidRPr="00180A6D">
        <w:t>(b)</w:t>
      </w:r>
      <w:r w:rsidRPr="00180A6D">
        <w:tab/>
      </w:r>
      <w:r w:rsidR="002A7978" w:rsidRPr="00B87C3A">
        <w:rPr>
          <w:noProof/>
        </w:rPr>
        <w:t>sve informacije uvrštene u putovnicu za proizvode moraju se temeljiti na otvorenim standardima razvijenima u interoperabilnom formatu i biti strojno čitljive, strukturirane i pretražive;</w:t>
      </w:r>
    </w:p>
    <w:p w14:paraId="3E013EEA" w14:textId="73BC6FBF" w:rsidR="00A3442A" w:rsidRPr="00B87C3A" w:rsidRDefault="00180A6D" w:rsidP="00180A6D">
      <w:pPr>
        <w:pStyle w:val="Point0"/>
        <w:rPr>
          <w:noProof/>
        </w:rPr>
      </w:pPr>
      <w:r w:rsidRPr="00180A6D">
        <w:t>(c)</w:t>
      </w:r>
      <w:r w:rsidRPr="00180A6D">
        <w:tab/>
      </w:r>
      <w:r w:rsidR="00CA6A32" w:rsidRPr="00B87C3A">
        <w:rPr>
          <w:noProof/>
        </w:rPr>
        <w:t>krajnji korisnici, gospodarski subjekti i drugi relevantni subjekti moraju imati besplatan pristup putovnici za proizvode;</w:t>
      </w:r>
    </w:p>
    <w:p w14:paraId="50D779C3" w14:textId="30562454" w:rsidR="002A7978" w:rsidRPr="00B87C3A" w:rsidRDefault="00180A6D" w:rsidP="00180A6D">
      <w:pPr>
        <w:pStyle w:val="Point0"/>
        <w:rPr>
          <w:noProof/>
        </w:rPr>
      </w:pPr>
      <w:r w:rsidRPr="00180A6D">
        <w:t>(d)</w:t>
      </w:r>
      <w:r w:rsidRPr="00180A6D">
        <w:tab/>
      </w:r>
      <w:r w:rsidR="00E24C27" w:rsidRPr="00B87C3A">
        <w:rPr>
          <w:noProof/>
        </w:rPr>
        <w:t xml:space="preserve">podatke sadržane u putovnici za proizvode mora pohraniti gospodarski subjekt odgovoran za njezinu izradu ili subjekti ovlašteni da djeluju u njegovo ime; </w:t>
      </w:r>
    </w:p>
    <w:p w14:paraId="7567171C" w14:textId="561CF7AA" w:rsidR="002A7978" w:rsidRPr="00B87C3A" w:rsidRDefault="00180A6D" w:rsidP="00180A6D">
      <w:pPr>
        <w:pStyle w:val="Point0"/>
        <w:rPr>
          <w:noProof/>
        </w:rPr>
      </w:pPr>
      <w:r w:rsidRPr="00180A6D">
        <w:t>(e)</w:t>
      </w:r>
      <w:r w:rsidRPr="00180A6D">
        <w:tab/>
      </w:r>
      <w:r w:rsidR="002A7978" w:rsidRPr="00B87C3A">
        <w:rPr>
          <w:noProof/>
        </w:rPr>
        <w:t>ako podatke sadržane u putovnici za proizvode pohranjuju ili na drugi način obrađuju subjekti ovlašteni da djeluju u ime gospodarskih subjekata koji stavljaju deterdžent ili površinski aktivnu tvar na tržište, tim se subjektima ne dopušta prodaja, ponovna upotreba ili obrada takvih podataka, u cijelosti ili djelomično, osim onih podataka koji su potrebni za pružanje relevantnih usluga pohrane ili obrade;</w:t>
      </w:r>
    </w:p>
    <w:p w14:paraId="0EEE953F" w14:textId="5DFD3667" w:rsidR="00102CBD" w:rsidRPr="00B87C3A" w:rsidRDefault="00180A6D" w:rsidP="00180A6D">
      <w:pPr>
        <w:pStyle w:val="Point0"/>
        <w:rPr>
          <w:noProof/>
        </w:rPr>
      </w:pPr>
      <w:r w:rsidRPr="00180A6D">
        <w:t>(f)</w:t>
      </w:r>
      <w:r w:rsidRPr="00180A6D">
        <w:tab/>
      </w:r>
      <w:r w:rsidR="002A7978" w:rsidRPr="00B87C3A">
        <w:rPr>
          <w:noProof/>
        </w:rPr>
        <w:t>gospodarski subjekti ne smiju pratiti, analizirati ili upotrebljavati informacije o upotrebi u bilo koje svrhe osim onih koje su apsolutno potrebne za pružanje informacija u putovnici za proizvode na internetu.</w:t>
      </w:r>
    </w:p>
    <w:p w14:paraId="71E03FF7" w14:textId="77777777" w:rsidR="00035277" w:rsidRPr="00B87C3A" w:rsidRDefault="00035277" w:rsidP="00035277">
      <w:pPr>
        <w:pStyle w:val="ManualNumPar1"/>
        <w:rPr>
          <w:noProof/>
        </w:rPr>
      </w:pPr>
    </w:p>
    <w:p w14:paraId="4302DBC5" w14:textId="77777777" w:rsidR="008F393F" w:rsidRPr="00B87C3A" w:rsidRDefault="00DF69E2" w:rsidP="00A12AC3">
      <w:pPr>
        <w:pStyle w:val="Titrearticle"/>
        <w:spacing w:before="0" w:after="0"/>
        <w:rPr>
          <w:noProof/>
        </w:rPr>
      </w:pPr>
      <w:r w:rsidRPr="00B87C3A">
        <w:rPr>
          <w:noProof/>
        </w:rPr>
        <w:t>Članak 20.</w:t>
      </w:r>
    </w:p>
    <w:p w14:paraId="5FB5E3EA" w14:textId="77777777" w:rsidR="008F393F" w:rsidRPr="00B87C3A" w:rsidRDefault="008F393F" w:rsidP="00A12AC3">
      <w:pPr>
        <w:pStyle w:val="Titrearticle"/>
        <w:spacing w:before="0" w:after="0"/>
        <w:rPr>
          <w:b/>
          <w:i w:val="0"/>
          <w:noProof/>
        </w:rPr>
      </w:pPr>
      <w:r w:rsidRPr="00B87C3A">
        <w:rPr>
          <w:b/>
          <w:i w:val="0"/>
          <w:noProof/>
        </w:rPr>
        <w:t>Registar putovnica za proizvode</w:t>
      </w:r>
    </w:p>
    <w:p w14:paraId="5FF56F8F" w14:textId="283D9801" w:rsidR="00CF48C7" w:rsidRPr="00B87C3A" w:rsidRDefault="00180A6D" w:rsidP="00180A6D">
      <w:pPr>
        <w:pStyle w:val="ManualNumPar11"/>
        <w:rPr>
          <w:noProof/>
        </w:rPr>
      </w:pPr>
      <w:r w:rsidRPr="00180A6D">
        <w:t>1.</w:t>
      </w:r>
      <w:r w:rsidRPr="00180A6D">
        <w:tab/>
      </w:r>
      <w:r w:rsidR="00CF48C7" w:rsidRPr="00B87C3A">
        <w:rPr>
          <w:noProof/>
        </w:rPr>
        <w:t xml:space="preserve">Prije stavljanja deterdženta ili površinski aktivne tvari na tržište gospodarski subjekti u registar uspostavljen u skladu s člankom 12. stavkom 1. Uredbe (EU) .../... o ekološkom dizajnu za održive proizvode unose jedinstvenu identifikacijsku oznaku proizvoda i jedinstvenu identifikacijsku oznaku subjekta za taj deterdžent ili površinski aktivnu tvar. </w:t>
      </w:r>
    </w:p>
    <w:p w14:paraId="65C59BD6" w14:textId="7E7D4E9B" w:rsidR="00CF48C7" w:rsidRPr="00B87C3A" w:rsidRDefault="00180A6D" w:rsidP="00180A6D">
      <w:pPr>
        <w:pStyle w:val="ManualNumPar1"/>
        <w:rPr>
          <w:noProof/>
        </w:rPr>
      </w:pPr>
      <w:r w:rsidRPr="00180A6D">
        <w:t>2.</w:t>
      </w:r>
      <w:r w:rsidRPr="00180A6D">
        <w:tab/>
      </w:r>
      <w:r w:rsidR="00CF48C7" w:rsidRPr="00B87C3A">
        <w:rPr>
          <w:noProof/>
        </w:rPr>
        <w:t xml:space="preserve">Komisija, tijela za nadzor tržišta i carinska tijela imaju pristup registru iz stavka 1. radi obavljanja svojih dužnosti u skladu s ovom Uredbom. </w:t>
      </w:r>
    </w:p>
    <w:p w14:paraId="68F8473E" w14:textId="77777777" w:rsidR="00274041" w:rsidRPr="00B87C3A" w:rsidRDefault="00274041" w:rsidP="00274041">
      <w:pPr>
        <w:rPr>
          <w:noProof/>
        </w:rPr>
      </w:pPr>
    </w:p>
    <w:p w14:paraId="17D201F3" w14:textId="77777777" w:rsidR="009177B2" w:rsidRPr="00B87C3A" w:rsidRDefault="008F393F" w:rsidP="00A12AC3">
      <w:pPr>
        <w:pStyle w:val="Titrearticle"/>
        <w:spacing w:before="0" w:after="0"/>
        <w:rPr>
          <w:noProof/>
        </w:rPr>
      </w:pPr>
      <w:r w:rsidRPr="00B87C3A">
        <w:rPr>
          <w:noProof/>
        </w:rPr>
        <w:t>Članak 21.</w:t>
      </w:r>
    </w:p>
    <w:p w14:paraId="6EA17462" w14:textId="77777777" w:rsidR="00241B99" w:rsidRPr="00B87C3A" w:rsidRDefault="00241B99" w:rsidP="00A12AC3">
      <w:pPr>
        <w:pStyle w:val="Titrearticle"/>
        <w:spacing w:before="0" w:after="0"/>
        <w:rPr>
          <w:b/>
          <w:i w:val="0"/>
          <w:noProof/>
        </w:rPr>
      </w:pPr>
      <w:r w:rsidRPr="00B87C3A">
        <w:rPr>
          <w:b/>
          <w:i w:val="0"/>
          <w:noProof/>
        </w:rPr>
        <w:t>Carinska kontrola povezana s putovnicom za proizvode</w:t>
      </w:r>
    </w:p>
    <w:p w14:paraId="42FABAC7" w14:textId="74D084A3" w:rsidR="00567FE6" w:rsidRPr="00B87C3A" w:rsidRDefault="00180A6D" w:rsidP="00180A6D">
      <w:pPr>
        <w:pStyle w:val="ManualNumPar11"/>
        <w:rPr>
          <w:noProof/>
        </w:rPr>
      </w:pPr>
      <w:r w:rsidRPr="00180A6D">
        <w:t>1.</w:t>
      </w:r>
      <w:r w:rsidRPr="00180A6D">
        <w:tab/>
      </w:r>
      <w:r w:rsidR="00EB0E0D" w:rsidRPr="00B87C3A">
        <w:rPr>
          <w:noProof/>
        </w:rPr>
        <w:t xml:space="preserve">Deterdženti i površinski aktivne tvari koji ulaze na tržište Unije podliježu provjerama i drugim mjerama utvrđenima u ovom članku. </w:t>
      </w:r>
    </w:p>
    <w:p w14:paraId="27DC42C8" w14:textId="669ECAA2" w:rsidR="00B57BBF" w:rsidRPr="00B87C3A" w:rsidRDefault="00180A6D" w:rsidP="00180A6D">
      <w:pPr>
        <w:pStyle w:val="ManualNumPar11"/>
        <w:rPr>
          <w:noProof/>
        </w:rPr>
      </w:pPr>
      <w:r w:rsidRPr="00180A6D">
        <w:t>2.</w:t>
      </w:r>
      <w:r w:rsidRPr="00180A6D">
        <w:tab/>
      </w:r>
      <w:r w:rsidR="00B57BBF" w:rsidRPr="00B87C3A">
        <w:rPr>
          <w:noProof/>
        </w:rPr>
        <w:t xml:space="preserve">Deklaranti kako su definirani u članku 5. točki 15. Uredbe (EU) 952/2013 u carinsku deklaraciju za puštanje u slobodni promet bilo kojeg deterdženta ili površinski aktivne tvari uključuju jedinstvenu identifikacijsku oznaku proizvoda.  </w:t>
      </w:r>
    </w:p>
    <w:p w14:paraId="47FAA801" w14:textId="4E13BF4D" w:rsidR="001B47B7" w:rsidRPr="00B87C3A" w:rsidRDefault="00180A6D" w:rsidP="00180A6D">
      <w:pPr>
        <w:pStyle w:val="ManualNumPar1"/>
        <w:rPr>
          <w:noProof/>
        </w:rPr>
      </w:pPr>
      <w:r w:rsidRPr="00180A6D">
        <w:t>3.</w:t>
      </w:r>
      <w:r w:rsidRPr="00180A6D">
        <w:tab/>
      </w:r>
      <w:r w:rsidR="00C534FC" w:rsidRPr="00B87C3A">
        <w:rPr>
          <w:noProof/>
        </w:rPr>
        <w:t xml:space="preserve">Carinska tijela provjeravaju podudara li se jedinstvena identifikacijska oznaka proizvoda koju je naveo deklarant u skladu sa stavkom 2. ovog članka s jedinstvenom identifikacijskom oznakom proizvoda uvrštenom u registar u skladu s člankom 20. stavkom 1. </w:t>
      </w:r>
    </w:p>
    <w:p w14:paraId="760C14CA" w14:textId="329D0D4B" w:rsidR="00BE0E73" w:rsidRPr="00B87C3A" w:rsidRDefault="00180A6D" w:rsidP="00180A6D">
      <w:pPr>
        <w:pStyle w:val="ManualNumPar1"/>
        <w:rPr>
          <w:noProof/>
        </w:rPr>
      </w:pPr>
      <w:r w:rsidRPr="00180A6D">
        <w:t>4.</w:t>
      </w:r>
      <w:r w:rsidRPr="00180A6D">
        <w:tab/>
      </w:r>
      <w:r w:rsidR="00BE0E73" w:rsidRPr="00B87C3A">
        <w:rPr>
          <w:noProof/>
        </w:rPr>
        <w:t>Osim provjere iz stavka 3. carinska tijela provjeravaju usklađenost informacija koje su deklaranti stavili na raspolaganje carini s drugim informacijama pohranjenima u registru iz članka 20. stavka 1. navedenima u delegiranom aktu iz članka 26. stavka 3.</w:t>
      </w:r>
    </w:p>
    <w:p w14:paraId="48866ED6" w14:textId="6F5F35BA" w:rsidR="002948B0" w:rsidRPr="00B87C3A" w:rsidRDefault="00180A6D" w:rsidP="00180A6D">
      <w:pPr>
        <w:pStyle w:val="ManualNumPar1"/>
        <w:rPr>
          <w:noProof/>
        </w:rPr>
      </w:pPr>
      <w:r w:rsidRPr="00180A6D">
        <w:lastRenderedPageBreak/>
        <w:t>5.</w:t>
      </w:r>
      <w:r w:rsidRPr="00180A6D">
        <w:tab/>
      </w:r>
      <w:r w:rsidR="002948B0" w:rsidRPr="00B87C3A">
        <w:rPr>
          <w:noProof/>
        </w:rPr>
        <w:t xml:space="preserve">Provjere iz stavaka 3. i 4. provode se elektronički i automatski prije puštanja u slobodni promet. </w:t>
      </w:r>
    </w:p>
    <w:p w14:paraId="6856DF7B" w14:textId="3DCCA83E" w:rsidR="002A7978" w:rsidRPr="00B87C3A" w:rsidRDefault="00180A6D" w:rsidP="00180A6D">
      <w:pPr>
        <w:pStyle w:val="ManualNumPar1"/>
        <w:rPr>
          <w:noProof/>
        </w:rPr>
      </w:pPr>
      <w:r w:rsidRPr="00180A6D">
        <w:t>6.</w:t>
      </w:r>
      <w:r w:rsidRPr="00180A6D">
        <w:tab/>
      </w:r>
      <w:r w:rsidR="00500FE5" w:rsidRPr="00B87C3A">
        <w:rPr>
          <w:noProof/>
        </w:rPr>
        <w:t>Za potrebe stavaka od 3. do 5. upotrebljava se međusobna povezanost registra iz članka 20. stavka 1. i sustava razmjene potvrda u okviru jedinstvenog sučelja EU-a za carinu iz [članka 13. Uredbe (EU) .../... o ekološkom dizajnu za održive proizvode].</w:t>
      </w:r>
    </w:p>
    <w:p w14:paraId="67C8666B" w14:textId="489CAE04" w:rsidR="002F4274" w:rsidRPr="00B87C3A" w:rsidRDefault="00180A6D" w:rsidP="00180A6D">
      <w:pPr>
        <w:pStyle w:val="ManualNumPar1"/>
        <w:rPr>
          <w:noProof/>
        </w:rPr>
      </w:pPr>
      <w:r w:rsidRPr="00180A6D">
        <w:t>7.</w:t>
      </w:r>
      <w:r w:rsidRPr="00180A6D">
        <w:tab/>
      </w:r>
      <w:r w:rsidR="002F4274" w:rsidRPr="00B87C3A">
        <w:rPr>
          <w:noProof/>
        </w:rPr>
        <w:t xml:space="preserve">Stavci 3., 4. i 5. primjenjuju se od dana kad međusobna povezanost registra i sustava razmjene potvrda u okviru jedinstvenog sučelja EU-a za carinu iz [članka 13. Uredbe (EU) .../... o ekološkom dizajnu za održive proizvode] postane operativna. </w:t>
      </w:r>
    </w:p>
    <w:p w14:paraId="0E0E16ED" w14:textId="77777777" w:rsidR="006D76F7" w:rsidRPr="00B87C3A" w:rsidRDefault="006D76F7" w:rsidP="00DA0468">
      <w:pPr>
        <w:pStyle w:val="Text1"/>
        <w:rPr>
          <w:noProof/>
        </w:rPr>
      </w:pPr>
      <w:r w:rsidRPr="00B87C3A">
        <w:rPr>
          <w:noProof/>
        </w:rPr>
        <w:t xml:space="preserve">Komisija o tome objavljuje obavijest u </w:t>
      </w:r>
      <w:r w:rsidRPr="00B87C3A">
        <w:rPr>
          <w:i/>
          <w:noProof/>
        </w:rPr>
        <w:t>Službenom listu Europske unije</w:t>
      </w:r>
      <w:r w:rsidRPr="00B87C3A">
        <w:rPr>
          <w:noProof/>
        </w:rPr>
        <w:t xml:space="preserve"> u kojoj se navodi datum na koji međusobna povezanost postaje operativna.</w:t>
      </w:r>
    </w:p>
    <w:p w14:paraId="4D9245D5" w14:textId="63EE50BF" w:rsidR="002A7978" w:rsidRPr="00B87C3A" w:rsidRDefault="00180A6D" w:rsidP="00180A6D">
      <w:pPr>
        <w:pStyle w:val="ManualNumPar1"/>
        <w:rPr>
          <w:noProof/>
        </w:rPr>
      </w:pPr>
      <w:r w:rsidRPr="00180A6D">
        <w:t>8.</w:t>
      </w:r>
      <w:r w:rsidRPr="00180A6D">
        <w:tab/>
      </w:r>
      <w:r w:rsidR="002A7978" w:rsidRPr="00B87C3A">
        <w:rPr>
          <w:noProof/>
        </w:rPr>
        <w:t xml:space="preserve">Carinska tijela mogu preuzeti i upotrebljavati informacije sadržane u putovnici za proizvode i registru iz članka 20. stavka 1. za obavljanje svojih dužnosti u skladu sa zakonodavstvom Unije, među ostalim za upravljanje rizikom u skladu s člancima 46. i 47. Uredbe (EU) br. 952/2013. </w:t>
      </w:r>
    </w:p>
    <w:p w14:paraId="7F8DDE02" w14:textId="07A1C424" w:rsidR="000A4F3D" w:rsidRPr="00B87C3A" w:rsidRDefault="00180A6D" w:rsidP="00180A6D">
      <w:pPr>
        <w:pStyle w:val="ManualNumPar1"/>
        <w:rPr>
          <w:noProof/>
        </w:rPr>
      </w:pPr>
      <w:r w:rsidRPr="00180A6D">
        <w:t>9.</w:t>
      </w:r>
      <w:r w:rsidRPr="00180A6D">
        <w:tab/>
      </w:r>
      <w:r w:rsidR="00240F17" w:rsidRPr="00B87C3A">
        <w:rPr>
          <w:noProof/>
        </w:rPr>
        <w:t>Provjere i druge mjere utvrđene u ovom članku provode se na temelju popisa oznaka kombinirane nomenklature kako je utvrđeno u Prilogu I. Uredbi (EEZ) br. 2658/87 prema kojima se razvrstavaju deterdženti i površinski aktivne tvari te opisa proizvoda za te deterdžente i površinski aktivne tvari.</w:t>
      </w:r>
    </w:p>
    <w:p w14:paraId="008AE692" w14:textId="339C20C4" w:rsidR="00567FE6" w:rsidRPr="00B87C3A" w:rsidRDefault="00180A6D" w:rsidP="00180A6D">
      <w:pPr>
        <w:pStyle w:val="ManualNumPar1"/>
        <w:rPr>
          <w:noProof/>
        </w:rPr>
      </w:pPr>
      <w:r w:rsidRPr="00180A6D">
        <w:t>10.</w:t>
      </w:r>
      <w:r w:rsidRPr="00180A6D">
        <w:tab/>
      </w:r>
      <w:r w:rsidR="006834B2" w:rsidRPr="00B87C3A">
        <w:rPr>
          <w:noProof/>
        </w:rPr>
        <w:t>Provjere i mjere utvrđene u ovom članku ne utječu na primjenu drugih pravnih akata Unije kojima se uređuje puštanje proizvoda u slobodni promet, uključujući članke 46., 47. i 134. Uredbe (EU) br. 952/2013, kao i kontrolu iz poglavlja VII. Uredbe (EU) 2019/1020.</w:t>
      </w:r>
    </w:p>
    <w:p w14:paraId="6BBC1B9E" w14:textId="77777777" w:rsidR="00815486" w:rsidRPr="00B87C3A" w:rsidRDefault="00815486" w:rsidP="001E36C3">
      <w:pPr>
        <w:pStyle w:val="NumPar11"/>
        <w:tabs>
          <w:tab w:val="clear" w:pos="850"/>
        </w:tabs>
        <w:rPr>
          <w:noProof/>
        </w:rPr>
      </w:pPr>
    </w:p>
    <w:p w14:paraId="2A7C7F87" w14:textId="77777777" w:rsidR="00A90523" w:rsidRPr="00B87C3A" w:rsidRDefault="00A90523" w:rsidP="00745E05">
      <w:pPr>
        <w:pStyle w:val="ChapterTitle"/>
        <w:spacing w:after="0"/>
        <w:rPr>
          <w:noProof/>
        </w:rPr>
      </w:pPr>
      <w:r w:rsidRPr="00B87C3A">
        <w:rPr>
          <w:noProof/>
        </w:rPr>
        <w:t>POGLAVLJE VI.</w:t>
      </w:r>
    </w:p>
    <w:p w14:paraId="0535181E" w14:textId="77777777" w:rsidR="00543F83" w:rsidRPr="00B87C3A" w:rsidRDefault="00E605B0" w:rsidP="00546639">
      <w:pPr>
        <w:pStyle w:val="ChapterTitle"/>
        <w:rPr>
          <w:noProof/>
        </w:rPr>
      </w:pPr>
      <w:r w:rsidRPr="00B87C3A">
        <w:rPr>
          <w:noProof/>
        </w:rPr>
        <w:t xml:space="preserve">NADZOR TRŽIŠTA </w:t>
      </w:r>
    </w:p>
    <w:p w14:paraId="60EAE19B" w14:textId="77777777" w:rsidR="00E605B0" w:rsidRPr="00B87C3A" w:rsidRDefault="00D82AAC" w:rsidP="001376B6">
      <w:pPr>
        <w:pStyle w:val="Titrearticle"/>
        <w:rPr>
          <w:b/>
          <w:i w:val="0"/>
          <w:noProof/>
        </w:rPr>
      </w:pPr>
      <w:r w:rsidRPr="00B87C3A">
        <w:rPr>
          <w:noProof/>
        </w:rPr>
        <w:t xml:space="preserve">Članak 22. </w:t>
      </w:r>
      <w:r w:rsidRPr="00B87C3A">
        <w:rPr>
          <w:noProof/>
        </w:rPr>
        <w:br/>
      </w:r>
      <w:r w:rsidRPr="00B87C3A">
        <w:rPr>
          <w:b/>
          <w:i w:val="0"/>
          <w:noProof/>
        </w:rPr>
        <w:t>Postupanje na nacionalnoj razini s deterdžentima i površinski aktivnim tvarima koji predstavljaju rizik</w:t>
      </w:r>
    </w:p>
    <w:p w14:paraId="2DDDE5AE" w14:textId="04CC7B20" w:rsidR="00E605B0" w:rsidRPr="00B87C3A" w:rsidRDefault="00180A6D" w:rsidP="00180A6D">
      <w:pPr>
        <w:pStyle w:val="ManualNumPar11"/>
        <w:rPr>
          <w:noProof/>
        </w:rPr>
      </w:pPr>
      <w:r w:rsidRPr="00180A6D">
        <w:t>1.</w:t>
      </w:r>
      <w:r w:rsidRPr="00180A6D">
        <w:tab/>
      </w:r>
      <w:r w:rsidR="00E605B0" w:rsidRPr="00B87C3A">
        <w:rPr>
          <w:noProof/>
        </w:rPr>
        <w:t>Ako tijela za nadzor tržišta jedne države članice imaju dovoljno razloga vjerovati da deterdžent ili površinski aktivna tvar predstavljaju rizik za zdravlje ili okoliš, ocjenjuju ispunjava li dotični deterdžent ili površinski aktivna tvar sve relevantne zahtjeve iz ove Uredbe. Relevantni gospodarski subjekti u tu svrhu prema potrebi surađuju s tijelima za nadzor tržišta.</w:t>
      </w:r>
    </w:p>
    <w:p w14:paraId="34C10D0B" w14:textId="409A917F" w:rsidR="00FD2A8A" w:rsidRPr="00B87C3A" w:rsidRDefault="00180A6D" w:rsidP="00180A6D">
      <w:pPr>
        <w:pStyle w:val="ManualNumPar11"/>
        <w:rPr>
          <w:noProof/>
        </w:rPr>
      </w:pPr>
      <w:r w:rsidRPr="00180A6D">
        <w:t>2.</w:t>
      </w:r>
      <w:r w:rsidRPr="00180A6D">
        <w:tab/>
      </w:r>
      <w:r w:rsidR="008A433F" w:rsidRPr="00B87C3A">
        <w:rPr>
          <w:noProof/>
        </w:rPr>
        <w:t xml:space="preserve">Ako tijela za nadzor tržišta jedne države članice imaju dovoljno razloga vjerovati da je ispitivanje provedeno u skladu s metodama navedenima u Prilogu I. ili Prilogu II. dalo lažne rezultate, ona provode kontrolu kako bi provjerila sukladnost deterdženta ili površinski aktivne tvari s ovom Uredbom u skladu s referentnim metodama utvrđenima u prilozima I., II. i VII. Gospodarski subjekti nisu obvezni platiti nikakvo ponovljeno ili dodatno ispitivanje, pod uvjetom da je početnim ispitivanjem dokazana sukladnost deterdženata ili površinski aktivnih tvari s ovom Uredbom. </w:t>
      </w:r>
    </w:p>
    <w:p w14:paraId="6D1E27C0" w14:textId="3D45FA27" w:rsidR="00F42000" w:rsidRPr="00B87C3A" w:rsidRDefault="00180A6D" w:rsidP="00180A6D">
      <w:pPr>
        <w:pStyle w:val="ManualNumPar11"/>
        <w:rPr>
          <w:noProof/>
        </w:rPr>
      </w:pPr>
      <w:r w:rsidRPr="00180A6D">
        <w:t>3.</w:t>
      </w:r>
      <w:r w:rsidRPr="00180A6D">
        <w:tab/>
      </w:r>
      <w:r w:rsidR="00FD2A8A" w:rsidRPr="00B87C3A">
        <w:rPr>
          <w:noProof/>
        </w:rPr>
        <w:t xml:space="preserve">Ako tijekom kontrole iz stavka 1. ili stavka 2. tijela za nadzor tržišta utvrde da deterdžent ili površinski aktivna tvar nije u skladu sa zahtjevima iz ove Uredbe, bez </w:t>
      </w:r>
      <w:r w:rsidR="00FD2A8A" w:rsidRPr="00B87C3A">
        <w:rPr>
          <w:noProof/>
        </w:rPr>
        <w:lastRenderedPageBreak/>
        <w:t>odgode zahtijevaju od relevantnih gospodarskih subjekata da poduzmu sve odgovarajuće korektivne mjere kako bi deterdžent ili površinski aktivnu tvar uskladili s tim zahtjevima, povukli ih s tržišta ili opozvali u razumnom roku koji je razmjeran naravi rizika iz stavka 1.</w:t>
      </w:r>
    </w:p>
    <w:p w14:paraId="38E7D8E7" w14:textId="1A39FA59" w:rsidR="00E605B0" w:rsidRPr="00B87C3A" w:rsidRDefault="00180A6D" w:rsidP="00180A6D">
      <w:pPr>
        <w:pStyle w:val="ManualNumPar11"/>
        <w:rPr>
          <w:noProof/>
        </w:rPr>
      </w:pPr>
      <w:r w:rsidRPr="00180A6D">
        <w:t>4.</w:t>
      </w:r>
      <w:r w:rsidRPr="00180A6D">
        <w:tab/>
      </w:r>
      <w:r w:rsidR="00E605B0" w:rsidRPr="00B87C3A">
        <w:rPr>
          <w:noProof/>
        </w:rPr>
        <w:t>Ako smatraju da nesukladnost nije ograničena samo na njihovo državno područje, tijela za nadzor tržišta obavješćuju Komisiju i tijela za nadzor tržišta drugih država članica o rezultatima evaluacije i mjerama koje zahtijevaju od gospodarskog subjekta.</w:t>
      </w:r>
    </w:p>
    <w:p w14:paraId="3178DBFA" w14:textId="29D63848" w:rsidR="00E605B0" w:rsidRPr="00B87C3A" w:rsidRDefault="00180A6D" w:rsidP="00180A6D">
      <w:pPr>
        <w:pStyle w:val="ManualNumPar11"/>
        <w:rPr>
          <w:noProof/>
        </w:rPr>
      </w:pPr>
      <w:r w:rsidRPr="00180A6D">
        <w:t>5.</w:t>
      </w:r>
      <w:r w:rsidRPr="00180A6D">
        <w:tab/>
      </w:r>
      <w:r w:rsidR="00E605B0" w:rsidRPr="00B87C3A">
        <w:rPr>
          <w:noProof/>
        </w:rPr>
        <w:t>Gospodarski subjekt osigurava da su poduzete sve odgovarajuće korektivne mjere za sve predmetne deterdžente ili površinski aktivne tvari koje je stavio na raspolaganje na tržištu u cijeloj Uniji.</w:t>
      </w:r>
    </w:p>
    <w:p w14:paraId="049BD94B" w14:textId="71A6DF6C" w:rsidR="00E605B0" w:rsidRPr="00B87C3A" w:rsidRDefault="00180A6D" w:rsidP="00180A6D">
      <w:pPr>
        <w:pStyle w:val="ManualNumPar11"/>
        <w:rPr>
          <w:noProof/>
        </w:rPr>
      </w:pPr>
      <w:r w:rsidRPr="00180A6D">
        <w:t>6.</w:t>
      </w:r>
      <w:r w:rsidRPr="00180A6D">
        <w:tab/>
      </w:r>
      <w:r w:rsidR="00E605B0" w:rsidRPr="00B87C3A">
        <w:rPr>
          <w:noProof/>
        </w:rPr>
        <w:t>Ako relevantni gospodarski subjekt ne poduzme odgovarajuće korektivne mjere u roku navedenom u stavku 3., tijela za nadzor tržišta poduzimaju sve odgovarajuće privremene mjere kako bi zabranila ili ograničila stavljanje deterdženta ili površinski aktivne tvari na raspolaganje na svojem nacionalnom tržištu, povukla deterdžent ili površinski aktivnu tvar s tržišta ili ih opozvala.</w:t>
      </w:r>
    </w:p>
    <w:p w14:paraId="69EBD30F" w14:textId="77777777" w:rsidR="00E605B0" w:rsidRPr="00B87C3A" w:rsidRDefault="00E605B0" w:rsidP="00E605B0">
      <w:pPr>
        <w:pStyle w:val="Text1"/>
        <w:rPr>
          <w:noProof/>
        </w:rPr>
      </w:pPr>
      <w:r w:rsidRPr="00B87C3A">
        <w:rPr>
          <w:noProof/>
        </w:rPr>
        <w:t>Tijela za nadzor tržišta bez odgode obavješćuju Komisiju i tijela za nadzor tržišta drugih država članica o tim mjerama.</w:t>
      </w:r>
    </w:p>
    <w:p w14:paraId="170CC4DD" w14:textId="4D25F9D0" w:rsidR="00E605B0" w:rsidRPr="00B87C3A" w:rsidRDefault="00E605B0" w:rsidP="00A96D32">
      <w:pPr>
        <w:pStyle w:val="Text1"/>
        <w:rPr>
          <w:noProof/>
        </w:rPr>
      </w:pPr>
      <w:r w:rsidRPr="00B87C3A">
        <w:rPr>
          <w:noProof/>
        </w:rPr>
        <w:t xml:space="preserve">Informacije iz drugog podstavka uključuju sve dostupne pojedinosti, posebno podatke potrebne za identifikaciju nesukladnog deterdženta ili površinski aktivne tvari, podrijetlo tog deterdženta ili površinski aktivne tvari, vrstu navodne nesukladnosti i povezanog rizika, vrstu i trajanje poduzetih nacionalnih mjera te argumente koje je iznio relevantni gospodarski subjekt. </w:t>
      </w:r>
    </w:p>
    <w:p w14:paraId="5FE900AA" w14:textId="12B2D520" w:rsidR="00E605B0" w:rsidRPr="00B87C3A" w:rsidRDefault="00180A6D" w:rsidP="00180A6D">
      <w:pPr>
        <w:pStyle w:val="ManualNumPar1"/>
        <w:rPr>
          <w:noProof/>
        </w:rPr>
      </w:pPr>
      <w:r w:rsidRPr="00180A6D">
        <w:t>7.</w:t>
      </w:r>
      <w:r w:rsidRPr="00180A6D">
        <w:tab/>
      </w:r>
      <w:r w:rsidR="00236D73" w:rsidRPr="00B87C3A">
        <w:rPr>
          <w:noProof/>
        </w:rPr>
        <w:t>Tijela za nadzor tržišta država članica, osim one koja je započela postupak u skladu s ovim člankom, bez odgode obavješćuju Komisiju i tijela za nadzor tržišta drugih država članica o svim donesenim mjerama i svim dodatnim informacijama koje su im na raspolaganju o nesukladnosti dotičnoga deterdženta ili površinski aktivne tvari te, u slučaju neslaganja s donesenom nacionalnom mjerom, o svojim prigovorima.</w:t>
      </w:r>
    </w:p>
    <w:p w14:paraId="08CB644F" w14:textId="3A70C142" w:rsidR="00E605B0" w:rsidRPr="00B87C3A" w:rsidRDefault="00180A6D" w:rsidP="00180A6D">
      <w:pPr>
        <w:pStyle w:val="ManualNumPar1"/>
        <w:rPr>
          <w:noProof/>
        </w:rPr>
      </w:pPr>
      <w:r w:rsidRPr="00180A6D">
        <w:t>8.</w:t>
      </w:r>
      <w:r w:rsidRPr="00180A6D">
        <w:tab/>
      </w:r>
      <w:r w:rsidR="00E605B0" w:rsidRPr="00B87C3A">
        <w:rPr>
          <w:noProof/>
        </w:rPr>
        <w:t>Ako u roku od tri mjeseca od primitka informacija iz drugog podstavka stavka 6. ni tijelo za nadzor tržišta ni Komisija ne ulože prigovor na privremenu mjeru koju je poduzela neka država članica, ta se mjera smatra opravdanom.</w:t>
      </w:r>
    </w:p>
    <w:p w14:paraId="7DD3E969" w14:textId="67D6E735" w:rsidR="00E605B0" w:rsidRPr="00B87C3A" w:rsidRDefault="00180A6D" w:rsidP="00180A6D">
      <w:pPr>
        <w:pStyle w:val="ManualNumPar1"/>
        <w:rPr>
          <w:noProof/>
        </w:rPr>
      </w:pPr>
      <w:r w:rsidRPr="00180A6D">
        <w:t>9.</w:t>
      </w:r>
      <w:r w:rsidRPr="00180A6D">
        <w:tab/>
      </w:r>
      <w:r w:rsidR="00236D73" w:rsidRPr="00B87C3A">
        <w:rPr>
          <w:noProof/>
        </w:rPr>
        <w:t>Tijela za nadzor tržišta osiguravaju da se odgovarajuće restriktivne mjere, kao što je povlačenje deterdženta ili površinski aktivne tvari s tržišta, poduzmu bez odgode u slučaju dotičnog deterdženta ili površinski aktivne tvari.</w:t>
      </w:r>
    </w:p>
    <w:p w14:paraId="45AE629F" w14:textId="14CBC1CF" w:rsidR="0067051D" w:rsidRPr="00B87C3A" w:rsidRDefault="00180A6D" w:rsidP="00180A6D">
      <w:pPr>
        <w:pStyle w:val="ManualNumPar1"/>
        <w:rPr>
          <w:noProof/>
        </w:rPr>
      </w:pPr>
      <w:r w:rsidRPr="00180A6D">
        <w:t>10.</w:t>
      </w:r>
      <w:r w:rsidRPr="00180A6D">
        <w:tab/>
      </w:r>
      <w:r w:rsidR="003C214D" w:rsidRPr="00B87C3A">
        <w:rPr>
          <w:noProof/>
        </w:rPr>
        <w:t>Ako se za potrebe stavaka 4., 6., 7. i 8. informacije priopćuju Komisiji ili drugim tijelima za nadzor tržišta, te se informacije priopćuju putem informacijskog i komunikacijskog sustava iz članka 34. stavka 1. Uredbe (EU) 2019/1020.</w:t>
      </w:r>
    </w:p>
    <w:p w14:paraId="4E0A42CE" w14:textId="77777777" w:rsidR="00E605B0" w:rsidRPr="00B87C3A" w:rsidRDefault="00D82AAC" w:rsidP="00E605B0">
      <w:pPr>
        <w:pStyle w:val="Titrearticle"/>
        <w:rPr>
          <w:noProof/>
        </w:rPr>
      </w:pPr>
      <w:r w:rsidRPr="00B87C3A">
        <w:rPr>
          <w:noProof/>
        </w:rPr>
        <w:t xml:space="preserve">Članak 23. </w:t>
      </w:r>
      <w:r w:rsidRPr="00B87C3A">
        <w:rPr>
          <w:noProof/>
        </w:rPr>
        <w:br/>
      </w:r>
      <w:r w:rsidRPr="00B87C3A">
        <w:rPr>
          <w:b/>
          <w:i w:val="0"/>
          <w:noProof/>
        </w:rPr>
        <w:t>Postupak zaštite u Uniji</w:t>
      </w:r>
    </w:p>
    <w:p w14:paraId="7AB1B8E4" w14:textId="643D0A94" w:rsidR="00E605B0" w:rsidRPr="00B87C3A" w:rsidRDefault="00180A6D" w:rsidP="00180A6D">
      <w:pPr>
        <w:pStyle w:val="ManualNumPar11"/>
        <w:rPr>
          <w:noProof/>
        </w:rPr>
      </w:pPr>
      <w:r w:rsidRPr="00180A6D">
        <w:t>1.</w:t>
      </w:r>
      <w:r w:rsidRPr="00180A6D">
        <w:tab/>
      </w:r>
      <w:r w:rsidR="00E605B0" w:rsidRPr="00B87C3A">
        <w:rPr>
          <w:noProof/>
        </w:rPr>
        <w:t xml:space="preserve">Ako se nakon završetka postupka utvrđenog u članku 22. stavcima 3., 4. i 5. ulože prigovori na mjeru koju je poduzelo tijelo za nadzor tržišta ili ako Komisija smatra da je nacionalna mjera u suprotnosti sa zakonodavstvom Unije, Komisija tada bez odgode započinje savjetovanje s tijelima za nadzor tržišta i relevantnim gospodarskim subjektom ili subjektima te ocjenjuje nacionalnu mjeru. Na temelju </w:t>
      </w:r>
      <w:r w:rsidR="00E605B0" w:rsidRPr="00B87C3A">
        <w:rPr>
          <w:noProof/>
        </w:rPr>
        <w:lastRenderedPageBreak/>
        <w:t xml:space="preserve">rezultata tog ocjenjivanja Komisija donosi provedbeni akt kojim određuje je li nacionalna mjera opravdana ili nije. </w:t>
      </w:r>
    </w:p>
    <w:p w14:paraId="0F0EFDCA" w14:textId="77777777" w:rsidR="00E605B0" w:rsidRPr="00B87C3A" w:rsidRDefault="00E605B0" w:rsidP="005B696D">
      <w:pPr>
        <w:pStyle w:val="NumPar11"/>
        <w:tabs>
          <w:tab w:val="clear" w:pos="850"/>
        </w:tabs>
        <w:ind w:firstLine="0"/>
        <w:rPr>
          <w:noProof/>
        </w:rPr>
      </w:pPr>
      <w:r w:rsidRPr="00B87C3A">
        <w:rPr>
          <w:noProof/>
        </w:rPr>
        <w:t>Komisija svoju odluku upućuje i bez odgode dostavlja svim državama članicama i predmetnom gospodarskom subjektu ili subjektima.</w:t>
      </w:r>
    </w:p>
    <w:p w14:paraId="4D2AE4B5" w14:textId="19156128" w:rsidR="00E605B0" w:rsidRPr="00B87C3A" w:rsidRDefault="00180A6D" w:rsidP="00180A6D">
      <w:pPr>
        <w:pStyle w:val="ManualNumPar11"/>
        <w:rPr>
          <w:noProof/>
        </w:rPr>
      </w:pPr>
      <w:r w:rsidRPr="00180A6D">
        <w:t>2.</w:t>
      </w:r>
      <w:r w:rsidRPr="00180A6D">
        <w:tab/>
      </w:r>
      <w:r w:rsidR="00E605B0" w:rsidRPr="00B87C3A">
        <w:rPr>
          <w:noProof/>
        </w:rPr>
        <w:t>Ako se nacionalna mjera smatra opravdanom, sve države članice poduzimaju potrebne mjere kako bi osigurale da se nesukladni deterdžent ili površinski aktivna tvar povuče s njihova tržišta te o tome obavješćuju Komisiju.</w:t>
      </w:r>
    </w:p>
    <w:p w14:paraId="0194C1AF" w14:textId="5D6F7CD8" w:rsidR="00E605B0" w:rsidRPr="00B87C3A" w:rsidRDefault="00180A6D" w:rsidP="00180A6D">
      <w:pPr>
        <w:pStyle w:val="ManualNumPar11"/>
        <w:rPr>
          <w:noProof/>
        </w:rPr>
      </w:pPr>
      <w:r w:rsidRPr="00180A6D">
        <w:t>3.</w:t>
      </w:r>
      <w:r w:rsidRPr="00180A6D">
        <w:tab/>
      </w:r>
      <w:r w:rsidR="00E605B0" w:rsidRPr="00B87C3A">
        <w:rPr>
          <w:noProof/>
        </w:rPr>
        <w:t>Ako se nacionalna mjera smatra neopravdanom, dotična država članica povlači tu mjeru.</w:t>
      </w:r>
    </w:p>
    <w:p w14:paraId="42D70674" w14:textId="77777777" w:rsidR="00E605B0" w:rsidRPr="00B87C3A" w:rsidRDefault="00E605B0" w:rsidP="00E605B0">
      <w:pPr>
        <w:pStyle w:val="Titrearticle"/>
        <w:rPr>
          <w:noProof/>
        </w:rPr>
      </w:pPr>
      <w:r w:rsidRPr="00B87C3A">
        <w:rPr>
          <w:noProof/>
        </w:rPr>
        <w:t xml:space="preserve">Članak 24. </w:t>
      </w:r>
      <w:r w:rsidRPr="00B87C3A">
        <w:rPr>
          <w:noProof/>
        </w:rPr>
        <w:br/>
      </w:r>
      <w:r w:rsidRPr="00B87C3A">
        <w:rPr>
          <w:b/>
          <w:i w:val="0"/>
          <w:noProof/>
        </w:rPr>
        <w:t>Sukladni deterdženti i površinski aktivne tvari koji predstavljaju rizik za zdravlje ili okoliš</w:t>
      </w:r>
    </w:p>
    <w:p w14:paraId="4E1F6C9A" w14:textId="20EDCA1D" w:rsidR="00E605B0" w:rsidRPr="00B87C3A" w:rsidRDefault="00180A6D" w:rsidP="00180A6D">
      <w:pPr>
        <w:pStyle w:val="ManualNumPar11"/>
        <w:rPr>
          <w:noProof/>
        </w:rPr>
      </w:pPr>
      <w:r w:rsidRPr="00180A6D">
        <w:t>1.</w:t>
      </w:r>
      <w:r w:rsidRPr="00180A6D">
        <w:tab/>
      </w:r>
      <w:r w:rsidR="00E605B0" w:rsidRPr="00B87C3A">
        <w:rPr>
          <w:noProof/>
        </w:rPr>
        <w:t>Ako tijelo za nadzor tržišta nakon provedene ocjene u skladu s člankom 22. stavkom 1. utvrdi da deterdžent ili površinski aktivna tvar, iako je sukladna s ovom Uredbom, predstavlja rizik za zdravlje ili okoliš, ono zahtijeva od relevantnog gospodarskog subjekta da poduzme sve odgovarajuće mjere kako bi osigurao da dotični deterdžent ili površinski aktivna tvar nakon stavljanja na tržište više ne predstavlja taj rizik, da povuče deterdžent ili površinski aktivnu tvar s tržišta ili ih opozove u razumnom roku koji je razmjeran naravi tog rizika.</w:t>
      </w:r>
    </w:p>
    <w:p w14:paraId="26963ACC" w14:textId="06A271A0" w:rsidR="00E605B0" w:rsidRPr="00B87C3A" w:rsidRDefault="00180A6D" w:rsidP="00180A6D">
      <w:pPr>
        <w:pStyle w:val="ManualNumPar11"/>
        <w:rPr>
          <w:noProof/>
        </w:rPr>
      </w:pPr>
      <w:r w:rsidRPr="00180A6D">
        <w:t>2.</w:t>
      </w:r>
      <w:r w:rsidRPr="00180A6D">
        <w:tab/>
      </w:r>
      <w:r w:rsidR="00E605B0" w:rsidRPr="00B87C3A">
        <w:rPr>
          <w:noProof/>
        </w:rPr>
        <w:t>Gospodarski subjekt osigurava poduzimanje korektivnih mjera u slučaju svih dotičnih deterdženata ili površinski aktivnih tvari koje je stavio na raspolaganje na tržištu u cijeloj Uniji.</w:t>
      </w:r>
    </w:p>
    <w:p w14:paraId="6C5A5855" w14:textId="40BF5165" w:rsidR="00E605B0" w:rsidRPr="00B87C3A" w:rsidRDefault="00180A6D" w:rsidP="00180A6D">
      <w:pPr>
        <w:pStyle w:val="ManualNumPar11"/>
        <w:rPr>
          <w:noProof/>
        </w:rPr>
      </w:pPr>
      <w:r w:rsidRPr="00180A6D">
        <w:t>3.</w:t>
      </w:r>
      <w:r w:rsidRPr="00180A6D">
        <w:tab/>
      </w:r>
      <w:r w:rsidR="00E605B0" w:rsidRPr="00B87C3A">
        <w:rPr>
          <w:noProof/>
        </w:rPr>
        <w:t>Tijelo za nadzor tržišta odmah obavješćuje Komisiju i tijela za nadzor tržišta drugih država članica. Navedene informacije uključuju sve dostupne pojedinosti, posebno podatke nužne za identifikaciju predmetnih deterdženata ili površinski aktivnih tvari, podrijetlo i opskrbni lanac deterdženta ili površinski aktivne tvari, vrstu rizika te vrstu i trajanje poduzetih nacionalnih mjera.</w:t>
      </w:r>
    </w:p>
    <w:p w14:paraId="60FBA5DE" w14:textId="6E334A89" w:rsidR="00E605B0" w:rsidRPr="00B87C3A" w:rsidRDefault="00180A6D" w:rsidP="00180A6D">
      <w:pPr>
        <w:pStyle w:val="ManualNumPar11"/>
        <w:rPr>
          <w:noProof/>
        </w:rPr>
      </w:pPr>
      <w:r w:rsidRPr="00180A6D">
        <w:t>4.</w:t>
      </w:r>
      <w:r w:rsidRPr="00180A6D">
        <w:tab/>
      </w:r>
      <w:r w:rsidR="00E605B0" w:rsidRPr="00B87C3A">
        <w:rPr>
          <w:noProof/>
        </w:rPr>
        <w:t xml:space="preserve">Komisija se bez odgode savjetuje s tijelima za nadzor tržišta i relevantnim gospodarskim subjektom ili subjektima te ocjenjuje poduzete nacionalne mjere. Na temelju rezultata te ocjene Komisija donosi provedbeni akt kojim se utvrđuje je li nacionalna mjera opravdana ili nije te, prema potrebi, predlaže odgovarajuće mjere. </w:t>
      </w:r>
    </w:p>
    <w:p w14:paraId="3117328E" w14:textId="77777777" w:rsidR="00E605B0" w:rsidRPr="00B87C3A" w:rsidRDefault="00E605B0" w:rsidP="005B696D">
      <w:pPr>
        <w:pStyle w:val="NumPar11"/>
        <w:tabs>
          <w:tab w:val="clear" w:pos="850"/>
        </w:tabs>
        <w:ind w:firstLine="0"/>
        <w:rPr>
          <w:noProof/>
        </w:rPr>
      </w:pPr>
      <w:r w:rsidRPr="00B87C3A">
        <w:rPr>
          <w:noProof/>
        </w:rPr>
        <w:t>Komisija svoju odluku upućuje i bez odgode dostavlja svim državama članicama i predmetnom gospodarskom subjektu ili subjektima.</w:t>
      </w:r>
    </w:p>
    <w:p w14:paraId="61FB438E" w14:textId="77777777" w:rsidR="00E605B0" w:rsidRPr="00B87C3A" w:rsidRDefault="00E605B0" w:rsidP="00E605B0">
      <w:pPr>
        <w:pStyle w:val="Titrearticle"/>
        <w:rPr>
          <w:noProof/>
        </w:rPr>
      </w:pPr>
      <w:r w:rsidRPr="00B87C3A">
        <w:rPr>
          <w:noProof/>
        </w:rPr>
        <w:t xml:space="preserve">Članak 25. </w:t>
      </w:r>
      <w:r w:rsidRPr="00B87C3A">
        <w:rPr>
          <w:noProof/>
        </w:rPr>
        <w:br/>
      </w:r>
      <w:r w:rsidRPr="00B87C3A">
        <w:rPr>
          <w:b/>
          <w:i w:val="0"/>
          <w:noProof/>
        </w:rPr>
        <w:t>Formalna nesukladnost</w:t>
      </w:r>
    </w:p>
    <w:p w14:paraId="7F5B93D8" w14:textId="448645DF" w:rsidR="002E3D13" w:rsidRPr="00B87C3A" w:rsidRDefault="00180A6D" w:rsidP="00180A6D">
      <w:pPr>
        <w:pStyle w:val="ManualNumPar11"/>
        <w:rPr>
          <w:noProof/>
        </w:rPr>
      </w:pPr>
      <w:r w:rsidRPr="00180A6D">
        <w:t>1.</w:t>
      </w:r>
      <w:r w:rsidRPr="00180A6D">
        <w:tab/>
      </w:r>
      <w:r w:rsidR="00E605B0" w:rsidRPr="00B87C3A">
        <w:rPr>
          <w:noProof/>
        </w:rPr>
        <w:t>Ne dovodeći u pitanje članak 22., tijelo za nadzor tržišta od relevantnog gospodarskog subjekta zahtijeva da otkloni dotičnu nesukladnost ako ustanovi jedno od sljedećeg:</w:t>
      </w:r>
    </w:p>
    <w:p w14:paraId="7743CFEF" w14:textId="499DC473" w:rsidR="001A5C58" w:rsidRPr="00B87C3A" w:rsidRDefault="00180A6D" w:rsidP="00180A6D">
      <w:pPr>
        <w:pStyle w:val="Point1"/>
        <w:rPr>
          <w:noProof/>
        </w:rPr>
      </w:pPr>
      <w:r w:rsidRPr="00180A6D">
        <w:t>(a)</w:t>
      </w:r>
      <w:r w:rsidRPr="00180A6D">
        <w:tab/>
      </w:r>
      <w:r w:rsidR="001A5C58" w:rsidRPr="00B87C3A">
        <w:rPr>
          <w:noProof/>
        </w:rPr>
        <w:t>oznaka CE nije stavljena u skladu s člankom 14. ili uopće nije stavljena;</w:t>
      </w:r>
    </w:p>
    <w:p w14:paraId="7F8CF76F" w14:textId="0CFFBA61" w:rsidR="001A5C58" w:rsidRPr="00B87C3A" w:rsidRDefault="00180A6D" w:rsidP="00180A6D">
      <w:pPr>
        <w:pStyle w:val="Point1"/>
        <w:rPr>
          <w:noProof/>
        </w:rPr>
      </w:pPr>
      <w:r w:rsidRPr="00180A6D">
        <w:t>(b)</w:t>
      </w:r>
      <w:r w:rsidRPr="00180A6D">
        <w:tab/>
      </w:r>
      <w:r w:rsidR="002F1A9E" w:rsidRPr="00B87C3A">
        <w:rPr>
          <w:noProof/>
        </w:rPr>
        <w:t>putovnica za proizvode nije sastavljena u skladu s člancima 18. i 19.;</w:t>
      </w:r>
    </w:p>
    <w:p w14:paraId="5DFD6804" w14:textId="2419CDFA" w:rsidR="001A5C58" w:rsidRPr="00B87C3A" w:rsidRDefault="00180A6D" w:rsidP="00180A6D">
      <w:pPr>
        <w:pStyle w:val="Point1"/>
        <w:rPr>
          <w:noProof/>
        </w:rPr>
      </w:pPr>
      <w:r w:rsidRPr="00180A6D">
        <w:t>(c)</w:t>
      </w:r>
      <w:r w:rsidRPr="00180A6D">
        <w:tab/>
      </w:r>
      <w:r w:rsidR="002F1A9E" w:rsidRPr="00B87C3A">
        <w:rPr>
          <w:noProof/>
        </w:rPr>
        <w:t>tehnička dokumentacija iz članka 7. stavka 2. nije dostupna ili je nepotpuna;</w:t>
      </w:r>
    </w:p>
    <w:p w14:paraId="5D8C43AF" w14:textId="710691F1" w:rsidR="002E3D13" w:rsidRPr="00B87C3A" w:rsidRDefault="00180A6D" w:rsidP="00180A6D">
      <w:pPr>
        <w:pStyle w:val="Point1"/>
        <w:rPr>
          <w:noProof/>
        </w:rPr>
      </w:pPr>
      <w:r w:rsidRPr="00180A6D">
        <w:lastRenderedPageBreak/>
        <w:t>(d)</w:t>
      </w:r>
      <w:r w:rsidRPr="00180A6D">
        <w:tab/>
      </w:r>
      <w:r w:rsidR="002E3D13" w:rsidRPr="00B87C3A">
        <w:rPr>
          <w:noProof/>
        </w:rPr>
        <w:t>nosač podataka putem kojeg je dostupna putovnica za proizvode i, prema potrebi, digitalna oznaka ne nalazi se na deterdžentu ili površinski aktivnoj tvari, na njihovu pakiranju, popratnoj dokumentaciji ili na stanici za ponovno punjenje, ovisno o tome što je primjenjivo;</w:t>
      </w:r>
    </w:p>
    <w:p w14:paraId="690D6F6E" w14:textId="4D8E8EBC" w:rsidR="007C478A" w:rsidRPr="00B87C3A" w:rsidRDefault="00180A6D" w:rsidP="00180A6D">
      <w:pPr>
        <w:pStyle w:val="Point1"/>
        <w:rPr>
          <w:noProof/>
        </w:rPr>
      </w:pPr>
      <w:r w:rsidRPr="00180A6D">
        <w:t>(e)</w:t>
      </w:r>
      <w:r w:rsidRPr="00180A6D">
        <w:tab/>
      </w:r>
      <w:r w:rsidR="00BC0B69" w:rsidRPr="00B87C3A">
        <w:rPr>
          <w:noProof/>
        </w:rPr>
        <w:t>oznaka nije stavljena ili su informacije na oznaci iz članka 15. i Priloga V. lažne ili nepotpune.</w:t>
      </w:r>
    </w:p>
    <w:p w14:paraId="4378CD84" w14:textId="52136821" w:rsidR="00E605B0" w:rsidRPr="00B87C3A" w:rsidRDefault="00180A6D" w:rsidP="00180A6D">
      <w:pPr>
        <w:pStyle w:val="ManualNumPar1"/>
        <w:rPr>
          <w:noProof/>
        </w:rPr>
      </w:pPr>
      <w:r w:rsidRPr="00180A6D">
        <w:t>2.</w:t>
      </w:r>
      <w:r w:rsidRPr="00180A6D">
        <w:tab/>
      </w:r>
      <w:r w:rsidR="00E605B0" w:rsidRPr="00B87C3A">
        <w:rPr>
          <w:noProof/>
        </w:rPr>
        <w:t xml:space="preserve">Ako se nesukladnost iz stavka 1. nastavi, dotična država članica poduzima sve odgovarajuće mjere kako bi ograničila ili zabranila stavljanje deterdženta ili površinski aktivne tvari na raspolaganje na tržištu ili kako bi osigurala njezin opoziv ili povlačenje s tržišta. </w:t>
      </w:r>
    </w:p>
    <w:p w14:paraId="0C7112C7" w14:textId="77777777" w:rsidR="00005881" w:rsidRPr="00B87C3A" w:rsidRDefault="00005881" w:rsidP="00005881">
      <w:pPr>
        <w:pStyle w:val="Text1"/>
        <w:ind w:left="0"/>
        <w:rPr>
          <w:noProof/>
          <w:lang w:eastAsia="fr-BE"/>
        </w:rPr>
      </w:pPr>
    </w:p>
    <w:p w14:paraId="68EA1D41" w14:textId="77777777" w:rsidR="002277B8" w:rsidRPr="00B87C3A" w:rsidRDefault="002277B8" w:rsidP="00745E05">
      <w:pPr>
        <w:pStyle w:val="ChapterTitle"/>
        <w:spacing w:after="0"/>
        <w:rPr>
          <w:noProof/>
        </w:rPr>
      </w:pPr>
      <w:r w:rsidRPr="00B87C3A">
        <w:rPr>
          <w:noProof/>
        </w:rPr>
        <w:t>POGLAVLJE VII.</w:t>
      </w:r>
    </w:p>
    <w:p w14:paraId="787132F5" w14:textId="77777777" w:rsidR="002277B8" w:rsidRPr="00B87C3A" w:rsidRDefault="002277B8" w:rsidP="00745E05">
      <w:pPr>
        <w:pStyle w:val="ChapterTitle"/>
        <w:rPr>
          <w:noProof/>
        </w:rPr>
      </w:pPr>
      <w:r w:rsidRPr="00B87C3A">
        <w:rPr>
          <w:noProof/>
        </w:rPr>
        <w:t>DELEGIRANE OVLASTI I POSTUPAK ODBORA</w:t>
      </w:r>
    </w:p>
    <w:p w14:paraId="29BCD3DF" w14:textId="77777777" w:rsidR="00AA4531" w:rsidRPr="00B87C3A" w:rsidRDefault="00AA4531" w:rsidP="00147BF4">
      <w:pPr>
        <w:pStyle w:val="Titrearticle"/>
        <w:rPr>
          <w:noProof/>
        </w:rPr>
      </w:pPr>
      <w:r w:rsidRPr="00B87C3A">
        <w:rPr>
          <w:noProof/>
        </w:rPr>
        <w:t xml:space="preserve">Članak 26. </w:t>
      </w:r>
      <w:r w:rsidRPr="00B87C3A">
        <w:rPr>
          <w:noProof/>
        </w:rPr>
        <w:br/>
      </w:r>
      <w:r w:rsidRPr="00B87C3A">
        <w:rPr>
          <w:b/>
          <w:i w:val="0"/>
          <w:noProof/>
        </w:rPr>
        <w:t>Delegirane ovlasti</w:t>
      </w:r>
    </w:p>
    <w:p w14:paraId="4C18D705" w14:textId="00DDA519" w:rsidR="002375EF" w:rsidRPr="00B87C3A" w:rsidRDefault="00180A6D" w:rsidP="00180A6D">
      <w:pPr>
        <w:pStyle w:val="ManualNumPar11"/>
        <w:rPr>
          <w:noProof/>
        </w:rPr>
      </w:pPr>
      <w:r w:rsidRPr="00180A6D">
        <w:t>1.</w:t>
      </w:r>
      <w:r w:rsidRPr="00180A6D">
        <w:tab/>
      </w:r>
      <w:r w:rsidR="002375EF" w:rsidRPr="00B87C3A">
        <w:rPr>
          <w:noProof/>
        </w:rPr>
        <w:t>Komisija je ovlaštena za donošenje delegiranih akata u skladu s člankom 27. kojima se mijenja Prilog VI. u pogledu informacija koje treba navesti u putovnici za proizvode radi prilagodbe tehničkom i znanstvenom napretku te razini digitalne spremnosti tijela za nadzor tržišta i krajnjih korisnika.</w:t>
      </w:r>
    </w:p>
    <w:p w14:paraId="6FFDBFD1" w14:textId="4144A0E7" w:rsidR="000D5A03" w:rsidRPr="00B87C3A" w:rsidRDefault="00180A6D" w:rsidP="00180A6D">
      <w:pPr>
        <w:pStyle w:val="ManualNumPar1"/>
        <w:rPr>
          <w:noProof/>
        </w:rPr>
      </w:pPr>
      <w:r w:rsidRPr="00180A6D">
        <w:t>2.</w:t>
      </w:r>
      <w:r w:rsidRPr="00180A6D">
        <w:tab/>
      </w:r>
      <w:r w:rsidR="007E1312" w:rsidRPr="00B87C3A">
        <w:rPr>
          <w:noProof/>
        </w:rPr>
        <w:t>Komisija je ovlaštena za donošenje delegiranih akata u skladu s člankom 27. kojima se izmjenjuje članak 20. stavak 1. zahtijevanjem da se dodatne informacije među informacijama navedenima u Prilogu VI. pohranjuju u registar.</w:t>
      </w:r>
    </w:p>
    <w:p w14:paraId="74B4AF6E" w14:textId="77777777" w:rsidR="007E1312" w:rsidRPr="00B87C3A" w:rsidRDefault="007E1312" w:rsidP="00B17241">
      <w:pPr>
        <w:pStyle w:val="NumPar11"/>
        <w:tabs>
          <w:tab w:val="clear" w:pos="850"/>
        </w:tabs>
        <w:ind w:firstLine="0"/>
        <w:rPr>
          <w:noProof/>
        </w:rPr>
      </w:pPr>
      <w:r w:rsidRPr="00B87C3A">
        <w:rPr>
          <w:noProof/>
        </w:rPr>
        <w:t>Pri donošenju delegiranih akata u skladu s prvim podstavkom Komisija uzima u obzir sljedeće kriterije:</w:t>
      </w:r>
    </w:p>
    <w:p w14:paraId="52BB0E90" w14:textId="4B4F6E3B" w:rsidR="007E1312" w:rsidRPr="00B87C3A" w:rsidRDefault="00180A6D" w:rsidP="00180A6D">
      <w:pPr>
        <w:pStyle w:val="Point1"/>
        <w:rPr>
          <w:noProof/>
        </w:rPr>
      </w:pPr>
      <w:r w:rsidRPr="00180A6D">
        <w:t>(a)</w:t>
      </w:r>
      <w:r w:rsidRPr="00180A6D">
        <w:tab/>
      </w:r>
      <w:r w:rsidR="007E1312" w:rsidRPr="00B87C3A">
        <w:rPr>
          <w:noProof/>
        </w:rPr>
        <w:t>usklađenost s drugim relevantnim aktima Unije, ako je primjenjivo;</w:t>
      </w:r>
    </w:p>
    <w:p w14:paraId="6D2A9109" w14:textId="4DA4EE1B" w:rsidR="007E1312" w:rsidRPr="00B87C3A" w:rsidRDefault="00180A6D" w:rsidP="00180A6D">
      <w:pPr>
        <w:pStyle w:val="Point1"/>
        <w:rPr>
          <w:noProof/>
        </w:rPr>
      </w:pPr>
      <w:r w:rsidRPr="00180A6D">
        <w:t>(b)</w:t>
      </w:r>
      <w:r w:rsidRPr="00180A6D">
        <w:tab/>
      </w:r>
      <w:r w:rsidR="007E1312" w:rsidRPr="00B87C3A">
        <w:rPr>
          <w:noProof/>
        </w:rPr>
        <w:t>potrebu da se omogući provjera vjerodostojnosti putovnice za proizvode;</w:t>
      </w:r>
    </w:p>
    <w:p w14:paraId="150B0799" w14:textId="77212568" w:rsidR="007E1312" w:rsidRPr="00B87C3A" w:rsidRDefault="00180A6D" w:rsidP="00180A6D">
      <w:pPr>
        <w:pStyle w:val="Point1"/>
        <w:rPr>
          <w:noProof/>
        </w:rPr>
      </w:pPr>
      <w:r w:rsidRPr="00180A6D">
        <w:t>(c)</w:t>
      </w:r>
      <w:r w:rsidRPr="00180A6D">
        <w:tab/>
      </w:r>
      <w:r w:rsidR="007E1312" w:rsidRPr="00B87C3A">
        <w:rPr>
          <w:noProof/>
        </w:rPr>
        <w:t>bitnost informacija za poboljšanje učinkovitosti i djelotvornosti provjera u sklopu nadzora tržišta i carinske kontrole za deterdžente i površinski aktivne tvari;</w:t>
      </w:r>
    </w:p>
    <w:p w14:paraId="632F3FD6" w14:textId="7E1E9AAF" w:rsidR="005E6D0D" w:rsidRPr="00B87C3A" w:rsidRDefault="00180A6D" w:rsidP="00180A6D">
      <w:pPr>
        <w:pStyle w:val="Point1"/>
        <w:rPr>
          <w:noProof/>
        </w:rPr>
      </w:pPr>
      <w:r w:rsidRPr="00180A6D">
        <w:t>(d)</w:t>
      </w:r>
      <w:r w:rsidRPr="00180A6D">
        <w:tab/>
      </w:r>
      <w:r w:rsidR="007E1312" w:rsidRPr="00B87C3A">
        <w:rPr>
          <w:noProof/>
        </w:rPr>
        <w:t>potrebu da se izbjegne nerazmjerno administrativno opterećenje gospodarskih subjekata.</w:t>
      </w:r>
    </w:p>
    <w:p w14:paraId="26B0EAFB" w14:textId="49207B14" w:rsidR="00AD26F6" w:rsidRPr="00B87C3A" w:rsidRDefault="00180A6D" w:rsidP="00180A6D">
      <w:pPr>
        <w:pStyle w:val="ManualNumPar1"/>
        <w:rPr>
          <w:noProof/>
        </w:rPr>
      </w:pPr>
      <w:r w:rsidRPr="00180A6D">
        <w:t>3.</w:t>
      </w:r>
      <w:r w:rsidRPr="00180A6D">
        <w:tab/>
      </w:r>
      <w:r w:rsidR="00AD26F6" w:rsidRPr="00B87C3A">
        <w:rPr>
          <w:noProof/>
        </w:rPr>
        <w:t>Komisija je ovlaštena za donošenje delegiranih akata u skladu s člankom 27. kojima se ova Uredba dopunjuje utvrđivanjem dodatnih informacija pohranjenih u registru iz članka 20. stavka 1. koje trebaju nadzirati carinska tijela.</w:t>
      </w:r>
    </w:p>
    <w:p w14:paraId="6C336AC9" w14:textId="6EEB04B5" w:rsidR="002908A9" w:rsidRPr="00B87C3A" w:rsidRDefault="00180A6D" w:rsidP="00180A6D">
      <w:pPr>
        <w:pStyle w:val="ManualNumPar1"/>
        <w:rPr>
          <w:noProof/>
        </w:rPr>
      </w:pPr>
      <w:r w:rsidRPr="00180A6D">
        <w:t>4.</w:t>
      </w:r>
      <w:r w:rsidRPr="00180A6D">
        <w:tab/>
      </w:r>
      <w:r w:rsidR="002908A9" w:rsidRPr="00B87C3A">
        <w:rPr>
          <w:noProof/>
        </w:rPr>
        <w:t xml:space="preserve">Komisija je ovlaštena za donošenje delegiranih akata u skladu s člankom 27. kojima se ova Uredba mijenja utvrđivanjem priloga koji sadržava popis oznaka kombinirane nomenklature, kako je utvrđeno u Prilogu I. Uredbi (EEZ) br. 2658/87, kao i opise proizvoda za deterdžente i površinski aktivne tvari te ažuriranjem tog priloga. </w:t>
      </w:r>
    </w:p>
    <w:p w14:paraId="0B94856D" w14:textId="6817AA3E" w:rsidR="00AA4531" w:rsidRPr="00B87C3A" w:rsidRDefault="00180A6D" w:rsidP="00180A6D">
      <w:pPr>
        <w:pStyle w:val="ManualNumPar1"/>
        <w:rPr>
          <w:noProof/>
        </w:rPr>
      </w:pPr>
      <w:r w:rsidRPr="00180A6D">
        <w:t>5.</w:t>
      </w:r>
      <w:r w:rsidRPr="00180A6D">
        <w:tab/>
      </w:r>
      <w:r w:rsidR="00AA4531" w:rsidRPr="00B87C3A">
        <w:rPr>
          <w:noProof/>
        </w:rPr>
        <w:t>Komisija je ovlaštena za donošenje delegiranih akata u skladu s člankom 27. kojima se mijenjaju prilozi od I. do VII. kako bi se u obzir uzeo znanstveni i tehnički napredak.</w:t>
      </w:r>
    </w:p>
    <w:p w14:paraId="5BCF695B" w14:textId="3AFF1D66" w:rsidR="00D03B8D" w:rsidRPr="00B87C3A" w:rsidRDefault="00180A6D" w:rsidP="00180A6D">
      <w:pPr>
        <w:pStyle w:val="ManualNumPar1"/>
        <w:rPr>
          <w:noProof/>
        </w:rPr>
      </w:pPr>
      <w:r w:rsidRPr="00180A6D">
        <w:lastRenderedPageBreak/>
        <w:t>6.</w:t>
      </w:r>
      <w:r w:rsidRPr="00180A6D">
        <w:tab/>
      </w:r>
      <w:r w:rsidR="00D03B8D" w:rsidRPr="00B87C3A">
        <w:rPr>
          <w:noProof/>
        </w:rPr>
        <w:t xml:space="preserve">Ako novi znanstveni dokazi upućuju na potrebu za uvođenjem zahtjeva o biorazgradivosti za tvari i smjese u deterdžentima (uključujući kapsule za deterdžente) koje nisu površinski aktivne tvari, Komisija je ovlaštena za donošenje delegiranih akata u skladu s člankom 27. kojima se mijenja Prilog I. kako bi se utvrdili kriteriji biorazgradivosti za te tvari i smjese te metode ispitivanja za provjeru njihove sukladnosti s tim kriterijima. </w:t>
      </w:r>
    </w:p>
    <w:p w14:paraId="3F09C231" w14:textId="77777777" w:rsidR="00D03B8D" w:rsidRPr="00B87C3A" w:rsidRDefault="00D03B8D" w:rsidP="007C762A">
      <w:pPr>
        <w:pStyle w:val="Text1"/>
        <w:rPr>
          <w:noProof/>
        </w:rPr>
      </w:pPr>
      <w:r w:rsidRPr="00B87C3A">
        <w:rPr>
          <w:noProof/>
        </w:rPr>
        <w:t xml:space="preserve">Pri donošenju delegiranih akata u skladu s prvim podstavkom Komisija uzima u obzir trenutačnu proizvodnu praksu, dostupnost tehnički i gospodarski izvedivih alternativa i učinke na mala i srednja poduzeća. </w:t>
      </w:r>
    </w:p>
    <w:p w14:paraId="746BAE7C" w14:textId="681CFC12" w:rsidR="00802632" w:rsidRPr="00B87C3A" w:rsidRDefault="00180A6D" w:rsidP="00180A6D">
      <w:pPr>
        <w:pStyle w:val="ManualNumPar1"/>
        <w:rPr>
          <w:noProof/>
        </w:rPr>
      </w:pPr>
      <w:r w:rsidRPr="00180A6D">
        <w:t>7.</w:t>
      </w:r>
      <w:r w:rsidRPr="00180A6D">
        <w:tab/>
      </w:r>
      <w:r w:rsidR="00802632" w:rsidRPr="00B87C3A">
        <w:rPr>
          <w:noProof/>
        </w:rPr>
        <w:t>Ako su pojedinačne granične vrijednosti koncentracije alergenih mirisa koje se temelje na riziku utvrđene u Uredbi (EZ) br. 1223/2009 Europskog parlamenta i Vijeća</w:t>
      </w:r>
      <w:r w:rsidR="00802632" w:rsidRPr="00B87C3A">
        <w:rPr>
          <w:rStyle w:val="FootnoteReference"/>
          <w:noProof/>
        </w:rPr>
        <w:footnoteReference w:id="47"/>
      </w:r>
      <w:r w:rsidR="00802632" w:rsidRPr="00B87C3A">
        <w:rPr>
          <w:noProof/>
        </w:rPr>
        <w:t>, Komisija donosi delegirane akte u skladu s člankom 27. kojima se mijenja Prilog V. kako bi se na odgovarajući način prilagodila granična vrijednost alergenih mirisa navedenih u Prilogu III. toj uredbi.</w:t>
      </w:r>
    </w:p>
    <w:p w14:paraId="6211BF55" w14:textId="11AE55C4" w:rsidR="00484402" w:rsidRPr="00B87C3A" w:rsidRDefault="00180A6D" w:rsidP="00180A6D">
      <w:pPr>
        <w:pStyle w:val="ManualNumPar1"/>
        <w:rPr>
          <w:noProof/>
        </w:rPr>
      </w:pPr>
      <w:r w:rsidRPr="00180A6D">
        <w:t>8.</w:t>
      </w:r>
      <w:r w:rsidRPr="00180A6D">
        <w:tab/>
      </w:r>
      <w:r w:rsidR="00484402" w:rsidRPr="00B87C3A">
        <w:rPr>
          <w:noProof/>
        </w:rPr>
        <w:t>Do [</w:t>
      </w:r>
      <w:r w:rsidR="00484402" w:rsidRPr="00B87C3A">
        <w:rPr>
          <w:i/>
          <w:noProof/>
        </w:rPr>
        <w:t>Ured za publikacije unosi datum</w:t>
      </w:r>
      <w:r w:rsidR="00484402" w:rsidRPr="00B87C3A">
        <w:rPr>
          <w:noProof/>
        </w:rPr>
        <w:t xml:space="preserve"> = </w:t>
      </w:r>
      <w:r w:rsidR="00484402" w:rsidRPr="00B87C3A">
        <w:rPr>
          <w:i/>
          <w:noProof/>
        </w:rPr>
        <w:t>prvi dan u mjesecu koji slijedi 30 mjeseci nakon datuma stupanja na snagu ove Uredbe</w:t>
      </w:r>
      <w:r w:rsidR="00484402" w:rsidRPr="00B87C3A">
        <w:rPr>
          <w:noProof/>
        </w:rPr>
        <w:t xml:space="preserve">] Komisija donosi delegirane akte u skladu s člankom 27. radi dopune ove Uredbe utvrđivanjem posebnih zahtjeva za digitalno označivanje deterdženata. U tim se zahtjevima utvrđuju barem vrste informatičkih rješenja kojima se gospodarski subjekti mogu služiti i zamjenska sredstva za pružanje informacija na digitalnoj oznaci iz članka 17. </w:t>
      </w:r>
    </w:p>
    <w:p w14:paraId="5DE61C7C" w14:textId="77777777" w:rsidR="00484402" w:rsidRPr="00B87C3A" w:rsidRDefault="00484402" w:rsidP="00484402">
      <w:pPr>
        <w:pStyle w:val="Text1"/>
        <w:rPr>
          <w:noProof/>
        </w:rPr>
      </w:pPr>
      <w:r w:rsidRPr="00B87C3A">
        <w:rPr>
          <w:noProof/>
        </w:rPr>
        <w:t>Pri donošenju delegiranog akta iz prvog podstavka Komisija uzima u obzir sljedeće kriterije:</w:t>
      </w:r>
    </w:p>
    <w:p w14:paraId="5FDF9D82" w14:textId="73D3714C" w:rsidR="00484402" w:rsidRPr="00B87C3A" w:rsidRDefault="00180A6D" w:rsidP="00180A6D">
      <w:pPr>
        <w:pStyle w:val="Point1"/>
        <w:rPr>
          <w:noProof/>
        </w:rPr>
      </w:pPr>
      <w:r w:rsidRPr="00180A6D">
        <w:t>(a)</w:t>
      </w:r>
      <w:r w:rsidRPr="00180A6D">
        <w:tab/>
      </w:r>
      <w:r w:rsidR="00484402" w:rsidRPr="00B87C3A">
        <w:rPr>
          <w:noProof/>
        </w:rPr>
        <w:t>usklađenost s drugim relevantnim aktima Unije, ako je primjenjivo;</w:t>
      </w:r>
    </w:p>
    <w:p w14:paraId="20AA639D" w14:textId="2A3CA6B0" w:rsidR="00484402" w:rsidRPr="00B87C3A" w:rsidRDefault="00180A6D" w:rsidP="00180A6D">
      <w:pPr>
        <w:pStyle w:val="Point1"/>
        <w:rPr>
          <w:noProof/>
        </w:rPr>
      </w:pPr>
      <w:r w:rsidRPr="00180A6D">
        <w:t>(b)</w:t>
      </w:r>
      <w:r w:rsidRPr="00180A6D">
        <w:tab/>
      </w:r>
      <w:r w:rsidR="00484402" w:rsidRPr="00B87C3A">
        <w:rPr>
          <w:noProof/>
        </w:rPr>
        <w:t>potrebu za poticanjem inovacija;</w:t>
      </w:r>
    </w:p>
    <w:p w14:paraId="43BC3A47" w14:textId="76049E5F" w:rsidR="00484402" w:rsidRPr="00B87C3A" w:rsidRDefault="00180A6D" w:rsidP="00180A6D">
      <w:pPr>
        <w:pStyle w:val="Point1"/>
        <w:rPr>
          <w:noProof/>
        </w:rPr>
      </w:pPr>
      <w:r w:rsidRPr="00180A6D">
        <w:t>(c)</w:t>
      </w:r>
      <w:r w:rsidRPr="00180A6D">
        <w:tab/>
      </w:r>
      <w:r w:rsidR="00484402" w:rsidRPr="00B87C3A">
        <w:rPr>
          <w:noProof/>
        </w:rPr>
        <w:t xml:space="preserve">tehnološku neutralnost koju karakterizira nedostatak ograničenja ili propisa u vezi s izborom tehnologije ili opreme, unutar granica kompatibilnosti i izbjegavanja smetnji; </w:t>
      </w:r>
    </w:p>
    <w:p w14:paraId="27149122" w14:textId="5BBCD357" w:rsidR="00484402" w:rsidRPr="00B87C3A" w:rsidRDefault="00180A6D" w:rsidP="00180A6D">
      <w:pPr>
        <w:pStyle w:val="Point1"/>
        <w:rPr>
          <w:noProof/>
        </w:rPr>
      </w:pPr>
      <w:r w:rsidRPr="00180A6D">
        <w:t>(d)</w:t>
      </w:r>
      <w:r w:rsidRPr="00180A6D">
        <w:tab/>
      </w:r>
      <w:r w:rsidR="00484402" w:rsidRPr="00B87C3A">
        <w:rPr>
          <w:noProof/>
        </w:rPr>
        <w:t>potrebu da se digitalnim označivanjem ne ugrozi sigurnost krajnjih korisnika i okoliša;</w:t>
      </w:r>
    </w:p>
    <w:p w14:paraId="5B1088F0" w14:textId="1EBD3592" w:rsidR="00484402" w:rsidRPr="00B87C3A" w:rsidRDefault="00180A6D" w:rsidP="00180A6D">
      <w:pPr>
        <w:pStyle w:val="Point1"/>
        <w:rPr>
          <w:noProof/>
        </w:rPr>
      </w:pPr>
      <w:r w:rsidRPr="00180A6D">
        <w:t>(e)</w:t>
      </w:r>
      <w:r w:rsidRPr="00180A6D">
        <w:tab/>
      </w:r>
      <w:r w:rsidR="00484402" w:rsidRPr="00B87C3A">
        <w:rPr>
          <w:noProof/>
        </w:rPr>
        <w:t xml:space="preserve">razinu digitalne spremnosti svih skupina stanovništva u Uniji.   </w:t>
      </w:r>
    </w:p>
    <w:p w14:paraId="246232E2" w14:textId="308CA5B1" w:rsidR="00484402" w:rsidRPr="00B87C3A" w:rsidRDefault="00180A6D" w:rsidP="00180A6D">
      <w:pPr>
        <w:pStyle w:val="ManualNumPar1"/>
        <w:rPr>
          <w:noProof/>
        </w:rPr>
      </w:pPr>
      <w:r w:rsidRPr="00180A6D">
        <w:t>9.</w:t>
      </w:r>
      <w:r w:rsidRPr="00180A6D">
        <w:tab/>
      </w:r>
      <w:r w:rsidR="00123C17" w:rsidRPr="00B87C3A">
        <w:rPr>
          <w:noProof/>
        </w:rPr>
        <w:t>Komisija je ovlaštena za donošenje delegiranih akata u skladu s člankom 27. kojima se izmjenjuje Prilog V. s obzirom na informacije na oznakama koje gospodarski subjekti smiju pružati samo u digitalnom obliku u skladu s člankom 16., a u svrhu prilagodbe tehničkom i znanstvenom napretku te razini digitalne spremnosti krajnjih korisnika deterdženata. Pri donošenju tih delegiranih akata Komisija uzima u obzir potrebu za osiguravanjem visoke razine zaštite zdravlja i okoliša.</w:t>
      </w:r>
    </w:p>
    <w:p w14:paraId="6646DDD1" w14:textId="77777777" w:rsidR="00AA4531" w:rsidRPr="00B87C3A" w:rsidRDefault="00AA4531" w:rsidP="00147BF4">
      <w:pPr>
        <w:pStyle w:val="Titrearticle"/>
        <w:rPr>
          <w:iCs/>
          <w:noProof/>
        </w:rPr>
      </w:pPr>
      <w:r w:rsidRPr="00B87C3A">
        <w:rPr>
          <w:noProof/>
        </w:rPr>
        <w:t xml:space="preserve">Članak 27. </w:t>
      </w:r>
      <w:r w:rsidRPr="00B87C3A">
        <w:rPr>
          <w:noProof/>
        </w:rPr>
        <w:br/>
      </w:r>
      <w:r w:rsidRPr="00B87C3A">
        <w:rPr>
          <w:b/>
          <w:i w:val="0"/>
          <w:noProof/>
        </w:rPr>
        <w:t>Izvršavanje delegiranja ovlasti</w:t>
      </w:r>
    </w:p>
    <w:p w14:paraId="47B89356" w14:textId="2B7487DB" w:rsidR="00AA4531" w:rsidRPr="00B87C3A" w:rsidRDefault="00180A6D" w:rsidP="00180A6D">
      <w:pPr>
        <w:pStyle w:val="ManualNumPar11"/>
        <w:rPr>
          <w:noProof/>
        </w:rPr>
      </w:pPr>
      <w:r w:rsidRPr="00180A6D">
        <w:t>1.</w:t>
      </w:r>
      <w:r w:rsidRPr="00180A6D">
        <w:tab/>
      </w:r>
      <w:r w:rsidR="00AA4531" w:rsidRPr="00B87C3A">
        <w:rPr>
          <w:noProof/>
        </w:rPr>
        <w:t>Ovlast za donošenje delegiranih akata dodjeljuje se Komisiji podložno uvjetima utvrđenima u ovom članku.</w:t>
      </w:r>
    </w:p>
    <w:p w14:paraId="0EF9201D" w14:textId="4538B495" w:rsidR="00123CED" w:rsidRPr="00B87C3A" w:rsidRDefault="00180A6D" w:rsidP="00180A6D">
      <w:pPr>
        <w:pStyle w:val="ManualNumPar11"/>
        <w:rPr>
          <w:noProof/>
        </w:rPr>
      </w:pPr>
      <w:r w:rsidRPr="00180A6D">
        <w:lastRenderedPageBreak/>
        <w:t>2.</w:t>
      </w:r>
      <w:r w:rsidRPr="00180A6D">
        <w:tab/>
      </w:r>
      <w:r w:rsidR="00AA4531" w:rsidRPr="00B87C3A">
        <w:rPr>
          <w:noProof/>
        </w:rPr>
        <w:t xml:space="preserve">Ovlast za donošenje delegiranih akata iz članka 26. dodjeljuje se Komisiji na neodređeno vrijeme. </w:t>
      </w:r>
    </w:p>
    <w:p w14:paraId="0651B229" w14:textId="0089E592" w:rsidR="00123CED" w:rsidRPr="00B87C3A" w:rsidRDefault="00180A6D" w:rsidP="00180A6D">
      <w:pPr>
        <w:pStyle w:val="ManualNumPar11"/>
        <w:rPr>
          <w:noProof/>
        </w:rPr>
      </w:pPr>
      <w:r w:rsidRPr="00180A6D">
        <w:t>3.</w:t>
      </w:r>
      <w:r w:rsidRPr="00180A6D">
        <w:tab/>
      </w:r>
      <w:r w:rsidR="00AA4531" w:rsidRPr="00B87C3A">
        <w:rPr>
          <w:noProof/>
        </w:rPr>
        <w:t xml:space="preserve">Europski parlament ili Vijeće u svakom trenutku mogu opozvati delegiranje ovlasti iz članka 26. Odlukom o opozivu prekida se delegiranje ovlasti koje je u njoj navedeno. Opoziv počinje proizvoditi učinke sljedećeg dana od dana objave spomenute odluke u </w:t>
      </w:r>
      <w:r w:rsidR="00AA4531" w:rsidRPr="00B87C3A">
        <w:rPr>
          <w:i/>
          <w:noProof/>
        </w:rPr>
        <w:t>Službenom listu Europske unije</w:t>
      </w:r>
      <w:r w:rsidR="00AA4531" w:rsidRPr="00B87C3A">
        <w:rPr>
          <w:noProof/>
        </w:rPr>
        <w:t xml:space="preserve"> ili na kasniji dan naveden u spomenutoj odluci. On ne utječe na valjanost delegiranih akata koji su već na snazi.</w:t>
      </w:r>
    </w:p>
    <w:p w14:paraId="072C7629" w14:textId="7AF0BCDA" w:rsidR="00123CED" w:rsidRPr="00B87C3A" w:rsidRDefault="00180A6D" w:rsidP="00180A6D">
      <w:pPr>
        <w:pStyle w:val="ManualNumPar11"/>
        <w:rPr>
          <w:noProof/>
        </w:rPr>
      </w:pPr>
      <w:r w:rsidRPr="00180A6D">
        <w:t>4.</w:t>
      </w:r>
      <w:r w:rsidRPr="00180A6D">
        <w:tab/>
      </w:r>
      <w:r w:rsidR="00123CED" w:rsidRPr="00B87C3A">
        <w:rPr>
          <w:noProof/>
        </w:rPr>
        <w:t>Prije donošenja delegiranog akta Komisija se savjetuje sa stručnjacima koje je imenovala svaka država članica u skladu s načelima utvrđenima u Međuinstitucijskom sporazumu o boljoj izradi zakonodavstva od 13. travnja 2016.</w:t>
      </w:r>
    </w:p>
    <w:p w14:paraId="4FBDBD43" w14:textId="1A744E68" w:rsidR="00AA4531" w:rsidRPr="00B87C3A" w:rsidRDefault="00180A6D" w:rsidP="00180A6D">
      <w:pPr>
        <w:pStyle w:val="ManualNumPar11"/>
        <w:rPr>
          <w:noProof/>
        </w:rPr>
      </w:pPr>
      <w:r w:rsidRPr="00180A6D">
        <w:t>5.</w:t>
      </w:r>
      <w:r w:rsidRPr="00180A6D">
        <w:tab/>
      </w:r>
      <w:r w:rsidR="00AA4531" w:rsidRPr="00B87C3A">
        <w:rPr>
          <w:noProof/>
        </w:rPr>
        <w:t xml:space="preserve">Čim donese delegirani akt, Komisija ga istodobno priopćuje Europskom parlamentu i Vijeću. </w:t>
      </w:r>
    </w:p>
    <w:p w14:paraId="3D12A049" w14:textId="1AC5344E" w:rsidR="002277B8" w:rsidRPr="00B87C3A" w:rsidRDefault="00180A6D" w:rsidP="00180A6D">
      <w:pPr>
        <w:pStyle w:val="ManualNumPar11"/>
        <w:rPr>
          <w:noProof/>
        </w:rPr>
      </w:pPr>
      <w:r w:rsidRPr="00180A6D">
        <w:t>6.</w:t>
      </w:r>
      <w:r w:rsidRPr="00180A6D">
        <w:tab/>
      </w:r>
      <w:r w:rsidR="00AA4531" w:rsidRPr="00B87C3A">
        <w:rPr>
          <w:noProof/>
        </w:rPr>
        <w:t>Delegirani akt donesen na temelju članka 26. stupa na snagu samo ako ni Europski parlament ni Vijeće u roku od dva mjeseca od priopćenja tog akta Europskom parlamentu i Vijeću na njega ne podnesu nikakav prigovor ili ako su prije isteka tog roka i Europski parlament i Vijeće obavijestili Komisiju da neće podnijeti prigovore. Taj se rok produljuje za dva mjeseca na inicijativu Europskog parlamenta ili Vijeća.</w:t>
      </w:r>
    </w:p>
    <w:p w14:paraId="0E9BEE68" w14:textId="77777777" w:rsidR="002277B8" w:rsidRPr="00B87C3A" w:rsidRDefault="002277B8" w:rsidP="002277B8">
      <w:pPr>
        <w:pStyle w:val="Titrearticle"/>
        <w:rPr>
          <w:noProof/>
        </w:rPr>
      </w:pPr>
      <w:r w:rsidRPr="00B87C3A">
        <w:rPr>
          <w:noProof/>
        </w:rPr>
        <w:t xml:space="preserve">Članak 28. </w:t>
      </w:r>
      <w:r w:rsidRPr="00B87C3A">
        <w:rPr>
          <w:noProof/>
        </w:rPr>
        <w:br/>
      </w:r>
      <w:r w:rsidRPr="00B87C3A">
        <w:rPr>
          <w:b/>
          <w:i w:val="0"/>
          <w:noProof/>
        </w:rPr>
        <w:t>Postupak odbora</w:t>
      </w:r>
    </w:p>
    <w:p w14:paraId="0F15D61D" w14:textId="6E2EF6F6" w:rsidR="002277B8" w:rsidRPr="00B87C3A" w:rsidRDefault="00180A6D" w:rsidP="00180A6D">
      <w:pPr>
        <w:pStyle w:val="ManualNumPar11"/>
        <w:rPr>
          <w:noProof/>
        </w:rPr>
      </w:pPr>
      <w:r w:rsidRPr="00180A6D">
        <w:t>1.</w:t>
      </w:r>
      <w:r w:rsidRPr="00180A6D">
        <w:tab/>
      </w:r>
      <w:r w:rsidR="002277B8" w:rsidRPr="00B87C3A">
        <w:rPr>
          <w:noProof/>
        </w:rPr>
        <w:t>Komisiji pomaže Odbor za deterdžente. Navedeni odbor je odbor u smislu Uredbe (EU) br. 182/2011.</w:t>
      </w:r>
    </w:p>
    <w:p w14:paraId="53C3D134" w14:textId="21E1CAD4" w:rsidR="00123CED" w:rsidRPr="00B87C3A" w:rsidRDefault="00180A6D" w:rsidP="00180A6D">
      <w:pPr>
        <w:pStyle w:val="ManualNumPar11"/>
        <w:rPr>
          <w:noProof/>
        </w:rPr>
      </w:pPr>
      <w:r w:rsidRPr="00180A6D">
        <w:t>2.</w:t>
      </w:r>
      <w:r w:rsidRPr="00180A6D">
        <w:tab/>
      </w:r>
      <w:r w:rsidR="00123CED" w:rsidRPr="00B87C3A">
        <w:rPr>
          <w:noProof/>
        </w:rPr>
        <w:t>Pri upućivanju na ovaj stavak primjenjuje se članak 5. Uredbe (EU) br. 182/2011.</w:t>
      </w:r>
    </w:p>
    <w:p w14:paraId="1A3D9A59" w14:textId="77777777" w:rsidR="002277B8" w:rsidRPr="00B87C3A" w:rsidRDefault="002277B8" w:rsidP="002277B8">
      <w:pPr>
        <w:pStyle w:val="Text1"/>
        <w:ind w:left="0"/>
        <w:rPr>
          <w:noProof/>
          <w:lang w:eastAsia="fr-BE"/>
        </w:rPr>
      </w:pPr>
    </w:p>
    <w:p w14:paraId="485715BC" w14:textId="77777777" w:rsidR="002277B8" w:rsidRPr="00B87C3A" w:rsidRDefault="002277B8" w:rsidP="00745E05">
      <w:pPr>
        <w:pStyle w:val="ChapterTitle"/>
        <w:spacing w:after="0"/>
        <w:rPr>
          <w:noProof/>
        </w:rPr>
      </w:pPr>
      <w:r w:rsidRPr="00B87C3A">
        <w:rPr>
          <w:noProof/>
        </w:rPr>
        <w:t>POGLAVLJE VIII.</w:t>
      </w:r>
    </w:p>
    <w:p w14:paraId="4FE99920" w14:textId="77777777" w:rsidR="002277B8" w:rsidRPr="00B87C3A" w:rsidRDefault="002277B8" w:rsidP="00745E05">
      <w:pPr>
        <w:pStyle w:val="ChapterTitle"/>
        <w:rPr>
          <w:noProof/>
        </w:rPr>
      </w:pPr>
      <w:r w:rsidRPr="00B87C3A">
        <w:rPr>
          <w:noProof/>
        </w:rPr>
        <w:t xml:space="preserve">PRIJELAZNE I ZAVRŠNE ODREDBE </w:t>
      </w:r>
    </w:p>
    <w:p w14:paraId="4FA43392" w14:textId="77777777" w:rsidR="00154038" w:rsidRPr="00B87C3A" w:rsidRDefault="00154038" w:rsidP="00154038">
      <w:pPr>
        <w:pStyle w:val="Titrearticle"/>
        <w:rPr>
          <w:iCs/>
          <w:noProof/>
        </w:rPr>
      </w:pPr>
      <w:r w:rsidRPr="00B87C3A">
        <w:rPr>
          <w:noProof/>
        </w:rPr>
        <w:t xml:space="preserve">Članak 29. </w:t>
      </w:r>
      <w:r w:rsidRPr="00B87C3A">
        <w:rPr>
          <w:noProof/>
        </w:rPr>
        <w:br/>
      </w:r>
      <w:r w:rsidRPr="00B87C3A">
        <w:rPr>
          <w:b/>
          <w:i w:val="0"/>
          <w:noProof/>
        </w:rPr>
        <w:t>Sankcije</w:t>
      </w:r>
    </w:p>
    <w:p w14:paraId="695B44CC" w14:textId="77777777" w:rsidR="00154038" w:rsidRPr="00B87C3A" w:rsidRDefault="00154038" w:rsidP="00154038">
      <w:pPr>
        <w:pStyle w:val="Text10"/>
        <w:rPr>
          <w:noProof/>
        </w:rPr>
      </w:pPr>
      <w:r w:rsidRPr="00B87C3A">
        <w:rPr>
          <w:noProof/>
        </w:rPr>
        <w:t>Države članice utvrđuju pravila o sankcijama koje se primjenjuju na kršenja ove Uredbe i poduzimaju sve potrebne mjere radi osiguranja njihove provedbe. Predviđene sankcije moraju biti učinkovite, proporcionalne i odvraćajuće. Države članice bez odgode obavješćuju Komisiju o tim mjerama i o svim naknadnim izmjenama koje na njih utječu.</w:t>
      </w:r>
    </w:p>
    <w:p w14:paraId="6D6B415D" w14:textId="77777777" w:rsidR="00A85EC3" w:rsidRPr="00B87C3A" w:rsidRDefault="00A85EC3" w:rsidP="00B1514F">
      <w:pPr>
        <w:pStyle w:val="Titrearticle"/>
        <w:spacing w:before="0" w:after="0"/>
        <w:rPr>
          <w:noProof/>
        </w:rPr>
      </w:pPr>
      <w:r w:rsidRPr="00B87C3A">
        <w:rPr>
          <w:noProof/>
        </w:rPr>
        <w:t>Članak 30.</w:t>
      </w:r>
    </w:p>
    <w:p w14:paraId="46B78545" w14:textId="77777777" w:rsidR="00A85EC3" w:rsidRPr="00B87C3A" w:rsidRDefault="00A85EC3" w:rsidP="00B1514F">
      <w:pPr>
        <w:pStyle w:val="NormalCentered"/>
        <w:spacing w:before="0" w:after="0"/>
        <w:rPr>
          <w:b/>
          <w:noProof/>
        </w:rPr>
      </w:pPr>
      <w:r w:rsidRPr="00B87C3A">
        <w:rPr>
          <w:b/>
          <w:noProof/>
        </w:rPr>
        <w:t>Izmjena Uredbe (EU) 2019/1020</w:t>
      </w:r>
    </w:p>
    <w:p w14:paraId="098084E8" w14:textId="77777777" w:rsidR="00A85EC3" w:rsidRPr="00B87C3A" w:rsidRDefault="005655A4" w:rsidP="00FF475D">
      <w:pPr>
        <w:rPr>
          <w:noProof/>
        </w:rPr>
      </w:pPr>
      <w:r w:rsidRPr="00B87C3A">
        <w:rPr>
          <w:noProof/>
        </w:rPr>
        <w:t xml:space="preserve">U Prilogu I. Uredbi (EU) 2019/1020 točka 15. zamjenjuje se sljedećim: </w:t>
      </w:r>
    </w:p>
    <w:p w14:paraId="22776DC8" w14:textId="77777777" w:rsidR="00A85EC3" w:rsidRPr="00B87C3A" w:rsidRDefault="00A85EC3" w:rsidP="00FF475D">
      <w:pPr>
        <w:rPr>
          <w:noProof/>
        </w:rPr>
      </w:pPr>
      <w:r w:rsidRPr="00B87C3A">
        <w:rPr>
          <w:noProof/>
        </w:rPr>
        <w:t xml:space="preserve">„15. Uredba (EU) .../... Europskog parlamenta i Vijeća od ... o stavljanju na raspolaganje na tržištu deterdženata i površinski aktivnih tvari (SL L ...)”. </w:t>
      </w:r>
    </w:p>
    <w:p w14:paraId="5ABB5FA8" w14:textId="77777777" w:rsidR="001D3568" w:rsidRPr="00B87C3A" w:rsidRDefault="001D3568" w:rsidP="001D3568">
      <w:pPr>
        <w:pStyle w:val="Titrearticle"/>
        <w:rPr>
          <w:b/>
          <w:noProof/>
        </w:rPr>
      </w:pPr>
      <w:r w:rsidRPr="00B87C3A">
        <w:rPr>
          <w:noProof/>
        </w:rPr>
        <w:t xml:space="preserve">Članak 31. </w:t>
      </w:r>
      <w:r w:rsidRPr="00B87C3A">
        <w:rPr>
          <w:noProof/>
        </w:rPr>
        <w:br/>
      </w:r>
      <w:r w:rsidRPr="00B87C3A">
        <w:rPr>
          <w:b/>
          <w:i w:val="0"/>
          <w:noProof/>
        </w:rPr>
        <w:t xml:space="preserve">Izvješćivanje </w:t>
      </w:r>
    </w:p>
    <w:p w14:paraId="61518D3E" w14:textId="77777777" w:rsidR="001D3568" w:rsidRPr="00B87C3A" w:rsidRDefault="00995290" w:rsidP="00995290">
      <w:pPr>
        <w:rPr>
          <w:noProof/>
        </w:rPr>
      </w:pPr>
      <w:r w:rsidRPr="00B87C3A">
        <w:rPr>
          <w:noProof/>
        </w:rPr>
        <w:t>Do [</w:t>
      </w:r>
      <w:r w:rsidRPr="00B87C3A">
        <w:rPr>
          <w:i/>
          <w:iCs/>
          <w:noProof/>
        </w:rPr>
        <w:t>OP unosi datum = 5 godina od datuma početka primjene ove Uredbe</w:t>
      </w:r>
      <w:r w:rsidRPr="00B87C3A">
        <w:rPr>
          <w:noProof/>
        </w:rPr>
        <w:t xml:space="preserve">] Komisija mora Europskom parlamentu i Vijeću podnijeti izvješće o primjeni ove Uredbe. Izvješće mora </w:t>
      </w:r>
      <w:r w:rsidRPr="00B87C3A">
        <w:rPr>
          <w:noProof/>
        </w:rPr>
        <w:lastRenderedPageBreak/>
        <w:t>sadržavati procjenu ostvarivanja ciljeva Uredbe, uključujući procjenu učinka na mala i srednja poduzeća.</w:t>
      </w:r>
    </w:p>
    <w:p w14:paraId="10A45BDE" w14:textId="77777777" w:rsidR="00123CED" w:rsidRPr="00B87C3A" w:rsidRDefault="00123CED" w:rsidP="0058159D">
      <w:pPr>
        <w:pStyle w:val="Titrearticle"/>
        <w:spacing w:after="0"/>
        <w:rPr>
          <w:noProof/>
        </w:rPr>
      </w:pPr>
      <w:r w:rsidRPr="00B87C3A">
        <w:rPr>
          <w:noProof/>
        </w:rPr>
        <w:t>Članak 32.</w:t>
      </w:r>
    </w:p>
    <w:p w14:paraId="0C650D0C" w14:textId="77777777" w:rsidR="00543F83" w:rsidRPr="00B87C3A" w:rsidRDefault="00AC75C5" w:rsidP="0058159D">
      <w:pPr>
        <w:pStyle w:val="NormalCentered"/>
        <w:spacing w:before="0"/>
        <w:rPr>
          <w:b/>
          <w:noProof/>
        </w:rPr>
      </w:pPr>
      <w:r w:rsidRPr="00B87C3A">
        <w:rPr>
          <w:b/>
          <w:noProof/>
        </w:rPr>
        <w:t>Revizija s obzirom na mikroorganizme</w:t>
      </w:r>
    </w:p>
    <w:p w14:paraId="1BB23E15" w14:textId="77777777" w:rsidR="00543F83" w:rsidRPr="00B87C3A" w:rsidRDefault="00400449" w:rsidP="00A12AC3">
      <w:pPr>
        <w:pStyle w:val="Titreaticle"/>
        <w:rPr>
          <w:noProof/>
        </w:rPr>
      </w:pPr>
      <w:r w:rsidRPr="00B87C3A">
        <w:rPr>
          <w:noProof/>
        </w:rPr>
        <w:t>Do [</w:t>
      </w:r>
      <w:r w:rsidRPr="00B87C3A">
        <w:rPr>
          <w:i/>
          <w:iCs/>
          <w:noProof/>
        </w:rPr>
        <w:t>OP unosi datum</w:t>
      </w:r>
      <w:r w:rsidRPr="00B87C3A">
        <w:rPr>
          <w:noProof/>
        </w:rPr>
        <w:t xml:space="preserve"> = </w:t>
      </w:r>
      <w:r w:rsidRPr="00B87C3A">
        <w:rPr>
          <w:i/>
          <w:iCs/>
          <w:noProof/>
        </w:rPr>
        <w:t>3 godine od datuma početka primjene ove Uredbe</w:t>
      </w:r>
      <w:r w:rsidRPr="00B87C3A">
        <w:rPr>
          <w:noProof/>
        </w:rPr>
        <w:t xml:space="preserve">] Komisija mora ocijeniti učinkovitost i relevantnost zahtjeva ove Uredbe za deterdžente koji sadržavaju mikroorganizme te mogućnost uvrštavanja novih mikroorganizama ili sojeva mikroorganizama dopuštenih u deterdžentima u Prilog II. </w:t>
      </w:r>
    </w:p>
    <w:p w14:paraId="2004725D" w14:textId="77777777" w:rsidR="001D3568" w:rsidRPr="00B87C3A" w:rsidRDefault="001D3568" w:rsidP="001D3568">
      <w:pPr>
        <w:pStyle w:val="Titrearticle"/>
        <w:rPr>
          <w:b/>
          <w:i w:val="0"/>
          <w:noProof/>
        </w:rPr>
      </w:pPr>
      <w:r w:rsidRPr="00B87C3A">
        <w:rPr>
          <w:noProof/>
        </w:rPr>
        <w:t xml:space="preserve">Članak 33. </w:t>
      </w:r>
      <w:r w:rsidRPr="00B87C3A">
        <w:rPr>
          <w:noProof/>
        </w:rPr>
        <w:br/>
      </w:r>
      <w:r w:rsidRPr="00B87C3A">
        <w:rPr>
          <w:b/>
          <w:i w:val="0"/>
          <w:noProof/>
        </w:rPr>
        <w:t>Stavljanje izvan snage Uredbe (EZ) br. 648/2004</w:t>
      </w:r>
    </w:p>
    <w:p w14:paraId="65A41F3E" w14:textId="77777777" w:rsidR="001D3568" w:rsidRPr="00B87C3A" w:rsidRDefault="001D3568" w:rsidP="001D3568">
      <w:pPr>
        <w:rPr>
          <w:noProof/>
        </w:rPr>
      </w:pPr>
      <w:r w:rsidRPr="00B87C3A">
        <w:rPr>
          <w:noProof/>
        </w:rPr>
        <w:t>Uredba (EZ) br. 648/2004 stavlja se izvan snage.</w:t>
      </w:r>
    </w:p>
    <w:p w14:paraId="644F75F9" w14:textId="77777777" w:rsidR="00194DD7" w:rsidRPr="00B87C3A" w:rsidRDefault="001D3568" w:rsidP="00CA2D2A">
      <w:pPr>
        <w:rPr>
          <w:noProof/>
        </w:rPr>
      </w:pPr>
      <w:r w:rsidRPr="00B87C3A">
        <w:rPr>
          <w:noProof/>
        </w:rPr>
        <w:t>Upućivanja na uredbu stavljenu izvan snage smatraju se upućivanjima na ovu Uredbu i tumače se u skladu s korelacijskom tablicom iz Priloga VIII.</w:t>
      </w:r>
    </w:p>
    <w:p w14:paraId="576DB33D" w14:textId="77777777" w:rsidR="00AA4531" w:rsidRPr="00B87C3A" w:rsidRDefault="00AA4531" w:rsidP="00CA2D2A">
      <w:pPr>
        <w:rPr>
          <w:noProof/>
          <w:lang w:eastAsia="fr-BE"/>
        </w:rPr>
      </w:pPr>
    </w:p>
    <w:p w14:paraId="26820693" w14:textId="77777777" w:rsidR="00194DD7" w:rsidRPr="00B87C3A" w:rsidRDefault="00194DD7" w:rsidP="00194DD7">
      <w:pPr>
        <w:pStyle w:val="Titrearticle"/>
        <w:spacing w:before="0" w:after="0"/>
        <w:rPr>
          <w:noProof/>
        </w:rPr>
      </w:pPr>
      <w:r w:rsidRPr="00B87C3A">
        <w:rPr>
          <w:noProof/>
        </w:rPr>
        <w:t>Članak 34.</w:t>
      </w:r>
    </w:p>
    <w:p w14:paraId="6542FFF4" w14:textId="77777777" w:rsidR="00194DD7" w:rsidRPr="00B87C3A" w:rsidRDefault="00194DD7" w:rsidP="00194DD7">
      <w:pPr>
        <w:pStyle w:val="Titrearticle"/>
        <w:spacing w:before="0" w:after="0"/>
        <w:rPr>
          <w:b/>
          <w:noProof/>
        </w:rPr>
      </w:pPr>
      <w:r w:rsidRPr="00B87C3A">
        <w:rPr>
          <w:b/>
          <w:i w:val="0"/>
          <w:noProof/>
        </w:rPr>
        <w:t xml:space="preserve">Prijelazne odredbe </w:t>
      </w:r>
    </w:p>
    <w:p w14:paraId="56622994" w14:textId="77777777" w:rsidR="00D86B8C" w:rsidRPr="00B87C3A" w:rsidRDefault="00194DD7" w:rsidP="00194DD7">
      <w:pPr>
        <w:rPr>
          <w:noProof/>
        </w:rPr>
      </w:pPr>
      <w:r w:rsidRPr="00B87C3A">
        <w:rPr>
          <w:noProof/>
        </w:rPr>
        <w:t>Države članice ne sprečavaju stavljanje na raspolaganje na tržištu deterdženata i površinski aktivnih tvari koji su stavljeni na tržište prije [</w:t>
      </w:r>
      <w:r w:rsidRPr="00B87C3A">
        <w:rPr>
          <w:i/>
          <w:iCs/>
          <w:noProof/>
        </w:rPr>
        <w:t>OP unosi datum = 30 mjeseci od datuma stupanja na snagu ove Uredbe</w:t>
      </w:r>
      <w:r w:rsidRPr="00B87C3A">
        <w:rPr>
          <w:noProof/>
        </w:rPr>
        <w:t>]u skladu s Uredbom (EZ) br. 648/2004, kako se primjenjuje ... [</w:t>
      </w:r>
      <w:r w:rsidRPr="00B87C3A">
        <w:rPr>
          <w:i/>
          <w:noProof/>
        </w:rPr>
        <w:t>OP unosi datum = jedan dan prije 30 mjeseci od datuma stupanja na snagu ove Uredbe</w:t>
      </w:r>
      <w:r w:rsidRPr="00B87C3A">
        <w:rPr>
          <w:noProof/>
        </w:rPr>
        <w:t>].</w:t>
      </w:r>
    </w:p>
    <w:p w14:paraId="0EE1E8DD" w14:textId="77777777" w:rsidR="00D86B8C" w:rsidRPr="00B87C3A" w:rsidRDefault="00D86B8C" w:rsidP="00194DD7">
      <w:pPr>
        <w:rPr>
          <w:noProof/>
          <w:u w:val="single"/>
        </w:rPr>
      </w:pPr>
      <w:r w:rsidRPr="00B87C3A">
        <w:rPr>
          <w:noProof/>
        </w:rPr>
        <w:t>Deterdženti i površinski aktivne tvari koji se stavljaju na tržište nakon... [</w:t>
      </w:r>
      <w:r w:rsidRPr="00B87C3A">
        <w:rPr>
          <w:i/>
          <w:noProof/>
        </w:rPr>
        <w:t>OP unosi datum = jedan dan prije 30 mjeseci od datuma stupanja na snagu ove Uredbe</w:t>
      </w:r>
      <w:r w:rsidRPr="00B87C3A">
        <w:rPr>
          <w:noProof/>
        </w:rPr>
        <w:t>]i koji su u trenutku stavljanja na tržište u skladu s Uredbom (EZ) br. 648/2004 kako se primjenjuje... [</w:t>
      </w:r>
      <w:r w:rsidRPr="00B87C3A">
        <w:rPr>
          <w:i/>
          <w:noProof/>
        </w:rPr>
        <w:t>OP unosi datum = jedan dan prije 30 mjeseci od datuma stupanja na snagu ove Uredbe</w:t>
      </w:r>
      <w:r w:rsidRPr="00B87C3A">
        <w:rPr>
          <w:noProof/>
        </w:rPr>
        <w:t>] mogu se stavljati na raspolaganje na tržištu do [</w:t>
      </w:r>
      <w:r w:rsidRPr="00B87C3A">
        <w:rPr>
          <w:i/>
          <w:iCs/>
          <w:noProof/>
        </w:rPr>
        <w:t>OP unosi datum</w:t>
      </w:r>
      <w:r w:rsidRPr="00B87C3A">
        <w:rPr>
          <w:noProof/>
        </w:rPr>
        <w:t xml:space="preserve"> = </w:t>
      </w:r>
      <w:r w:rsidRPr="00B87C3A">
        <w:rPr>
          <w:i/>
          <w:iCs/>
          <w:noProof/>
        </w:rPr>
        <w:t>36 mjeseci od datuma stupanja na snagu ove Uredbe</w:t>
      </w:r>
      <w:r w:rsidRPr="00B87C3A">
        <w:rPr>
          <w:noProof/>
        </w:rPr>
        <w:t xml:space="preserve">]. </w:t>
      </w:r>
    </w:p>
    <w:p w14:paraId="0BAF0E73" w14:textId="77777777" w:rsidR="005443FF" w:rsidRPr="00B87C3A" w:rsidRDefault="00B255A2" w:rsidP="00A41E33">
      <w:pPr>
        <w:pStyle w:val="Titrearticle"/>
        <w:rPr>
          <w:noProof/>
        </w:rPr>
      </w:pPr>
      <w:r w:rsidRPr="00B87C3A">
        <w:rPr>
          <w:noProof/>
        </w:rPr>
        <w:t>Članak 35.</w:t>
      </w:r>
    </w:p>
    <w:p w14:paraId="55CA130A" w14:textId="77777777" w:rsidR="00B255A2" w:rsidRPr="00B87C3A" w:rsidRDefault="00B255A2" w:rsidP="00B255A2">
      <w:pPr>
        <w:pStyle w:val="NormalCentered"/>
        <w:rPr>
          <w:b/>
          <w:noProof/>
        </w:rPr>
      </w:pPr>
      <w:r w:rsidRPr="00B87C3A">
        <w:rPr>
          <w:b/>
          <w:noProof/>
        </w:rPr>
        <w:t xml:space="preserve">Stupanje na snagu i primjena </w:t>
      </w:r>
    </w:p>
    <w:p w14:paraId="4449487D" w14:textId="77777777" w:rsidR="005443FF" w:rsidRPr="00B87C3A" w:rsidRDefault="005443FF" w:rsidP="004D1BBD">
      <w:pPr>
        <w:rPr>
          <w:noProof/>
        </w:rPr>
      </w:pPr>
      <w:r w:rsidRPr="00B87C3A">
        <w:rPr>
          <w:noProof/>
        </w:rPr>
        <w:t xml:space="preserve">Ova Uredba stupa na snagu dvadesetog dana od dana njezine objave u </w:t>
      </w:r>
      <w:r w:rsidRPr="00B87C3A">
        <w:rPr>
          <w:i/>
          <w:noProof/>
        </w:rPr>
        <w:t>Službenom listu Europske unije</w:t>
      </w:r>
      <w:r w:rsidRPr="00B87C3A">
        <w:rPr>
          <w:noProof/>
        </w:rPr>
        <w:t>.</w:t>
      </w:r>
    </w:p>
    <w:p w14:paraId="4A6EC5CA" w14:textId="77777777" w:rsidR="002E3295" w:rsidRPr="00B87C3A" w:rsidRDefault="006505C9" w:rsidP="00A923C0">
      <w:pPr>
        <w:rPr>
          <w:noProof/>
        </w:rPr>
      </w:pPr>
      <w:r w:rsidRPr="00B87C3A">
        <w:rPr>
          <w:noProof/>
        </w:rPr>
        <w:t>Primjenjuje se od [</w:t>
      </w:r>
      <w:r w:rsidRPr="00B87C3A">
        <w:rPr>
          <w:i/>
          <w:iCs/>
          <w:noProof/>
        </w:rPr>
        <w:t>OP unosi datum</w:t>
      </w:r>
      <w:r w:rsidRPr="00B87C3A">
        <w:rPr>
          <w:noProof/>
        </w:rPr>
        <w:t xml:space="preserve"> = </w:t>
      </w:r>
      <w:r w:rsidRPr="00B87C3A">
        <w:rPr>
          <w:i/>
          <w:iCs/>
          <w:noProof/>
        </w:rPr>
        <w:t>30 mjeseci od datuma stupanja na snagu ove Uredbe</w:t>
      </w:r>
      <w:r w:rsidRPr="00B87C3A">
        <w:rPr>
          <w:noProof/>
        </w:rPr>
        <w:t>].</w:t>
      </w:r>
    </w:p>
    <w:p w14:paraId="16A6C32E" w14:textId="77777777" w:rsidR="005443FF" w:rsidRPr="00B87C3A" w:rsidRDefault="005443FF" w:rsidP="00A41E33">
      <w:pPr>
        <w:pStyle w:val="Applicationdirecte"/>
        <w:rPr>
          <w:noProof/>
        </w:rPr>
      </w:pPr>
      <w:r w:rsidRPr="00B87C3A">
        <w:rPr>
          <w:noProof/>
        </w:rPr>
        <w:t>Ova je Uredba u cijelosti obvezujuća i izravno se primjenjuje u svim državama članicama.</w:t>
      </w:r>
    </w:p>
    <w:p w14:paraId="169A8BAA" w14:textId="2E8854D2" w:rsidR="005443FF" w:rsidRPr="00B87C3A" w:rsidRDefault="00496D95" w:rsidP="00306EB3">
      <w:pPr>
        <w:pStyle w:val="Fait"/>
        <w:rPr>
          <w:noProof/>
        </w:rPr>
      </w:pPr>
      <w:r w:rsidRPr="00496D95">
        <w:t>Sastavljeno u Bruxellesu,</w:t>
      </w:r>
    </w:p>
    <w:p w14:paraId="41ECA4F7" w14:textId="77777777" w:rsidR="005443FF" w:rsidRPr="00B87C3A" w:rsidRDefault="005443FF" w:rsidP="00306EB3">
      <w:pPr>
        <w:pStyle w:val="Institutionquisigne"/>
        <w:rPr>
          <w:noProof/>
        </w:rPr>
      </w:pPr>
      <w:r w:rsidRPr="00B87C3A">
        <w:rPr>
          <w:noProof/>
        </w:rPr>
        <w:t>Za Europski parlament</w:t>
      </w:r>
      <w:r w:rsidRPr="00B87C3A">
        <w:rPr>
          <w:noProof/>
        </w:rPr>
        <w:tab/>
        <w:t>Za Vijeće</w:t>
      </w:r>
    </w:p>
    <w:p w14:paraId="2E817804" w14:textId="77777777" w:rsidR="00922B62" w:rsidRPr="00B87C3A" w:rsidRDefault="005443FF" w:rsidP="006B3628">
      <w:pPr>
        <w:pStyle w:val="Personnequisigne"/>
        <w:rPr>
          <w:noProof/>
        </w:rPr>
      </w:pPr>
      <w:r w:rsidRPr="00B87C3A">
        <w:rPr>
          <w:noProof/>
        </w:rPr>
        <w:t>Predsjednica</w:t>
      </w:r>
      <w:r w:rsidRPr="00B87C3A">
        <w:rPr>
          <w:noProof/>
        </w:rPr>
        <w:tab/>
        <w:t>Predsjednik</w:t>
      </w:r>
    </w:p>
    <w:sectPr w:rsidR="00922B62" w:rsidRPr="00B87C3A" w:rsidSect="002A29E9">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36D6F" w14:textId="77777777" w:rsidR="00BB7FE6" w:rsidRDefault="00BB7FE6" w:rsidP="005443FF">
      <w:pPr>
        <w:spacing w:before="0" w:after="0"/>
      </w:pPr>
      <w:r>
        <w:separator/>
      </w:r>
    </w:p>
  </w:endnote>
  <w:endnote w:type="continuationSeparator" w:id="0">
    <w:p w14:paraId="6FF5F2B1" w14:textId="77777777" w:rsidR="00BB7FE6" w:rsidRDefault="00BB7FE6" w:rsidP="005443FF">
      <w:pPr>
        <w:spacing w:before="0" w:after="0"/>
      </w:pPr>
      <w:r>
        <w:continuationSeparator/>
      </w:r>
    </w:p>
  </w:endnote>
  <w:endnote w:type="continuationNotice" w:id="1">
    <w:p w14:paraId="5F16A2C4" w14:textId="77777777" w:rsidR="00BB7FE6" w:rsidRDefault="00BB7FE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rinda">
    <w:panose1 w:val="000004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U 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CF97F" w14:textId="4F67C7ED" w:rsidR="00B87C3A" w:rsidRPr="002A29E9" w:rsidRDefault="002A29E9" w:rsidP="002A29E9">
    <w:pPr>
      <w:pStyle w:val="Footer"/>
      <w:rPr>
        <w:rFonts w:ascii="Arial" w:hAnsi="Arial" w:cs="Arial"/>
        <w:b/>
        <w:sz w:val="48"/>
      </w:rPr>
    </w:pPr>
    <w:r w:rsidRPr="002A29E9">
      <w:rPr>
        <w:rFonts w:ascii="Arial" w:hAnsi="Arial" w:cs="Arial"/>
        <w:b/>
        <w:sz w:val="48"/>
      </w:rPr>
      <w:t>HR</w:t>
    </w:r>
    <w:r w:rsidRPr="002A29E9">
      <w:rPr>
        <w:rFonts w:ascii="Arial" w:hAnsi="Arial" w:cs="Arial"/>
        <w:b/>
        <w:sz w:val="48"/>
      </w:rPr>
      <w:tab/>
    </w:r>
    <w:r w:rsidRPr="002A29E9">
      <w:rPr>
        <w:rFonts w:ascii="Arial" w:hAnsi="Arial" w:cs="Arial"/>
        <w:b/>
        <w:sz w:val="48"/>
      </w:rPr>
      <w:tab/>
    </w:r>
    <w:r w:rsidRPr="002A29E9">
      <w:tab/>
    </w:r>
    <w:r w:rsidRPr="002A29E9">
      <w:rPr>
        <w:rFonts w:ascii="Arial" w:hAnsi="Arial" w:cs="Arial"/>
        <w:b/>
        <w:sz w:val="48"/>
      </w:rPr>
      <w:t>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249E3" w14:textId="13A52561" w:rsidR="002A29E9" w:rsidRPr="002A29E9" w:rsidRDefault="002A29E9" w:rsidP="002A29E9">
    <w:pPr>
      <w:pStyle w:val="Footer"/>
      <w:rPr>
        <w:rFonts w:ascii="Arial" w:hAnsi="Arial" w:cs="Arial"/>
        <w:b/>
        <w:sz w:val="48"/>
      </w:rPr>
    </w:pPr>
    <w:r w:rsidRPr="002A29E9">
      <w:rPr>
        <w:rFonts w:ascii="Arial" w:hAnsi="Arial" w:cs="Arial"/>
        <w:b/>
        <w:sz w:val="48"/>
      </w:rPr>
      <w:t>HR</w:t>
    </w:r>
    <w:r w:rsidRPr="002A29E9">
      <w:rPr>
        <w:rFonts w:ascii="Arial" w:hAnsi="Arial" w:cs="Arial"/>
        <w:b/>
        <w:sz w:val="48"/>
      </w:rPr>
      <w:tab/>
    </w:r>
    <w:r>
      <w:fldChar w:fldCharType="begin"/>
    </w:r>
    <w:r>
      <w:instrText xml:space="preserve"> PAGE  \* MERGEFORMAT </w:instrText>
    </w:r>
    <w:r>
      <w:fldChar w:fldCharType="separate"/>
    </w:r>
    <w:r w:rsidR="00306EB3">
      <w:rPr>
        <w:noProof/>
      </w:rPr>
      <w:t>44</w:t>
    </w:r>
    <w:r>
      <w:fldChar w:fldCharType="end"/>
    </w:r>
    <w:r>
      <w:tab/>
    </w:r>
    <w:r w:rsidRPr="002A29E9">
      <w:tab/>
    </w:r>
    <w:r w:rsidRPr="002A29E9">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3CC60" w14:textId="77777777" w:rsidR="002A29E9" w:rsidRPr="002A29E9" w:rsidRDefault="002A29E9" w:rsidP="002A2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CC66F" w14:textId="77777777" w:rsidR="00BB7FE6" w:rsidRDefault="00BB7FE6" w:rsidP="005443FF">
      <w:pPr>
        <w:spacing w:before="0" w:after="0"/>
      </w:pPr>
      <w:r>
        <w:separator/>
      </w:r>
    </w:p>
  </w:footnote>
  <w:footnote w:type="continuationSeparator" w:id="0">
    <w:p w14:paraId="27316C1F" w14:textId="77777777" w:rsidR="00BB7FE6" w:rsidRDefault="00BB7FE6" w:rsidP="005443FF">
      <w:pPr>
        <w:spacing w:before="0" w:after="0"/>
      </w:pPr>
      <w:r>
        <w:continuationSeparator/>
      </w:r>
    </w:p>
  </w:footnote>
  <w:footnote w:type="continuationNotice" w:id="1">
    <w:p w14:paraId="5F7F29BD" w14:textId="77777777" w:rsidR="00BB7FE6" w:rsidRDefault="00BB7FE6">
      <w:pPr>
        <w:spacing w:before="0" w:after="0"/>
      </w:pPr>
    </w:p>
  </w:footnote>
  <w:footnote w:id="2">
    <w:p w14:paraId="4E7A8D55" w14:textId="77777777" w:rsidR="00BB7FE6" w:rsidRPr="006E497C" w:rsidRDefault="00BB7FE6" w:rsidP="00226008">
      <w:pPr>
        <w:pStyle w:val="FootnoteText"/>
      </w:pPr>
      <w:r>
        <w:rPr>
          <w:rStyle w:val="FootnoteReference"/>
        </w:rPr>
        <w:footnoteRef/>
      </w:r>
      <w:r>
        <w:tab/>
      </w:r>
      <w:r>
        <w:rPr>
          <w:rStyle w:val="Emphasis"/>
          <w:rFonts w:ascii="Roboto" w:hAnsi="Roboto"/>
          <w:color w:val="333333"/>
          <w:sz w:val="21"/>
          <w:shd w:val="clear" w:color="auto" w:fill="FFFFFF"/>
        </w:rPr>
        <w:t>SL L 104, 8.4.2004., str. 1.</w:t>
      </w:r>
    </w:p>
  </w:footnote>
  <w:footnote w:id="3">
    <w:p w14:paraId="4E8CC2FB" w14:textId="77777777" w:rsidR="00BB7FE6" w:rsidRPr="006E497C" w:rsidRDefault="00BB7FE6" w:rsidP="00226008">
      <w:pPr>
        <w:pStyle w:val="FootnoteText"/>
      </w:pPr>
      <w:r>
        <w:rPr>
          <w:rStyle w:val="FootnoteReference"/>
        </w:rPr>
        <w:footnoteRef/>
      </w:r>
      <w:r>
        <w:tab/>
        <w:t>Površinski aktivne tvari tvari su sa svojstvom površinskog djelovanja koje pomažu u razgradnji barijere između vode i ulja i/ili prljavštine. Jedan su od glavnih sastojaka deterdženata.</w:t>
      </w:r>
    </w:p>
  </w:footnote>
  <w:footnote w:id="4">
    <w:p w14:paraId="0920ED81" w14:textId="77777777" w:rsidR="00BB7FE6" w:rsidRPr="006E497C" w:rsidRDefault="00BB7FE6" w:rsidP="00226008">
      <w:pPr>
        <w:pStyle w:val="FootnoteText"/>
      </w:pPr>
      <w:r>
        <w:rPr>
          <w:rStyle w:val="FootnoteReference"/>
        </w:rPr>
        <w:footnoteRef/>
      </w:r>
      <w:r>
        <w:tab/>
        <w:t xml:space="preserve">Evaluacija Uredbe (EZ) br. 648/2004 Europskog parlamenta i Vijeća od 31. ožujka 2004. o deterdžentima, </w:t>
      </w:r>
      <w:hyperlink r:id="rId1" w:history="1">
        <w:r>
          <w:t>SWD(2019) 298</w:t>
        </w:r>
      </w:hyperlink>
      <w:r>
        <w:t>.</w:t>
      </w:r>
    </w:p>
  </w:footnote>
  <w:footnote w:id="5">
    <w:p w14:paraId="4F442AEE" w14:textId="77777777" w:rsidR="00BB7FE6" w:rsidRPr="006E497C" w:rsidRDefault="00BB7FE6" w:rsidP="00226008">
      <w:pPr>
        <w:pStyle w:val="FootnoteText"/>
      </w:pPr>
      <w:r>
        <w:rPr>
          <w:rStyle w:val="FootnoteReference"/>
        </w:rPr>
        <w:footnoteRef/>
      </w:r>
      <w:r>
        <w:tab/>
        <w:t xml:space="preserve">Provjera primjerenosti najrelevantnijeg zakonodavstva o kemikalijama (osim uredbe REACH) </w:t>
      </w:r>
      <w:hyperlink r:id="rId2" w:history="1">
        <w:r>
          <w:t>SWD(2019) 199</w:t>
        </w:r>
      </w:hyperlink>
      <w:r>
        <w:t>.</w:t>
      </w:r>
    </w:p>
  </w:footnote>
  <w:footnote w:id="6">
    <w:p w14:paraId="052FC7BA" w14:textId="77777777" w:rsidR="00BB7FE6" w:rsidRPr="006E497C" w:rsidRDefault="00BB7FE6" w:rsidP="00226008">
      <w:pPr>
        <w:pStyle w:val="FootnoteText"/>
      </w:pPr>
      <w:r>
        <w:rPr>
          <w:rStyle w:val="FootnoteReference"/>
        </w:rPr>
        <w:footnoteRef/>
      </w:r>
      <w:r>
        <w:tab/>
        <w:t>Komunikacija Komisije Europskom parlamentu, Vijeću, Europskom gospodarskom i socijalnom odboru i Odboru regija, „Ažuriranje nove industrijske strategije za 2020.: izgradnja snažnijeg jedinstvenog tržišta za oporavak Europe”, COM(2021) 350 final.</w:t>
      </w:r>
    </w:p>
  </w:footnote>
  <w:footnote w:id="7">
    <w:p w14:paraId="150DE731" w14:textId="77777777" w:rsidR="00BB7FE6" w:rsidRDefault="00BB7FE6">
      <w:pPr>
        <w:pStyle w:val="FootnoteText"/>
      </w:pPr>
      <w:r>
        <w:rPr>
          <w:rStyle w:val="FootnoteReference"/>
        </w:rPr>
        <w:footnoteRef/>
      </w:r>
      <w:r>
        <w:tab/>
        <w:t>Komunikacija Komisije Europskom parlamentu, Vijeću, Europskom gospodarskom i socijalnom odboru i Odboru regija, Dugoročna konkurentnost EU-a: perspektiva nakon 2030., 168 final</w:t>
      </w:r>
    </w:p>
  </w:footnote>
  <w:footnote w:id="8">
    <w:p w14:paraId="516AF441" w14:textId="77777777" w:rsidR="00BB7FE6" w:rsidRPr="006E497C" w:rsidRDefault="00BB7FE6" w:rsidP="005C0CB1">
      <w:pPr>
        <w:pStyle w:val="FootnoteText"/>
      </w:pPr>
      <w:r>
        <w:rPr>
          <w:rStyle w:val="FootnoteReference"/>
        </w:rPr>
        <w:footnoteRef/>
      </w:r>
      <w:r>
        <w:tab/>
        <w:t>https://ec.europa.eu/info/publications/2022-commission-work-programme-key-documents_en</w:t>
      </w:r>
    </w:p>
  </w:footnote>
  <w:footnote w:id="9">
    <w:p w14:paraId="0F2936F6" w14:textId="77777777" w:rsidR="00BB7FE6" w:rsidRPr="00CD4F2E" w:rsidRDefault="00BB7FE6" w:rsidP="005C0CB1">
      <w:pPr>
        <w:pStyle w:val="FootnoteText"/>
      </w:pPr>
      <w:r>
        <w:rPr>
          <w:rStyle w:val="FootnoteReference"/>
        </w:rPr>
        <w:footnoteRef/>
      </w:r>
      <w:r>
        <w:tab/>
        <w:t>Evaluacija Uredbe (EZ) br. 648/2004 Europskog parlamenta i Vijeća od 31. ožujka 2004. o deterdžentima, SWD(2019) 298.</w:t>
      </w:r>
    </w:p>
  </w:footnote>
  <w:footnote w:id="10">
    <w:p w14:paraId="3B2E2A93" w14:textId="77777777" w:rsidR="00BB7FE6" w:rsidRPr="00AC68A8" w:rsidRDefault="00BB7FE6" w:rsidP="005C0CB1">
      <w:pPr>
        <w:pStyle w:val="FootnoteText"/>
      </w:pPr>
      <w:r>
        <w:rPr>
          <w:rStyle w:val="FootnoteReference"/>
        </w:rPr>
        <w:footnoteRef/>
      </w:r>
      <w:r>
        <w:tab/>
        <w:t>Provjera primjerenosti najrelevantnijeg zakonodavstva o kemikalijama (osim uredbe REACH), SWD(2019) 199.</w:t>
      </w:r>
    </w:p>
  </w:footnote>
  <w:footnote w:id="11">
    <w:p w14:paraId="75240D82" w14:textId="4AA2C080" w:rsidR="00BB7FE6" w:rsidRDefault="00BB7FE6">
      <w:pPr>
        <w:pStyle w:val="FootnoteText"/>
      </w:pPr>
      <w:r>
        <w:rPr>
          <w:rStyle w:val="FootnoteReference"/>
        </w:rPr>
        <w:footnoteRef/>
      </w:r>
      <w:r>
        <w:tab/>
        <w:t xml:space="preserve">Radni dokument službi Komisije – Izvješće o procjeni učinka priloženo Prijedlogu uredbe Europskog parlamenta i Vijeća o deterdžentima i površinski aktivnim tvarima, izmjeni Uredbe (EU) 2019/1020 i stavljanju izvan snage Uredbe (EZ) br. 648/2004. </w:t>
      </w:r>
    </w:p>
  </w:footnote>
  <w:footnote w:id="12">
    <w:p w14:paraId="032738B4" w14:textId="77777777" w:rsidR="00BB7FE6" w:rsidRPr="00001D76" w:rsidRDefault="00BB7FE6" w:rsidP="008C5ACA">
      <w:pPr>
        <w:pStyle w:val="FootnoteText"/>
      </w:pPr>
      <w:r>
        <w:rPr>
          <w:rStyle w:val="FootnoteReference"/>
        </w:rPr>
        <w:footnoteRef/>
      </w:r>
      <w:r>
        <w:tab/>
        <w:t>Uredba (EZ) br. 1272/2008 Europskog parlamenta i Vijeća od 16. prosinca 2008. o razvrstavanju, označivanju i pakiranju tvari i smjesa, o izmjeni i stavljanju izvan snage Direktive 67/548/EEZ i Direktive 1999/45/EZ i o izmjeni Uredbe (EZ) br. 1907/2006.</w:t>
      </w:r>
    </w:p>
  </w:footnote>
  <w:footnote w:id="13">
    <w:p w14:paraId="12B70A44" w14:textId="77777777" w:rsidR="00BB7FE6" w:rsidRPr="006F1A59" w:rsidRDefault="00BB7FE6" w:rsidP="006F1A59">
      <w:pPr>
        <w:pStyle w:val="FootnoteText"/>
      </w:pPr>
      <w:r>
        <w:rPr>
          <w:rStyle w:val="FootnoteReference"/>
        </w:rPr>
        <w:footnoteRef/>
      </w:r>
      <w:r>
        <w:tab/>
        <w:t>Uredba (EZ) br. 1907/2006 Europskog parlamenta i Vijeća od 18. prosinca 2006. o registraciji, evaluaciji, autorizaciji i ograničavanju kemikalija (REACH) i osnivanju Europske agencije za kemikalije te o izmjeni Direktive 1999/45/EZ i stavljanju izvan snage Uredbe Vijeća (EEZ) br. 793/93 i Uredbe Komisije (EZ) br. 1488/94 kao i Direktive Vijeća 76/769/EEZ i direktiva Komisije 91/155/EEZ, 93/67/EEZ, 93/105/EZ i 2000/21/EZ.</w:t>
      </w:r>
    </w:p>
  </w:footnote>
  <w:footnote w:id="14">
    <w:p w14:paraId="13118104" w14:textId="77777777" w:rsidR="00BB7FE6" w:rsidRDefault="00BB7FE6">
      <w:pPr>
        <w:pStyle w:val="FootnoteText"/>
      </w:pPr>
      <w:r>
        <w:rPr>
          <w:rStyle w:val="FootnoteReference"/>
        </w:rPr>
        <w:footnoteRef/>
      </w:r>
      <w:r>
        <w:tab/>
        <w:t>SWD(2022) 364.</w:t>
      </w:r>
    </w:p>
  </w:footnote>
  <w:footnote w:id="15">
    <w:p w14:paraId="218F2450" w14:textId="77777777" w:rsidR="00BB7FE6" w:rsidRPr="00496606" w:rsidRDefault="00BB7FE6" w:rsidP="00317EBF">
      <w:pPr>
        <w:pStyle w:val="FootnoteText"/>
      </w:pPr>
      <w:r>
        <w:rPr>
          <w:rStyle w:val="FootnoteReference"/>
        </w:rPr>
        <w:footnoteRef/>
      </w:r>
      <w:r>
        <w:tab/>
        <w:t>Prijedlog Uredbe Europskog parlamenta i Vijeća o uspostavi okvira za utvrđivanje zahtjeva za ekološki dizajn održivih proizvoda i stavljanju izvan snage Direktive 2009/125/EZ od 30. ožujka 2022., COM(2022) 142 final.</w:t>
      </w:r>
    </w:p>
  </w:footnote>
  <w:footnote w:id="16">
    <w:p w14:paraId="0B70CAD6" w14:textId="77777777" w:rsidR="00BB7FE6" w:rsidRPr="00635A69" w:rsidRDefault="00BB7FE6">
      <w:pPr>
        <w:pStyle w:val="FootnoteText"/>
      </w:pPr>
      <w:r>
        <w:rPr>
          <w:rStyle w:val="FootnoteReference"/>
        </w:rPr>
        <w:footnoteRef/>
      </w:r>
      <w:r>
        <w:tab/>
        <w:t>Prijedlog uredbe Europskog parlamenta i Vijeća o ambalaži i ambalažnom otpadu, izmjeni Uredbe (EU) 2019/1020 i Direktive (EU) 2019/904 te stavljanju izvan snage Direktive 94/62/EZ, COM(2022) 677.</w:t>
      </w:r>
    </w:p>
  </w:footnote>
  <w:footnote w:id="17">
    <w:p w14:paraId="012228F2" w14:textId="77777777" w:rsidR="00BB7FE6" w:rsidRPr="00635A69" w:rsidRDefault="00BB7FE6">
      <w:pPr>
        <w:pStyle w:val="FootnoteText"/>
      </w:pPr>
      <w:r>
        <w:rPr>
          <w:rStyle w:val="FootnoteReference"/>
        </w:rPr>
        <w:footnoteRef/>
      </w:r>
      <w:r>
        <w:tab/>
      </w:r>
      <w:hyperlink r:id="rId3" w:history="1">
        <w:r>
          <w:rPr>
            <w:rStyle w:val="Hyperlink"/>
          </w:rPr>
          <w:t>https://digital-strategy.ec.europa.eu/en/library/european-declaration-digital-rights-and-principles</w:t>
        </w:r>
      </w:hyperlink>
      <w:r>
        <w:t xml:space="preserve"> </w:t>
      </w:r>
    </w:p>
  </w:footnote>
  <w:footnote w:id="18">
    <w:p w14:paraId="16897E0B" w14:textId="77777777" w:rsidR="00BB7FE6" w:rsidRPr="00D8602B" w:rsidRDefault="00BB7FE6">
      <w:pPr>
        <w:pStyle w:val="FootnoteText"/>
      </w:pPr>
      <w:r>
        <w:rPr>
          <w:rStyle w:val="FootnoteReference"/>
        </w:rPr>
        <w:footnoteRef/>
      </w:r>
      <w:r>
        <w:tab/>
        <w:t>Komunikacija Komisije Europskom parlamentu, Vijeću, Europskom gospodarskom i socijalnom odboru i Odboru regija, „Ažuriranje nove industrijske strategije za 2020.: izgradnja snažnijeg jedinstvenog tržišta za oporavak Europe”, COM(2021) 350 final.</w:t>
      </w:r>
    </w:p>
  </w:footnote>
  <w:footnote w:id="19">
    <w:p w14:paraId="33B53354" w14:textId="77777777" w:rsidR="00BB7FE6" w:rsidRDefault="00BB7FE6">
      <w:pPr>
        <w:pStyle w:val="FootnoteText"/>
      </w:pPr>
      <w:r>
        <w:rPr>
          <w:rStyle w:val="FootnoteReference"/>
        </w:rPr>
        <w:footnoteRef/>
      </w:r>
      <w:r>
        <w:tab/>
        <w:t xml:space="preserve">Industrijski plan u okviru zelenog plana za doba s nultom neto stopom emisija: </w:t>
      </w:r>
      <w:hyperlink r:id="rId4" w:history="1">
        <w:r>
          <w:rPr>
            <w:rStyle w:val="Hyperlink"/>
          </w:rPr>
          <w:t>https://commission.europa.eu/document/41514677-9598-4d89-a572-abe21cb037f4_en</w:t>
        </w:r>
      </w:hyperlink>
    </w:p>
  </w:footnote>
  <w:footnote w:id="20">
    <w:p w14:paraId="497EFFDC" w14:textId="77777777" w:rsidR="00BB7FE6" w:rsidRDefault="00BB7FE6">
      <w:pPr>
        <w:pStyle w:val="FootnoteText"/>
      </w:pPr>
      <w:r>
        <w:rPr>
          <w:rStyle w:val="FootnoteReference"/>
        </w:rPr>
        <w:footnoteRef/>
      </w:r>
      <w:r>
        <w:tab/>
        <w:t>Komunikacija Komisije Europskom parlamentu, Vijeću, Europskom gospodarskom i socijalnom odboru i Odboru regija, Strategija održivosti u području kemikalija – Prelazak na netoksični okoliš, COM 667 final.</w:t>
      </w:r>
    </w:p>
  </w:footnote>
  <w:footnote w:id="21">
    <w:p w14:paraId="282A710E" w14:textId="77777777" w:rsidR="00BB7FE6" w:rsidRPr="003050F7" w:rsidRDefault="00BB7FE6">
      <w:pPr>
        <w:pStyle w:val="FootnoteText"/>
      </w:pPr>
      <w:r>
        <w:rPr>
          <w:rStyle w:val="FootnoteReference"/>
        </w:rPr>
        <w:footnoteRef/>
      </w:r>
      <w:r>
        <w:tab/>
        <w:t>Uredba (EZ) br. 66/2010 Europskog parlamenta i Vijeća od 25. studenoga 2009. o znaku za okoliš EU-a.</w:t>
      </w:r>
    </w:p>
  </w:footnote>
  <w:footnote w:id="22">
    <w:p w14:paraId="7F3FE4DF" w14:textId="77777777" w:rsidR="00BB7FE6" w:rsidRDefault="00BB7FE6">
      <w:pPr>
        <w:pStyle w:val="FootnoteText"/>
      </w:pPr>
      <w:r>
        <w:rPr>
          <w:rStyle w:val="FootnoteReference"/>
        </w:rPr>
        <w:footnoteRef/>
      </w:r>
      <w:r>
        <w:tab/>
        <w:t>Uredba (EU) 2019/1009 Europskog parlamenta i Vijeća od 5. lipnja 2019. o utvrđivanju pravila o stavljanju gnojidbenih proizvoda EU-a na raspolaganje na tržištu te o izmjenama uredaba (EZ) br. 1069/2009 i (EZ) br. 1107/2009 i stavljanju izvan snage Uredbe (EZ) br. 2003/2003.</w:t>
      </w:r>
    </w:p>
  </w:footnote>
  <w:footnote w:id="23">
    <w:p w14:paraId="513C4775" w14:textId="77777777" w:rsidR="00BB7FE6" w:rsidRDefault="00BB7FE6" w:rsidP="009A1DE4">
      <w:pPr>
        <w:pStyle w:val="FootnoteText"/>
      </w:pPr>
      <w:r>
        <w:rPr>
          <w:rStyle w:val="FootnoteReference"/>
        </w:rPr>
        <w:footnoteRef/>
      </w:r>
      <w:r>
        <w:tab/>
        <w:t>Najpoželjnija opcija bilo je uvođenje zahtjeva za označivanje u okviru opcije 1.a.</w:t>
      </w:r>
    </w:p>
  </w:footnote>
  <w:footnote w:id="24">
    <w:p w14:paraId="108E2481" w14:textId="77777777" w:rsidR="00BB7FE6" w:rsidRPr="006D35E5" w:rsidRDefault="00BB7FE6" w:rsidP="003751EB">
      <w:pPr>
        <w:pStyle w:val="FootnoteText"/>
      </w:pPr>
      <w:r>
        <w:rPr>
          <w:rStyle w:val="FootnoteReference"/>
        </w:rPr>
        <w:footnoteRef/>
      </w:r>
      <w:r>
        <w:tab/>
        <w:t>To se odnosi na uvođenje zahtjeva općenito, tj. i u okviru opcije 1.a i opcije 1.b.</w:t>
      </w:r>
    </w:p>
  </w:footnote>
  <w:footnote w:id="25">
    <w:p w14:paraId="381B29E7" w14:textId="77777777" w:rsidR="00BB7FE6" w:rsidRDefault="00BB7FE6">
      <w:pPr>
        <w:pStyle w:val="FootnoteText"/>
      </w:pPr>
      <w:r>
        <w:rPr>
          <w:rStyle w:val="FootnoteReference"/>
        </w:rPr>
        <w:footnoteRef/>
      </w:r>
      <w:r>
        <w:tab/>
      </w:r>
      <w:hyperlink r:id="rId5" w:history="1">
        <w:r>
          <w:rPr>
            <w:rStyle w:val="Hyperlink"/>
          </w:rPr>
          <w:t>https://sdgs.un.org/goals</w:t>
        </w:r>
      </w:hyperlink>
    </w:p>
  </w:footnote>
  <w:footnote w:id="26">
    <w:p w14:paraId="05234FE0" w14:textId="77777777" w:rsidR="00BB7FE6" w:rsidRPr="00DC2735" w:rsidRDefault="00BB7FE6" w:rsidP="00DC2735">
      <w:pPr>
        <w:pStyle w:val="FootnoteText"/>
      </w:pPr>
      <w:r>
        <w:rPr>
          <w:rStyle w:val="FootnoteReference"/>
        </w:rPr>
        <w:footnoteRef/>
      </w:r>
      <w:r>
        <w:tab/>
        <w:t xml:space="preserve">Odluka br. 768/2008/EZ Europskog parlamenta i Vijeća od 9. srpnja 2008. o zajedničkom okviru za stavljanje na tržište proizvoda i o stavljanju izvan snage Odluke Vijeća 93/465/EEZ; ELI: </w:t>
      </w:r>
      <w:hyperlink r:id="rId6" w:history="1">
        <w:r>
          <w:rPr>
            <w:rStyle w:val="Hyperlink"/>
          </w:rPr>
          <w:t>http://data.europa.eu/eli/dec/2008/768(1)/oj</w:t>
        </w:r>
      </w:hyperlink>
      <w:r>
        <w:t xml:space="preserve">. </w:t>
      </w:r>
    </w:p>
  </w:footnote>
  <w:footnote w:id="27">
    <w:p w14:paraId="36BBE665" w14:textId="77777777" w:rsidR="00BB7FE6" w:rsidRPr="00170B59" w:rsidRDefault="00BB7FE6">
      <w:pPr>
        <w:pStyle w:val="FootnoteText"/>
      </w:pPr>
      <w:r>
        <w:rPr>
          <w:rStyle w:val="FootnoteReference"/>
        </w:rPr>
        <w:footnoteRef/>
      </w:r>
      <w:r>
        <w:tab/>
        <w:t>SWD(2022) 364.</w:t>
      </w:r>
    </w:p>
  </w:footnote>
  <w:footnote w:id="28">
    <w:p w14:paraId="61827600" w14:textId="77777777" w:rsidR="00BB7FE6" w:rsidRPr="009A342F" w:rsidRDefault="00BB7FE6" w:rsidP="00F5219E">
      <w:pPr>
        <w:pStyle w:val="FootnoteText"/>
      </w:pPr>
      <w:r>
        <w:rPr>
          <w:rStyle w:val="FootnoteReference"/>
        </w:rPr>
        <w:footnoteRef/>
      </w:r>
      <w:r>
        <w:tab/>
        <w:t>Prijedlog Uredbe Europskog parlamenta i Vijeća o uspostavi okvira za utvrđivanje zahtjeva za ekološki dizajn održivih proizvoda i stavljanju izvan snage Direktive 2009/125/EZ od 30. ožujka 2022., COM(2022) 142 final.</w:t>
      </w:r>
    </w:p>
  </w:footnote>
  <w:footnote w:id="29">
    <w:p w14:paraId="64F5B883" w14:textId="77777777" w:rsidR="00BB7FE6" w:rsidRPr="001A70E2" w:rsidRDefault="00BB7FE6" w:rsidP="00A41E33">
      <w:pPr>
        <w:pStyle w:val="FootnoteText"/>
      </w:pPr>
      <w:r>
        <w:rPr>
          <w:rStyle w:val="FootnoteReference"/>
        </w:rPr>
        <w:footnoteRef/>
      </w:r>
      <w:r>
        <w:tab/>
        <w:t>SL C , , str. .</w:t>
      </w:r>
    </w:p>
  </w:footnote>
  <w:footnote w:id="30">
    <w:p w14:paraId="41B4639D" w14:textId="77777777" w:rsidR="00BB7FE6" w:rsidRDefault="00BB7FE6">
      <w:pPr>
        <w:pStyle w:val="FootnoteText"/>
      </w:pPr>
      <w:r>
        <w:rPr>
          <w:rStyle w:val="FootnoteReference"/>
        </w:rPr>
        <w:footnoteRef/>
      </w:r>
      <w:r>
        <w:tab/>
        <w:t>Uredba (EZ) br. 648/2004 Europskog parlamenta i Vijeća od 31. ožujka 2004. o deterdžentima (SL L 104, 8.4.2004., str. 1.).</w:t>
      </w:r>
    </w:p>
  </w:footnote>
  <w:footnote w:id="31">
    <w:p w14:paraId="405E58B3" w14:textId="77777777" w:rsidR="00BB7FE6" w:rsidRPr="006E497C" w:rsidRDefault="00BB7FE6" w:rsidP="006B38D5">
      <w:pPr>
        <w:pStyle w:val="FootnoteText"/>
      </w:pPr>
      <w:r>
        <w:rPr>
          <w:rStyle w:val="FootnoteReference"/>
        </w:rPr>
        <w:footnoteRef/>
      </w:r>
      <w:r>
        <w:tab/>
        <w:t>Evaluacija Uredbe (EZ) br. 648/2004 Europskog parlamenta i Vijeća od 31. ožujka 2004. o deterdžentima (</w:t>
      </w:r>
      <w:hyperlink r:id="rId7" w:history="1">
        <w:r>
          <w:t>SWD(2019) 298</w:t>
        </w:r>
      </w:hyperlink>
      <w:r>
        <w:t>).</w:t>
      </w:r>
    </w:p>
  </w:footnote>
  <w:footnote w:id="32">
    <w:p w14:paraId="7E7D9C9F" w14:textId="77777777" w:rsidR="00BB7FE6" w:rsidRDefault="00BB7FE6" w:rsidP="00951362">
      <w:pPr>
        <w:pStyle w:val="FootnoteText"/>
      </w:pPr>
      <w:r>
        <w:rPr>
          <w:rStyle w:val="FootnoteReference"/>
        </w:rPr>
        <w:footnoteRef/>
      </w:r>
      <w:r>
        <w:tab/>
        <w:t xml:space="preserve">Provjera primjerenosti najrelevantnijeg zakonodavstva o kemikalijama (osim Uredbe REACH), </w:t>
      </w:r>
      <w:hyperlink r:id="rId8" w:history="1">
        <w:r>
          <w:t>SWD(2019) 199</w:t>
        </w:r>
      </w:hyperlink>
      <w:r>
        <w:t>.</w:t>
      </w:r>
    </w:p>
  </w:footnote>
  <w:footnote w:id="33">
    <w:p w14:paraId="33EE788C" w14:textId="77777777" w:rsidR="00BB7FE6" w:rsidRPr="0068393C" w:rsidRDefault="00BB7FE6" w:rsidP="00F646C8">
      <w:pPr>
        <w:pStyle w:val="FootnoteText"/>
      </w:pPr>
      <w:r>
        <w:rPr>
          <w:rStyle w:val="FootnoteReference"/>
        </w:rPr>
        <w:footnoteRef/>
      </w:r>
      <w:r>
        <w:tab/>
        <w:t>Uredba (EZ) br. 1907/2006 Europskog parlamenta i Vijeća od 18. prosinca 2006.</w:t>
      </w:r>
    </w:p>
    <w:p w14:paraId="5E936534" w14:textId="77777777" w:rsidR="00BB7FE6" w:rsidRPr="0068393C" w:rsidRDefault="00BB7FE6" w:rsidP="00951362">
      <w:pPr>
        <w:pStyle w:val="FootnoteText"/>
        <w:ind w:firstLine="0"/>
      </w:pPr>
      <w:r>
        <w:t>o registraciji, evaluaciji, autorizaciji i ograničavanju kemikalija (REACH)</w:t>
      </w:r>
    </w:p>
    <w:p w14:paraId="579E6DA1" w14:textId="77777777" w:rsidR="00BB7FE6" w:rsidRPr="0068393C" w:rsidRDefault="00BB7FE6" w:rsidP="00951362">
      <w:pPr>
        <w:pStyle w:val="FootnoteText"/>
        <w:ind w:firstLine="0"/>
      </w:pPr>
      <w:r>
        <w:t>i osnivanju Europske agencije za kemikalije te o izmjeni Direktive 1999/45/EZ i stavljanju izvan snage</w:t>
      </w:r>
    </w:p>
    <w:p w14:paraId="73E0AF59" w14:textId="77777777" w:rsidR="00BB7FE6" w:rsidRPr="0068393C" w:rsidRDefault="00BB7FE6" w:rsidP="00951362">
      <w:pPr>
        <w:pStyle w:val="FootnoteText"/>
        <w:ind w:firstLine="0"/>
      </w:pPr>
      <w:r>
        <w:t>Uredbe Vijeća (EEZ) br. 793/93 i Uredbe Komisije (EZ) br. 1488/94 kao i</w:t>
      </w:r>
    </w:p>
    <w:p w14:paraId="0DB3DED3" w14:textId="77777777" w:rsidR="00BB7FE6" w:rsidRPr="0068393C" w:rsidRDefault="00BB7FE6" w:rsidP="00951362">
      <w:pPr>
        <w:pStyle w:val="FootnoteText"/>
        <w:ind w:firstLine="0"/>
      </w:pPr>
      <w:r>
        <w:t>Direktive Vijeća 76/769/EEZ i direktiva Komisije 91/155/EEZ, 93/67/EEZ, 93/105/EZ i</w:t>
      </w:r>
    </w:p>
    <w:p w14:paraId="4877F0EF" w14:textId="77777777" w:rsidR="00BB7FE6" w:rsidRDefault="00BB7FE6" w:rsidP="00951362">
      <w:pPr>
        <w:pStyle w:val="FootnoteText"/>
        <w:ind w:firstLine="0"/>
      </w:pPr>
      <w:r>
        <w:t>2000/21/EZ (SL L 396, 30.12.2006., str. 1.).</w:t>
      </w:r>
    </w:p>
  </w:footnote>
  <w:footnote w:id="34">
    <w:p w14:paraId="3C62E813" w14:textId="77777777" w:rsidR="00BB7FE6" w:rsidRDefault="00BB7FE6">
      <w:pPr>
        <w:pStyle w:val="FootnoteText"/>
      </w:pPr>
      <w:r>
        <w:rPr>
          <w:rStyle w:val="FootnoteReference"/>
        </w:rPr>
        <w:footnoteRef/>
      </w:r>
      <w:r>
        <w:tab/>
        <w:t>Odluka br. 768/2008/EZ Europskog parlamenta i Vijeća od 9. srpnja 2008. o zajedničkom okviru za stavljanje na tržište proizvoda i o stavljanju izvan snage Odluke Vijeća 93/465/EEZ (SL L 218, 13.8.2008., str. 82.).</w:t>
      </w:r>
    </w:p>
  </w:footnote>
  <w:footnote w:id="35">
    <w:p w14:paraId="396E0648" w14:textId="77777777" w:rsidR="00BB7FE6" w:rsidRPr="00D9092E" w:rsidRDefault="00BB7FE6" w:rsidP="00135884">
      <w:pPr>
        <w:pStyle w:val="FootnoteText"/>
      </w:pPr>
      <w:r>
        <w:rPr>
          <w:rStyle w:val="FootnoteReference"/>
        </w:rPr>
        <w:footnoteRef/>
      </w:r>
      <w:r>
        <w:tab/>
        <w:t xml:space="preserve">Uredba (EU) br. 528/2012 Europskog parlamenta i Vijeća od 22. svibnja 2012. o stavljanju na raspolaganje na tržištu i uporabi biocidnih proizvoda (SL L 167, 27.6.2012., str. 1.). </w:t>
      </w:r>
    </w:p>
  </w:footnote>
  <w:footnote w:id="36">
    <w:p w14:paraId="4CF3C8C7" w14:textId="77777777" w:rsidR="00BB7FE6" w:rsidRPr="002E06A8" w:rsidRDefault="00BB7FE6" w:rsidP="002E06A8">
      <w:pPr>
        <w:pStyle w:val="FootnoteText"/>
      </w:pPr>
      <w:r>
        <w:rPr>
          <w:rStyle w:val="FootnoteReference"/>
        </w:rPr>
        <w:footnoteRef/>
      </w:r>
      <w:r>
        <w:tab/>
        <w:t xml:space="preserve">Uredba (EZ) br. 1272/2008 Europskog parlamenta i Vijeća od 16. prosinca 2008. o razvrstavanju, označivanju i pakiranju tvari i smjesa, o izmjeni i stavljanju izvan snage Direktive 67/548/EEZ i Direktive 1999/45/EZ i o izmjeni Uredbe (EZ) br. 1907/2006 (SL L 353, 31.12.2008., str. 1.). </w:t>
      </w:r>
    </w:p>
  </w:footnote>
  <w:footnote w:id="37">
    <w:p w14:paraId="3F6A6537" w14:textId="77777777" w:rsidR="00BB7FE6" w:rsidRDefault="00BB7FE6" w:rsidP="00572914">
      <w:pPr>
        <w:pStyle w:val="FootnoteText"/>
      </w:pPr>
      <w:r>
        <w:rPr>
          <w:rStyle w:val="FootnoteReference"/>
        </w:rPr>
        <w:footnoteRef/>
      </w:r>
      <w:r>
        <w:tab/>
        <w:t xml:space="preserve">Uredba (EZ) br. 765/2008 Europskog parlamenta i Vijeća od 9. srpnja 2008. o utvrđivanju zahtjeva za akreditaciju i o stavljanju izvan snage Uredbe (EEZ) br. 339/93 (SL L 218, 13.8.2008., str. 30.). </w:t>
      </w:r>
    </w:p>
    <w:p w14:paraId="6FB9D089" w14:textId="77777777" w:rsidR="00BB7FE6" w:rsidRPr="001F2D99" w:rsidRDefault="00BB7FE6" w:rsidP="00572914">
      <w:pPr>
        <w:pStyle w:val="FootnoteText"/>
      </w:pPr>
    </w:p>
  </w:footnote>
  <w:footnote w:id="38">
    <w:p w14:paraId="468204A4" w14:textId="77777777" w:rsidR="00BB7FE6" w:rsidRPr="00C11FB8" w:rsidRDefault="00BB7FE6" w:rsidP="00614DEF">
      <w:pPr>
        <w:pStyle w:val="FootnoteText"/>
      </w:pPr>
      <w:r>
        <w:rPr>
          <w:rStyle w:val="FootnoteReference"/>
        </w:rPr>
        <w:footnoteRef/>
      </w:r>
      <w:r>
        <w:tab/>
        <w:t xml:space="preserve">Uredba (EU) 2019/1020 Europskog parlamenta i Vijeća od 20. lipnja 2019. o nadzoru tržišta i sukladnosti proizvoda i o izmjeni Direktive 2004/42/EZ i uredbi (EZ) br. 765/2008 i (EU) br. 305/2011 (SL L 169, 25.6.2019., str. 1.). </w:t>
      </w:r>
    </w:p>
  </w:footnote>
  <w:footnote w:id="39">
    <w:p w14:paraId="04F8DE93" w14:textId="77777777" w:rsidR="00BB7FE6" w:rsidRPr="00FA359A" w:rsidRDefault="00BB7FE6" w:rsidP="00BE1E19">
      <w:pPr>
        <w:pStyle w:val="FootnoteText"/>
      </w:pPr>
      <w:r>
        <w:rPr>
          <w:rStyle w:val="FootnoteReference"/>
        </w:rPr>
        <w:footnoteRef/>
      </w:r>
      <w:r>
        <w:tab/>
        <w:t>Uredba (EU) br. 952/2013 Europskog parlamenta i Vijeća od 9. listopada 2013. o Carinskom zakoniku Unije (SL L 269, 10.10.2013., str. 1.).</w:t>
      </w:r>
    </w:p>
  </w:footnote>
  <w:footnote w:id="40">
    <w:p w14:paraId="5A7F5C75" w14:textId="77777777" w:rsidR="00BB7FE6" w:rsidRPr="00C11FB8" w:rsidRDefault="00BB7FE6">
      <w:pPr>
        <w:pStyle w:val="FootnoteText"/>
      </w:pPr>
      <w:r>
        <w:rPr>
          <w:rStyle w:val="FootnoteReference"/>
        </w:rPr>
        <w:footnoteRef/>
      </w:r>
      <w:r>
        <w:tab/>
        <w:t>SL L 123, 12.5.2016., str. 1.</w:t>
      </w:r>
      <w:r>
        <w:tab/>
      </w:r>
    </w:p>
  </w:footnote>
  <w:footnote w:id="41">
    <w:p w14:paraId="630AD10A" w14:textId="77777777" w:rsidR="00BB7FE6" w:rsidRPr="00FF475D" w:rsidRDefault="00BB7FE6" w:rsidP="00321EE9">
      <w:pPr>
        <w:pStyle w:val="FootnoteText"/>
      </w:pPr>
      <w:r>
        <w:rPr>
          <w:rStyle w:val="FootnoteReference"/>
        </w:rPr>
        <w:footnoteRef/>
      </w:r>
      <w:r>
        <w:tab/>
        <w:t xml:space="preserve">Uredba (EU) br. 182/2011 Europskog parlamenta i Vijeća od 16. veljače 2011. o utvrđivanju pravila i općih načela o mehanizmima nadzora država članica nad izvršavanjem provedbenih ovlasti Komisije (SL L 55, 28.2.2011., str. 13.). </w:t>
      </w:r>
    </w:p>
  </w:footnote>
  <w:footnote w:id="42">
    <w:p w14:paraId="310252FC" w14:textId="77777777" w:rsidR="00BB7FE6" w:rsidRPr="000574A0" w:rsidRDefault="00BB7FE6">
      <w:pPr>
        <w:pStyle w:val="FootnoteText"/>
      </w:pPr>
      <w:r>
        <w:rPr>
          <w:rStyle w:val="FootnoteReference"/>
        </w:rPr>
        <w:footnoteRef/>
      </w:r>
      <w:r>
        <w:tab/>
        <w:t>Uredba (EZ) br. 1907/2006 Europskog parlamenta i Vijeća od 18. prosinca 2006. o registraciji, evaluaciji, autorizaciji i ograničavanju kemikalija (REACH) i osnivanju Europske agencije za kemikalije te o izmjeni Direktive 1999/45/EZ i stavljanju izvan snage Uredbe Vijeća (EEZ) br. 793/93 i Uredbe Komisije (EZ) br. 1488/94 kao i Direktive Vijeća 76/769/EEZ i direktiva Komisije 91/155/EEZ, 93/67/EEZ, 93/105/EZ i 2000/21/EZ (SL L 396, 30.12.2006., str. 1.).</w:t>
      </w:r>
    </w:p>
  </w:footnote>
  <w:footnote w:id="43">
    <w:p w14:paraId="41366C08" w14:textId="77777777" w:rsidR="00BB7FE6" w:rsidRPr="000574A0" w:rsidRDefault="00BB7FE6" w:rsidP="008253C8">
      <w:pPr>
        <w:pStyle w:val="FootnoteText"/>
      </w:pPr>
      <w:r>
        <w:rPr>
          <w:rStyle w:val="FootnoteReference"/>
        </w:rPr>
        <w:footnoteRef/>
      </w:r>
      <w:r>
        <w:tab/>
        <w:t>Uredba (EZ) br. 1272/2008 Europskog parlamenta i Vijeća od 16. prosinca 2008. o razvrstavanju, označivanju i pakiranju tvari i smjesa, o izmjeni i stavljanju izvan snage Direktive 67/548/EEZ i Direktive 1999/45/EZ i o izmjeni Uredbe (EZ) br. 1907/2006 (SL L 353, 31.12.2008., str. 1.).</w:t>
      </w:r>
    </w:p>
  </w:footnote>
  <w:footnote w:id="44">
    <w:p w14:paraId="5FDB4A9E" w14:textId="77777777" w:rsidR="00BB7FE6" w:rsidRPr="000574A0" w:rsidRDefault="00BB7FE6">
      <w:pPr>
        <w:pStyle w:val="FootnoteText"/>
      </w:pPr>
      <w:r>
        <w:rPr>
          <w:rStyle w:val="FootnoteReference"/>
        </w:rPr>
        <w:footnoteRef/>
      </w:r>
      <w:r>
        <w:tab/>
        <w:t xml:space="preserve">Uredba (EU) br. 528/2012 Europskog parlamenta i Vijeća od 22. svibnja 2012. o stavljanju na raspolaganje na tržištu i uporabi biocidnih proizvoda (SL L 167, 27.6.2012., str. 1.). </w:t>
      </w:r>
    </w:p>
  </w:footnote>
  <w:footnote w:id="45">
    <w:p w14:paraId="7ACA75D2" w14:textId="77777777" w:rsidR="00BB7FE6" w:rsidRPr="001A7F12" w:rsidRDefault="00BB7FE6" w:rsidP="00644122">
      <w:pPr>
        <w:pStyle w:val="FootnoteText"/>
      </w:pPr>
      <w:r>
        <w:rPr>
          <w:rStyle w:val="FootnoteReference"/>
        </w:rPr>
        <w:footnoteRef/>
      </w:r>
      <w:r>
        <w:tab/>
        <w:t>Uredba (EU) 2022/2399 Europskog parlamenta i Vijeća od 23. studenoga 2022. o uspostavi okruženja jedinstvenog sučelja Europske unije za carinu i izmjeni Uredbe (EU) br. 952/2013 (SL L 317, 9.12.2022., str. 1.).</w:t>
      </w:r>
    </w:p>
  </w:footnote>
  <w:footnote w:id="46">
    <w:p w14:paraId="4417051B" w14:textId="77777777" w:rsidR="00BB7FE6" w:rsidRPr="001A7F12" w:rsidRDefault="00BB7FE6" w:rsidP="00526946">
      <w:pPr>
        <w:pStyle w:val="FootnoteText"/>
      </w:pPr>
      <w:r>
        <w:rPr>
          <w:rStyle w:val="FootnoteReference"/>
        </w:rPr>
        <w:footnoteRef/>
      </w:r>
      <w:r>
        <w:tab/>
        <w:t>Delegirana uredba Komisije (EU) br. 1062/2014 od 4. kolovoza 2014. o programu rada za sustavni pregled svih postojećih aktivnih tvari sadržanih u biocidnim proizvodima iz Uredbe (EU) br. 528/2012 Europskog parlamenta i Vijeća (SL L 294, 10.10.2014., str. 1.).</w:t>
      </w:r>
    </w:p>
  </w:footnote>
  <w:footnote w:id="47">
    <w:p w14:paraId="422BB48D" w14:textId="77777777" w:rsidR="00BB7FE6" w:rsidRDefault="00BB7FE6" w:rsidP="00802632">
      <w:pPr>
        <w:pStyle w:val="FootnoteText"/>
      </w:pPr>
      <w:r>
        <w:rPr>
          <w:rStyle w:val="FootnoteReference"/>
        </w:rPr>
        <w:footnoteRef/>
      </w:r>
      <w:r>
        <w:tab/>
        <w:t>Uredba (EZ) br. 1223/2009 Europskog parlamenta i Vijeća od 30. studenoga 2009. o kozmetičkim proizvodima (SL L 342, 22.12.2009., str. 59.).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75BE9CA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9ACE5C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F05A4D1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157466E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DA6A74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E3BAF2B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1FA415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1A50B8EA"/>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num>
  <w:num w:numId="10">
    <w:abstractNumId w:val="22"/>
    <w:lvlOverride w:ilvl="0">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num>
  <w:num w:numId="54">
    <w:abstractNumId w:val="12"/>
  </w:num>
  <w:num w:numId="55">
    <w:abstractNumId w:val="21"/>
  </w:num>
  <w:num w:numId="56">
    <w:abstractNumId w:val="11"/>
  </w:num>
  <w:num w:numId="57">
    <w:abstractNumId w:val="13"/>
  </w:num>
  <w:num w:numId="58">
    <w:abstractNumId w:val="14"/>
  </w:num>
  <w:num w:numId="59">
    <w:abstractNumId w:val="9"/>
  </w:num>
  <w:num w:numId="60">
    <w:abstractNumId w:val="20"/>
  </w:num>
  <w:num w:numId="61">
    <w:abstractNumId w:val="8"/>
  </w:num>
  <w:num w:numId="62">
    <w:abstractNumId w:val="15"/>
  </w:num>
  <w:num w:numId="63">
    <w:abstractNumId w:val="17"/>
  </w:num>
  <w:num w:numId="64">
    <w:abstractNumId w:val="18"/>
  </w:num>
  <w:num w:numId="65">
    <w:abstractNumId w:val="10"/>
  </w:num>
  <w:num w:numId="66">
    <w:abstractNumId w:val="16"/>
  </w:num>
  <w:num w:numId="67">
    <w:abstractNumId w:val="2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IE" w:vendorID="64" w:dllVersion="6" w:nlCheck="1" w:checkStyle="1"/>
  <w:activeWritingStyle w:appName="MSWord" w:lang="en-GB" w:vendorID="64" w:dllVersion="6" w:nlCheck="1" w:checkStyle="1"/>
  <w:activeWritingStyle w:appName="MSWord" w:lang="it-IT" w:vendorID="64" w:dllVersion="6" w:nlCheck="1" w:checkStyle="0"/>
  <w:activeWritingStyle w:appName="MSWord" w:lang="en-US" w:vendorID="64" w:dllVersion="6" w:nlCheck="1" w:checkStyle="1"/>
  <w:activeWritingStyle w:appName="MSWord" w:lang="nl-BE" w:vendorID="64" w:dllVersion="6" w:nlCheck="1" w:checkStyle="0"/>
  <w:activeWritingStyle w:appName="MSWord" w:lang="en-GB" w:vendorID="64" w:dllVersion="0" w:nlCheck="1" w:checkStyle="0"/>
  <w:activeWritingStyle w:appName="MSWord" w:lang="en-IE" w:vendorID="64" w:dllVersion="0" w:nlCheck="1" w:checkStyle="0"/>
  <w:activeWritingStyle w:appName="MSWord" w:lang="sv-SE" w:vendorID="64" w:dllVersion="0" w:nlCheck="1" w:checkStyle="0"/>
  <w:activeWritingStyle w:appName="MSWord" w:lang="en-US" w:vendorID="64" w:dllVersion="0" w:nlCheck="1" w:checkStyle="0"/>
  <w:activeWritingStyle w:appName="MSWord" w:lang="fr-BE" w:vendorID="64" w:dllVersion="0" w:nlCheck="1" w:checkStyle="0"/>
  <w:activeWritingStyle w:appName="MSWord" w:lang="de-DE" w:vendorID="64" w:dllVersion="0" w:nlCheck="1" w:checkStyle="0"/>
  <w:activeWritingStyle w:appName="MSWord" w:lang="en-GB" w:vendorID="64" w:dllVersion="131078" w:nlCheck="1" w:checkStyle="1"/>
  <w:attachedTemplate r:id="rId1"/>
  <w:revisionView w:markup="0"/>
  <w:defaultTabStop w:val="720"/>
  <w:hyphenationZone w:val="425"/>
  <w:characterSpacingControl w:val="doNotCompress"/>
  <w:hdrShapeDefaults>
    <o:shapedefaults v:ext="edit" spidmax="2232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5-30 11:36:4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F66E6D72-C9F7-4BF2-A0E2-49BCEEB98F2C"/>
    <w:docVar w:name="LW_COVERPAGE_TYPE" w:val="1"/>
    <w:docVar w:name="LW_CROSSREFERENCE" w:val="{SEC(2023) 170 final} - {SWD(2023) 113 final} - {SWD(2023) 114 final} - {SWD(2023) 115 final}"/>
    <w:docVar w:name="LW_DocType" w:val="COM"/>
    <w:docVar w:name="LW_EMISSION" w:val="28.4.2023."/>
    <w:docVar w:name="LW_EMISSION_ISODATE" w:val="2023-04-28"/>
    <w:docVar w:name="LW_EMISSION_LOCATION" w:val="BRX"/>
    <w:docVar w:name="LW_EMISSION_PREFIX" w:val="Bruxelles, "/>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Tekst značajan za EGP)"/>
    <w:docVar w:name="LW_LANGUE" w:val="HR"/>
    <w:docVar w:name="LW_LEVEL_OF_SENSITIVITY" w:val="Standard treatment"/>
    <w:docVar w:name="LW_NOM.INST" w:val="EUROPSKA KOMISIJA"/>
    <w:docVar w:name="LW_NOM.INST_JOINTDOC" w:val="&lt;EMPTY&gt;"/>
    <w:docVar w:name="LW_PART_NBR" w:val="1"/>
    <w:docVar w:name="LW_PART_NBR_TOTAL" w:val="1"/>
    <w:docVar w:name="LW_REF.II.NEW.CP" w:val="COD"/>
    <w:docVar w:name="LW_REF.II.NEW.CP_NUMBER" w:val="0124"/>
    <w:docVar w:name="LW_REF.II.NEW.CP_YEAR" w:val="2023"/>
    <w:docVar w:name="LW_REF.INST.NEW" w:val="COM"/>
    <w:docVar w:name="LW_REF.INST.NEW_ADOPTED" w:val="final"/>
    <w:docVar w:name="LW_REF.INST.NEW_TEXT" w:val="(2023) 21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jedlog"/>
    <w:docVar w:name="LW_SUPERTITRE" w:val="&lt;UNUSED&gt;"/>
    <w:docVar w:name="LW_TITRE.OBJ.CP" w:val="o deterdžentima i površinski aktivnim tvarima, izmjeni Uredbe (EU) 2019/1020 i stavljanju izvan snage Uredbe (EZ) br. 648/2004"/>
    <w:docVar w:name="LW_TYPE.DOC.CP" w:val="UREDBE EUROPSKOG PARLAMENTA I VIJEĆA"/>
    <w:docVar w:name="LwApiVersions" w:val="LW4CoDe 1.23.2.0; LW 8.0, Build 20211117"/>
  </w:docVars>
  <w:rsids>
    <w:rsidRoot w:val="005443FF"/>
    <w:rsid w:val="000008EC"/>
    <w:rsid w:val="000009A2"/>
    <w:rsid w:val="000016DA"/>
    <w:rsid w:val="0000179F"/>
    <w:rsid w:val="000017EC"/>
    <w:rsid w:val="00001837"/>
    <w:rsid w:val="000018FD"/>
    <w:rsid w:val="00001D76"/>
    <w:rsid w:val="00001ECF"/>
    <w:rsid w:val="00002277"/>
    <w:rsid w:val="0000268F"/>
    <w:rsid w:val="00003326"/>
    <w:rsid w:val="0000421B"/>
    <w:rsid w:val="000042EF"/>
    <w:rsid w:val="000043D1"/>
    <w:rsid w:val="0000468B"/>
    <w:rsid w:val="00004BFF"/>
    <w:rsid w:val="00004F4B"/>
    <w:rsid w:val="00005881"/>
    <w:rsid w:val="00007262"/>
    <w:rsid w:val="000075D9"/>
    <w:rsid w:val="000078CE"/>
    <w:rsid w:val="00007DCE"/>
    <w:rsid w:val="00010088"/>
    <w:rsid w:val="00010C0A"/>
    <w:rsid w:val="000124A8"/>
    <w:rsid w:val="000136A8"/>
    <w:rsid w:val="00015B3E"/>
    <w:rsid w:val="00015F70"/>
    <w:rsid w:val="00016A86"/>
    <w:rsid w:val="00020B6A"/>
    <w:rsid w:val="00021453"/>
    <w:rsid w:val="00021F53"/>
    <w:rsid w:val="00022213"/>
    <w:rsid w:val="00022714"/>
    <w:rsid w:val="0002292C"/>
    <w:rsid w:val="00022CC4"/>
    <w:rsid w:val="00022DC8"/>
    <w:rsid w:val="00023518"/>
    <w:rsid w:val="00023804"/>
    <w:rsid w:val="00024F57"/>
    <w:rsid w:val="00025D08"/>
    <w:rsid w:val="00026FDB"/>
    <w:rsid w:val="0002725F"/>
    <w:rsid w:val="000272CC"/>
    <w:rsid w:val="0002751F"/>
    <w:rsid w:val="00027D94"/>
    <w:rsid w:val="0003030A"/>
    <w:rsid w:val="000308D8"/>
    <w:rsid w:val="0003113B"/>
    <w:rsid w:val="00031391"/>
    <w:rsid w:val="000317A7"/>
    <w:rsid w:val="0003182B"/>
    <w:rsid w:val="00031959"/>
    <w:rsid w:val="0003274E"/>
    <w:rsid w:val="00033818"/>
    <w:rsid w:val="000346FC"/>
    <w:rsid w:val="00035277"/>
    <w:rsid w:val="000354FD"/>
    <w:rsid w:val="0003578A"/>
    <w:rsid w:val="00036CCB"/>
    <w:rsid w:val="00037209"/>
    <w:rsid w:val="000374A3"/>
    <w:rsid w:val="00040493"/>
    <w:rsid w:val="00040DF1"/>
    <w:rsid w:val="00041252"/>
    <w:rsid w:val="00043204"/>
    <w:rsid w:val="00043487"/>
    <w:rsid w:val="0004371F"/>
    <w:rsid w:val="00043C33"/>
    <w:rsid w:val="00043F4F"/>
    <w:rsid w:val="000446D0"/>
    <w:rsid w:val="000448AF"/>
    <w:rsid w:val="00046B2F"/>
    <w:rsid w:val="00047324"/>
    <w:rsid w:val="000504D6"/>
    <w:rsid w:val="000520B5"/>
    <w:rsid w:val="000522BD"/>
    <w:rsid w:val="00052F68"/>
    <w:rsid w:val="000531BF"/>
    <w:rsid w:val="00053FE6"/>
    <w:rsid w:val="0005449C"/>
    <w:rsid w:val="000547D6"/>
    <w:rsid w:val="000556DA"/>
    <w:rsid w:val="00056031"/>
    <w:rsid w:val="00056403"/>
    <w:rsid w:val="000566C8"/>
    <w:rsid w:val="000568B1"/>
    <w:rsid w:val="0005731D"/>
    <w:rsid w:val="000574A0"/>
    <w:rsid w:val="000600BA"/>
    <w:rsid w:val="000603B6"/>
    <w:rsid w:val="000616DC"/>
    <w:rsid w:val="000617B3"/>
    <w:rsid w:val="00062054"/>
    <w:rsid w:val="00062FDD"/>
    <w:rsid w:val="00063C62"/>
    <w:rsid w:val="000645C3"/>
    <w:rsid w:val="00064AD6"/>
    <w:rsid w:val="00065D98"/>
    <w:rsid w:val="0006680A"/>
    <w:rsid w:val="0006709B"/>
    <w:rsid w:val="0006716D"/>
    <w:rsid w:val="0006721B"/>
    <w:rsid w:val="0006792F"/>
    <w:rsid w:val="00070127"/>
    <w:rsid w:val="000705F2"/>
    <w:rsid w:val="00071F27"/>
    <w:rsid w:val="00071F53"/>
    <w:rsid w:val="00072031"/>
    <w:rsid w:val="00072830"/>
    <w:rsid w:val="00072E83"/>
    <w:rsid w:val="00073112"/>
    <w:rsid w:val="000736DB"/>
    <w:rsid w:val="00073F5B"/>
    <w:rsid w:val="0007479E"/>
    <w:rsid w:val="0007485A"/>
    <w:rsid w:val="00075144"/>
    <w:rsid w:val="00075A01"/>
    <w:rsid w:val="000762EA"/>
    <w:rsid w:val="00076374"/>
    <w:rsid w:val="00076BD2"/>
    <w:rsid w:val="0007747F"/>
    <w:rsid w:val="00080187"/>
    <w:rsid w:val="00080D21"/>
    <w:rsid w:val="00081263"/>
    <w:rsid w:val="00081301"/>
    <w:rsid w:val="000816E8"/>
    <w:rsid w:val="000817BA"/>
    <w:rsid w:val="0008187C"/>
    <w:rsid w:val="00082098"/>
    <w:rsid w:val="00083420"/>
    <w:rsid w:val="00083E91"/>
    <w:rsid w:val="00083F06"/>
    <w:rsid w:val="00084800"/>
    <w:rsid w:val="000855D6"/>
    <w:rsid w:val="00085C80"/>
    <w:rsid w:val="00085D2B"/>
    <w:rsid w:val="00085EB8"/>
    <w:rsid w:val="00085ED9"/>
    <w:rsid w:val="00086DD9"/>
    <w:rsid w:val="00087A2E"/>
    <w:rsid w:val="00087E0F"/>
    <w:rsid w:val="0009099B"/>
    <w:rsid w:val="000909C7"/>
    <w:rsid w:val="00090A0E"/>
    <w:rsid w:val="00090B47"/>
    <w:rsid w:val="00091D9F"/>
    <w:rsid w:val="00092270"/>
    <w:rsid w:val="00093495"/>
    <w:rsid w:val="00093997"/>
    <w:rsid w:val="000941A9"/>
    <w:rsid w:val="00094806"/>
    <w:rsid w:val="000948D2"/>
    <w:rsid w:val="00095AAE"/>
    <w:rsid w:val="00095FF2"/>
    <w:rsid w:val="00096017"/>
    <w:rsid w:val="00096609"/>
    <w:rsid w:val="00096DEC"/>
    <w:rsid w:val="0009702C"/>
    <w:rsid w:val="00097150"/>
    <w:rsid w:val="000971F7"/>
    <w:rsid w:val="000A048F"/>
    <w:rsid w:val="000A0CE8"/>
    <w:rsid w:val="000A1A49"/>
    <w:rsid w:val="000A1AD7"/>
    <w:rsid w:val="000A26E3"/>
    <w:rsid w:val="000A302F"/>
    <w:rsid w:val="000A3B6A"/>
    <w:rsid w:val="000A41E6"/>
    <w:rsid w:val="000A4300"/>
    <w:rsid w:val="000A4F3D"/>
    <w:rsid w:val="000A660F"/>
    <w:rsid w:val="000A6EF7"/>
    <w:rsid w:val="000B04AC"/>
    <w:rsid w:val="000B0CC5"/>
    <w:rsid w:val="000B0CE4"/>
    <w:rsid w:val="000B2AD6"/>
    <w:rsid w:val="000B3353"/>
    <w:rsid w:val="000B4234"/>
    <w:rsid w:val="000B4CFD"/>
    <w:rsid w:val="000B4F07"/>
    <w:rsid w:val="000B51D6"/>
    <w:rsid w:val="000B776B"/>
    <w:rsid w:val="000B7A7D"/>
    <w:rsid w:val="000C0C83"/>
    <w:rsid w:val="000C11BD"/>
    <w:rsid w:val="000C17F0"/>
    <w:rsid w:val="000C1BCF"/>
    <w:rsid w:val="000C2284"/>
    <w:rsid w:val="000C24D6"/>
    <w:rsid w:val="000C2D96"/>
    <w:rsid w:val="000C2FA2"/>
    <w:rsid w:val="000C3325"/>
    <w:rsid w:val="000C34D3"/>
    <w:rsid w:val="000C3C39"/>
    <w:rsid w:val="000C3D2A"/>
    <w:rsid w:val="000C3E89"/>
    <w:rsid w:val="000C61B9"/>
    <w:rsid w:val="000C645A"/>
    <w:rsid w:val="000C757E"/>
    <w:rsid w:val="000C76AE"/>
    <w:rsid w:val="000C77F2"/>
    <w:rsid w:val="000D0D27"/>
    <w:rsid w:val="000D0F03"/>
    <w:rsid w:val="000D22FA"/>
    <w:rsid w:val="000D3A55"/>
    <w:rsid w:val="000D43D4"/>
    <w:rsid w:val="000D4EE2"/>
    <w:rsid w:val="000D5869"/>
    <w:rsid w:val="000D5A03"/>
    <w:rsid w:val="000D618C"/>
    <w:rsid w:val="000D62E2"/>
    <w:rsid w:val="000D748F"/>
    <w:rsid w:val="000D7492"/>
    <w:rsid w:val="000D794E"/>
    <w:rsid w:val="000D7DE2"/>
    <w:rsid w:val="000E0339"/>
    <w:rsid w:val="000E042A"/>
    <w:rsid w:val="000E0A06"/>
    <w:rsid w:val="000E125A"/>
    <w:rsid w:val="000E2097"/>
    <w:rsid w:val="000E2288"/>
    <w:rsid w:val="000E28FE"/>
    <w:rsid w:val="000E4291"/>
    <w:rsid w:val="000E469D"/>
    <w:rsid w:val="000E4D80"/>
    <w:rsid w:val="000E5154"/>
    <w:rsid w:val="000E5428"/>
    <w:rsid w:val="000E61E7"/>
    <w:rsid w:val="000E65B9"/>
    <w:rsid w:val="000E6861"/>
    <w:rsid w:val="000E741F"/>
    <w:rsid w:val="000E76FF"/>
    <w:rsid w:val="000E7925"/>
    <w:rsid w:val="000E7ABC"/>
    <w:rsid w:val="000F0236"/>
    <w:rsid w:val="000F0628"/>
    <w:rsid w:val="000F0C0B"/>
    <w:rsid w:val="000F4C4A"/>
    <w:rsid w:val="000F4CA7"/>
    <w:rsid w:val="000F54FF"/>
    <w:rsid w:val="000F5C13"/>
    <w:rsid w:val="000F5C31"/>
    <w:rsid w:val="000F608B"/>
    <w:rsid w:val="000F69FA"/>
    <w:rsid w:val="000F7883"/>
    <w:rsid w:val="000F78D3"/>
    <w:rsid w:val="000F7ACC"/>
    <w:rsid w:val="000F7B28"/>
    <w:rsid w:val="001004FB"/>
    <w:rsid w:val="001008CE"/>
    <w:rsid w:val="00101C69"/>
    <w:rsid w:val="00101FA6"/>
    <w:rsid w:val="0010215E"/>
    <w:rsid w:val="0010219B"/>
    <w:rsid w:val="00102B13"/>
    <w:rsid w:val="00102BAB"/>
    <w:rsid w:val="00102CBD"/>
    <w:rsid w:val="00102D81"/>
    <w:rsid w:val="00103702"/>
    <w:rsid w:val="001044F4"/>
    <w:rsid w:val="001045ED"/>
    <w:rsid w:val="00104739"/>
    <w:rsid w:val="00104A04"/>
    <w:rsid w:val="00104A45"/>
    <w:rsid w:val="00104D6C"/>
    <w:rsid w:val="0010512E"/>
    <w:rsid w:val="00105CA9"/>
    <w:rsid w:val="00106D1C"/>
    <w:rsid w:val="00106E09"/>
    <w:rsid w:val="001072FA"/>
    <w:rsid w:val="00107933"/>
    <w:rsid w:val="00107E18"/>
    <w:rsid w:val="00110373"/>
    <w:rsid w:val="00110EF9"/>
    <w:rsid w:val="0011135F"/>
    <w:rsid w:val="00111B4C"/>
    <w:rsid w:val="00111BDE"/>
    <w:rsid w:val="00111D7C"/>
    <w:rsid w:val="001121DD"/>
    <w:rsid w:val="00112511"/>
    <w:rsid w:val="00112FD4"/>
    <w:rsid w:val="001133CE"/>
    <w:rsid w:val="00113889"/>
    <w:rsid w:val="001139DD"/>
    <w:rsid w:val="001144D0"/>
    <w:rsid w:val="00114C58"/>
    <w:rsid w:val="001150A3"/>
    <w:rsid w:val="001156EC"/>
    <w:rsid w:val="00115ED9"/>
    <w:rsid w:val="00116180"/>
    <w:rsid w:val="00116DF1"/>
    <w:rsid w:val="00117C65"/>
    <w:rsid w:val="00117CDE"/>
    <w:rsid w:val="00117D13"/>
    <w:rsid w:val="00117DBD"/>
    <w:rsid w:val="00120853"/>
    <w:rsid w:val="00120E3D"/>
    <w:rsid w:val="00120EEB"/>
    <w:rsid w:val="00121A8F"/>
    <w:rsid w:val="00122D03"/>
    <w:rsid w:val="00122EFD"/>
    <w:rsid w:val="001234A0"/>
    <w:rsid w:val="0012396D"/>
    <w:rsid w:val="00123C17"/>
    <w:rsid w:val="00123CED"/>
    <w:rsid w:val="0012431F"/>
    <w:rsid w:val="00124390"/>
    <w:rsid w:val="00124C33"/>
    <w:rsid w:val="0012516B"/>
    <w:rsid w:val="001269E6"/>
    <w:rsid w:val="00127E4B"/>
    <w:rsid w:val="00130378"/>
    <w:rsid w:val="0013086C"/>
    <w:rsid w:val="00131150"/>
    <w:rsid w:val="001313AC"/>
    <w:rsid w:val="001319A7"/>
    <w:rsid w:val="00131E37"/>
    <w:rsid w:val="00132127"/>
    <w:rsid w:val="001331D1"/>
    <w:rsid w:val="00133CF4"/>
    <w:rsid w:val="00133D74"/>
    <w:rsid w:val="00135557"/>
    <w:rsid w:val="00135878"/>
    <w:rsid w:val="00135884"/>
    <w:rsid w:val="00135DF9"/>
    <w:rsid w:val="001376B6"/>
    <w:rsid w:val="001376E0"/>
    <w:rsid w:val="00137A8E"/>
    <w:rsid w:val="00137E25"/>
    <w:rsid w:val="001410A9"/>
    <w:rsid w:val="0014119E"/>
    <w:rsid w:val="001418AC"/>
    <w:rsid w:val="00141AB4"/>
    <w:rsid w:val="00142771"/>
    <w:rsid w:val="00142EA6"/>
    <w:rsid w:val="00142F07"/>
    <w:rsid w:val="00143164"/>
    <w:rsid w:val="001432D1"/>
    <w:rsid w:val="001433B5"/>
    <w:rsid w:val="00143A60"/>
    <w:rsid w:val="00143DA6"/>
    <w:rsid w:val="00144302"/>
    <w:rsid w:val="0014430A"/>
    <w:rsid w:val="0014525F"/>
    <w:rsid w:val="001452BC"/>
    <w:rsid w:val="00145675"/>
    <w:rsid w:val="001456D7"/>
    <w:rsid w:val="00145E4F"/>
    <w:rsid w:val="00146331"/>
    <w:rsid w:val="00146654"/>
    <w:rsid w:val="0014675D"/>
    <w:rsid w:val="00146924"/>
    <w:rsid w:val="00146B40"/>
    <w:rsid w:val="00146C40"/>
    <w:rsid w:val="0014766B"/>
    <w:rsid w:val="001479DF"/>
    <w:rsid w:val="001479E2"/>
    <w:rsid w:val="00147BF4"/>
    <w:rsid w:val="00150809"/>
    <w:rsid w:val="00151A22"/>
    <w:rsid w:val="00151C54"/>
    <w:rsid w:val="0015257A"/>
    <w:rsid w:val="00152786"/>
    <w:rsid w:val="00152894"/>
    <w:rsid w:val="00152F4E"/>
    <w:rsid w:val="00153447"/>
    <w:rsid w:val="00153892"/>
    <w:rsid w:val="00154038"/>
    <w:rsid w:val="001543D4"/>
    <w:rsid w:val="001552EF"/>
    <w:rsid w:val="001557B2"/>
    <w:rsid w:val="00155986"/>
    <w:rsid w:val="00155AFC"/>
    <w:rsid w:val="00155C79"/>
    <w:rsid w:val="00156D68"/>
    <w:rsid w:val="0015701B"/>
    <w:rsid w:val="0015747F"/>
    <w:rsid w:val="00157996"/>
    <w:rsid w:val="0016005B"/>
    <w:rsid w:val="00160379"/>
    <w:rsid w:val="00160DC1"/>
    <w:rsid w:val="00161152"/>
    <w:rsid w:val="0016169C"/>
    <w:rsid w:val="001618AA"/>
    <w:rsid w:val="00161BF0"/>
    <w:rsid w:val="00161F18"/>
    <w:rsid w:val="001632E9"/>
    <w:rsid w:val="00163AE0"/>
    <w:rsid w:val="00163F33"/>
    <w:rsid w:val="00164145"/>
    <w:rsid w:val="00164238"/>
    <w:rsid w:val="00167078"/>
    <w:rsid w:val="00167313"/>
    <w:rsid w:val="00167E26"/>
    <w:rsid w:val="0017068E"/>
    <w:rsid w:val="00170B59"/>
    <w:rsid w:val="00170F92"/>
    <w:rsid w:val="001711B7"/>
    <w:rsid w:val="001720B2"/>
    <w:rsid w:val="001720E9"/>
    <w:rsid w:val="00172353"/>
    <w:rsid w:val="0017274E"/>
    <w:rsid w:val="00173445"/>
    <w:rsid w:val="00173AAF"/>
    <w:rsid w:val="00173C25"/>
    <w:rsid w:val="00174865"/>
    <w:rsid w:val="00174D9E"/>
    <w:rsid w:val="00175855"/>
    <w:rsid w:val="001759A2"/>
    <w:rsid w:val="00176C3F"/>
    <w:rsid w:val="00176C99"/>
    <w:rsid w:val="0017718B"/>
    <w:rsid w:val="001773DF"/>
    <w:rsid w:val="00180725"/>
    <w:rsid w:val="00180A6D"/>
    <w:rsid w:val="00181270"/>
    <w:rsid w:val="00181CA8"/>
    <w:rsid w:val="00182886"/>
    <w:rsid w:val="001831A6"/>
    <w:rsid w:val="001832BF"/>
    <w:rsid w:val="001832F8"/>
    <w:rsid w:val="00183976"/>
    <w:rsid w:val="00183AF1"/>
    <w:rsid w:val="00183CA1"/>
    <w:rsid w:val="00183D47"/>
    <w:rsid w:val="001843EE"/>
    <w:rsid w:val="0018547E"/>
    <w:rsid w:val="0018549B"/>
    <w:rsid w:val="00185543"/>
    <w:rsid w:val="00185EC8"/>
    <w:rsid w:val="00185F8A"/>
    <w:rsid w:val="0018641B"/>
    <w:rsid w:val="00186F0B"/>
    <w:rsid w:val="00187C92"/>
    <w:rsid w:val="00187E14"/>
    <w:rsid w:val="00187FB8"/>
    <w:rsid w:val="00190069"/>
    <w:rsid w:val="00190727"/>
    <w:rsid w:val="0019091D"/>
    <w:rsid w:val="00190C2B"/>
    <w:rsid w:val="00190E3E"/>
    <w:rsid w:val="00192FBB"/>
    <w:rsid w:val="00193435"/>
    <w:rsid w:val="00193CC0"/>
    <w:rsid w:val="00193E3D"/>
    <w:rsid w:val="00194568"/>
    <w:rsid w:val="00194DD7"/>
    <w:rsid w:val="0019502B"/>
    <w:rsid w:val="001959CB"/>
    <w:rsid w:val="00195A4D"/>
    <w:rsid w:val="00195CBE"/>
    <w:rsid w:val="00195FF2"/>
    <w:rsid w:val="00196494"/>
    <w:rsid w:val="001964EC"/>
    <w:rsid w:val="00196877"/>
    <w:rsid w:val="00196F09"/>
    <w:rsid w:val="00197ACE"/>
    <w:rsid w:val="001A03FB"/>
    <w:rsid w:val="001A0B56"/>
    <w:rsid w:val="001A0FED"/>
    <w:rsid w:val="001A2506"/>
    <w:rsid w:val="001A26C6"/>
    <w:rsid w:val="001A2701"/>
    <w:rsid w:val="001A28B6"/>
    <w:rsid w:val="001A2F16"/>
    <w:rsid w:val="001A49A3"/>
    <w:rsid w:val="001A5C58"/>
    <w:rsid w:val="001A6BE5"/>
    <w:rsid w:val="001A70E2"/>
    <w:rsid w:val="001A7F12"/>
    <w:rsid w:val="001B0776"/>
    <w:rsid w:val="001B0EC0"/>
    <w:rsid w:val="001B166F"/>
    <w:rsid w:val="001B1770"/>
    <w:rsid w:val="001B1EB7"/>
    <w:rsid w:val="001B20A0"/>
    <w:rsid w:val="001B25E3"/>
    <w:rsid w:val="001B3B56"/>
    <w:rsid w:val="001B40FA"/>
    <w:rsid w:val="001B47B7"/>
    <w:rsid w:val="001B5FEE"/>
    <w:rsid w:val="001B60C2"/>
    <w:rsid w:val="001B641D"/>
    <w:rsid w:val="001B7085"/>
    <w:rsid w:val="001B7787"/>
    <w:rsid w:val="001C0DDD"/>
    <w:rsid w:val="001C1376"/>
    <w:rsid w:val="001C1535"/>
    <w:rsid w:val="001C1C4A"/>
    <w:rsid w:val="001C1DBA"/>
    <w:rsid w:val="001C2981"/>
    <w:rsid w:val="001C2B5E"/>
    <w:rsid w:val="001C2B88"/>
    <w:rsid w:val="001C2FE9"/>
    <w:rsid w:val="001C4429"/>
    <w:rsid w:val="001C5C54"/>
    <w:rsid w:val="001C5C61"/>
    <w:rsid w:val="001C5D73"/>
    <w:rsid w:val="001C6BEA"/>
    <w:rsid w:val="001C73CA"/>
    <w:rsid w:val="001C7A6B"/>
    <w:rsid w:val="001D172F"/>
    <w:rsid w:val="001D3568"/>
    <w:rsid w:val="001D4ACE"/>
    <w:rsid w:val="001D69B9"/>
    <w:rsid w:val="001D6CFC"/>
    <w:rsid w:val="001D72DC"/>
    <w:rsid w:val="001D75B3"/>
    <w:rsid w:val="001E01EC"/>
    <w:rsid w:val="001E054B"/>
    <w:rsid w:val="001E14A2"/>
    <w:rsid w:val="001E1853"/>
    <w:rsid w:val="001E2617"/>
    <w:rsid w:val="001E322C"/>
    <w:rsid w:val="001E36C3"/>
    <w:rsid w:val="001E394A"/>
    <w:rsid w:val="001E4029"/>
    <w:rsid w:val="001E411D"/>
    <w:rsid w:val="001E43EE"/>
    <w:rsid w:val="001E46C1"/>
    <w:rsid w:val="001E4FBF"/>
    <w:rsid w:val="001E5694"/>
    <w:rsid w:val="001E580B"/>
    <w:rsid w:val="001E6402"/>
    <w:rsid w:val="001E64DE"/>
    <w:rsid w:val="001E656E"/>
    <w:rsid w:val="001E6C72"/>
    <w:rsid w:val="001E6DC4"/>
    <w:rsid w:val="001E6E65"/>
    <w:rsid w:val="001E6E91"/>
    <w:rsid w:val="001E7C9A"/>
    <w:rsid w:val="001F0115"/>
    <w:rsid w:val="001F060C"/>
    <w:rsid w:val="001F0996"/>
    <w:rsid w:val="001F0A78"/>
    <w:rsid w:val="001F0B45"/>
    <w:rsid w:val="001F0D62"/>
    <w:rsid w:val="001F1E5E"/>
    <w:rsid w:val="001F2323"/>
    <w:rsid w:val="001F23A0"/>
    <w:rsid w:val="001F2557"/>
    <w:rsid w:val="001F2AB4"/>
    <w:rsid w:val="001F2D99"/>
    <w:rsid w:val="001F3152"/>
    <w:rsid w:val="001F4649"/>
    <w:rsid w:val="001F492A"/>
    <w:rsid w:val="001F49D0"/>
    <w:rsid w:val="001F56F3"/>
    <w:rsid w:val="001F76C9"/>
    <w:rsid w:val="001F7ACB"/>
    <w:rsid w:val="002002E4"/>
    <w:rsid w:val="0020030D"/>
    <w:rsid w:val="002004E7"/>
    <w:rsid w:val="00200A54"/>
    <w:rsid w:val="00202457"/>
    <w:rsid w:val="00202700"/>
    <w:rsid w:val="00202F1A"/>
    <w:rsid w:val="00203116"/>
    <w:rsid w:val="00204234"/>
    <w:rsid w:val="002045C5"/>
    <w:rsid w:val="0020513E"/>
    <w:rsid w:val="0020555D"/>
    <w:rsid w:val="00205831"/>
    <w:rsid w:val="002058C0"/>
    <w:rsid w:val="002068F2"/>
    <w:rsid w:val="00206B5B"/>
    <w:rsid w:val="00206E8C"/>
    <w:rsid w:val="00207009"/>
    <w:rsid w:val="00207281"/>
    <w:rsid w:val="00207891"/>
    <w:rsid w:val="00207B02"/>
    <w:rsid w:val="0021039B"/>
    <w:rsid w:val="002110FC"/>
    <w:rsid w:val="0021172E"/>
    <w:rsid w:val="00211749"/>
    <w:rsid w:val="00211FBA"/>
    <w:rsid w:val="00212B49"/>
    <w:rsid w:val="00212EA2"/>
    <w:rsid w:val="002139BA"/>
    <w:rsid w:val="00215217"/>
    <w:rsid w:val="00216126"/>
    <w:rsid w:val="002161FD"/>
    <w:rsid w:val="002163CB"/>
    <w:rsid w:val="0021674F"/>
    <w:rsid w:val="002168DF"/>
    <w:rsid w:val="002170D4"/>
    <w:rsid w:val="00217FDB"/>
    <w:rsid w:val="002208F4"/>
    <w:rsid w:val="00220B08"/>
    <w:rsid w:val="00220D7F"/>
    <w:rsid w:val="002235C2"/>
    <w:rsid w:val="00223D48"/>
    <w:rsid w:val="00224296"/>
    <w:rsid w:val="00224FA6"/>
    <w:rsid w:val="00225022"/>
    <w:rsid w:val="002258D4"/>
    <w:rsid w:val="00226008"/>
    <w:rsid w:val="0022765A"/>
    <w:rsid w:val="002277B8"/>
    <w:rsid w:val="00227BF2"/>
    <w:rsid w:val="00227FE9"/>
    <w:rsid w:val="002316E6"/>
    <w:rsid w:val="002318C5"/>
    <w:rsid w:val="002327AB"/>
    <w:rsid w:val="00232C62"/>
    <w:rsid w:val="00232D10"/>
    <w:rsid w:val="00233E63"/>
    <w:rsid w:val="00235285"/>
    <w:rsid w:val="00235833"/>
    <w:rsid w:val="00236AD0"/>
    <w:rsid w:val="00236C9F"/>
    <w:rsid w:val="00236D73"/>
    <w:rsid w:val="002375EF"/>
    <w:rsid w:val="0023781E"/>
    <w:rsid w:val="00237FD2"/>
    <w:rsid w:val="00240F17"/>
    <w:rsid w:val="0024148C"/>
    <w:rsid w:val="0024194E"/>
    <w:rsid w:val="00241B99"/>
    <w:rsid w:val="00242113"/>
    <w:rsid w:val="00242B4E"/>
    <w:rsid w:val="002431CC"/>
    <w:rsid w:val="002433E5"/>
    <w:rsid w:val="00243EBA"/>
    <w:rsid w:val="00243EDE"/>
    <w:rsid w:val="00244720"/>
    <w:rsid w:val="0024506B"/>
    <w:rsid w:val="00245843"/>
    <w:rsid w:val="00245CB1"/>
    <w:rsid w:val="0024631F"/>
    <w:rsid w:val="002463FD"/>
    <w:rsid w:val="0024665F"/>
    <w:rsid w:val="00246716"/>
    <w:rsid w:val="00246A9C"/>
    <w:rsid w:val="00247F78"/>
    <w:rsid w:val="0025026A"/>
    <w:rsid w:val="0025028B"/>
    <w:rsid w:val="00250732"/>
    <w:rsid w:val="00250BC2"/>
    <w:rsid w:val="00250E13"/>
    <w:rsid w:val="00251704"/>
    <w:rsid w:val="00251B7C"/>
    <w:rsid w:val="00251BCE"/>
    <w:rsid w:val="0025225C"/>
    <w:rsid w:val="0025255A"/>
    <w:rsid w:val="00252A2A"/>
    <w:rsid w:val="00252E23"/>
    <w:rsid w:val="00253346"/>
    <w:rsid w:val="0025378C"/>
    <w:rsid w:val="00253A9D"/>
    <w:rsid w:val="002540E5"/>
    <w:rsid w:val="00255122"/>
    <w:rsid w:val="00256E77"/>
    <w:rsid w:val="0026097C"/>
    <w:rsid w:val="00260D79"/>
    <w:rsid w:val="0026201C"/>
    <w:rsid w:val="0026222D"/>
    <w:rsid w:val="002625C9"/>
    <w:rsid w:val="00262D07"/>
    <w:rsid w:val="002633C0"/>
    <w:rsid w:val="002639B3"/>
    <w:rsid w:val="00263A91"/>
    <w:rsid w:val="0026497C"/>
    <w:rsid w:val="002654AE"/>
    <w:rsid w:val="00265FE2"/>
    <w:rsid w:val="00266744"/>
    <w:rsid w:val="00266A14"/>
    <w:rsid w:val="00266AE0"/>
    <w:rsid w:val="0026733E"/>
    <w:rsid w:val="002673DF"/>
    <w:rsid w:val="00267411"/>
    <w:rsid w:val="002676F9"/>
    <w:rsid w:val="00267DC7"/>
    <w:rsid w:val="0027060A"/>
    <w:rsid w:val="002709FF"/>
    <w:rsid w:val="00270E75"/>
    <w:rsid w:val="00271075"/>
    <w:rsid w:val="00271EC1"/>
    <w:rsid w:val="00272937"/>
    <w:rsid w:val="002729BC"/>
    <w:rsid w:val="00272A0E"/>
    <w:rsid w:val="00273064"/>
    <w:rsid w:val="0027310A"/>
    <w:rsid w:val="002731DC"/>
    <w:rsid w:val="002735AF"/>
    <w:rsid w:val="00273A73"/>
    <w:rsid w:val="00274041"/>
    <w:rsid w:val="00274766"/>
    <w:rsid w:val="00274F22"/>
    <w:rsid w:val="0027501B"/>
    <w:rsid w:val="002753B9"/>
    <w:rsid w:val="002762A8"/>
    <w:rsid w:val="00276570"/>
    <w:rsid w:val="002766C0"/>
    <w:rsid w:val="0027750C"/>
    <w:rsid w:val="00277548"/>
    <w:rsid w:val="00281FB3"/>
    <w:rsid w:val="00282217"/>
    <w:rsid w:val="00282C31"/>
    <w:rsid w:val="00282E54"/>
    <w:rsid w:val="002836CE"/>
    <w:rsid w:val="00283F25"/>
    <w:rsid w:val="0028470C"/>
    <w:rsid w:val="00284E67"/>
    <w:rsid w:val="002850E7"/>
    <w:rsid w:val="00285555"/>
    <w:rsid w:val="00285902"/>
    <w:rsid w:val="00285BA7"/>
    <w:rsid w:val="00285BE6"/>
    <w:rsid w:val="00286710"/>
    <w:rsid w:val="00287C81"/>
    <w:rsid w:val="00290302"/>
    <w:rsid w:val="00290753"/>
    <w:rsid w:val="002908A9"/>
    <w:rsid w:val="00290BC4"/>
    <w:rsid w:val="00290DD0"/>
    <w:rsid w:val="00291944"/>
    <w:rsid w:val="00292B71"/>
    <w:rsid w:val="0029359C"/>
    <w:rsid w:val="002938D5"/>
    <w:rsid w:val="0029428E"/>
    <w:rsid w:val="002948B0"/>
    <w:rsid w:val="00295691"/>
    <w:rsid w:val="00295C17"/>
    <w:rsid w:val="00295D7B"/>
    <w:rsid w:val="00296C68"/>
    <w:rsid w:val="0029721A"/>
    <w:rsid w:val="0029778A"/>
    <w:rsid w:val="00297D85"/>
    <w:rsid w:val="00297FA3"/>
    <w:rsid w:val="002A0BC6"/>
    <w:rsid w:val="002A15AC"/>
    <w:rsid w:val="002A1D34"/>
    <w:rsid w:val="002A2897"/>
    <w:rsid w:val="002A28C5"/>
    <w:rsid w:val="002A29E9"/>
    <w:rsid w:val="002A321F"/>
    <w:rsid w:val="002A4D86"/>
    <w:rsid w:val="002A4EB1"/>
    <w:rsid w:val="002A51C2"/>
    <w:rsid w:val="002A556B"/>
    <w:rsid w:val="002A5979"/>
    <w:rsid w:val="002A605C"/>
    <w:rsid w:val="002A61B5"/>
    <w:rsid w:val="002A6791"/>
    <w:rsid w:val="002A6A4D"/>
    <w:rsid w:val="002A7613"/>
    <w:rsid w:val="002A7978"/>
    <w:rsid w:val="002B02AF"/>
    <w:rsid w:val="002B0899"/>
    <w:rsid w:val="002B0D2A"/>
    <w:rsid w:val="002B18D1"/>
    <w:rsid w:val="002B1A70"/>
    <w:rsid w:val="002B1F11"/>
    <w:rsid w:val="002B279A"/>
    <w:rsid w:val="002B2CF5"/>
    <w:rsid w:val="002B2F19"/>
    <w:rsid w:val="002B39F6"/>
    <w:rsid w:val="002B4472"/>
    <w:rsid w:val="002B5848"/>
    <w:rsid w:val="002B612C"/>
    <w:rsid w:val="002B668F"/>
    <w:rsid w:val="002B6EE2"/>
    <w:rsid w:val="002B7064"/>
    <w:rsid w:val="002B71AE"/>
    <w:rsid w:val="002B71CF"/>
    <w:rsid w:val="002B72BE"/>
    <w:rsid w:val="002B7690"/>
    <w:rsid w:val="002B798F"/>
    <w:rsid w:val="002B7E41"/>
    <w:rsid w:val="002C0D96"/>
    <w:rsid w:val="002C14A9"/>
    <w:rsid w:val="002C2329"/>
    <w:rsid w:val="002C270F"/>
    <w:rsid w:val="002C2C58"/>
    <w:rsid w:val="002C40E3"/>
    <w:rsid w:val="002C40F3"/>
    <w:rsid w:val="002C4648"/>
    <w:rsid w:val="002C4BEA"/>
    <w:rsid w:val="002C591A"/>
    <w:rsid w:val="002C6E7A"/>
    <w:rsid w:val="002C70DA"/>
    <w:rsid w:val="002C7324"/>
    <w:rsid w:val="002C77B3"/>
    <w:rsid w:val="002C7804"/>
    <w:rsid w:val="002C78E1"/>
    <w:rsid w:val="002C793B"/>
    <w:rsid w:val="002D0302"/>
    <w:rsid w:val="002D1038"/>
    <w:rsid w:val="002D1BAD"/>
    <w:rsid w:val="002D1BD7"/>
    <w:rsid w:val="002D1FD4"/>
    <w:rsid w:val="002D2347"/>
    <w:rsid w:val="002D3560"/>
    <w:rsid w:val="002D3647"/>
    <w:rsid w:val="002D3727"/>
    <w:rsid w:val="002D4158"/>
    <w:rsid w:val="002D4C7A"/>
    <w:rsid w:val="002D4D6E"/>
    <w:rsid w:val="002D4FE7"/>
    <w:rsid w:val="002D6BFC"/>
    <w:rsid w:val="002D7642"/>
    <w:rsid w:val="002E03B4"/>
    <w:rsid w:val="002E04F1"/>
    <w:rsid w:val="002E06A8"/>
    <w:rsid w:val="002E1244"/>
    <w:rsid w:val="002E1EE4"/>
    <w:rsid w:val="002E2B93"/>
    <w:rsid w:val="002E3295"/>
    <w:rsid w:val="002E33E2"/>
    <w:rsid w:val="002E36F2"/>
    <w:rsid w:val="002E3CDA"/>
    <w:rsid w:val="002E3D13"/>
    <w:rsid w:val="002E3D91"/>
    <w:rsid w:val="002E4D71"/>
    <w:rsid w:val="002E5769"/>
    <w:rsid w:val="002E58AE"/>
    <w:rsid w:val="002E62C2"/>
    <w:rsid w:val="002E6667"/>
    <w:rsid w:val="002E6759"/>
    <w:rsid w:val="002E6E88"/>
    <w:rsid w:val="002E707D"/>
    <w:rsid w:val="002E7235"/>
    <w:rsid w:val="002E7644"/>
    <w:rsid w:val="002E77D9"/>
    <w:rsid w:val="002E7CF4"/>
    <w:rsid w:val="002E7E62"/>
    <w:rsid w:val="002F07CF"/>
    <w:rsid w:val="002F1A9E"/>
    <w:rsid w:val="002F1D76"/>
    <w:rsid w:val="002F29C6"/>
    <w:rsid w:val="002F2DF1"/>
    <w:rsid w:val="002F2E97"/>
    <w:rsid w:val="002F32F7"/>
    <w:rsid w:val="002F4274"/>
    <w:rsid w:val="002F52A2"/>
    <w:rsid w:val="002F52EA"/>
    <w:rsid w:val="002F5532"/>
    <w:rsid w:val="002F5BAD"/>
    <w:rsid w:val="002F5C29"/>
    <w:rsid w:val="002F5C77"/>
    <w:rsid w:val="002F68B4"/>
    <w:rsid w:val="002F6CB7"/>
    <w:rsid w:val="002F6FA3"/>
    <w:rsid w:val="002F71B4"/>
    <w:rsid w:val="002F7D11"/>
    <w:rsid w:val="00300391"/>
    <w:rsid w:val="00300582"/>
    <w:rsid w:val="00300BBF"/>
    <w:rsid w:val="00302203"/>
    <w:rsid w:val="00303913"/>
    <w:rsid w:val="00303F10"/>
    <w:rsid w:val="00304E8D"/>
    <w:rsid w:val="003050F7"/>
    <w:rsid w:val="00305240"/>
    <w:rsid w:val="00305999"/>
    <w:rsid w:val="00306A04"/>
    <w:rsid w:val="00306B87"/>
    <w:rsid w:val="00306BB3"/>
    <w:rsid w:val="00306EB3"/>
    <w:rsid w:val="00307239"/>
    <w:rsid w:val="0030733D"/>
    <w:rsid w:val="0030763E"/>
    <w:rsid w:val="00310502"/>
    <w:rsid w:val="003107F2"/>
    <w:rsid w:val="00310B8E"/>
    <w:rsid w:val="003110B9"/>
    <w:rsid w:val="00311179"/>
    <w:rsid w:val="00312005"/>
    <w:rsid w:val="0031250B"/>
    <w:rsid w:val="00312F31"/>
    <w:rsid w:val="0031340F"/>
    <w:rsid w:val="00313B8E"/>
    <w:rsid w:val="003140F1"/>
    <w:rsid w:val="0031438A"/>
    <w:rsid w:val="00314B1F"/>
    <w:rsid w:val="00314B3D"/>
    <w:rsid w:val="00314D68"/>
    <w:rsid w:val="00315FA1"/>
    <w:rsid w:val="00316564"/>
    <w:rsid w:val="00317EBF"/>
    <w:rsid w:val="00320859"/>
    <w:rsid w:val="00320EF8"/>
    <w:rsid w:val="003211CF"/>
    <w:rsid w:val="00321CD0"/>
    <w:rsid w:val="00321EE9"/>
    <w:rsid w:val="003225D6"/>
    <w:rsid w:val="00322819"/>
    <w:rsid w:val="00322F43"/>
    <w:rsid w:val="003230A0"/>
    <w:rsid w:val="0032357A"/>
    <w:rsid w:val="00323E86"/>
    <w:rsid w:val="00324023"/>
    <w:rsid w:val="003243CC"/>
    <w:rsid w:val="00324B51"/>
    <w:rsid w:val="00325AC0"/>
    <w:rsid w:val="003261B4"/>
    <w:rsid w:val="003265E5"/>
    <w:rsid w:val="0032685B"/>
    <w:rsid w:val="00326E2B"/>
    <w:rsid w:val="003270A7"/>
    <w:rsid w:val="003276FA"/>
    <w:rsid w:val="003277F6"/>
    <w:rsid w:val="003279BA"/>
    <w:rsid w:val="00327A7D"/>
    <w:rsid w:val="00327EBB"/>
    <w:rsid w:val="00327F23"/>
    <w:rsid w:val="00330609"/>
    <w:rsid w:val="00330BB9"/>
    <w:rsid w:val="00331686"/>
    <w:rsid w:val="00333296"/>
    <w:rsid w:val="00333F58"/>
    <w:rsid w:val="003345C5"/>
    <w:rsid w:val="00334D53"/>
    <w:rsid w:val="00335EEE"/>
    <w:rsid w:val="00336F3B"/>
    <w:rsid w:val="0033718E"/>
    <w:rsid w:val="0033750F"/>
    <w:rsid w:val="00337781"/>
    <w:rsid w:val="00337934"/>
    <w:rsid w:val="003403D8"/>
    <w:rsid w:val="003405D1"/>
    <w:rsid w:val="00340E06"/>
    <w:rsid w:val="00340F15"/>
    <w:rsid w:val="00341708"/>
    <w:rsid w:val="0034200D"/>
    <w:rsid w:val="0034381F"/>
    <w:rsid w:val="003438CB"/>
    <w:rsid w:val="00343A6B"/>
    <w:rsid w:val="00343E82"/>
    <w:rsid w:val="00343F97"/>
    <w:rsid w:val="003446B3"/>
    <w:rsid w:val="00345F2B"/>
    <w:rsid w:val="00346462"/>
    <w:rsid w:val="003466A0"/>
    <w:rsid w:val="00350785"/>
    <w:rsid w:val="00350D60"/>
    <w:rsid w:val="00350F0D"/>
    <w:rsid w:val="00350F4D"/>
    <w:rsid w:val="003513E1"/>
    <w:rsid w:val="0035213A"/>
    <w:rsid w:val="003522E2"/>
    <w:rsid w:val="003526AB"/>
    <w:rsid w:val="0035350B"/>
    <w:rsid w:val="00353C95"/>
    <w:rsid w:val="00353F11"/>
    <w:rsid w:val="00354145"/>
    <w:rsid w:val="0035419E"/>
    <w:rsid w:val="00354DCD"/>
    <w:rsid w:val="00354F37"/>
    <w:rsid w:val="00355190"/>
    <w:rsid w:val="003553F8"/>
    <w:rsid w:val="0035546B"/>
    <w:rsid w:val="00355671"/>
    <w:rsid w:val="00355D87"/>
    <w:rsid w:val="00355DB0"/>
    <w:rsid w:val="00356D44"/>
    <w:rsid w:val="00357670"/>
    <w:rsid w:val="003601D9"/>
    <w:rsid w:val="00360994"/>
    <w:rsid w:val="00360B1E"/>
    <w:rsid w:val="00360E13"/>
    <w:rsid w:val="0036133E"/>
    <w:rsid w:val="00361491"/>
    <w:rsid w:val="00361CD2"/>
    <w:rsid w:val="00362652"/>
    <w:rsid w:val="00362DC9"/>
    <w:rsid w:val="00363415"/>
    <w:rsid w:val="003636BB"/>
    <w:rsid w:val="00363758"/>
    <w:rsid w:val="00363A67"/>
    <w:rsid w:val="00363DC4"/>
    <w:rsid w:val="003642F2"/>
    <w:rsid w:val="00364951"/>
    <w:rsid w:val="003649DE"/>
    <w:rsid w:val="00364C72"/>
    <w:rsid w:val="003658E3"/>
    <w:rsid w:val="00366B38"/>
    <w:rsid w:val="00367495"/>
    <w:rsid w:val="003702B0"/>
    <w:rsid w:val="00371186"/>
    <w:rsid w:val="00371B48"/>
    <w:rsid w:val="00372B16"/>
    <w:rsid w:val="0037320D"/>
    <w:rsid w:val="003732B6"/>
    <w:rsid w:val="003732DC"/>
    <w:rsid w:val="00373347"/>
    <w:rsid w:val="00374A32"/>
    <w:rsid w:val="00374E77"/>
    <w:rsid w:val="00375066"/>
    <w:rsid w:val="003751EB"/>
    <w:rsid w:val="003757C6"/>
    <w:rsid w:val="00375FD8"/>
    <w:rsid w:val="00377AAC"/>
    <w:rsid w:val="00377CA8"/>
    <w:rsid w:val="00377EF1"/>
    <w:rsid w:val="0038034B"/>
    <w:rsid w:val="0038037A"/>
    <w:rsid w:val="00380762"/>
    <w:rsid w:val="00381738"/>
    <w:rsid w:val="003818D2"/>
    <w:rsid w:val="00381C0A"/>
    <w:rsid w:val="00381D71"/>
    <w:rsid w:val="00382118"/>
    <w:rsid w:val="00382C19"/>
    <w:rsid w:val="00382C2E"/>
    <w:rsid w:val="00383023"/>
    <w:rsid w:val="00383058"/>
    <w:rsid w:val="003834CF"/>
    <w:rsid w:val="0038390C"/>
    <w:rsid w:val="00383C6A"/>
    <w:rsid w:val="00383FDF"/>
    <w:rsid w:val="00384A6D"/>
    <w:rsid w:val="00384FBB"/>
    <w:rsid w:val="00385872"/>
    <w:rsid w:val="00385FD0"/>
    <w:rsid w:val="003863C0"/>
    <w:rsid w:val="00386BB8"/>
    <w:rsid w:val="00387595"/>
    <w:rsid w:val="00390CE1"/>
    <w:rsid w:val="00391274"/>
    <w:rsid w:val="003913C4"/>
    <w:rsid w:val="003927D2"/>
    <w:rsid w:val="00392D32"/>
    <w:rsid w:val="003930E9"/>
    <w:rsid w:val="0039313C"/>
    <w:rsid w:val="003934E8"/>
    <w:rsid w:val="00393823"/>
    <w:rsid w:val="00393942"/>
    <w:rsid w:val="00395089"/>
    <w:rsid w:val="003950EB"/>
    <w:rsid w:val="00395578"/>
    <w:rsid w:val="00396A10"/>
    <w:rsid w:val="00396ACD"/>
    <w:rsid w:val="00397EC9"/>
    <w:rsid w:val="003A0035"/>
    <w:rsid w:val="003A0CB9"/>
    <w:rsid w:val="003A0EDC"/>
    <w:rsid w:val="003A220C"/>
    <w:rsid w:val="003A22DA"/>
    <w:rsid w:val="003A25D8"/>
    <w:rsid w:val="003A2C6C"/>
    <w:rsid w:val="003A34E5"/>
    <w:rsid w:val="003A380F"/>
    <w:rsid w:val="003A433F"/>
    <w:rsid w:val="003A439B"/>
    <w:rsid w:val="003A48D5"/>
    <w:rsid w:val="003A5357"/>
    <w:rsid w:val="003A5C3E"/>
    <w:rsid w:val="003A704A"/>
    <w:rsid w:val="003A73F5"/>
    <w:rsid w:val="003A7AFB"/>
    <w:rsid w:val="003B1374"/>
    <w:rsid w:val="003B30F3"/>
    <w:rsid w:val="003B324D"/>
    <w:rsid w:val="003B38B2"/>
    <w:rsid w:val="003B4791"/>
    <w:rsid w:val="003B4917"/>
    <w:rsid w:val="003B4CB4"/>
    <w:rsid w:val="003B6C1B"/>
    <w:rsid w:val="003B6FAE"/>
    <w:rsid w:val="003B73D4"/>
    <w:rsid w:val="003B7FED"/>
    <w:rsid w:val="003C0D33"/>
    <w:rsid w:val="003C15CA"/>
    <w:rsid w:val="003C1C5B"/>
    <w:rsid w:val="003C1E54"/>
    <w:rsid w:val="003C214D"/>
    <w:rsid w:val="003C239E"/>
    <w:rsid w:val="003C24C2"/>
    <w:rsid w:val="003C2515"/>
    <w:rsid w:val="003C2893"/>
    <w:rsid w:val="003C31E7"/>
    <w:rsid w:val="003C370A"/>
    <w:rsid w:val="003C4932"/>
    <w:rsid w:val="003C600C"/>
    <w:rsid w:val="003C6550"/>
    <w:rsid w:val="003C669F"/>
    <w:rsid w:val="003C6848"/>
    <w:rsid w:val="003C691D"/>
    <w:rsid w:val="003C6B69"/>
    <w:rsid w:val="003D03CC"/>
    <w:rsid w:val="003D1471"/>
    <w:rsid w:val="003D434C"/>
    <w:rsid w:val="003D438A"/>
    <w:rsid w:val="003D447B"/>
    <w:rsid w:val="003D498F"/>
    <w:rsid w:val="003D52F7"/>
    <w:rsid w:val="003D5483"/>
    <w:rsid w:val="003D5EE7"/>
    <w:rsid w:val="003D5FA4"/>
    <w:rsid w:val="003D6000"/>
    <w:rsid w:val="003D655A"/>
    <w:rsid w:val="003D696F"/>
    <w:rsid w:val="003D6AD1"/>
    <w:rsid w:val="003D70E1"/>
    <w:rsid w:val="003D74DB"/>
    <w:rsid w:val="003D7E74"/>
    <w:rsid w:val="003D7F3B"/>
    <w:rsid w:val="003E0D07"/>
    <w:rsid w:val="003E1485"/>
    <w:rsid w:val="003E1EA9"/>
    <w:rsid w:val="003E2011"/>
    <w:rsid w:val="003E2872"/>
    <w:rsid w:val="003E2F25"/>
    <w:rsid w:val="003E3723"/>
    <w:rsid w:val="003E38AC"/>
    <w:rsid w:val="003E3BF8"/>
    <w:rsid w:val="003E3DB7"/>
    <w:rsid w:val="003E3F26"/>
    <w:rsid w:val="003E5F8D"/>
    <w:rsid w:val="003F0850"/>
    <w:rsid w:val="003F0CDD"/>
    <w:rsid w:val="003F0F95"/>
    <w:rsid w:val="003F1CC3"/>
    <w:rsid w:val="003F1D5C"/>
    <w:rsid w:val="003F2171"/>
    <w:rsid w:val="003F2A5B"/>
    <w:rsid w:val="003F3483"/>
    <w:rsid w:val="003F4C6A"/>
    <w:rsid w:val="003F515E"/>
    <w:rsid w:val="003F535B"/>
    <w:rsid w:val="003F5612"/>
    <w:rsid w:val="003F7538"/>
    <w:rsid w:val="00400449"/>
    <w:rsid w:val="004009B7"/>
    <w:rsid w:val="004015E0"/>
    <w:rsid w:val="0040160F"/>
    <w:rsid w:val="004016D1"/>
    <w:rsid w:val="00401E74"/>
    <w:rsid w:val="00402E6E"/>
    <w:rsid w:val="00403E8B"/>
    <w:rsid w:val="00404017"/>
    <w:rsid w:val="00404AC8"/>
    <w:rsid w:val="00404D0C"/>
    <w:rsid w:val="00404E42"/>
    <w:rsid w:val="00404EFC"/>
    <w:rsid w:val="00404F55"/>
    <w:rsid w:val="00405F4A"/>
    <w:rsid w:val="0040642C"/>
    <w:rsid w:val="00407633"/>
    <w:rsid w:val="00410EA6"/>
    <w:rsid w:val="004123C4"/>
    <w:rsid w:val="00412415"/>
    <w:rsid w:val="00412685"/>
    <w:rsid w:val="00413695"/>
    <w:rsid w:val="00413935"/>
    <w:rsid w:val="00413A92"/>
    <w:rsid w:val="00413D68"/>
    <w:rsid w:val="004152AA"/>
    <w:rsid w:val="00415470"/>
    <w:rsid w:val="004177C7"/>
    <w:rsid w:val="00417F3C"/>
    <w:rsid w:val="00420322"/>
    <w:rsid w:val="004206CC"/>
    <w:rsid w:val="0042078F"/>
    <w:rsid w:val="004208C2"/>
    <w:rsid w:val="00420FEC"/>
    <w:rsid w:val="00421CA4"/>
    <w:rsid w:val="00422604"/>
    <w:rsid w:val="00422785"/>
    <w:rsid w:val="00422A30"/>
    <w:rsid w:val="00423E42"/>
    <w:rsid w:val="00424462"/>
    <w:rsid w:val="00424881"/>
    <w:rsid w:val="00424B17"/>
    <w:rsid w:val="00426BF7"/>
    <w:rsid w:val="00427777"/>
    <w:rsid w:val="00427968"/>
    <w:rsid w:val="00430597"/>
    <w:rsid w:val="00430726"/>
    <w:rsid w:val="0043078B"/>
    <w:rsid w:val="00430B45"/>
    <w:rsid w:val="00431B1E"/>
    <w:rsid w:val="00432153"/>
    <w:rsid w:val="004328F3"/>
    <w:rsid w:val="00432FB6"/>
    <w:rsid w:val="00434042"/>
    <w:rsid w:val="004350C7"/>
    <w:rsid w:val="004352C7"/>
    <w:rsid w:val="00435A79"/>
    <w:rsid w:val="00435D92"/>
    <w:rsid w:val="00435FED"/>
    <w:rsid w:val="004362B0"/>
    <w:rsid w:val="004368F7"/>
    <w:rsid w:val="00437684"/>
    <w:rsid w:val="00437AA5"/>
    <w:rsid w:val="00437DB6"/>
    <w:rsid w:val="0044013E"/>
    <w:rsid w:val="00440873"/>
    <w:rsid w:val="004408D6"/>
    <w:rsid w:val="00440A46"/>
    <w:rsid w:val="004420AB"/>
    <w:rsid w:val="00442A86"/>
    <w:rsid w:val="0044391D"/>
    <w:rsid w:val="00443B05"/>
    <w:rsid w:val="00443FAF"/>
    <w:rsid w:val="004441F8"/>
    <w:rsid w:val="0044425A"/>
    <w:rsid w:val="0044445B"/>
    <w:rsid w:val="00444F76"/>
    <w:rsid w:val="00445550"/>
    <w:rsid w:val="00445B50"/>
    <w:rsid w:val="00445E1A"/>
    <w:rsid w:val="00445F08"/>
    <w:rsid w:val="00445F99"/>
    <w:rsid w:val="004465B1"/>
    <w:rsid w:val="00446C33"/>
    <w:rsid w:val="004472A8"/>
    <w:rsid w:val="00447489"/>
    <w:rsid w:val="00447713"/>
    <w:rsid w:val="00447EF6"/>
    <w:rsid w:val="004500D6"/>
    <w:rsid w:val="004500DB"/>
    <w:rsid w:val="00450140"/>
    <w:rsid w:val="00450865"/>
    <w:rsid w:val="0045136D"/>
    <w:rsid w:val="0045193B"/>
    <w:rsid w:val="00451DD6"/>
    <w:rsid w:val="00452BEA"/>
    <w:rsid w:val="00452E23"/>
    <w:rsid w:val="00452FE4"/>
    <w:rsid w:val="004531D6"/>
    <w:rsid w:val="00453C20"/>
    <w:rsid w:val="00453C55"/>
    <w:rsid w:val="004549D5"/>
    <w:rsid w:val="00454E98"/>
    <w:rsid w:val="0045517A"/>
    <w:rsid w:val="00456255"/>
    <w:rsid w:val="004568CB"/>
    <w:rsid w:val="00456B0F"/>
    <w:rsid w:val="00456BC6"/>
    <w:rsid w:val="00457288"/>
    <w:rsid w:val="00457535"/>
    <w:rsid w:val="00457A51"/>
    <w:rsid w:val="00457E17"/>
    <w:rsid w:val="004609D4"/>
    <w:rsid w:val="00461314"/>
    <w:rsid w:val="004619D4"/>
    <w:rsid w:val="0046226C"/>
    <w:rsid w:val="00462A3F"/>
    <w:rsid w:val="00462DBC"/>
    <w:rsid w:val="00463577"/>
    <w:rsid w:val="00465391"/>
    <w:rsid w:val="00465832"/>
    <w:rsid w:val="004672DE"/>
    <w:rsid w:val="004677E6"/>
    <w:rsid w:val="00467A13"/>
    <w:rsid w:val="004700EA"/>
    <w:rsid w:val="004704D4"/>
    <w:rsid w:val="004706BA"/>
    <w:rsid w:val="004707D4"/>
    <w:rsid w:val="00470AB0"/>
    <w:rsid w:val="00471331"/>
    <w:rsid w:val="004727D1"/>
    <w:rsid w:val="00472E37"/>
    <w:rsid w:val="0047377F"/>
    <w:rsid w:val="00473AD5"/>
    <w:rsid w:val="0047408C"/>
    <w:rsid w:val="00474314"/>
    <w:rsid w:val="004746F6"/>
    <w:rsid w:val="00474EA3"/>
    <w:rsid w:val="0047588C"/>
    <w:rsid w:val="00475897"/>
    <w:rsid w:val="00475911"/>
    <w:rsid w:val="00475992"/>
    <w:rsid w:val="004759FB"/>
    <w:rsid w:val="0047635B"/>
    <w:rsid w:val="00476413"/>
    <w:rsid w:val="00476FD6"/>
    <w:rsid w:val="0047768C"/>
    <w:rsid w:val="00477DEC"/>
    <w:rsid w:val="00477E71"/>
    <w:rsid w:val="00480CF6"/>
    <w:rsid w:val="00481034"/>
    <w:rsid w:val="00481105"/>
    <w:rsid w:val="004820A7"/>
    <w:rsid w:val="00482C80"/>
    <w:rsid w:val="00482D37"/>
    <w:rsid w:val="00482F7D"/>
    <w:rsid w:val="00483708"/>
    <w:rsid w:val="00483E27"/>
    <w:rsid w:val="00484402"/>
    <w:rsid w:val="00485ABE"/>
    <w:rsid w:val="00485FD6"/>
    <w:rsid w:val="00486E88"/>
    <w:rsid w:val="00487CB5"/>
    <w:rsid w:val="0049034B"/>
    <w:rsid w:val="004903E0"/>
    <w:rsid w:val="00490901"/>
    <w:rsid w:val="00490F56"/>
    <w:rsid w:val="00491759"/>
    <w:rsid w:val="00491822"/>
    <w:rsid w:val="004921C1"/>
    <w:rsid w:val="00492396"/>
    <w:rsid w:val="004926A9"/>
    <w:rsid w:val="00492EC8"/>
    <w:rsid w:val="0049347B"/>
    <w:rsid w:val="00493546"/>
    <w:rsid w:val="00493ABF"/>
    <w:rsid w:val="00494990"/>
    <w:rsid w:val="00495007"/>
    <w:rsid w:val="00495908"/>
    <w:rsid w:val="00496AC5"/>
    <w:rsid w:val="00496D95"/>
    <w:rsid w:val="00497D9B"/>
    <w:rsid w:val="004A12FC"/>
    <w:rsid w:val="004A1501"/>
    <w:rsid w:val="004A1CD5"/>
    <w:rsid w:val="004A265F"/>
    <w:rsid w:val="004A2C05"/>
    <w:rsid w:val="004A2F7A"/>
    <w:rsid w:val="004A3464"/>
    <w:rsid w:val="004A3C8E"/>
    <w:rsid w:val="004A49B7"/>
    <w:rsid w:val="004A51AD"/>
    <w:rsid w:val="004A5CD5"/>
    <w:rsid w:val="004A5E50"/>
    <w:rsid w:val="004A6635"/>
    <w:rsid w:val="004A68AF"/>
    <w:rsid w:val="004A6E25"/>
    <w:rsid w:val="004A6E7E"/>
    <w:rsid w:val="004A6EAD"/>
    <w:rsid w:val="004A7412"/>
    <w:rsid w:val="004A750E"/>
    <w:rsid w:val="004A766D"/>
    <w:rsid w:val="004A791B"/>
    <w:rsid w:val="004B07DC"/>
    <w:rsid w:val="004B0E4D"/>
    <w:rsid w:val="004B14C6"/>
    <w:rsid w:val="004B2057"/>
    <w:rsid w:val="004B3512"/>
    <w:rsid w:val="004B44C6"/>
    <w:rsid w:val="004B47DC"/>
    <w:rsid w:val="004B4B82"/>
    <w:rsid w:val="004B5637"/>
    <w:rsid w:val="004B5769"/>
    <w:rsid w:val="004B600C"/>
    <w:rsid w:val="004B74B3"/>
    <w:rsid w:val="004B7C0E"/>
    <w:rsid w:val="004C0366"/>
    <w:rsid w:val="004C0676"/>
    <w:rsid w:val="004C1ADB"/>
    <w:rsid w:val="004C214B"/>
    <w:rsid w:val="004C218D"/>
    <w:rsid w:val="004C24D9"/>
    <w:rsid w:val="004C2B2A"/>
    <w:rsid w:val="004C3A71"/>
    <w:rsid w:val="004C4A35"/>
    <w:rsid w:val="004C5259"/>
    <w:rsid w:val="004C5C6B"/>
    <w:rsid w:val="004C67AF"/>
    <w:rsid w:val="004C7095"/>
    <w:rsid w:val="004C7492"/>
    <w:rsid w:val="004C756F"/>
    <w:rsid w:val="004C78F0"/>
    <w:rsid w:val="004D02D0"/>
    <w:rsid w:val="004D0717"/>
    <w:rsid w:val="004D190A"/>
    <w:rsid w:val="004D1BBD"/>
    <w:rsid w:val="004D26FB"/>
    <w:rsid w:val="004D29C8"/>
    <w:rsid w:val="004D387C"/>
    <w:rsid w:val="004D3BA9"/>
    <w:rsid w:val="004D4400"/>
    <w:rsid w:val="004D4CF5"/>
    <w:rsid w:val="004D542A"/>
    <w:rsid w:val="004D5A03"/>
    <w:rsid w:val="004D5E75"/>
    <w:rsid w:val="004D61FE"/>
    <w:rsid w:val="004D63D6"/>
    <w:rsid w:val="004E0335"/>
    <w:rsid w:val="004E0781"/>
    <w:rsid w:val="004E07BF"/>
    <w:rsid w:val="004E0B00"/>
    <w:rsid w:val="004E0C06"/>
    <w:rsid w:val="004E19F9"/>
    <w:rsid w:val="004E2BA7"/>
    <w:rsid w:val="004E2E15"/>
    <w:rsid w:val="004E2F22"/>
    <w:rsid w:val="004E3332"/>
    <w:rsid w:val="004E3914"/>
    <w:rsid w:val="004E4527"/>
    <w:rsid w:val="004E5359"/>
    <w:rsid w:val="004F0745"/>
    <w:rsid w:val="004F17E8"/>
    <w:rsid w:val="004F1D1E"/>
    <w:rsid w:val="004F1EF7"/>
    <w:rsid w:val="004F1F0E"/>
    <w:rsid w:val="004F285A"/>
    <w:rsid w:val="004F2E8B"/>
    <w:rsid w:val="004F3450"/>
    <w:rsid w:val="004F3481"/>
    <w:rsid w:val="004F3F0A"/>
    <w:rsid w:val="004F45F0"/>
    <w:rsid w:val="004F4DD7"/>
    <w:rsid w:val="004F5144"/>
    <w:rsid w:val="004F5A62"/>
    <w:rsid w:val="004F5CB5"/>
    <w:rsid w:val="004F60EA"/>
    <w:rsid w:val="004F6852"/>
    <w:rsid w:val="004F6CED"/>
    <w:rsid w:val="004F6D0D"/>
    <w:rsid w:val="004F73AF"/>
    <w:rsid w:val="004F75D4"/>
    <w:rsid w:val="004F7A39"/>
    <w:rsid w:val="00500838"/>
    <w:rsid w:val="005009E9"/>
    <w:rsid w:val="00500E77"/>
    <w:rsid w:val="00500FE5"/>
    <w:rsid w:val="005029C1"/>
    <w:rsid w:val="0050354F"/>
    <w:rsid w:val="005035B3"/>
    <w:rsid w:val="00503FD1"/>
    <w:rsid w:val="00504B6B"/>
    <w:rsid w:val="005051A6"/>
    <w:rsid w:val="00505DA2"/>
    <w:rsid w:val="00506598"/>
    <w:rsid w:val="005070C7"/>
    <w:rsid w:val="0051022F"/>
    <w:rsid w:val="00510D74"/>
    <w:rsid w:val="00510EF2"/>
    <w:rsid w:val="00511A27"/>
    <w:rsid w:val="00511A5D"/>
    <w:rsid w:val="00511C2B"/>
    <w:rsid w:val="00512296"/>
    <w:rsid w:val="005124DB"/>
    <w:rsid w:val="00512575"/>
    <w:rsid w:val="005126F0"/>
    <w:rsid w:val="00512F7E"/>
    <w:rsid w:val="00513905"/>
    <w:rsid w:val="00513E2E"/>
    <w:rsid w:val="00514598"/>
    <w:rsid w:val="0051461C"/>
    <w:rsid w:val="00515E86"/>
    <w:rsid w:val="005165B3"/>
    <w:rsid w:val="0051691F"/>
    <w:rsid w:val="00516ABD"/>
    <w:rsid w:val="00516EDE"/>
    <w:rsid w:val="00517205"/>
    <w:rsid w:val="00517D34"/>
    <w:rsid w:val="0052122C"/>
    <w:rsid w:val="0052154F"/>
    <w:rsid w:val="00521A45"/>
    <w:rsid w:val="00521F9B"/>
    <w:rsid w:val="005220A6"/>
    <w:rsid w:val="005220B7"/>
    <w:rsid w:val="005227F4"/>
    <w:rsid w:val="0052318C"/>
    <w:rsid w:val="00523D2F"/>
    <w:rsid w:val="0052419D"/>
    <w:rsid w:val="005263A8"/>
    <w:rsid w:val="00526908"/>
    <w:rsid w:val="00526946"/>
    <w:rsid w:val="00527920"/>
    <w:rsid w:val="00527CF5"/>
    <w:rsid w:val="00527F5B"/>
    <w:rsid w:val="0053058B"/>
    <w:rsid w:val="0053070D"/>
    <w:rsid w:val="00530BAF"/>
    <w:rsid w:val="00530ED2"/>
    <w:rsid w:val="00531617"/>
    <w:rsid w:val="00531D08"/>
    <w:rsid w:val="00532C01"/>
    <w:rsid w:val="00533D4E"/>
    <w:rsid w:val="0053485A"/>
    <w:rsid w:val="005353C2"/>
    <w:rsid w:val="00535D7B"/>
    <w:rsid w:val="00536262"/>
    <w:rsid w:val="00536AF8"/>
    <w:rsid w:val="00536F41"/>
    <w:rsid w:val="00540029"/>
    <w:rsid w:val="00540193"/>
    <w:rsid w:val="0054047E"/>
    <w:rsid w:val="0054071C"/>
    <w:rsid w:val="00540764"/>
    <w:rsid w:val="00541267"/>
    <w:rsid w:val="005416B1"/>
    <w:rsid w:val="0054192A"/>
    <w:rsid w:val="00541A57"/>
    <w:rsid w:val="00541C4F"/>
    <w:rsid w:val="0054232F"/>
    <w:rsid w:val="00542487"/>
    <w:rsid w:val="005430A6"/>
    <w:rsid w:val="005431CC"/>
    <w:rsid w:val="00543C1E"/>
    <w:rsid w:val="00543F83"/>
    <w:rsid w:val="005443A4"/>
    <w:rsid w:val="005443FF"/>
    <w:rsid w:val="005447D1"/>
    <w:rsid w:val="00544819"/>
    <w:rsid w:val="00544BC2"/>
    <w:rsid w:val="00544E58"/>
    <w:rsid w:val="0054532F"/>
    <w:rsid w:val="005458EB"/>
    <w:rsid w:val="00545CEE"/>
    <w:rsid w:val="0054600E"/>
    <w:rsid w:val="00546639"/>
    <w:rsid w:val="00546B2C"/>
    <w:rsid w:val="00547166"/>
    <w:rsid w:val="00547ED5"/>
    <w:rsid w:val="0055000D"/>
    <w:rsid w:val="005506AC"/>
    <w:rsid w:val="005506FA"/>
    <w:rsid w:val="0055135C"/>
    <w:rsid w:val="00551435"/>
    <w:rsid w:val="00551C3E"/>
    <w:rsid w:val="00551CE3"/>
    <w:rsid w:val="00551E78"/>
    <w:rsid w:val="005520B2"/>
    <w:rsid w:val="0055391C"/>
    <w:rsid w:val="00553C08"/>
    <w:rsid w:val="005546CF"/>
    <w:rsid w:val="00554848"/>
    <w:rsid w:val="00554B86"/>
    <w:rsid w:val="00554F49"/>
    <w:rsid w:val="00555102"/>
    <w:rsid w:val="00555299"/>
    <w:rsid w:val="00555C1B"/>
    <w:rsid w:val="005569FE"/>
    <w:rsid w:val="00557E55"/>
    <w:rsid w:val="005606B7"/>
    <w:rsid w:val="00560AD5"/>
    <w:rsid w:val="00560F12"/>
    <w:rsid w:val="0056112E"/>
    <w:rsid w:val="0056196D"/>
    <w:rsid w:val="005619D0"/>
    <w:rsid w:val="00561B9E"/>
    <w:rsid w:val="00563577"/>
    <w:rsid w:val="00563684"/>
    <w:rsid w:val="005637FF"/>
    <w:rsid w:val="00563972"/>
    <w:rsid w:val="00563DCA"/>
    <w:rsid w:val="005640A7"/>
    <w:rsid w:val="0056501D"/>
    <w:rsid w:val="00565032"/>
    <w:rsid w:val="00565144"/>
    <w:rsid w:val="005655A4"/>
    <w:rsid w:val="005657F5"/>
    <w:rsid w:val="00566413"/>
    <w:rsid w:val="005678E0"/>
    <w:rsid w:val="00567FE6"/>
    <w:rsid w:val="005708AF"/>
    <w:rsid w:val="00570C16"/>
    <w:rsid w:val="0057220A"/>
    <w:rsid w:val="0057274E"/>
    <w:rsid w:val="00572914"/>
    <w:rsid w:val="005732B6"/>
    <w:rsid w:val="00573A31"/>
    <w:rsid w:val="00573F07"/>
    <w:rsid w:val="005749BF"/>
    <w:rsid w:val="00574F7B"/>
    <w:rsid w:val="005760CE"/>
    <w:rsid w:val="005765D3"/>
    <w:rsid w:val="00576C0D"/>
    <w:rsid w:val="00576D1F"/>
    <w:rsid w:val="00576D2F"/>
    <w:rsid w:val="005774BA"/>
    <w:rsid w:val="00580426"/>
    <w:rsid w:val="00580490"/>
    <w:rsid w:val="00580E1B"/>
    <w:rsid w:val="00580FE5"/>
    <w:rsid w:val="0058159D"/>
    <w:rsid w:val="0058160A"/>
    <w:rsid w:val="005817CB"/>
    <w:rsid w:val="00581823"/>
    <w:rsid w:val="00582810"/>
    <w:rsid w:val="0058363F"/>
    <w:rsid w:val="00583F83"/>
    <w:rsid w:val="00584990"/>
    <w:rsid w:val="00584ADC"/>
    <w:rsid w:val="00585ADF"/>
    <w:rsid w:val="005861EC"/>
    <w:rsid w:val="00586482"/>
    <w:rsid w:val="005866D3"/>
    <w:rsid w:val="005871F1"/>
    <w:rsid w:val="00590A1D"/>
    <w:rsid w:val="005911A4"/>
    <w:rsid w:val="0059198D"/>
    <w:rsid w:val="005931C8"/>
    <w:rsid w:val="00593403"/>
    <w:rsid w:val="0059412B"/>
    <w:rsid w:val="005945D3"/>
    <w:rsid w:val="0059471C"/>
    <w:rsid w:val="00594F5A"/>
    <w:rsid w:val="00595540"/>
    <w:rsid w:val="0059590A"/>
    <w:rsid w:val="005966FE"/>
    <w:rsid w:val="00596BA9"/>
    <w:rsid w:val="0059765D"/>
    <w:rsid w:val="005976DB"/>
    <w:rsid w:val="005A03CC"/>
    <w:rsid w:val="005A1148"/>
    <w:rsid w:val="005A176D"/>
    <w:rsid w:val="005A18E4"/>
    <w:rsid w:val="005A22C8"/>
    <w:rsid w:val="005A2A7C"/>
    <w:rsid w:val="005A366B"/>
    <w:rsid w:val="005A3B9B"/>
    <w:rsid w:val="005A4B4A"/>
    <w:rsid w:val="005A4BC3"/>
    <w:rsid w:val="005A4C74"/>
    <w:rsid w:val="005A5678"/>
    <w:rsid w:val="005A5E35"/>
    <w:rsid w:val="005A63D8"/>
    <w:rsid w:val="005A6515"/>
    <w:rsid w:val="005A710C"/>
    <w:rsid w:val="005A7205"/>
    <w:rsid w:val="005A7A65"/>
    <w:rsid w:val="005B0827"/>
    <w:rsid w:val="005B0DA5"/>
    <w:rsid w:val="005B118C"/>
    <w:rsid w:val="005B12EE"/>
    <w:rsid w:val="005B164C"/>
    <w:rsid w:val="005B1D9C"/>
    <w:rsid w:val="005B1F4C"/>
    <w:rsid w:val="005B2021"/>
    <w:rsid w:val="005B23D3"/>
    <w:rsid w:val="005B316C"/>
    <w:rsid w:val="005B3739"/>
    <w:rsid w:val="005B3B3B"/>
    <w:rsid w:val="005B53F5"/>
    <w:rsid w:val="005B5489"/>
    <w:rsid w:val="005B5C09"/>
    <w:rsid w:val="005B5FA6"/>
    <w:rsid w:val="005B61B8"/>
    <w:rsid w:val="005B696D"/>
    <w:rsid w:val="005B7084"/>
    <w:rsid w:val="005B7452"/>
    <w:rsid w:val="005B7860"/>
    <w:rsid w:val="005C0565"/>
    <w:rsid w:val="005C0577"/>
    <w:rsid w:val="005C0601"/>
    <w:rsid w:val="005C0A49"/>
    <w:rsid w:val="005C0CB1"/>
    <w:rsid w:val="005C0E90"/>
    <w:rsid w:val="005C108F"/>
    <w:rsid w:val="005C42C6"/>
    <w:rsid w:val="005C4BB7"/>
    <w:rsid w:val="005C4E71"/>
    <w:rsid w:val="005C4FA2"/>
    <w:rsid w:val="005C50A8"/>
    <w:rsid w:val="005C5401"/>
    <w:rsid w:val="005C6258"/>
    <w:rsid w:val="005C6E7B"/>
    <w:rsid w:val="005C7165"/>
    <w:rsid w:val="005C72D2"/>
    <w:rsid w:val="005C7811"/>
    <w:rsid w:val="005D0DCD"/>
    <w:rsid w:val="005D10BA"/>
    <w:rsid w:val="005D1B80"/>
    <w:rsid w:val="005D1EA3"/>
    <w:rsid w:val="005D30A1"/>
    <w:rsid w:val="005D3871"/>
    <w:rsid w:val="005D3A07"/>
    <w:rsid w:val="005D3F72"/>
    <w:rsid w:val="005D405D"/>
    <w:rsid w:val="005D48D5"/>
    <w:rsid w:val="005D490D"/>
    <w:rsid w:val="005D524C"/>
    <w:rsid w:val="005D5768"/>
    <w:rsid w:val="005D5896"/>
    <w:rsid w:val="005D5C66"/>
    <w:rsid w:val="005D5CD5"/>
    <w:rsid w:val="005D6380"/>
    <w:rsid w:val="005D65CE"/>
    <w:rsid w:val="005D679B"/>
    <w:rsid w:val="005D70BF"/>
    <w:rsid w:val="005E0433"/>
    <w:rsid w:val="005E0D5E"/>
    <w:rsid w:val="005E1441"/>
    <w:rsid w:val="005E38DF"/>
    <w:rsid w:val="005E3E54"/>
    <w:rsid w:val="005E4B0B"/>
    <w:rsid w:val="005E6C1C"/>
    <w:rsid w:val="005E6D0D"/>
    <w:rsid w:val="005E6E6D"/>
    <w:rsid w:val="005E6F58"/>
    <w:rsid w:val="005E740B"/>
    <w:rsid w:val="005E75FD"/>
    <w:rsid w:val="005E7718"/>
    <w:rsid w:val="005E7935"/>
    <w:rsid w:val="005E7BC9"/>
    <w:rsid w:val="005F024A"/>
    <w:rsid w:val="005F154E"/>
    <w:rsid w:val="005F1C17"/>
    <w:rsid w:val="005F1F4F"/>
    <w:rsid w:val="005F1F59"/>
    <w:rsid w:val="005F20E1"/>
    <w:rsid w:val="005F2165"/>
    <w:rsid w:val="005F24C3"/>
    <w:rsid w:val="005F2F29"/>
    <w:rsid w:val="005F321A"/>
    <w:rsid w:val="005F36EE"/>
    <w:rsid w:val="005F3D07"/>
    <w:rsid w:val="005F4521"/>
    <w:rsid w:val="005F4690"/>
    <w:rsid w:val="005F5A99"/>
    <w:rsid w:val="005F60A3"/>
    <w:rsid w:val="005F65C1"/>
    <w:rsid w:val="005F6725"/>
    <w:rsid w:val="005F6810"/>
    <w:rsid w:val="005F721E"/>
    <w:rsid w:val="00600FAA"/>
    <w:rsid w:val="00601210"/>
    <w:rsid w:val="006013A3"/>
    <w:rsid w:val="00601D13"/>
    <w:rsid w:val="00601F5C"/>
    <w:rsid w:val="0060216E"/>
    <w:rsid w:val="00603CFF"/>
    <w:rsid w:val="00603FA2"/>
    <w:rsid w:val="0060461F"/>
    <w:rsid w:val="00605464"/>
    <w:rsid w:val="00605EB1"/>
    <w:rsid w:val="00610D3C"/>
    <w:rsid w:val="00611EEB"/>
    <w:rsid w:val="00612B0F"/>
    <w:rsid w:val="0061387B"/>
    <w:rsid w:val="00613983"/>
    <w:rsid w:val="0061429D"/>
    <w:rsid w:val="00614B5A"/>
    <w:rsid w:val="00614DEF"/>
    <w:rsid w:val="006163BD"/>
    <w:rsid w:val="00616413"/>
    <w:rsid w:val="0061681E"/>
    <w:rsid w:val="0061757B"/>
    <w:rsid w:val="00617865"/>
    <w:rsid w:val="00617A0C"/>
    <w:rsid w:val="006200DC"/>
    <w:rsid w:val="006201B0"/>
    <w:rsid w:val="0062021D"/>
    <w:rsid w:val="00620BC8"/>
    <w:rsid w:val="00621526"/>
    <w:rsid w:val="006216FC"/>
    <w:rsid w:val="00621C73"/>
    <w:rsid w:val="0062365A"/>
    <w:rsid w:val="0062416E"/>
    <w:rsid w:val="00624285"/>
    <w:rsid w:val="006254D0"/>
    <w:rsid w:val="00626574"/>
    <w:rsid w:val="00626826"/>
    <w:rsid w:val="00626EC1"/>
    <w:rsid w:val="00627278"/>
    <w:rsid w:val="00627752"/>
    <w:rsid w:val="00630417"/>
    <w:rsid w:val="0063050A"/>
    <w:rsid w:val="00630A9C"/>
    <w:rsid w:val="00631277"/>
    <w:rsid w:val="00631730"/>
    <w:rsid w:val="00633DB3"/>
    <w:rsid w:val="00633E2B"/>
    <w:rsid w:val="0063491B"/>
    <w:rsid w:val="006349CB"/>
    <w:rsid w:val="0063543A"/>
    <w:rsid w:val="00635803"/>
    <w:rsid w:val="00635A69"/>
    <w:rsid w:val="00635ACC"/>
    <w:rsid w:val="00635E40"/>
    <w:rsid w:val="006370C4"/>
    <w:rsid w:val="006379EF"/>
    <w:rsid w:val="0064006E"/>
    <w:rsid w:val="00640DC0"/>
    <w:rsid w:val="00641831"/>
    <w:rsid w:val="0064285C"/>
    <w:rsid w:val="006428F1"/>
    <w:rsid w:val="00643A92"/>
    <w:rsid w:val="00643C01"/>
    <w:rsid w:val="00643C05"/>
    <w:rsid w:val="00644122"/>
    <w:rsid w:val="0064433D"/>
    <w:rsid w:val="00644E63"/>
    <w:rsid w:val="00646A35"/>
    <w:rsid w:val="006471DD"/>
    <w:rsid w:val="006479FF"/>
    <w:rsid w:val="006505C9"/>
    <w:rsid w:val="006505D1"/>
    <w:rsid w:val="00650E75"/>
    <w:rsid w:val="00650EC9"/>
    <w:rsid w:val="00651186"/>
    <w:rsid w:val="00652B5D"/>
    <w:rsid w:val="00652E60"/>
    <w:rsid w:val="0065390C"/>
    <w:rsid w:val="00653B35"/>
    <w:rsid w:val="00654010"/>
    <w:rsid w:val="00654C5B"/>
    <w:rsid w:val="0065668B"/>
    <w:rsid w:val="00657725"/>
    <w:rsid w:val="00657744"/>
    <w:rsid w:val="0066020A"/>
    <w:rsid w:val="006602C6"/>
    <w:rsid w:val="00660A12"/>
    <w:rsid w:val="00660CD2"/>
    <w:rsid w:val="0066126F"/>
    <w:rsid w:val="0066184C"/>
    <w:rsid w:val="00661870"/>
    <w:rsid w:val="00661B46"/>
    <w:rsid w:val="00662038"/>
    <w:rsid w:val="006621EE"/>
    <w:rsid w:val="00662B7F"/>
    <w:rsid w:val="00662C5A"/>
    <w:rsid w:val="006630AE"/>
    <w:rsid w:val="00663E77"/>
    <w:rsid w:val="006640E3"/>
    <w:rsid w:val="00664AFC"/>
    <w:rsid w:val="00665228"/>
    <w:rsid w:val="006654AB"/>
    <w:rsid w:val="00665DE6"/>
    <w:rsid w:val="0066733F"/>
    <w:rsid w:val="00667652"/>
    <w:rsid w:val="0067051D"/>
    <w:rsid w:val="00671077"/>
    <w:rsid w:val="00671A63"/>
    <w:rsid w:val="006720A5"/>
    <w:rsid w:val="0067262B"/>
    <w:rsid w:val="00672740"/>
    <w:rsid w:val="00673396"/>
    <w:rsid w:val="00673C6C"/>
    <w:rsid w:val="00673CFE"/>
    <w:rsid w:val="00673F64"/>
    <w:rsid w:val="00674828"/>
    <w:rsid w:val="00674885"/>
    <w:rsid w:val="00674EC5"/>
    <w:rsid w:val="006750F3"/>
    <w:rsid w:val="00675476"/>
    <w:rsid w:val="00675D23"/>
    <w:rsid w:val="00675E2E"/>
    <w:rsid w:val="00675EAB"/>
    <w:rsid w:val="0067619D"/>
    <w:rsid w:val="006768A2"/>
    <w:rsid w:val="006809AA"/>
    <w:rsid w:val="00680C02"/>
    <w:rsid w:val="00680CF6"/>
    <w:rsid w:val="00681ABC"/>
    <w:rsid w:val="00682715"/>
    <w:rsid w:val="00682AC3"/>
    <w:rsid w:val="00682B88"/>
    <w:rsid w:val="00682CFE"/>
    <w:rsid w:val="006834B2"/>
    <w:rsid w:val="0068393C"/>
    <w:rsid w:val="0068431E"/>
    <w:rsid w:val="006843C8"/>
    <w:rsid w:val="00685E66"/>
    <w:rsid w:val="006866F5"/>
    <w:rsid w:val="00687157"/>
    <w:rsid w:val="00690236"/>
    <w:rsid w:val="00690717"/>
    <w:rsid w:val="006909B6"/>
    <w:rsid w:val="00691411"/>
    <w:rsid w:val="00691A71"/>
    <w:rsid w:val="00693506"/>
    <w:rsid w:val="0069361A"/>
    <w:rsid w:val="00693CEB"/>
    <w:rsid w:val="00694404"/>
    <w:rsid w:val="0069501E"/>
    <w:rsid w:val="006951CE"/>
    <w:rsid w:val="00695262"/>
    <w:rsid w:val="006952E4"/>
    <w:rsid w:val="006A0106"/>
    <w:rsid w:val="006A189E"/>
    <w:rsid w:val="006A1DDF"/>
    <w:rsid w:val="006A3CFF"/>
    <w:rsid w:val="006A4694"/>
    <w:rsid w:val="006A4B77"/>
    <w:rsid w:val="006A5101"/>
    <w:rsid w:val="006A5DED"/>
    <w:rsid w:val="006A5FDC"/>
    <w:rsid w:val="006A6FA0"/>
    <w:rsid w:val="006A751D"/>
    <w:rsid w:val="006A7995"/>
    <w:rsid w:val="006B014A"/>
    <w:rsid w:val="006B0761"/>
    <w:rsid w:val="006B13B1"/>
    <w:rsid w:val="006B16BD"/>
    <w:rsid w:val="006B1DB2"/>
    <w:rsid w:val="006B26F0"/>
    <w:rsid w:val="006B2982"/>
    <w:rsid w:val="006B33DD"/>
    <w:rsid w:val="006B3628"/>
    <w:rsid w:val="006B38D5"/>
    <w:rsid w:val="006C158D"/>
    <w:rsid w:val="006C180F"/>
    <w:rsid w:val="006C2661"/>
    <w:rsid w:val="006C2E21"/>
    <w:rsid w:val="006C3FB4"/>
    <w:rsid w:val="006C4656"/>
    <w:rsid w:val="006C6089"/>
    <w:rsid w:val="006C6259"/>
    <w:rsid w:val="006C62E2"/>
    <w:rsid w:val="006C65CA"/>
    <w:rsid w:val="006C6651"/>
    <w:rsid w:val="006C6A60"/>
    <w:rsid w:val="006C772B"/>
    <w:rsid w:val="006D14C6"/>
    <w:rsid w:val="006D1A7B"/>
    <w:rsid w:val="006D1C79"/>
    <w:rsid w:val="006D1CBF"/>
    <w:rsid w:val="006D2799"/>
    <w:rsid w:val="006D304E"/>
    <w:rsid w:val="006D475B"/>
    <w:rsid w:val="006D4819"/>
    <w:rsid w:val="006D4C78"/>
    <w:rsid w:val="006D524A"/>
    <w:rsid w:val="006D57BC"/>
    <w:rsid w:val="006D6CCB"/>
    <w:rsid w:val="006D718E"/>
    <w:rsid w:val="006D7437"/>
    <w:rsid w:val="006D76F7"/>
    <w:rsid w:val="006D7736"/>
    <w:rsid w:val="006D788E"/>
    <w:rsid w:val="006E0CEF"/>
    <w:rsid w:val="006E3297"/>
    <w:rsid w:val="006E3583"/>
    <w:rsid w:val="006E397A"/>
    <w:rsid w:val="006E3BCE"/>
    <w:rsid w:val="006E3BEC"/>
    <w:rsid w:val="006E3E24"/>
    <w:rsid w:val="006E41A2"/>
    <w:rsid w:val="006E4490"/>
    <w:rsid w:val="006E4518"/>
    <w:rsid w:val="006E45D8"/>
    <w:rsid w:val="006E47A4"/>
    <w:rsid w:val="006E4849"/>
    <w:rsid w:val="006E5524"/>
    <w:rsid w:val="006E5A3B"/>
    <w:rsid w:val="006E6A1C"/>
    <w:rsid w:val="006E7264"/>
    <w:rsid w:val="006E75C4"/>
    <w:rsid w:val="006E783E"/>
    <w:rsid w:val="006F0951"/>
    <w:rsid w:val="006F096E"/>
    <w:rsid w:val="006F0ED9"/>
    <w:rsid w:val="006F1932"/>
    <w:rsid w:val="006F1A59"/>
    <w:rsid w:val="006F20DB"/>
    <w:rsid w:val="006F3FDD"/>
    <w:rsid w:val="006F4170"/>
    <w:rsid w:val="006F4B5C"/>
    <w:rsid w:val="006F538F"/>
    <w:rsid w:val="006F61B0"/>
    <w:rsid w:val="006F6776"/>
    <w:rsid w:val="006F6ABD"/>
    <w:rsid w:val="006F6CAD"/>
    <w:rsid w:val="006F7156"/>
    <w:rsid w:val="006F7297"/>
    <w:rsid w:val="006F7EFE"/>
    <w:rsid w:val="00700D65"/>
    <w:rsid w:val="0070115C"/>
    <w:rsid w:val="007014B7"/>
    <w:rsid w:val="00702325"/>
    <w:rsid w:val="007023F8"/>
    <w:rsid w:val="00702B14"/>
    <w:rsid w:val="00702C7A"/>
    <w:rsid w:val="00703463"/>
    <w:rsid w:val="007036FA"/>
    <w:rsid w:val="00703735"/>
    <w:rsid w:val="00703A34"/>
    <w:rsid w:val="00704180"/>
    <w:rsid w:val="00704CF2"/>
    <w:rsid w:val="00705B65"/>
    <w:rsid w:val="00707004"/>
    <w:rsid w:val="007072B5"/>
    <w:rsid w:val="00710C71"/>
    <w:rsid w:val="00710CF6"/>
    <w:rsid w:val="00711374"/>
    <w:rsid w:val="00712601"/>
    <w:rsid w:val="007126A7"/>
    <w:rsid w:val="00713450"/>
    <w:rsid w:val="00713595"/>
    <w:rsid w:val="00713793"/>
    <w:rsid w:val="00713D0A"/>
    <w:rsid w:val="00713DCB"/>
    <w:rsid w:val="00713E16"/>
    <w:rsid w:val="00714531"/>
    <w:rsid w:val="00714A17"/>
    <w:rsid w:val="00714E3E"/>
    <w:rsid w:val="00714F37"/>
    <w:rsid w:val="007162F6"/>
    <w:rsid w:val="007179CE"/>
    <w:rsid w:val="0072063F"/>
    <w:rsid w:val="007211A4"/>
    <w:rsid w:val="00721F13"/>
    <w:rsid w:val="00722188"/>
    <w:rsid w:val="007231FA"/>
    <w:rsid w:val="00723418"/>
    <w:rsid w:val="00723532"/>
    <w:rsid w:val="00723679"/>
    <w:rsid w:val="007237F5"/>
    <w:rsid w:val="007239C4"/>
    <w:rsid w:val="007239C7"/>
    <w:rsid w:val="00724794"/>
    <w:rsid w:val="00724DCA"/>
    <w:rsid w:val="00724E8E"/>
    <w:rsid w:val="00725B29"/>
    <w:rsid w:val="00725BB1"/>
    <w:rsid w:val="00725EBA"/>
    <w:rsid w:val="00726823"/>
    <w:rsid w:val="00726B57"/>
    <w:rsid w:val="00726BF4"/>
    <w:rsid w:val="00726D79"/>
    <w:rsid w:val="0072728C"/>
    <w:rsid w:val="0072766E"/>
    <w:rsid w:val="0072776D"/>
    <w:rsid w:val="00727866"/>
    <w:rsid w:val="007279BD"/>
    <w:rsid w:val="00727ABB"/>
    <w:rsid w:val="00727C0C"/>
    <w:rsid w:val="00727E94"/>
    <w:rsid w:val="00730172"/>
    <w:rsid w:val="00730232"/>
    <w:rsid w:val="007312CE"/>
    <w:rsid w:val="007315A7"/>
    <w:rsid w:val="007319A8"/>
    <w:rsid w:val="00732252"/>
    <w:rsid w:val="00732CF6"/>
    <w:rsid w:val="00733067"/>
    <w:rsid w:val="007331E5"/>
    <w:rsid w:val="007333AC"/>
    <w:rsid w:val="007333BF"/>
    <w:rsid w:val="0073344F"/>
    <w:rsid w:val="007340B0"/>
    <w:rsid w:val="007342B2"/>
    <w:rsid w:val="00734A8C"/>
    <w:rsid w:val="007352B4"/>
    <w:rsid w:val="00735663"/>
    <w:rsid w:val="00735A0A"/>
    <w:rsid w:val="00735FFC"/>
    <w:rsid w:val="007374D3"/>
    <w:rsid w:val="007377B6"/>
    <w:rsid w:val="00737C52"/>
    <w:rsid w:val="007409FE"/>
    <w:rsid w:val="00741489"/>
    <w:rsid w:val="00742F60"/>
    <w:rsid w:val="0074369F"/>
    <w:rsid w:val="00743FDA"/>
    <w:rsid w:val="007441F4"/>
    <w:rsid w:val="00744A12"/>
    <w:rsid w:val="00745E05"/>
    <w:rsid w:val="00746469"/>
    <w:rsid w:val="0074657E"/>
    <w:rsid w:val="0074683D"/>
    <w:rsid w:val="00746A35"/>
    <w:rsid w:val="00746D5A"/>
    <w:rsid w:val="0074728E"/>
    <w:rsid w:val="00747C53"/>
    <w:rsid w:val="007503D3"/>
    <w:rsid w:val="007508F7"/>
    <w:rsid w:val="00750D3C"/>
    <w:rsid w:val="0075100B"/>
    <w:rsid w:val="0075112E"/>
    <w:rsid w:val="00751B85"/>
    <w:rsid w:val="00752619"/>
    <w:rsid w:val="00752BD9"/>
    <w:rsid w:val="00752C00"/>
    <w:rsid w:val="007535C4"/>
    <w:rsid w:val="00753898"/>
    <w:rsid w:val="00753F4C"/>
    <w:rsid w:val="0075467D"/>
    <w:rsid w:val="00754BF3"/>
    <w:rsid w:val="00754DAE"/>
    <w:rsid w:val="00755081"/>
    <w:rsid w:val="00755ED8"/>
    <w:rsid w:val="00755F74"/>
    <w:rsid w:val="007563DA"/>
    <w:rsid w:val="00756829"/>
    <w:rsid w:val="007568BB"/>
    <w:rsid w:val="0075698F"/>
    <w:rsid w:val="007574AD"/>
    <w:rsid w:val="00757848"/>
    <w:rsid w:val="00757ABE"/>
    <w:rsid w:val="0076007C"/>
    <w:rsid w:val="00760189"/>
    <w:rsid w:val="0076021C"/>
    <w:rsid w:val="00760265"/>
    <w:rsid w:val="00760E96"/>
    <w:rsid w:val="00762E55"/>
    <w:rsid w:val="0076361A"/>
    <w:rsid w:val="00763985"/>
    <w:rsid w:val="00764F74"/>
    <w:rsid w:val="007653A2"/>
    <w:rsid w:val="007655CA"/>
    <w:rsid w:val="0076574C"/>
    <w:rsid w:val="00766033"/>
    <w:rsid w:val="00767260"/>
    <w:rsid w:val="0076794B"/>
    <w:rsid w:val="00767B86"/>
    <w:rsid w:val="00770923"/>
    <w:rsid w:val="00771405"/>
    <w:rsid w:val="0077217D"/>
    <w:rsid w:val="00772C9B"/>
    <w:rsid w:val="0077309C"/>
    <w:rsid w:val="00773759"/>
    <w:rsid w:val="007743F9"/>
    <w:rsid w:val="007744F5"/>
    <w:rsid w:val="00774D42"/>
    <w:rsid w:val="007760FA"/>
    <w:rsid w:val="0077732C"/>
    <w:rsid w:val="00777865"/>
    <w:rsid w:val="0078071B"/>
    <w:rsid w:val="00780A63"/>
    <w:rsid w:val="00781956"/>
    <w:rsid w:val="00781A8E"/>
    <w:rsid w:val="00781FED"/>
    <w:rsid w:val="007820D0"/>
    <w:rsid w:val="00782388"/>
    <w:rsid w:val="00782BCC"/>
    <w:rsid w:val="007838BA"/>
    <w:rsid w:val="00783D93"/>
    <w:rsid w:val="00784880"/>
    <w:rsid w:val="007848C5"/>
    <w:rsid w:val="00784AF0"/>
    <w:rsid w:val="00784FDD"/>
    <w:rsid w:val="00785229"/>
    <w:rsid w:val="007857F0"/>
    <w:rsid w:val="00786DA3"/>
    <w:rsid w:val="00786DEA"/>
    <w:rsid w:val="007876DA"/>
    <w:rsid w:val="00787F4E"/>
    <w:rsid w:val="00790689"/>
    <w:rsid w:val="00790E0F"/>
    <w:rsid w:val="007914A3"/>
    <w:rsid w:val="007922FB"/>
    <w:rsid w:val="007923C9"/>
    <w:rsid w:val="00792417"/>
    <w:rsid w:val="00794202"/>
    <w:rsid w:val="007957FB"/>
    <w:rsid w:val="007968E2"/>
    <w:rsid w:val="007978A8"/>
    <w:rsid w:val="00797AB4"/>
    <w:rsid w:val="00797E14"/>
    <w:rsid w:val="007A0A09"/>
    <w:rsid w:val="007A0ABA"/>
    <w:rsid w:val="007A0C4E"/>
    <w:rsid w:val="007A0E4C"/>
    <w:rsid w:val="007A1AEC"/>
    <w:rsid w:val="007A1C6F"/>
    <w:rsid w:val="007A3A42"/>
    <w:rsid w:val="007A3ACE"/>
    <w:rsid w:val="007A4669"/>
    <w:rsid w:val="007A4BB2"/>
    <w:rsid w:val="007A5844"/>
    <w:rsid w:val="007A670B"/>
    <w:rsid w:val="007A7154"/>
    <w:rsid w:val="007A71FB"/>
    <w:rsid w:val="007A75CB"/>
    <w:rsid w:val="007A77AB"/>
    <w:rsid w:val="007A79ED"/>
    <w:rsid w:val="007B059E"/>
    <w:rsid w:val="007B0816"/>
    <w:rsid w:val="007B0872"/>
    <w:rsid w:val="007B147B"/>
    <w:rsid w:val="007B23F8"/>
    <w:rsid w:val="007B2A55"/>
    <w:rsid w:val="007B2B2B"/>
    <w:rsid w:val="007B30CF"/>
    <w:rsid w:val="007B326D"/>
    <w:rsid w:val="007B34A8"/>
    <w:rsid w:val="007B3672"/>
    <w:rsid w:val="007B3AB2"/>
    <w:rsid w:val="007B4292"/>
    <w:rsid w:val="007B4A9A"/>
    <w:rsid w:val="007B4E74"/>
    <w:rsid w:val="007B4F88"/>
    <w:rsid w:val="007B543B"/>
    <w:rsid w:val="007B5F7B"/>
    <w:rsid w:val="007B71EC"/>
    <w:rsid w:val="007B724D"/>
    <w:rsid w:val="007B763D"/>
    <w:rsid w:val="007B7910"/>
    <w:rsid w:val="007B7E0E"/>
    <w:rsid w:val="007B7F40"/>
    <w:rsid w:val="007C0293"/>
    <w:rsid w:val="007C042A"/>
    <w:rsid w:val="007C0682"/>
    <w:rsid w:val="007C12D9"/>
    <w:rsid w:val="007C1A79"/>
    <w:rsid w:val="007C1C47"/>
    <w:rsid w:val="007C20E2"/>
    <w:rsid w:val="007C2176"/>
    <w:rsid w:val="007C2711"/>
    <w:rsid w:val="007C2AEA"/>
    <w:rsid w:val="007C33C2"/>
    <w:rsid w:val="007C348A"/>
    <w:rsid w:val="007C35B7"/>
    <w:rsid w:val="007C3BD3"/>
    <w:rsid w:val="007C478A"/>
    <w:rsid w:val="007C4EAD"/>
    <w:rsid w:val="007C6697"/>
    <w:rsid w:val="007C68F1"/>
    <w:rsid w:val="007C6CC7"/>
    <w:rsid w:val="007C762A"/>
    <w:rsid w:val="007C7EB6"/>
    <w:rsid w:val="007D032C"/>
    <w:rsid w:val="007D0861"/>
    <w:rsid w:val="007D0D19"/>
    <w:rsid w:val="007D0D34"/>
    <w:rsid w:val="007D1121"/>
    <w:rsid w:val="007D236B"/>
    <w:rsid w:val="007D354D"/>
    <w:rsid w:val="007D3D4E"/>
    <w:rsid w:val="007D414A"/>
    <w:rsid w:val="007D4608"/>
    <w:rsid w:val="007D4763"/>
    <w:rsid w:val="007D47C6"/>
    <w:rsid w:val="007D4A58"/>
    <w:rsid w:val="007D5772"/>
    <w:rsid w:val="007D5AF4"/>
    <w:rsid w:val="007D70E1"/>
    <w:rsid w:val="007D7295"/>
    <w:rsid w:val="007D7383"/>
    <w:rsid w:val="007D75C1"/>
    <w:rsid w:val="007D75ED"/>
    <w:rsid w:val="007D79F0"/>
    <w:rsid w:val="007E010B"/>
    <w:rsid w:val="007E0ADD"/>
    <w:rsid w:val="007E1073"/>
    <w:rsid w:val="007E1312"/>
    <w:rsid w:val="007E2310"/>
    <w:rsid w:val="007E28D1"/>
    <w:rsid w:val="007E2CE5"/>
    <w:rsid w:val="007E2D78"/>
    <w:rsid w:val="007E2E01"/>
    <w:rsid w:val="007E4717"/>
    <w:rsid w:val="007E48DF"/>
    <w:rsid w:val="007E4C00"/>
    <w:rsid w:val="007E4C9A"/>
    <w:rsid w:val="007E74B8"/>
    <w:rsid w:val="007E7EF1"/>
    <w:rsid w:val="007F071A"/>
    <w:rsid w:val="007F0CBE"/>
    <w:rsid w:val="007F0E76"/>
    <w:rsid w:val="007F2038"/>
    <w:rsid w:val="007F25FE"/>
    <w:rsid w:val="007F3295"/>
    <w:rsid w:val="007F3E0D"/>
    <w:rsid w:val="007F4073"/>
    <w:rsid w:val="007F451C"/>
    <w:rsid w:val="007F4F3B"/>
    <w:rsid w:val="007F4FCD"/>
    <w:rsid w:val="007F50EC"/>
    <w:rsid w:val="007F5B1E"/>
    <w:rsid w:val="007F69A1"/>
    <w:rsid w:val="007F6A30"/>
    <w:rsid w:val="007F7480"/>
    <w:rsid w:val="00800A3E"/>
    <w:rsid w:val="00800AC0"/>
    <w:rsid w:val="00800E5F"/>
    <w:rsid w:val="00800E7D"/>
    <w:rsid w:val="00800F79"/>
    <w:rsid w:val="00800F87"/>
    <w:rsid w:val="008025CF"/>
    <w:rsid w:val="00802632"/>
    <w:rsid w:val="00802FC2"/>
    <w:rsid w:val="008034A1"/>
    <w:rsid w:val="00803C66"/>
    <w:rsid w:val="00803E53"/>
    <w:rsid w:val="00804221"/>
    <w:rsid w:val="008042DD"/>
    <w:rsid w:val="0080611A"/>
    <w:rsid w:val="00807D65"/>
    <w:rsid w:val="0081055F"/>
    <w:rsid w:val="008106FF"/>
    <w:rsid w:val="0081182C"/>
    <w:rsid w:val="0081236B"/>
    <w:rsid w:val="00812BC0"/>
    <w:rsid w:val="00812F58"/>
    <w:rsid w:val="00813F5B"/>
    <w:rsid w:val="00813FD7"/>
    <w:rsid w:val="00814723"/>
    <w:rsid w:val="008150F3"/>
    <w:rsid w:val="00815486"/>
    <w:rsid w:val="008154D6"/>
    <w:rsid w:val="0081578F"/>
    <w:rsid w:val="00815FF4"/>
    <w:rsid w:val="00816CEF"/>
    <w:rsid w:val="00816EBA"/>
    <w:rsid w:val="00817A2A"/>
    <w:rsid w:val="00821DEC"/>
    <w:rsid w:val="00823344"/>
    <w:rsid w:val="008253C8"/>
    <w:rsid w:val="008259AD"/>
    <w:rsid w:val="008259F4"/>
    <w:rsid w:val="00826091"/>
    <w:rsid w:val="008272DC"/>
    <w:rsid w:val="00827AD2"/>
    <w:rsid w:val="00830061"/>
    <w:rsid w:val="008305CE"/>
    <w:rsid w:val="008307DB"/>
    <w:rsid w:val="00830A99"/>
    <w:rsid w:val="00830CD3"/>
    <w:rsid w:val="00831476"/>
    <w:rsid w:val="00831614"/>
    <w:rsid w:val="0083167B"/>
    <w:rsid w:val="00831B55"/>
    <w:rsid w:val="008320A3"/>
    <w:rsid w:val="00832108"/>
    <w:rsid w:val="0083264D"/>
    <w:rsid w:val="0083363A"/>
    <w:rsid w:val="00833CB6"/>
    <w:rsid w:val="00836293"/>
    <w:rsid w:val="008365BF"/>
    <w:rsid w:val="008368B0"/>
    <w:rsid w:val="008379B3"/>
    <w:rsid w:val="00837B8F"/>
    <w:rsid w:val="00837C89"/>
    <w:rsid w:val="00837E92"/>
    <w:rsid w:val="0084009D"/>
    <w:rsid w:val="00840348"/>
    <w:rsid w:val="00841C1D"/>
    <w:rsid w:val="00841D7F"/>
    <w:rsid w:val="00842B71"/>
    <w:rsid w:val="00842F87"/>
    <w:rsid w:val="008443DE"/>
    <w:rsid w:val="00844605"/>
    <w:rsid w:val="00845BBA"/>
    <w:rsid w:val="00846378"/>
    <w:rsid w:val="008466C0"/>
    <w:rsid w:val="00846789"/>
    <w:rsid w:val="00847C7C"/>
    <w:rsid w:val="00850EF0"/>
    <w:rsid w:val="00850FD9"/>
    <w:rsid w:val="008516A5"/>
    <w:rsid w:val="00851A60"/>
    <w:rsid w:val="00851D38"/>
    <w:rsid w:val="00851F2F"/>
    <w:rsid w:val="0085200C"/>
    <w:rsid w:val="0085253D"/>
    <w:rsid w:val="0085260F"/>
    <w:rsid w:val="00852943"/>
    <w:rsid w:val="0085294B"/>
    <w:rsid w:val="008537C3"/>
    <w:rsid w:val="00853B69"/>
    <w:rsid w:val="00853BF2"/>
    <w:rsid w:val="00853E9F"/>
    <w:rsid w:val="00854476"/>
    <w:rsid w:val="0085450A"/>
    <w:rsid w:val="00855BA4"/>
    <w:rsid w:val="008562D3"/>
    <w:rsid w:val="00860343"/>
    <w:rsid w:val="00860370"/>
    <w:rsid w:val="0086180E"/>
    <w:rsid w:val="00861E6E"/>
    <w:rsid w:val="008622F0"/>
    <w:rsid w:val="00862D04"/>
    <w:rsid w:val="00862D62"/>
    <w:rsid w:val="00863753"/>
    <w:rsid w:val="008637E2"/>
    <w:rsid w:val="00863A9D"/>
    <w:rsid w:val="00863C17"/>
    <w:rsid w:val="0086424C"/>
    <w:rsid w:val="008643FE"/>
    <w:rsid w:val="008644B3"/>
    <w:rsid w:val="008646E1"/>
    <w:rsid w:val="00864A82"/>
    <w:rsid w:val="00864B28"/>
    <w:rsid w:val="00864B9E"/>
    <w:rsid w:val="00865441"/>
    <w:rsid w:val="0086564A"/>
    <w:rsid w:val="00865FDB"/>
    <w:rsid w:val="00866084"/>
    <w:rsid w:val="0086707B"/>
    <w:rsid w:val="0086740A"/>
    <w:rsid w:val="00867E6C"/>
    <w:rsid w:val="00870DAC"/>
    <w:rsid w:val="00871AFB"/>
    <w:rsid w:val="00872494"/>
    <w:rsid w:val="008725D9"/>
    <w:rsid w:val="00872BA1"/>
    <w:rsid w:val="00872CAB"/>
    <w:rsid w:val="00872F99"/>
    <w:rsid w:val="0087477F"/>
    <w:rsid w:val="008748DE"/>
    <w:rsid w:val="00874AE3"/>
    <w:rsid w:val="00874F16"/>
    <w:rsid w:val="0087507D"/>
    <w:rsid w:val="0087522B"/>
    <w:rsid w:val="00877164"/>
    <w:rsid w:val="008803A4"/>
    <w:rsid w:val="0088059C"/>
    <w:rsid w:val="008806E5"/>
    <w:rsid w:val="00880B20"/>
    <w:rsid w:val="0088107B"/>
    <w:rsid w:val="00881AA1"/>
    <w:rsid w:val="00881C9A"/>
    <w:rsid w:val="008820A7"/>
    <w:rsid w:val="008820CA"/>
    <w:rsid w:val="00882434"/>
    <w:rsid w:val="0088287F"/>
    <w:rsid w:val="00882943"/>
    <w:rsid w:val="00883EC5"/>
    <w:rsid w:val="00884253"/>
    <w:rsid w:val="0088437A"/>
    <w:rsid w:val="00884B40"/>
    <w:rsid w:val="00885048"/>
    <w:rsid w:val="00885207"/>
    <w:rsid w:val="00885672"/>
    <w:rsid w:val="00885A87"/>
    <w:rsid w:val="008865FA"/>
    <w:rsid w:val="00887007"/>
    <w:rsid w:val="008906D9"/>
    <w:rsid w:val="00891C16"/>
    <w:rsid w:val="00892409"/>
    <w:rsid w:val="00892451"/>
    <w:rsid w:val="00892BCF"/>
    <w:rsid w:val="00892E2A"/>
    <w:rsid w:val="0089369D"/>
    <w:rsid w:val="008936D8"/>
    <w:rsid w:val="00893D92"/>
    <w:rsid w:val="00893F0D"/>
    <w:rsid w:val="008959C1"/>
    <w:rsid w:val="00896610"/>
    <w:rsid w:val="008968C0"/>
    <w:rsid w:val="008969B8"/>
    <w:rsid w:val="0089732B"/>
    <w:rsid w:val="00897B58"/>
    <w:rsid w:val="00897BED"/>
    <w:rsid w:val="00897BFC"/>
    <w:rsid w:val="00897DF1"/>
    <w:rsid w:val="008A0058"/>
    <w:rsid w:val="008A01AF"/>
    <w:rsid w:val="008A02A2"/>
    <w:rsid w:val="008A0B69"/>
    <w:rsid w:val="008A0B72"/>
    <w:rsid w:val="008A1B97"/>
    <w:rsid w:val="008A26B2"/>
    <w:rsid w:val="008A26E4"/>
    <w:rsid w:val="008A2728"/>
    <w:rsid w:val="008A2D3C"/>
    <w:rsid w:val="008A2EDF"/>
    <w:rsid w:val="008A3460"/>
    <w:rsid w:val="008A3579"/>
    <w:rsid w:val="008A433F"/>
    <w:rsid w:val="008A46D2"/>
    <w:rsid w:val="008A519B"/>
    <w:rsid w:val="008A5312"/>
    <w:rsid w:val="008B01DD"/>
    <w:rsid w:val="008B09F3"/>
    <w:rsid w:val="008B1264"/>
    <w:rsid w:val="008B24FF"/>
    <w:rsid w:val="008B2D1D"/>
    <w:rsid w:val="008B3019"/>
    <w:rsid w:val="008B39C8"/>
    <w:rsid w:val="008B419D"/>
    <w:rsid w:val="008B471D"/>
    <w:rsid w:val="008B4A0A"/>
    <w:rsid w:val="008B50BF"/>
    <w:rsid w:val="008B6875"/>
    <w:rsid w:val="008B6AFE"/>
    <w:rsid w:val="008C0420"/>
    <w:rsid w:val="008C137C"/>
    <w:rsid w:val="008C1763"/>
    <w:rsid w:val="008C2099"/>
    <w:rsid w:val="008C21B9"/>
    <w:rsid w:val="008C245B"/>
    <w:rsid w:val="008C2525"/>
    <w:rsid w:val="008C3773"/>
    <w:rsid w:val="008C37EE"/>
    <w:rsid w:val="008C472A"/>
    <w:rsid w:val="008C47D2"/>
    <w:rsid w:val="008C489F"/>
    <w:rsid w:val="008C4E93"/>
    <w:rsid w:val="008C5ACA"/>
    <w:rsid w:val="008C63B3"/>
    <w:rsid w:val="008C6D24"/>
    <w:rsid w:val="008C741E"/>
    <w:rsid w:val="008C7968"/>
    <w:rsid w:val="008D0498"/>
    <w:rsid w:val="008D04C4"/>
    <w:rsid w:val="008D054E"/>
    <w:rsid w:val="008D0E7D"/>
    <w:rsid w:val="008D0F33"/>
    <w:rsid w:val="008D1018"/>
    <w:rsid w:val="008D152B"/>
    <w:rsid w:val="008D1BF5"/>
    <w:rsid w:val="008D261F"/>
    <w:rsid w:val="008D2684"/>
    <w:rsid w:val="008D3EB8"/>
    <w:rsid w:val="008D443E"/>
    <w:rsid w:val="008D45D5"/>
    <w:rsid w:val="008D48C0"/>
    <w:rsid w:val="008D55E3"/>
    <w:rsid w:val="008D6456"/>
    <w:rsid w:val="008D6E6C"/>
    <w:rsid w:val="008D7E9E"/>
    <w:rsid w:val="008E03AF"/>
    <w:rsid w:val="008E06E3"/>
    <w:rsid w:val="008E0D05"/>
    <w:rsid w:val="008E0EB5"/>
    <w:rsid w:val="008E183B"/>
    <w:rsid w:val="008E2235"/>
    <w:rsid w:val="008E2694"/>
    <w:rsid w:val="008E2B2C"/>
    <w:rsid w:val="008E2DEF"/>
    <w:rsid w:val="008E34C2"/>
    <w:rsid w:val="008E3B21"/>
    <w:rsid w:val="008E3FE2"/>
    <w:rsid w:val="008E485E"/>
    <w:rsid w:val="008E4A53"/>
    <w:rsid w:val="008E4CB2"/>
    <w:rsid w:val="008E551F"/>
    <w:rsid w:val="008E59F8"/>
    <w:rsid w:val="008E5F61"/>
    <w:rsid w:val="008E64AA"/>
    <w:rsid w:val="008E6A7C"/>
    <w:rsid w:val="008E6C17"/>
    <w:rsid w:val="008E6ED0"/>
    <w:rsid w:val="008E704B"/>
    <w:rsid w:val="008E7768"/>
    <w:rsid w:val="008F11D2"/>
    <w:rsid w:val="008F15EE"/>
    <w:rsid w:val="008F304B"/>
    <w:rsid w:val="008F309E"/>
    <w:rsid w:val="008F3513"/>
    <w:rsid w:val="008F35A6"/>
    <w:rsid w:val="008F393F"/>
    <w:rsid w:val="008F4280"/>
    <w:rsid w:val="008F44F3"/>
    <w:rsid w:val="008F5AFE"/>
    <w:rsid w:val="008F642E"/>
    <w:rsid w:val="008F66AE"/>
    <w:rsid w:val="008F6E7B"/>
    <w:rsid w:val="008F78C6"/>
    <w:rsid w:val="008F7931"/>
    <w:rsid w:val="00900262"/>
    <w:rsid w:val="0090083F"/>
    <w:rsid w:val="0090094B"/>
    <w:rsid w:val="00900B38"/>
    <w:rsid w:val="00900C38"/>
    <w:rsid w:val="0090126F"/>
    <w:rsid w:val="00901613"/>
    <w:rsid w:val="00901B48"/>
    <w:rsid w:val="00901FE4"/>
    <w:rsid w:val="0090276D"/>
    <w:rsid w:val="009034FC"/>
    <w:rsid w:val="00903741"/>
    <w:rsid w:val="00904917"/>
    <w:rsid w:val="00905248"/>
    <w:rsid w:val="009054AE"/>
    <w:rsid w:val="009056D3"/>
    <w:rsid w:val="00905D43"/>
    <w:rsid w:val="009068BC"/>
    <w:rsid w:val="00906B12"/>
    <w:rsid w:val="00906DDE"/>
    <w:rsid w:val="00910A64"/>
    <w:rsid w:val="009125EF"/>
    <w:rsid w:val="00912E09"/>
    <w:rsid w:val="00913417"/>
    <w:rsid w:val="009137A1"/>
    <w:rsid w:val="00913D61"/>
    <w:rsid w:val="0091459B"/>
    <w:rsid w:val="00914A17"/>
    <w:rsid w:val="009151C9"/>
    <w:rsid w:val="0091662F"/>
    <w:rsid w:val="0091676E"/>
    <w:rsid w:val="00916F19"/>
    <w:rsid w:val="00916FF1"/>
    <w:rsid w:val="00917023"/>
    <w:rsid w:val="009177B2"/>
    <w:rsid w:val="009178A3"/>
    <w:rsid w:val="00917A58"/>
    <w:rsid w:val="00917F74"/>
    <w:rsid w:val="00917FE1"/>
    <w:rsid w:val="00920007"/>
    <w:rsid w:val="00920A14"/>
    <w:rsid w:val="00921BFD"/>
    <w:rsid w:val="00922B62"/>
    <w:rsid w:val="009234E2"/>
    <w:rsid w:val="00923B1A"/>
    <w:rsid w:val="00923B94"/>
    <w:rsid w:val="00923FC8"/>
    <w:rsid w:val="00924196"/>
    <w:rsid w:val="009244A8"/>
    <w:rsid w:val="009260EB"/>
    <w:rsid w:val="00926131"/>
    <w:rsid w:val="00926185"/>
    <w:rsid w:val="00926917"/>
    <w:rsid w:val="00927163"/>
    <w:rsid w:val="009275D5"/>
    <w:rsid w:val="00927B5E"/>
    <w:rsid w:val="00927FDF"/>
    <w:rsid w:val="0093015F"/>
    <w:rsid w:val="0093132A"/>
    <w:rsid w:val="00931670"/>
    <w:rsid w:val="0093177B"/>
    <w:rsid w:val="009329A0"/>
    <w:rsid w:val="009329DB"/>
    <w:rsid w:val="00933675"/>
    <w:rsid w:val="0093372D"/>
    <w:rsid w:val="00933772"/>
    <w:rsid w:val="00933F70"/>
    <w:rsid w:val="00934761"/>
    <w:rsid w:val="009347AC"/>
    <w:rsid w:val="00934BD0"/>
    <w:rsid w:val="00934F8F"/>
    <w:rsid w:val="009354A8"/>
    <w:rsid w:val="009357B5"/>
    <w:rsid w:val="00936087"/>
    <w:rsid w:val="009362DB"/>
    <w:rsid w:val="00936447"/>
    <w:rsid w:val="00936735"/>
    <w:rsid w:val="0093784F"/>
    <w:rsid w:val="00937EDD"/>
    <w:rsid w:val="00940731"/>
    <w:rsid w:val="00941122"/>
    <w:rsid w:val="00942174"/>
    <w:rsid w:val="00942606"/>
    <w:rsid w:val="00942A6C"/>
    <w:rsid w:val="00942C57"/>
    <w:rsid w:val="009447BB"/>
    <w:rsid w:val="009448BA"/>
    <w:rsid w:val="009466EC"/>
    <w:rsid w:val="00946A7A"/>
    <w:rsid w:val="00947D07"/>
    <w:rsid w:val="00950FB8"/>
    <w:rsid w:val="00951362"/>
    <w:rsid w:val="00951A1F"/>
    <w:rsid w:val="00952278"/>
    <w:rsid w:val="00952477"/>
    <w:rsid w:val="009527D0"/>
    <w:rsid w:val="00953323"/>
    <w:rsid w:val="00953A26"/>
    <w:rsid w:val="00953DAF"/>
    <w:rsid w:val="00953E46"/>
    <w:rsid w:val="00953FB4"/>
    <w:rsid w:val="009546D0"/>
    <w:rsid w:val="00955164"/>
    <w:rsid w:val="00955BD5"/>
    <w:rsid w:val="00955D95"/>
    <w:rsid w:val="00955FA3"/>
    <w:rsid w:val="009578D5"/>
    <w:rsid w:val="00961BAB"/>
    <w:rsid w:val="00962984"/>
    <w:rsid w:val="00962A69"/>
    <w:rsid w:val="00962B7C"/>
    <w:rsid w:val="009637F7"/>
    <w:rsid w:val="0096395C"/>
    <w:rsid w:val="009640C5"/>
    <w:rsid w:val="009644BF"/>
    <w:rsid w:val="00964B0C"/>
    <w:rsid w:val="00964E7A"/>
    <w:rsid w:val="00964FBF"/>
    <w:rsid w:val="00965F0A"/>
    <w:rsid w:val="0096653C"/>
    <w:rsid w:val="00966783"/>
    <w:rsid w:val="00966D84"/>
    <w:rsid w:val="00967923"/>
    <w:rsid w:val="00967C87"/>
    <w:rsid w:val="00967DBA"/>
    <w:rsid w:val="00967EC8"/>
    <w:rsid w:val="00970250"/>
    <w:rsid w:val="009705BC"/>
    <w:rsid w:val="00970CFF"/>
    <w:rsid w:val="00971452"/>
    <w:rsid w:val="00972DD8"/>
    <w:rsid w:val="00972E38"/>
    <w:rsid w:val="00972FA3"/>
    <w:rsid w:val="0097308F"/>
    <w:rsid w:val="00973585"/>
    <w:rsid w:val="00974187"/>
    <w:rsid w:val="00974525"/>
    <w:rsid w:val="00974EB4"/>
    <w:rsid w:val="0097548F"/>
    <w:rsid w:val="00976B12"/>
    <w:rsid w:val="0097741B"/>
    <w:rsid w:val="00977420"/>
    <w:rsid w:val="009776FE"/>
    <w:rsid w:val="00977EF1"/>
    <w:rsid w:val="00980622"/>
    <w:rsid w:val="00981007"/>
    <w:rsid w:val="00981113"/>
    <w:rsid w:val="00981420"/>
    <w:rsid w:val="00981B3A"/>
    <w:rsid w:val="009831F7"/>
    <w:rsid w:val="00983206"/>
    <w:rsid w:val="00983259"/>
    <w:rsid w:val="009833CB"/>
    <w:rsid w:val="00983CFB"/>
    <w:rsid w:val="0098425C"/>
    <w:rsid w:val="00984A1B"/>
    <w:rsid w:val="009850FC"/>
    <w:rsid w:val="00985196"/>
    <w:rsid w:val="00986580"/>
    <w:rsid w:val="00987487"/>
    <w:rsid w:val="00987DAA"/>
    <w:rsid w:val="0099032B"/>
    <w:rsid w:val="009918F9"/>
    <w:rsid w:val="00992A68"/>
    <w:rsid w:val="00993C73"/>
    <w:rsid w:val="0099407E"/>
    <w:rsid w:val="009946FE"/>
    <w:rsid w:val="00994973"/>
    <w:rsid w:val="00994B89"/>
    <w:rsid w:val="00995290"/>
    <w:rsid w:val="009957B8"/>
    <w:rsid w:val="009957C5"/>
    <w:rsid w:val="00995DF8"/>
    <w:rsid w:val="00995FEB"/>
    <w:rsid w:val="00996C7D"/>
    <w:rsid w:val="0099710E"/>
    <w:rsid w:val="00997558"/>
    <w:rsid w:val="009A02FD"/>
    <w:rsid w:val="009A0ED8"/>
    <w:rsid w:val="009A0FF1"/>
    <w:rsid w:val="009A1421"/>
    <w:rsid w:val="009A1974"/>
    <w:rsid w:val="009A1BE7"/>
    <w:rsid w:val="009A1DE4"/>
    <w:rsid w:val="009A27CF"/>
    <w:rsid w:val="009A2E01"/>
    <w:rsid w:val="009A31DF"/>
    <w:rsid w:val="009A3403"/>
    <w:rsid w:val="009A372C"/>
    <w:rsid w:val="009A3D78"/>
    <w:rsid w:val="009A3FD4"/>
    <w:rsid w:val="009A53DA"/>
    <w:rsid w:val="009A58E3"/>
    <w:rsid w:val="009A6166"/>
    <w:rsid w:val="009A6906"/>
    <w:rsid w:val="009A7A09"/>
    <w:rsid w:val="009A7B80"/>
    <w:rsid w:val="009B09C5"/>
    <w:rsid w:val="009B0FE5"/>
    <w:rsid w:val="009B120A"/>
    <w:rsid w:val="009B15C7"/>
    <w:rsid w:val="009B2383"/>
    <w:rsid w:val="009B2453"/>
    <w:rsid w:val="009B27F0"/>
    <w:rsid w:val="009B2CC4"/>
    <w:rsid w:val="009B2D79"/>
    <w:rsid w:val="009B3458"/>
    <w:rsid w:val="009B524F"/>
    <w:rsid w:val="009B57A9"/>
    <w:rsid w:val="009B6537"/>
    <w:rsid w:val="009B6781"/>
    <w:rsid w:val="009B69B9"/>
    <w:rsid w:val="009B6D96"/>
    <w:rsid w:val="009B75DD"/>
    <w:rsid w:val="009B79DA"/>
    <w:rsid w:val="009C04D0"/>
    <w:rsid w:val="009C2A2A"/>
    <w:rsid w:val="009C314C"/>
    <w:rsid w:val="009C3A7D"/>
    <w:rsid w:val="009C3E65"/>
    <w:rsid w:val="009C483A"/>
    <w:rsid w:val="009C5159"/>
    <w:rsid w:val="009C5639"/>
    <w:rsid w:val="009C5788"/>
    <w:rsid w:val="009C5EE1"/>
    <w:rsid w:val="009C6DF7"/>
    <w:rsid w:val="009D029A"/>
    <w:rsid w:val="009D03B4"/>
    <w:rsid w:val="009D0694"/>
    <w:rsid w:val="009D1184"/>
    <w:rsid w:val="009D18B0"/>
    <w:rsid w:val="009D1C08"/>
    <w:rsid w:val="009D1C1F"/>
    <w:rsid w:val="009D3019"/>
    <w:rsid w:val="009D32BA"/>
    <w:rsid w:val="009D3374"/>
    <w:rsid w:val="009D367F"/>
    <w:rsid w:val="009D3A3C"/>
    <w:rsid w:val="009D3C81"/>
    <w:rsid w:val="009D42AD"/>
    <w:rsid w:val="009D4429"/>
    <w:rsid w:val="009D4530"/>
    <w:rsid w:val="009D619C"/>
    <w:rsid w:val="009D7C92"/>
    <w:rsid w:val="009D7C9E"/>
    <w:rsid w:val="009D7E8E"/>
    <w:rsid w:val="009E01F0"/>
    <w:rsid w:val="009E03D8"/>
    <w:rsid w:val="009E1E14"/>
    <w:rsid w:val="009E20D1"/>
    <w:rsid w:val="009E2E43"/>
    <w:rsid w:val="009E3373"/>
    <w:rsid w:val="009E3BDA"/>
    <w:rsid w:val="009E45A3"/>
    <w:rsid w:val="009E51D5"/>
    <w:rsid w:val="009E55FD"/>
    <w:rsid w:val="009E6028"/>
    <w:rsid w:val="009E6C8B"/>
    <w:rsid w:val="009E7DF7"/>
    <w:rsid w:val="009F01A7"/>
    <w:rsid w:val="009F24CC"/>
    <w:rsid w:val="009F250B"/>
    <w:rsid w:val="009F2F40"/>
    <w:rsid w:val="009F4049"/>
    <w:rsid w:val="009F41A7"/>
    <w:rsid w:val="009F46D9"/>
    <w:rsid w:val="009F50F9"/>
    <w:rsid w:val="009F556F"/>
    <w:rsid w:val="009F5822"/>
    <w:rsid w:val="009F5950"/>
    <w:rsid w:val="009F6A27"/>
    <w:rsid w:val="009F7A57"/>
    <w:rsid w:val="00A001D1"/>
    <w:rsid w:val="00A00AF6"/>
    <w:rsid w:val="00A01D99"/>
    <w:rsid w:val="00A02085"/>
    <w:rsid w:val="00A021AF"/>
    <w:rsid w:val="00A02553"/>
    <w:rsid w:val="00A026D0"/>
    <w:rsid w:val="00A02874"/>
    <w:rsid w:val="00A047DB"/>
    <w:rsid w:val="00A04950"/>
    <w:rsid w:val="00A04D42"/>
    <w:rsid w:val="00A05A04"/>
    <w:rsid w:val="00A07F5D"/>
    <w:rsid w:val="00A1079C"/>
    <w:rsid w:val="00A11080"/>
    <w:rsid w:val="00A1139F"/>
    <w:rsid w:val="00A12AC3"/>
    <w:rsid w:val="00A12CDE"/>
    <w:rsid w:val="00A134FF"/>
    <w:rsid w:val="00A13B34"/>
    <w:rsid w:val="00A13F4E"/>
    <w:rsid w:val="00A14A44"/>
    <w:rsid w:val="00A14CE9"/>
    <w:rsid w:val="00A170C9"/>
    <w:rsid w:val="00A20040"/>
    <w:rsid w:val="00A20EAA"/>
    <w:rsid w:val="00A21281"/>
    <w:rsid w:val="00A213F3"/>
    <w:rsid w:val="00A2210F"/>
    <w:rsid w:val="00A223F9"/>
    <w:rsid w:val="00A225F2"/>
    <w:rsid w:val="00A227F6"/>
    <w:rsid w:val="00A22BC0"/>
    <w:rsid w:val="00A24F43"/>
    <w:rsid w:val="00A256DA"/>
    <w:rsid w:val="00A2579A"/>
    <w:rsid w:val="00A25A62"/>
    <w:rsid w:val="00A25E10"/>
    <w:rsid w:val="00A27562"/>
    <w:rsid w:val="00A27D58"/>
    <w:rsid w:val="00A3069C"/>
    <w:rsid w:val="00A30BFC"/>
    <w:rsid w:val="00A30C80"/>
    <w:rsid w:val="00A30D4C"/>
    <w:rsid w:val="00A31EF6"/>
    <w:rsid w:val="00A321A6"/>
    <w:rsid w:val="00A32841"/>
    <w:rsid w:val="00A32A3B"/>
    <w:rsid w:val="00A32FD5"/>
    <w:rsid w:val="00A33061"/>
    <w:rsid w:val="00A33B97"/>
    <w:rsid w:val="00A33EB3"/>
    <w:rsid w:val="00A3411B"/>
    <w:rsid w:val="00A3442A"/>
    <w:rsid w:val="00A34B69"/>
    <w:rsid w:val="00A3522F"/>
    <w:rsid w:val="00A3696A"/>
    <w:rsid w:val="00A36AFF"/>
    <w:rsid w:val="00A37C31"/>
    <w:rsid w:val="00A40E95"/>
    <w:rsid w:val="00A41E33"/>
    <w:rsid w:val="00A42606"/>
    <w:rsid w:val="00A426EC"/>
    <w:rsid w:val="00A42AE7"/>
    <w:rsid w:val="00A4340C"/>
    <w:rsid w:val="00A43FFE"/>
    <w:rsid w:val="00A44B02"/>
    <w:rsid w:val="00A44D62"/>
    <w:rsid w:val="00A454B4"/>
    <w:rsid w:val="00A456BF"/>
    <w:rsid w:val="00A456CE"/>
    <w:rsid w:val="00A45788"/>
    <w:rsid w:val="00A45957"/>
    <w:rsid w:val="00A45BE8"/>
    <w:rsid w:val="00A45F7B"/>
    <w:rsid w:val="00A46552"/>
    <w:rsid w:val="00A502EE"/>
    <w:rsid w:val="00A50334"/>
    <w:rsid w:val="00A50429"/>
    <w:rsid w:val="00A50814"/>
    <w:rsid w:val="00A508DC"/>
    <w:rsid w:val="00A513D3"/>
    <w:rsid w:val="00A515A8"/>
    <w:rsid w:val="00A5216E"/>
    <w:rsid w:val="00A522E6"/>
    <w:rsid w:val="00A52420"/>
    <w:rsid w:val="00A52716"/>
    <w:rsid w:val="00A52E99"/>
    <w:rsid w:val="00A532DB"/>
    <w:rsid w:val="00A540AC"/>
    <w:rsid w:val="00A55346"/>
    <w:rsid w:val="00A55434"/>
    <w:rsid w:val="00A55A23"/>
    <w:rsid w:val="00A56021"/>
    <w:rsid w:val="00A565C7"/>
    <w:rsid w:val="00A566EC"/>
    <w:rsid w:val="00A574C5"/>
    <w:rsid w:val="00A576E4"/>
    <w:rsid w:val="00A57772"/>
    <w:rsid w:val="00A60EB4"/>
    <w:rsid w:val="00A61748"/>
    <w:rsid w:val="00A61808"/>
    <w:rsid w:val="00A61BBB"/>
    <w:rsid w:val="00A61BD3"/>
    <w:rsid w:val="00A61D21"/>
    <w:rsid w:val="00A62B96"/>
    <w:rsid w:val="00A632B3"/>
    <w:rsid w:val="00A63B4F"/>
    <w:rsid w:val="00A641A6"/>
    <w:rsid w:val="00A643AC"/>
    <w:rsid w:val="00A643E1"/>
    <w:rsid w:val="00A644B2"/>
    <w:rsid w:val="00A648A6"/>
    <w:rsid w:val="00A64B65"/>
    <w:rsid w:val="00A64F75"/>
    <w:rsid w:val="00A66114"/>
    <w:rsid w:val="00A66337"/>
    <w:rsid w:val="00A67DB9"/>
    <w:rsid w:val="00A7005A"/>
    <w:rsid w:val="00A70779"/>
    <w:rsid w:val="00A707DB"/>
    <w:rsid w:val="00A70EC7"/>
    <w:rsid w:val="00A71A05"/>
    <w:rsid w:val="00A727A9"/>
    <w:rsid w:val="00A735DB"/>
    <w:rsid w:val="00A73B46"/>
    <w:rsid w:val="00A73D36"/>
    <w:rsid w:val="00A74158"/>
    <w:rsid w:val="00A74283"/>
    <w:rsid w:val="00A74305"/>
    <w:rsid w:val="00A7496E"/>
    <w:rsid w:val="00A74EBF"/>
    <w:rsid w:val="00A75F47"/>
    <w:rsid w:val="00A765A9"/>
    <w:rsid w:val="00A76FAB"/>
    <w:rsid w:val="00A775F3"/>
    <w:rsid w:val="00A7786D"/>
    <w:rsid w:val="00A802C6"/>
    <w:rsid w:val="00A804B6"/>
    <w:rsid w:val="00A80AAF"/>
    <w:rsid w:val="00A80AFB"/>
    <w:rsid w:val="00A80D55"/>
    <w:rsid w:val="00A8109F"/>
    <w:rsid w:val="00A8144B"/>
    <w:rsid w:val="00A82AD4"/>
    <w:rsid w:val="00A8392C"/>
    <w:rsid w:val="00A84017"/>
    <w:rsid w:val="00A84079"/>
    <w:rsid w:val="00A84844"/>
    <w:rsid w:val="00A84BA6"/>
    <w:rsid w:val="00A84ED4"/>
    <w:rsid w:val="00A84ED6"/>
    <w:rsid w:val="00A85204"/>
    <w:rsid w:val="00A85EC3"/>
    <w:rsid w:val="00A862EC"/>
    <w:rsid w:val="00A869D1"/>
    <w:rsid w:val="00A90523"/>
    <w:rsid w:val="00A9074A"/>
    <w:rsid w:val="00A907A4"/>
    <w:rsid w:val="00A90985"/>
    <w:rsid w:val="00A91069"/>
    <w:rsid w:val="00A91869"/>
    <w:rsid w:val="00A92194"/>
    <w:rsid w:val="00A92220"/>
    <w:rsid w:val="00A9224F"/>
    <w:rsid w:val="00A92278"/>
    <w:rsid w:val="00A923C0"/>
    <w:rsid w:val="00A92AAE"/>
    <w:rsid w:val="00A9369B"/>
    <w:rsid w:val="00A93A82"/>
    <w:rsid w:val="00A93C26"/>
    <w:rsid w:val="00A94129"/>
    <w:rsid w:val="00A94858"/>
    <w:rsid w:val="00A94AEF"/>
    <w:rsid w:val="00A950F1"/>
    <w:rsid w:val="00A95348"/>
    <w:rsid w:val="00A95468"/>
    <w:rsid w:val="00A95866"/>
    <w:rsid w:val="00A95AE8"/>
    <w:rsid w:val="00A96284"/>
    <w:rsid w:val="00A96838"/>
    <w:rsid w:val="00A96D32"/>
    <w:rsid w:val="00A9739F"/>
    <w:rsid w:val="00A973FA"/>
    <w:rsid w:val="00A979FD"/>
    <w:rsid w:val="00A97D6C"/>
    <w:rsid w:val="00AA1044"/>
    <w:rsid w:val="00AA146B"/>
    <w:rsid w:val="00AA27D2"/>
    <w:rsid w:val="00AA39E1"/>
    <w:rsid w:val="00AA3AF8"/>
    <w:rsid w:val="00AA4531"/>
    <w:rsid w:val="00AA4693"/>
    <w:rsid w:val="00AA46A2"/>
    <w:rsid w:val="00AA587A"/>
    <w:rsid w:val="00AA5A3A"/>
    <w:rsid w:val="00AA6378"/>
    <w:rsid w:val="00AA66BE"/>
    <w:rsid w:val="00AA6834"/>
    <w:rsid w:val="00AA6B81"/>
    <w:rsid w:val="00AB0235"/>
    <w:rsid w:val="00AB06BA"/>
    <w:rsid w:val="00AB17BD"/>
    <w:rsid w:val="00AB2ECA"/>
    <w:rsid w:val="00AB37D4"/>
    <w:rsid w:val="00AB422D"/>
    <w:rsid w:val="00AB4CC2"/>
    <w:rsid w:val="00AB56A3"/>
    <w:rsid w:val="00AB5F2D"/>
    <w:rsid w:val="00AB647E"/>
    <w:rsid w:val="00AB7626"/>
    <w:rsid w:val="00AB7656"/>
    <w:rsid w:val="00AB771F"/>
    <w:rsid w:val="00AB7868"/>
    <w:rsid w:val="00AB7D97"/>
    <w:rsid w:val="00AC02E5"/>
    <w:rsid w:val="00AC0386"/>
    <w:rsid w:val="00AC1681"/>
    <w:rsid w:val="00AC1A85"/>
    <w:rsid w:val="00AC2536"/>
    <w:rsid w:val="00AC28F8"/>
    <w:rsid w:val="00AC2B6F"/>
    <w:rsid w:val="00AC2C57"/>
    <w:rsid w:val="00AC316B"/>
    <w:rsid w:val="00AC347A"/>
    <w:rsid w:val="00AC34BB"/>
    <w:rsid w:val="00AC37B4"/>
    <w:rsid w:val="00AC440E"/>
    <w:rsid w:val="00AC44CF"/>
    <w:rsid w:val="00AC4588"/>
    <w:rsid w:val="00AC5CCE"/>
    <w:rsid w:val="00AC61A4"/>
    <w:rsid w:val="00AC6305"/>
    <w:rsid w:val="00AC68A8"/>
    <w:rsid w:val="00AC6AA4"/>
    <w:rsid w:val="00AC6BC8"/>
    <w:rsid w:val="00AC71A1"/>
    <w:rsid w:val="00AC75C5"/>
    <w:rsid w:val="00AC764F"/>
    <w:rsid w:val="00AC7670"/>
    <w:rsid w:val="00AD08DB"/>
    <w:rsid w:val="00AD26F6"/>
    <w:rsid w:val="00AD2883"/>
    <w:rsid w:val="00AD2E28"/>
    <w:rsid w:val="00AD304C"/>
    <w:rsid w:val="00AD3339"/>
    <w:rsid w:val="00AD35FD"/>
    <w:rsid w:val="00AD42F6"/>
    <w:rsid w:val="00AD48CA"/>
    <w:rsid w:val="00AD4B19"/>
    <w:rsid w:val="00AD52A4"/>
    <w:rsid w:val="00AD56C5"/>
    <w:rsid w:val="00AD5C3A"/>
    <w:rsid w:val="00AD6ECF"/>
    <w:rsid w:val="00AD7FF8"/>
    <w:rsid w:val="00AE003F"/>
    <w:rsid w:val="00AE0301"/>
    <w:rsid w:val="00AE0693"/>
    <w:rsid w:val="00AE1BE1"/>
    <w:rsid w:val="00AE2015"/>
    <w:rsid w:val="00AE249F"/>
    <w:rsid w:val="00AE2B80"/>
    <w:rsid w:val="00AE40DA"/>
    <w:rsid w:val="00AE44A3"/>
    <w:rsid w:val="00AE44EA"/>
    <w:rsid w:val="00AE4551"/>
    <w:rsid w:val="00AE478B"/>
    <w:rsid w:val="00AE50DB"/>
    <w:rsid w:val="00AE63CF"/>
    <w:rsid w:val="00AE64F3"/>
    <w:rsid w:val="00AF1BF6"/>
    <w:rsid w:val="00AF1F2D"/>
    <w:rsid w:val="00AF1F4D"/>
    <w:rsid w:val="00AF2C51"/>
    <w:rsid w:val="00AF3A92"/>
    <w:rsid w:val="00AF3EF7"/>
    <w:rsid w:val="00AF5297"/>
    <w:rsid w:val="00AF5885"/>
    <w:rsid w:val="00AF7735"/>
    <w:rsid w:val="00AF7A1A"/>
    <w:rsid w:val="00B00207"/>
    <w:rsid w:val="00B002F0"/>
    <w:rsid w:val="00B00D5A"/>
    <w:rsid w:val="00B01642"/>
    <w:rsid w:val="00B0172F"/>
    <w:rsid w:val="00B01920"/>
    <w:rsid w:val="00B01AD1"/>
    <w:rsid w:val="00B037ED"/>
    <w:rsid w:val="00B03A6E"/>
    <w:rsid w:val="00B03BC4"/>
    <w:rsid w:val="00B04C24"/>
    <w:rsid w:val="00B04FC7"/>
    <w:rsid w:val="00B06B7F"/>
    <w:rsid w:val="00B07052"/>
    <w:rsid w:val="00B07EA6"/>
    <w:rsid w:val="00B10C87"/>
    <w:rsid w:val="00B11449"/>
    <w:rsid w:val="00B125BA"/>
    <w:rsid w:val="00B1280A"/>
    <w:rsid w:val="00B12974"/>
    <w:rsid w:val="00B12BBB"/>
    <w:rsid w:val="00B145AD"/>
    <w:rsid w:val="00B14B83"/>
    <w:rsid w:val="00B1514F"/>
    <w:rsid w:val="00B15813"/>
    <w:rsid w:val="00B163F0"/>
    <w:rsid w:val="00B16605"/>
    <w:rsid w:val="00B16EB8"/>
    <w:rsid w:val="00B17241"/>
    <w:rsid w:val="00B1753C"/>
    <w:rsid w:val="00B17A65"/>
    <w:rsid w:val="00B17F99"/>
    <w:rsid w:val="00B20C00"/>
    <w:rsid w:val="00B20DB4"/>
    <w:rsid w:val="00B20F03"/>
    <w:rsid w:val="00B21D8F"/>
    <w:rsid w:val="00B22C9A"/>
    <w:rsid w:val="00B232AB"/>
    <w:rsid w:val="00B234E0"/>
    <w:rsid w:val="00B248AF"/>
    <w:rsid w:val="00B255A2"/>
    <w:rsid w:val="00B25690"/>
    <w:rsid w:val="00B26023"/>
    <w:rsid w:val="00B26611"/>
    <w:rsid w:val="00B2669F"/>
    <w:rsid w:val="00B272EB"/>
    <w:rsid w:val="00B27385"/>
    <w:rsid w:val="00B308EC"/>
    <w:rsid w:val="00B30EB9"/>
    <w:rsid w:val="00B318C1"/>
    <w:rsid w:val="00B318D8"/>
    <w:rsid w:val="00B31D2D"/>
    <w:rsid w:val="00B32830"/>
    <w:rsid w:val="00B32F40"/>
    <w:rsid w:val="00B33980"/>
    <w:rsid w:val="00B33F65"/>
    <w:rsid w:val="00B34371"/>
    <w:rsid w:val="00B34B6C"/>
    <w:rsid w:val="00B34C0C"/>
    <w:rsid w:val="00B34F09"/>
    <w:rsid w:val="00B373F0"/>
    <w:rsid w:val="00B37556"/>
    <w:rsid w:val="00B40B04"/>
    <w:rsid w:val="00B40D59"/>
    <w:rsid w:val="00B41971"/>
    <w:rsid w:val="00B41C59"/>
    <w:rsid w:val="00B4249D"/>
    <w:rsid w:val="00B42D23"/>
    <w:rsid w:val="00B43300"/>
    <w:rsid w:val="00B4352A"/>
    <w:rsid w:val="00B44687"/>
    <w:rsid w:val="00B4468B"/>
    <w:rsid w:val="00B44E4C"/>
    <w:rsid w:val="00B45B5A"/>
    <w:rsid w:val="00B46171"/>
    <w:rsid w:val="00B47CD4"/>
    <w:rsid w:val="00B502AF"/>
    <w:rsid w:val="00B50D70"/>
    <w:rsid w:val="00B51C9D"/>
    <w:rsid w:val="00B53507"/>
    <w:rsid w:val="00B540E9"/>
    <w:rsid w:val="00B54277"/>
    <w:rsid w:val="00B544E6"/>
    <w:rsid w:val="00B55EC6"/>
    <w:rsid w:val="00B56A22"/>
    <w:rsid w:val="00B56DAE"/>
    <w:rsid w:val="00B57293"/>
    <w:rsid w:val="00B5763C"/>
    <w:rsid w:val="00B577BD"/>
    <w:rsid w:val="00B57BBF"/>
    <w:rsid w:val="00B609C7"/>
    <w:rsid w:val="00B61013"/>
    <w:rsid w:val="00B61505"/>
    <w:rsid w:val="00B618D5"/>
    <w:rsid w:val="00B61CED"/>
    <w:rsid w:val="00B61E33"/>
    <w:rsid w:val="00B622C5"/>
    <w:rsid w:val="00B62432"/>
    <w:rsid w:val="00B631D7"/>
    <w:rsid w:val="00B638F8"/>
    <w:rsid w:val="00B63ACB"/>
    <w:rsid w:val="00B64013"/>
    <w:rsid w:val="00B649B8"/>
    <w:rsid w:val="00B64AC3"/>
    <w:rsid w:val="00B64F5B"/>
    <w:rsid w:val="00B64F6C"/>
    <w:rsid w:val="00B65091"/>
    <w:rsid w:val="00B65544"/>
    <w:rsid w:val="00B65946"/>
    <w:rsid w:val="00B65E22"/>
    <w:rsid w:val="00B65EBC"/>
    <w:rsid w:val="00B66B5C"/>
    <w:rsid w:val="00B66B67"/>
    <w:rsid w:val="00B67569"/>
    <w:rsid w:val="00B677A5"/>
    <w:rsid w:val="00B7037E"/>
    <w:rsid w:val="00B704B0"/>
    <w:rsid w:val="00B71522"/>
    <w:rsid w:val="00B72E42"/>
    <w:rsid w:val="00B73229"/>
    <w:rsid w:val="00B734E1"/>
    <w:rsid w:val="00B73641"/>
    <w:rsid w:val="00B73F5D"/>
    <w:rsid w:val="00B7431D"/>
    <w:rsid w:val="00B744B0"/>
    <w:rsid w:val="00B749AF"/>
    <w:rsid w:val="00B74B3A"/>
    <w:rsid w:val="00B74BE1"/>
    <w:rsid w:val="00B74D15"/>
    <w:rsid w:val="00B75894"/>
    <w:rsid w:val="00B77708"/>
    <w:rsid w:val="00B77801"/>
    <w:rsid w:val="00B77A5E"/>
    <w:rsid w:val="00B8014F"/>
    <w:rsid w:val="00B80ECE"/>
    <w:rsid w:val="00B81CC0"/>
    <w:rsid w:val="00B826A1"/>
    <w:rsid w:val="00B82A93"/>
    <w:rsid w:val="00B82BB9"/>
    <w:rsid w:val="00B82EB1"/>
    <w:rsid w:val="00B83344"/>
    <w:rsid w:val="00B84791"/>
    <w:rsid w:val="00B84B26"/>
    <w:rsid w:val="00B84BE8"/>
    <w:rsid w:val="00B8537B"/>
    <w:rsid w:val="00B85D40"/>
    <w:rsid w:val="00B85DBE"/>
    <w:rsid w:val="00B85F66"/>
    <w:rsid w:val="00B865D2"/>
    <w:rsid w:val="00B86688"/>
    <w:rsid w:val="00B86759"/>
    <w:rsid w:val="00B86C38"/>
    <w:rsid w:val="00B8718B"/>
    <w:rsid w:val="00B87218"/>
    <w:rsid w:val="00B876A1"/>
    <w:rsid w:val="00B87C3A"/>
    <w:rsid w:val="00B909B2"/>
    <w:rsid w:val="00B90BFC"/>
    <w:rsid w:val="00B90C9E"/>
    <w:rsid w:val="00B91F2B"/>
    <w:rsid w:val="00B921CF"/>
    <w:rsid w:val="00B92313"/>
    <w:rsid w:val="00B92836"/>
    <w:rsid w:val="00B9295A"/>
    <w:rsid w:val="00B929D6"/>
    <w:rsid w:val="00B92D5B"/>
    <w:rsid w:val="00B938FF"/>
    <w:rsid w:val="00B94334"/>
    <w:rsid w:val="00B95893"/>
    <w:rsid w:val="00B97BE2"/>
    <w:rsid w:val="00B97F09"/>
    <w:rsid w:val="00BA0DE0"/>
    <w:rsid w:val="00BA17C3"/>
    <w:rsid w:val="00BA1B6B"/>
    <w:rsid w:val="00BA2158"/>
    <w:rsid w:val="00BA392D"/>
    <w:rsid w:val="00BA3E05"/>
    <w:rsid w:val="00BA3EA5"/>
    <w:rsid w:val="00BA45E7"/>
    <w:rsid w:val="00BA50C1"/>
    <w:rsid w:val="00BA671D"/>
    <w:rsid w:val="00BA6CC9"/>
    <w:rsid w:val="00BA779E"/>
    <w:rsid w:val="00BA788B"/>
    <w:rsid w:val="00BA7938"/>
    <w:rsid w:val="00BA7B28"/>
    <w:rsid w:val="00BA7FD1"/>
    <w:rsid w:val="00BB068E"/>
    <w:rsid w:val="00BB1A25"/>
    <w:rsid w:val="00BB1D69"/>
    <w:rsid w:val="00BB25ED"/>
    <w:rsid w:val="00BB2C6C"/>
    <w:rsid w:val="00BB2F53"/>
    <w:rsid w:val="00BB2F7A"/>
    <w:rsid w:val="00BB4AF1"/>
    <w:rsid w:val="00BB4D42"/>
    <w:rsid w:val="00BB4ECE"/>
    <w:rsid w:val="00BB4EFB"/>
    <w:rsid w:val="00BB51FD"/>
    <w:rsid w:val="00BB57C2"/>
    <w:rsid w:val="00BB5FAF"/>
    <w:rsid w:val="00BB6316"/>
    <w:rsid w:val="00BB67D2"/>
    <w:rsid w:val="00BB7A9F"/>
    <w:rsid w:val="00BB7FE6"/>
    <w:rsid w:val="00BC02B7"/>
    <w:rsid w:val="00BC0B69"/>
    <w:rsid w:val="00BC0D26"/>
    <w:rsid w:val="00BC0F8D"/>
    <w:rsid w:val="00BC1069"/>
    <w:rsid w:val="00BC159B"/>
    <w:rsid w:val="00BC1865"/>
    <w:rsid w:val="00BC2755"/>
    <w:rsid w:val="00BC29B1"/>
    <w:rsid w:val="00BC29C9"/>
    <w:rsid w:val="00BC3C00"/>
    <w:rsid w:val="00BC491F"/>
    <w:rsid w:val="00BC524D"/>
    <w:rsid w:val="00BD0291"/>
    <w:rsid w:val="00BD053E"/>
    <w:rsid w:val="00BD1CF9"/>
    <w:rsid w:val="00BD2764"/>
    <w:rsid w:val="00BD2C92"/>
    <w:rsid w:val="00BD2E3A"/>
    <w:rsid w:val="00BD3A6B"/>
    <w:rsid w:val="00BD3DE9"/>
    <w:rsid w:val="00BD4664"/>
    <w:rsid w:val="00BD467D"/>
    <w:rsid w:val="00BD4802"/>
    <w:rsid w:val="00BD53E2"/>
    <w:rsid w:val="00BD5B8E"/>
    <w:rsid w:val="00BD6223"/>
    <w:rsid w:val="00BD735E"/>
    <w:rsid w:val="00BD7480"/>
    <w:rsid w:val="00BD7BAC"/>
    <w:rsid w:val="00BD7E9A"/>
    <w:rsid w:val="00BE0AE2"/>
    <w:rsid w:val="00BE0E73"/>
    <w:rsid w:val="00BE1967"/>
    <w:rsid w:val="00BE19C5"/>
    <w:rsid w:val="00BE1E19"/>
    <w:rsid w:val="00BE20F4"/>
    <w:rsid w:val="00BE2768"/>
    <w:rsid w:val="00BE304B"/>
    <w:rsid w:val="00BE39FC"/>
    <w:rsid w:val="00BE3DB9"/>
    <w:rsid w:val="00BE433D"/>
    <w:rsid w:val="00BE43FC"/>
    <w:rsid w:val="00BE4F10"/>
    <w:rsid w:val="00BE50E3"/>
    <w:rsid w:val="00BE57BF"/>
    <w:rsid w:val="00BE5D7E"/>
    <w:rsid w:val="00BE7282"/>
    <w:rsid w:val="00BF01AF"/>
    <w:rsid w:val="00BF07FE"/>
    <w:rsid w:val="00BF13B0"/>
    <w:rsid w:val="00BF14B2"/>
    <w:rsid w:val="00BF198A"/>
    <w:rsid w:val="00BF3438"/>
    <w:rsid w:val="00BF3B72"/>
    <w:rsid w:val="00BF43DA"/>
    <w:rsid w:val="00BF4A55"/>
    <w:rsid w:val="00BF4BB2"/>
    <w:rsid w:val="00BF56F9"/>
    <w:rsid w:val="00BF5B5A"/>
    <w:rsid w:val="00BF69B6"/>
    <w:rsid w:val="00BF7350"/>
    <w:rsid w:val="00BF7B0E"/>
    <w:rsid w:val="00BF7C95"/>
    <w:rsid w:val="00C024E3"/>
    <w:rsid w:val="00C027B9"/>
    <w:rsid w:val="00C02DC4"/>
    <w:rsid w:val="00C030B0"/>
    <w:rsid w:val="00C035EB"/>
    <w:rsid w:val="00C05431"/>
    <w:rsid w:val="00C05823"/>
    <w:rsid w:val="00C05F7D"/>
    <w:rsid w:val="00C07889"/>
    <w:rsid w:val="00C07B73"/>
    <w:rsid w:val="00C10074"/>
    <w:rsid w:val="00C108EB"/>
    <w:rsid w:val="00C114AD"/>
    <w:rsid w:val="00C11544"/>
    <w:rsid w:val="00C1166A"/>
    <w:rsid w:val="00C11BD5"/>
    <w:rsid w:val="00C11E34"/>
    <w:rsid w:val="00C11FB8"/>
    <w:rsid w:val="00C12F46"/>
    <w:rsid w:val="00C13E09"/>
    <w:rsid w:val="00C13E7C"/>
    <w:rsid w:val="00C13FD8"/>
    <w:rsid w:val="00C14296"/>
    <w:rsid w:val="00C145D8"/>
    <w:rsid w:val="00C14830"/>
    <w:rsid w:val="00C14AFC"/>
    <w:rsid w:val="00C16ABA"/>
    <w:rsid w:val="00C1784B"/>
    <w:rsid w:val="00C1799C"/>
    <w:rsid w:val="00C204F1"/>
    <w:rsid w:val="00C20EE2"/>
    <w:rsid w:val="00C21F8A"/>
    <w:rsid w:val="00C22378"/>
    <w:rsid w:val="00C2247B"/>
    <w:rsid w:val="00C22D3F"/>
    <w:rsid w:val="00C23322"/>
    <w:rsid w:val="00C2368C"/>
    <w:rsid w:val="00C24472"/>
    <w:rsid w:val="00C246FB"/>
    <w:rsid w:val="00C24CEF"/>
    <w:rsid w:val="00C24DAC"/>
    <w:rsid w:val="00C259A3"/>
    <w:rsid w:val="00C263EB"/>
    <w:rsid w:val="00C266EA"/>
    <w:rsid w:val="00C26700"/>
    <w:rsid w:val="00C268C8"/>
    <w:rsid w:val="00C26DDA"/>
    <w:rsid w:val="00C27CB1"/>
    <w:rsid w:val="00C3073D"/>
    <w:rsid w:val="00C30962"/>
    <w:rsid w:val="00C30D8B"/>
    <w:rsid w:val="00C30EDA"/>
    <w:rsid w:val="00C30FF2"/>
    <w:rsid w:val="00C31C92"/>
    <w:rsid w:val="00C3219F"/>
    <w:rsid w:val="00C32322"/>
    <w:rsid w:val="00C32BC3"/>
    <w:rsid w:val="00C3301B"/>
    <w:rsid w:val="00C332E4"/>
    <w:rsid w:val="00C33479"/>
    <w:rsid w:val="00C34626"/>
    <w:rsid w:val="00C34B5C"/>
    <w:rsid w:val="00C34CF0"/>
    <w:rsid w:val="00C34E9A"/>
    <w:rsid w:val="00C36587"/>
    <w:rsid w:val="00C366B2"/>
    <w:rsid w:val="00C366D1"/>
    <w:rsid w:val="00C3691A"/>
    <w:rsid w:val="00C36940"/>
    <w:rsid w:val="00C3731F"/>
    <w:rsid w:val="00C37948"/>
    <w:rsid w:val="00C379EF"/>
    <w:rsid w:val="00C37BA9"/>
    <w:rsid w:val="00C40862"/>
    <w:rsid w:val="00C413DE"/>
    <w:rsid w:val="00C41F02"/>
    <w:rsid w:val="00C424BC"/>
    <w:rsid w:val="00C42825"/>
    <w:rsid w:val="00C42A91"/>
    <w:rsid w:val="00C4441A"/>
    <w:rsid w:val="00C449C0"/>
    <w:rsid w:val="00C44F1A"/>
    <w:rsid w:val="00C45645"/>
    <w:rsid w:val="00C4597B"/>
    <w:rsid w:val="00C45E75"/>
    <w:rsid w:val="00C461C4"/>
    <w:rsid w:val="00C468B8"/>
    <w:rsid w:val="00C46F0F"/>
    <w:rsid w:val="00C46F8A"/>
    <w:rsid w:val="00C4776B"/>
    <w:rsid w:val="00C504B1"/>
    <w:rsid w:val="00C5061C"/>
    <w:rsid w:val="00C50BE7"/>
    <w:rsid w:val="00C5174F"/>
    <w:rsid w:val="00C5188F"/>
    <w:rsid w:val="00C51933"/>
    <w:rsid w:val="00C51A62"/>
    <w:rsid w:val="00C51ACF"/>
    <w:rsid w:val="00C51C46"/>
    <w:rsid w:val="00C5281E"/>
    <w:rsid w:val="00C53004"/>
    <w:rsid w:val="00C534FC"/>
    <w:rsid w:val="00C53775"/>
    <w:rsid w:val="00C549B5"/>
    <w:rsid w:val="00C5530B"/>
    <w:rsid w:val="00C555E4"/>
    <w:rsid w:val="00C55F4A"/>
    <w:rsid w:val="00C56094"/>
    <w:rsid w:val="00C56A08"/>
    <w:rsid w:val="00C56BBA"/>
    <w:rsid w:val="00C5733A"/>
    <w:rsid w:val="00C57C09"/>
    <w:rsid w:val="00C57E0D"/>
    <w:rsid w:val="00C60545"/>
    <w:rsid w:val="00C60C6E"/>
    <w:rsid w:val="00C62493"/>
    <w:rsid w:val="00C63916"/>
    <w:rsid w:val="00C64608"/>
    <w:rsid w:val="00C646BA"/>
    <w:rsid w:val="00C650F8"/>
    <w:rsid w:val="00C665BC"/>
    <w:rsid w:val="00C67396"/>
    <w:rsid w:val="00C675E0"/>
    <w:rsid w:val="00C67ACD"/>
    <w:rsid w:val="00C7052E"/>
    <w:rsid w:val="00C70E70"/>
    <w:rsid w:val="00C7122E"/>
    <w:rsid w:val="00C72571"/>
    <w:rsid w:val="00C73D61"/>
    <w:rsid w:val="00C74A6F"/>
    <w:rsid w:val="00C74AE5"/>
    <w:rsid w:val="00C74F71"/>
    <w:rsid w:val="00C74F9E"/>
    <w:rsid w:val="00C75640"/>
    <w:rsid w:val="00C75919"/>
    <w:rsid w:val="00C76409"/>
    <w:rsid w:val="00C7712F"/>
    <w:rsid w:val="00C778EC"/>
    <w:rsid w:val="00C80AFF"/>
    <w:rsid w:val="00C80FD1"/>
    <w:rsid w:val="00C81B2C"/>
    <w:rsid w:val="00C81B62"/>
    <w:rsid w:val="00C8380B"/>
    <w:rsid w:val="00C83BED"/>
    <w:rsid w:val="00C84C91"/>
    <w:rsid w:val="00C87252"/>
    <w:rsid w:val="00C87AE1"/>
    <w:rsid w:val="00C87B42"/>
    <w:rsid w:val="00C87CFC"/>
    <w:rsid w:val="00C90735"/>
    <w:rsid w:val="00C90DFB"/>
    <w:rsid w:val="00C91E23"/>
    <w:rsid w:val="00C926EE"/>
    <w:rsid w:val="00C9271E"/>
    <w:rsid w:val="00C92AF6"/>
    <w:rsid w:val="00C93965"/>
    <w:rsid w:val="00C93A10"/>
    <w:rsid w:val="00C93EA4"/>
    <w:rsid w:val="00C9458C"/>
    <w:rsid w:val="00C94932"/>
    <w:rsid w:val="00C9498B"/>
    <w:rsid w:val="00C94A13"/>
    <w:rsid w:val="00C94FDA"/>
    <w:rsid w:val="00C9638F"/>
    <w:rsid w:val="00C9747B"/>
    <w:rsid w:val="00C975B5"/>
    <w:rsid w:val="00C97C64"/>
    <w:rsid w:val="00CA031F"/>
    <w:rsid w:val="00CA0881"/>
    <w:rsid w:val="00CA0FA4"/>
    <w:rsid w:val="00CA1590"/>
    <w:rsid w:val="00CA1D3D"/>
    <w:rsid w:val="00CA2D2A"/>
    <w:rsid w:val="00CA31C6"/>
    <w:rsid w:val="00CA31C7"/>
    <w:rsid w:val="00CA368E"/>
    <w:rsid w:val="00CA39D9"/>
    <w:rsid w:val="00CA3EDF"/>
    <w:rsid w:val="00CA4BE5"/>
    <w:rsid w:val="00CA4C6D"/>
    <w:rsid w:val="00CA5A1F"/>
    <w:rsid w:val="00CA5B14"/>
    <w:rsid w:val="00CA5BC7"/>
    <w:rsid w:val="00CA5EC1"/>
    <w:rsid w:val="00CA67A5"/>
    <w:rsid w:val="00CA6819"/>
    <w:rsid w:val="00CA68DE"/>
    <w:rsid w:val="00CA6A32"/>
    <w:rsid w:val="00CA7020"/>
    <w:rsid w:val="00CA7885"/>
    <w:rsid w:val="00CA78F3"/>
    <w:rsid w:val="00CB0D89"/>
    <w:rsid w:val="00CB190C"/>
    <w:rsid w:val="00CB1B43"/>
    <w:rsid w:val="00CB1F99"/>
    <w:rsid w:val="00CB2155"/>
    <w:rsid w:val="00CB2477"/>
    <w:rsid w:val="00CB301C"/>
    <w:rsid w:val="00CB327A"/>
    <w:rsid w:val="00CB32DD"/>
    <w:rsid w:val="00CB335E"/>
    <w:rsid w:val="00CB356C"/>
    <w:rsid w:val="00CB37E1"/>
    <w:rsid w:val="00CB3B19"/>
    <w:rsid w:val="00CB4355"/>
    <w:rsid w:val="00CB4778"/>
    <w:rsid w:val="00CB48EC"/>
    <w:rsid w:val="00CB6CB0"/>
    <w:rsid w:val="00CB7256"/>
    <w:rsid w:val="00CB79FB"/>
    <w:rsid w:val="00CC03EA"/>
    <w:rsid w:val="00CC113E"/>
    <w:rsid w:val="00CC1162"/>
    <w:rsid w:val="00CC1486"/>
    <w:rsid w:val="00CC15B2"/>
    <w:rsid w:val="00CC1BB6"/>
    <w:rsid w:val="00CC1C47"/>
    <w:rsid w:val="00CC3041"/>
    <w:rsid w:val="00CC3488"/>
    <w:rsid w:val="00CC3E62"/>
    <w:rsid w:val="00CC54B7"/>
    <w:rsid w:val="00CC608F"/>
    <w:rsid w:val="00CC6927"/>
    <w:rsid w:val="00CC6F0C"/>
    <w:rsid w:val="00CC6FA2"/>
    <w:rsid w:val="00CD11DD"/>
    <w:rsid w:val="00CD139D"/>
    <w:rsid w:val="00CD1C43"/>
    <w:rsid w:val="00CD1E6E"/>
    <w:rsid w:val="00CD1FD3"/>
    <w:rsid w:val="00CD27B5"/>
    <w:rsid w:val="00CD2F3D"/>
    <w:rsid w:val="00CD4994"/>
    <w:rsid w:val="00CD4ACC"/>
    <w:rsid w:val="00CD4E9C"/>
    <w:rsid w:val="00CD4F2E"/>
    <w:rsid w:val="00CD5D8C"/>
    <w:rsid w:val="00CD706C"/>
    <w:rsid w:val="00CD73E7"/>
    <w:rsid w:val="00CE00DB"/>
    <w:rsid w:val="00CE0249"/>
    <w:rsid w:val="00CE0326"/>
    <w:rsid w:val="00CE03F7"/>
    <w:rsid w:val="00CE1109"/>
    <w:rsid w:val="00CE1BDB"/>
    <w:rsid w:val="00CE1DB5"/>
    <w:rsid w:val="00CE23CE"/>
    <w:rsid w:val="00CE28F9"/>
    <w:rsid w:val="00CE33FB"/>
    <w:rsid w:val="00CE400A"/>
    <w:rsid w:val="00CE405C"/>
    <w:rsid w:val="00CE4AFB"/>
    <w:rsid w:val="00CE51DB"/>
    <w:rsid w:val="00CE5BAD"/>
    <w:rsid w:val="00CE68D3"/>
    <w:rsid w:val="00CE6C89"/>
    <w:rsid w:val="00CE6CB8"/>
    <w:rsid w:val="00CE779F"/>
    <w:rsid w:val="00CE7B19"/>
    <w:rsid w:val="00CE7CA1"/>
    <w:rsid w:val="00CF0DA4"/>
    <w:rsid w:val="00CF10B7"/>
    <w:rsid w:val="00CF194C"/>
    <w:rsid w:val="00CF1B54"/>
    <w:rsid w:val="00CF1DC5"/>
    <w:rsid w:val="00CF3271"/>
    <w:rsid w:val="00CF361B"/>
    <w:rsid w:val="00CF3942"/>
    <w:rsid w:val="00CF39B0"/>
    <w:rsid w:val="00CF39FE"/>
    <w:rsid w:val="00CF48C7"/>
    <w:rsid w:val="00CF501C"/>
    <w:rsid w:val="00CF5021"/>
    <w:rsid w:val="00CF506C"/>
    <w:rsid w:val="00CF5A84"/>
    <w:rsid w:val="00CF61F9"/>
    <w:rsid w:val="00CF6BE5"/>
    <w:rsid w:val="00CF7247"/>
    <w:rsid w:val="00CF72DA"/>
    <w:rsid w:val="00D0034C"/>
    <w:rsid w:val="00D00DBF"/>
    <w:rsid w:val="00D0198C"/>
    <w:rsid w:val="00D01BE6"/>
    <w:rsid w:val="00D01F0B"/>
    <w:rsid w:val="00D021C4"/>
    <w:rsid w:val="00D02DBF"/>
    <w:rsid w:val="00D0366D"/>
    <w:rsid w:val="00D03B8D"/>
    <w:rsid w:val="00D0411D"/>
    <w:rsid w:val="00D04727"/>
    <w:rsid w:val="00D0539D"/>
    <w:rsid w:val="00D057B6"/>
    <w:rsid w:val="00D05DD4"/>
    <w:rsid w:val="00D0643A"/>
    <w:rsid w:val="00D06BB3"/>
    <w:rsid w:val="00D078E6"/>
    <w:rsid w:val="00D1070E"/>
    <w:rsid w:val="00D10859"/>
    <w:rsid w:val="00D10C6D"/>
    <w:rsid w:val="00D1106D"/>
    <w:rsid w:val="00D114C3"/>
    <w:rsid w:val="00D11701"/>
    <w:rsid w:val="00D11B1E"/>
    <w:rsid w:val="00D11F28"/>
    <w:rsid w:val="00D12515"/>
    <w:rsid w:val="00D12751"/>
    <w:rsid w:val="00D12D08"/>
    <w:rsid w:val="00D132AB"/>
    <w:rsid w:val="00D13C00"/>
    <w:rsid w:val="00D13FEA"/>
    <w:rsid w:val="00D149E7"/>
    <w:rsid w:val="00D14BBF"/>
    <w:rsid w:val="00D15631"/>
    <w:rsid w:val="00D15D7C"/>
    <w:rsid w:val="00D16620"/>
    <w:rsid w:val="00D17414"/>
    <w:rsid w:val="00D17730"/>
    <w:rsid w:val="00D20004"/>
    <w:rsid w:val="00D201C5"/>
    <w:rsid w:val="00D21175"/>
    <w:rsid w:val="00D219B1"/>
    <w:rsid w:val="00D2237A"/>
    <w:rsid w:val="00D227D5"/>
    <w:rsid w:val="00D2287F"/>
    <w:rsid w:val="00D2387E"/>
    <w:rsid w:val="00D247BD"/>
    <w:rsid w:val="00D25200"/>
    <w:rsid w:val="00D25770"/>
    <w:rsid w:val="00D25B41"/>
    <w:rsid w:val="00D276FF"/>
    <w:rsid w:val="00D30269"/>
    <w:rsid w:val="00D305E8"/>
    <w:rsid w:val="00D30A8D"/>
    <w:rsid w:val="00D313CE"/>
    <w:rsid w:val="00D3196C"/>
    <w:rsid w:val="00D34018"/>
    <w:rsid w:val="00D34263"/>
    <w:rsid w:val="00D34B8D"/>
    <w:rsid w:val="00D351C9"/>
    <w:rsid w:val="00D35BCE"/>
    <w:rsid w:val="00D3634D"/>
    <w:rsid w:val="00D367B0"/>
    <w:rsid w:val="00D3735B"/>
    <w:rsid w:val="00D37638"/>
    <w:rsid w:val="00D3770B"/>
    <w:rsid w:val="00D4059F"/>
    <w:rsid w:val="00D412BA"/>
    <w:rsid w:val="00D41940"/>
    <w:rsid w:val="00D419C7"/>
    <w:rsid w:val="00D4204D"/>
    <w:rsid w:val="00D4377D"/>
    <w:rsid w:val="00D43AA0"/>
    <w:rsid w:val="00D43F30"/>
    <w:rsid w:val="00D445CB"/>
    <w:rsid w:val="00D44854"/>
    <w:rsid w:val="00D45634"/>
    <w:rsid w:val="00D45C1C"/>
    <w:rsid w:val="00D46458"/>
    <w:rsid w:val="00D4670B"/>
    <w:rsid w:val="00D46EB4"/>
    <w:rsid w:val="00D475DC"/>
    <w:rsid w:val="00D50061"/>
    <w:rsid w:val="00D50B4B"/>
    <w:rsid w:val="00D52AF2"/>
    <w:rsid w:val="00D53248"/>
    <w:rsid w:val="00D53339"/>
    <w:rsid w:val="00D5372E"/>
    <w:rsid w:val="00D53842"/>
    <w:rsid w:val="00D543DD"/>
    <w:rsid w:val="00D54641"/>
    <w:rsid w:val="00D54BC2"/>
    <w:rsid w:val="00D54D7B"/>
    <w:rsid w:val="00D55DA5"/>
    <w:rsid w:val="00D563B6"/>
    <w:rsid w:val="00D56A16"/>
    <w:rsid w:val="00D56DBA"/>
    <w:rsid w:val="00D60D6E"/>
    <w:rsid w:val="00D60DAF"/>
    <w:rsid w:val="00D611C8"/>
    <w:rsid w:val="00D61787"/>
    <w:rsid w:val="00D61EF8"/>
    <w:rsid w:val="00D627E5"/>
    <w:rsid w:val="00D62AF9"/>
    <w:rsid w:val="00D62EA6"/>
    <w:rsid w:val="00D6315B"/>
    <w:rsid w:val="00D63D80"/>
    <w:rsid w:val="00D64D2C"/>
    <w:rsid w:val="00D659D0"/>
    <w:rsid w:val="00D65CCE"/>
    <w:rsid w:val="00D65E54"/>
    <w:rsid w:val="00D669B2"/>
    <w:rsid w:val="00D6732F"/>
    <w:rsid w:val="00D679A0"/>
    <w:rsid w:val="00D67FED"/>
    <w:rsid w:val="00D71455"/>
    <w:rsid w:val="00D71A0A"/>
    <w:rsid w:val="00D7221D"/>
    <w:rsid w:val="00D7243D"/>
    <w:rsid w:val="00D72C82"/>
    <w:rsid w:val="00D73537"/>
    <w:rsid w:val="00D735A3"/>
    <w:rsid w:val="00D74E28"/>
    <w:rsid w:val="00D759C3"/>
    <w:rsid w:val="00D76B43"/>
    <w:rsid w:val="00D77688"/>
    <w:rsid w:val="00D8033B"/>
    <w:rsid w:val="00D803B0"/>
    <w:rsid w:val="00D8179B"/>
    <w:rsid w:val="00D81B7F"/>
    <w:rsid w:val="00D82378"/>
    <w:rsid w:val="00D82AAC"/>
    <w:rsid w:val="00D843A9"/>
    <w:rsid w:val="00D84ADD"/>
    <w:rsid w:val="00D84CEA"/>
    <w:rsid w:val="00D85661"/>
    <w:rsid w:val="00D85851"/>
    <w:rsid w:val="00D8602B"/>
    <w:rsid w:val="00D86B8C"/>
    <w:rsid w:val="00D86EE4"/>
    <w:rsid w:val="00D871CA"/>
    <w:rsid w:val="00D87921"/>
    <w:rsid w:val="00D87FBA"/>
    <w:rsid w:val="00D9008A"/>
    <w:rsid w:val="00D9092E"/>
    <w:rsid w:val="00D91D0E"/>
    <w:rsid w:val="00D92BFC"/>
    <w:rsid w:val="00D93CAF"/>
    <w:rsid w:val="00D93CE6"/>
    <w:rsid w:val="00D946BE"/>
    <w:rsid w:val="00D94FFE"/>
    <w:rsid w:val="00D95062"/>
    <w:rsid w:val="00D9506C"/>
    <w:rsid w:val="00D958A5"/>
    <w:rsid w:val="00D96EDB"/>
    <w:rsid w:val="00D974FD"/>
    <w:rsid w:val="00D97AAD"/>
    <w:rsid w:val="00D97EED"/>
    <w:rsid w:val="00DA0223"/>
    <w:rsid w:val="00DA029C"/>
    <w:rsid w:val="00DA0468"/>
    <w:rsid w:val="00DA0DE2"/>
    <w:rsid w:val="00DA0E27"/>
    <w:rsid w:val="00DA0F42"/>
    <w:rsid w:val="00DA0F6F"/>
    <w:rsid w:val="00DA16DE"/>
    <w:rsid w:val="00DA302C"/>
    <w:rsid w:val="00DA3304"/>
    <w:rsid w:val="00DA37A8"/>
    <w:rsid w:val="00DA3BEC"/>
    <w:rsid w:val="00DA4C1A"/>
    <w:rsid w:val="00DA4C8A"/>
    <w:rsid w:val="00DA5161"/>
    <w:rsid w:val="00DA57CC"/>
    <w:rsid w:val="00DA5F83"/>
    <w:rsid w:val="00DA6088"/>
    <w:rsid w:val="00DA60EF"/>
    <w:rsid w:val="00DA625C"/>
    <w:rsid w:val="00DA6B66"/>
    <w:rsid w:val="00DA6BDF"/>
    <w:rsid w:val="00DA6C0E"/>
    <w:rsid w:val="00DA7463"/>
    <w:rsid w:val="00DA75B1"/>
    <w:rsid w:val="00DB007A"/>
    <w:rsid w:val="00DB0709"/>
    <w:rsid w:val="00DB0B7B"/>
    <w:rsid w:val="00DB0CA8"/>
    <w:rsid w:val="00DB14F6"/>
    <w:rsid w:val="00DB157B"/>
    <w:rsid w:val="00DB16C8"/>
    <w:rsid w:val="00DB1E18"/>
    <w:rsid w:val="00DB2034"/>
    <w:rsid w:val="00DB21A4"/>
    <w:rsid w:val="00DB2746"/>
    <w:rsid w:val="00DB3249"/>
    <w:rsid w:val="00DB4571"/>
    <w:rsid w:val="00DB4664"/>
    <w:rsid w:val="00DB4937"/>
    <w:rsid w:val="00DB4B20"/>
    <w:rsid w:val="00DB4C3A"/>
    <w:rsid w:val="00DB4D7F"/>
    <w:rsid w:val="00DB5D2E"/>
    <w:rsid w:val="00DB672E"/>
    <w:rsid w:val="00DB7142"/>
    <w:rsid w:val="00DB7187"/>
    <w:rsid w:val="00DC1660"/>
    <w:rsid w:val="00DC1B11"/>
    <w:rsid w:val="00DC20A5"/>
    <w:rsid w:val="00DC2735"/>
    <w:rsid w:val="00DC3A0A"/>
    <w:rsid w:val="00DC4DA8"/>
    <w:rsid w:val="00DC5A08"/>
    <w:rsid w:val="00DC5EB5"/>
    <w:rsid w:val="00DC61A5"/>
    <w:rsid w:val="00DC62CC"/>
    <w:rsid w:val="00DC6558"/>
    <w:rsid w:val="00DC7133"/>
    <w:rsid w:val="00DC75D9"/>
    <w:rsid w:val="00DC7C13"/>
    <w:rsid w:val="00DD2086"/>
    <w:rsid w:val="00DD245A"/>
    <w:rsid w:val="00DD2533"/>
    <w:rsid w:val="00DD3108"/>
    <w:rsid w:val="00DD4282"/>
    <w:rsid w:val="00DD6DF5"/>
    <w:rsid w:val="00DD6EC2"/>
    <w:rsid w:val="00DD78CF"/>
    <w:rsid w:val="00DE0037"/>
    <w:rsid w:val="00DE0AA8"/>
    <w:rsid w:val="00DE0D02"/>
    <w:rsid w:val="00DE0E19"/>
    <w:rsid w:val="00DE1082"/>
    <w:rsid w:val="00DE114D"/>
    <w:rsid w:val="00DE1266"/>
    <w:rsid w:val="00DE211D"/>
    <w:rsid w:val="00DE2A00"/>
    <w:rsid w:val="00DE33BB"/>
    <w:rsid w:val="00DE396B"/>
    <w:rsid w:val="00DE4C05"/>
    <w:rsid w:val="00DE6766"/>
    <w:rsid w:val="00DE7229"/>
    <w:rsid w:val="00DE75A5"/>
    <w:rsid w:val="00DE77F0"/>
    <w:rsid w:val="00DF09CF"/>
    <w:rsid w:val="00DF2904"/>
    <w:rsid w:val="00DF2C23"/>
    <w:rsid w:val="00DF2D4B"/>
    <w:rsid w:val="00DF2D6A"/>
    <w:rsid w:val="00DF2D89"/>
    <w:rsid w:val="00DF3219"/>
    <w:rsid w:val="00DF39D2"/>
    <w:rsid w:val="00DF3D96"/>
    <w:rsid w:val="00DF3F8D"/>
    <w:rsid w:val="00DF4B70"/>
    <w:rsid w:val="00DF4C9F"/>
    <w:rsid w:val="00DF5642"/>
    <w:rsid w:val="00DF5E33"/>
    <w:rsid w:val="00DF6454"/>
    <w:rsid w:val="00DF692A"/>
    <w:rsid w:val="00DF69E2"/>
    <w:rsid w:val="00DF70A3"/>
    <w:rsid w:val="00DF795B"/>
    <w:rsid w:val="00DF7A11"/>
    <w:rsid w:val="00E006BF"/>
    <w:rsid w:val="00E00A5E"/>
    <w:rsid w:val="00E0144E"/>
    <w:rsid w:val="00E01907"/>
    <w:rsid w:val="00E028BA"/>
    <w:rsid w:val="00E02C47"/>
    <w:rsid w:val="00E03078"/>
    <w:rsid w:val="00E032F6"/>
    <w:rsid w:val="00E03822"/>
    <w:rsid w:val="00E03FE8"/>
    <w:rsid w:val="00E04C2E"/>
    <w:rsid w:val="00E05C21"/>
    <w:rsid w:val="00E07235"/>
    <w:rsid w:val="00E07EC3"/>
    <w:rsid w:val="00E10814"/>
    <w:rsid w:val="00E11EB3"/>
    <w:rsid w:val="00E12040"/>
    <w:rsid w:val="00E1329E"/>
    <w:rsid w:val="00E13802"/>
    <w:rsid w:val="00E13BA6"/>
    <w:rsid w:val="00E13E8E"/>
    <w:rsid w:val="00E14154"/>
    <w:rsid w:val="00E1420C"/>
    <w:rsid w:val="00E146AC"/>
    <w:rsid w:val="00E14BC4"/>
    <w:rsid w:val="00E14D3D"/>
    <w:rsid w:val="00E14D5C"/>
    <w:rsid w:val="00E15945"/>
    <w:rsid w:val="00E160DD"/>
    <w:rsid w:val="00E161CB"/>
    <w:rsid w:val="00E1747A"/>
    <w:rsid w:val="00E17DA9"/>
    <w:rsid w:val="00E20E78"/>
    <w:rsid w:val="00E22292"/>
    <w:rsid w:val="00E228A7"/>
    <w:rsid w:val="00E22FE7"/>
    <w:rsid w:val="00E24334"/>
    <w:rsid w:val="00E24C27"/>
    <w:rsid w:val="00E25528"/>
    <w:rsid w:val="00E256BC"/>
    <w:rsid w:val="00E2584F"/>
    <w:rsid w:val="00E25D57"/>
    <w:rsid w:val="00E263F5"/>
    <w:rsid w:val="00E2747D"/>
    <w:rsid w:val="00E27927"/>
    <w:rsid w:val="00E27D45"/>
    <w:rsid w:val="00E30036"/>
    <w:rsid w:val="00E30A5B"/>
    <w:rsid w:val="00E30FA2"/>
    <w:rsid w:val="00E31B6D"/>
    <w:rsid w:val="00E31D8B"/>
    <w:rsid w:val="00E32B8E"/>
    <w:rsid w:val="00E3393B"/>
    <w:rsid w:val="00E33AF0"/>
    <w:rsid w:val="00E33C9F"/>
    <w:rsid w:val="00E33E24"/>
    <w:rsid w:val="00E3452A"/>
    <w:rsid w:val="00E34742"/>
    <w:rsid w:val="00E349E3"/>
    <w:rsid w:val="00E34FD5"/>
    <w:rsid w:val="00E37B30"/>
    <w:rsid w:val="00E40176"/>
    <w:rsid w:val="00E40542"/>
    <w:rsid w:val="00E40FD8"/>
    <w:rsid w:val="00E41A80"/>
    <w:rsid w:val="00E4277D"/>
    <w:rsid w:val="00E427B3"/>
    <w:rsid w:val="00E43F81"/>
    <w:rsid w:val="00E448FC"/>
    <w:rsid w:val="00E45198"/>
    <w:rsid w:val="00E4525F"/>
    <w:rsid w:val="00E46093"/>
    <w:rsid w:val="00E46A87"/>
    <w:rsid w:val="00E46DA5"/>
    <w:rsid w:val="00E47F72"/>
    <w:rsid w:val="00E509F0"/>
    <w:rsid w:val="00E50C58"/>
    <w:rsid w:val="00E50F0D"/>
    <w:rsid w:val="00E513FF"/>
    <w:rsid w:val="00E519F5"/>
    <w:rsid w:val="00E51D2D"/>
    <w:rsid w:val="00E52583"/>
    <w:rsid w:val="00E52E13"/>
    <w:rsid w:val="00E52F51"/>
    <w:rsid w:val="00E538B6"/>
    <w:rsid w:val="00E53A80"/>
    <w:rsid w:val="00E53CBF"/>
    <w:rsid w:val="00E540BB"/>
    <w:rsid w:val="00E54220"/>
    <w:rsid w:val="00E54DA0"/>
    <w:rsid w:val="00E54F99"/>
    <w:rsid w:val="00E5502E"/>
    <w:rsid w:val="00E550EC"/>
    <w:rsid w:val="00E551DC"/>
    <w:rsid w:val="00E5538C"/>
    <w:rsid w:val="00E559DD"/>
    <w:rsid w:val="00E55BDD"/>
    <w:rsid w:val="00E565B6"/>
    <w:rsid w:val="00E56815"/>
    <w:rsid w:val="00E56DC1"/>
    <w:rsid w:val="00E605B0"/>
    <w:rsid w:val="00E60683"/>
    <w:rsid w:val="00E61277"/>
    <w:rsid w:val="00E613C3"/>
    <w:rsid w:val="00E613F6"/>
    <w:rsid w:val="00E6182E"/>
    <w:rsid w:val="00E61C82"/>
    <w:rsid w:val="00E62395"/>
    <w:rsid w:val="00E62926"/>
    <w:rsid w:val="00E630FA"/>
    <w:rsid w:val="00E6331B"/>
    <w:rsid w:val="00E637A3"/>
    <w:rsid w:val="00E63AD4"/>
    <w:rsid w:val="00E65719"/>
    <w:rsid w:val="00E65E4C"/>
    <w:rsid w:val="00E66062"/>
    <w:rsid w:val="00E66232"/>
    <w:rsid w:val="00E66398"/>
    <w:rsid w:val="00E665E3"/>
    <w:rsid w:val="00E666E8"/>
    <w:rsid w:val="00E67676"/>
    <w:rsid w:val="00E67996"/>
    <w:rsid w:val="00E67ACA"/>
    <w:rsid w:val="00E72802"/>
    <w:rsid w:val="00E72C93"/>
    <w:rsid w:val="00E736BE"/>
    <w:rsid w:val="00E73B1E"/>
    <w:rsid w:val="00E741E9"/>
    <w:rsid w:val="00E74E40"/>
    <w:rsid w:val="00E74FA2"/>
    <w:rsid w:val="00E75278"/>
    <w:rsid w:val="00E75696"/>
    <w:rsid w:val="00E7648B"/>
    <w:rsid w:val="00E766E8"/>
    <w:rsid w:val="00E76DBD"/>
    <w:rsid w:val="00E770E4"/>
    <w:rsid w:val="00E770F4"/>
    <w:rsid w:val="00E77B47"/>
    <w:rsid w:val="00E81498"/>
    <w:rsid w:val="00E81C57"/>
    <w:rsid w:val="00E82026"/>
    <w:rsid w:val="00E82815"/>
    <w:rsid w:val="00E8468B"/>
    <w:rsid w:val="00E84B70"/>
    <w:rsid w:val="00E84CFC"/>
    <w:rsid w:val="00E84D8D"/>
    <w:rsid w:val="00E85830"/>
    <w:rsid w:val="00E863E5"/>
    <w:rsid w:val="00E8676F"/>
    <w:rsid w:val="00E868DE"/>
    <w:rsid w:val="00E868FA"/>
    <w:rsid w:val="00E86989"/>
    <w:rsid w:val="00E869CF"/>
    <w:rsid w:val="00E86A44"/>
    <w:rsid w:val="00E86E40"/>
    <w:rsid w:val="00E86E9D"/>
    <w:rsid w:val="00E86FE3"/>
    <w:rsid w:val="00E873A0"/>
    <w:rsid w:val="00E879AB"/>
    <w:rsid w:val="00E905C1"/>
    <w:rsid w:val="00E90DF8"/>
    <w:rsid w:val="00E910F4"/>
    <w:rsid w:val="00E91310"/>
    <w:rsid w:val="00E91E04"/>
    <w:rsid w:val="00E92C8F"/>
    <w:rsid w:val="00E9434A"/>
    <w:rsid w:val="00E948F8"/>
    <w:rsid w:val="00E94F00"/>
    <w:rsid w:val="00E96108"/>
    <w:rsid w:val="00E97083"/>
    <w:rsid w:val="00E9791D"/>
    <w:rsid w:val="00E979AB"/>
    <w:rsid w:val="00E97E24"/>
    <w:rsid w:val="00EA0073"/>
    <w:rsid w:val="00EA1026"/>
    <w:rsid w:val="00EA149D"/>
    <w:rsid w:val="00EA1E19"/>
    <w:rsid w:val="00EA2F66"/>
    <w:rsid w:val="00EA3C6C"/>
    <w:rsid w:val="00EA3E37"/>
    <w:rsid w:val="00EA54BD"/>
    <w:rsid w:val="00EA574C"/>
    <w:rsid w:val="00EA61C7"/>
    <w:rsid w:val="00EA6F80"/>
    <w:rsid w:val="00EB0D38"/>
    <w:rsid w:val="00EB0D9D"/>
    <w:rsid w:val="00EB0E0D"/>
    <w:rsid w:val="00EB1519"/>
    <w:rsid w:val="00EB217B"/>
    <w:rsid w:val="00EB2D60"/>
    <w:rsid w:val="00EB321C"/>
    <w:rsid w:val="00EB3370"/>
    <w:rsid w:val="00EB3531"/>
    <w:rsid w:val="00EB3553"/>
    <w:rsid w:val="00EB44B7"/>
    <w:rsid w:val="00EB6659"/>
    <w:rsid w:val="00EB6888"/>
    <w:rsid w:val="00EB6C53"/>
    <w:rsid w:val="00EB73DC"/>
    <w:rsid w:val="00EB7FAC"/>
    <w:rsid w:val="00EC01D2"/>
    <w:rsid w:val="00EC0D8D"/>
    <w:rsid w:val="00EC0E78"/>
    <w:rsid w:val="00EC17A1"/>
    <w:rsid w:val="00EC199D"/>
    <w:rsid w:val="00EC1F0A"/>
    <w:rsid w:val="00EC2EE6"/>
    <w:rsid w:val="00EC343A"/>
    <w:rsid w:val="00EC377A"/>
    <w:rsid w:val="00EC39BC"/>
    <w:rsid w:val="00EC3C08"/>
    <w:rsid w:val="00EC45C4"/>
    <w:rsid w:val="00EC4D48"/>
    <w:rsid w:val="00EC4DF5"/>
    <w:rsid w:val="00EC5D93"/>
    <w:rsid w:val="00EC5F0F"/>
    <w:rsid w:val="00EC6273"/>
    <w:rsid w:val="00EC69B7"/>
    <w:rsid w:val="00EC6E49"/>
    <w:rsid w:val="00EC7B88"/>
    <w:rsid w:val="00ED02FE"/>
    <w:rsid w:val="00ED09D8"/>
    <w:rsid w:val="00ED0DE0"/>
    <w:rsid w:val="00ED2201"/>
    <w:rsid w:val="00ED27D1"/>
    <w:rsid w:val="00ED2BFE"/>
    <w:rsid w:val="00ED2CA4"/>
    <w:rsid w:val="00ED33CD"/>
    <w:rsid w:val="00ED4CB6"/>
    <w:rsid w:val="00ED4E3D"/>
    <w:rsid w:val="00ED5185"/>
    <w:rsid w:val="00ED51DA"/>
    <w:rsid w:val="00ED63F7"/>
    <w:rsid w:val="00ED69F9"/>
    <w:rsid w:val="00ED6CF2"/>
    <w:rsid w:val="00ED795D"/>
    <w:rsid w:val="00EE0281"/>
    <w:rsid w:val="00EE02D6"/>
    <w:rsid w:val="00EE0652"/>
    <w:rsid w:val="00EE10EB"/>
    <w:rsid w:val="00EE140B"/>
    <w:rsid w:val="00EE264A"/>
    <w:rsid w:val="00EE29AF"/>
    <w:rsid w:val="00EE2D17"/>
    <w:rsid w:val="00EE3DAB"/>
    <w:rsid w:val="00EE3F6F"/>
    <w:rsid w:val="00EE42D7"/>
    <w:rsid w:val="00EE44C3"/>
    <w:rsid w:val="00EE4A6D"/>
    <w:rsid w:val="00EE4D20"/>
    <w:rsid w:val="00EE5C4C"/>
    <w:rsid w:val="00EE5CF5"/>
    <w:rsid w:val="00EE6208"/>
    <w:rsid w:val="00EE66D4"/>
    <w:rsid w:val="00EE68D7"/>
    <w:rsid w:val="00EE73D6"/>
    <w:rsid w:val="00EF044C"/>
    <w:rsid w:val="00EF15B5"/>
    <w:rsid w:val="00EF1B3A"/>
    <w:rsid w:val="00EF251D"/>
    <w:rsid w:val="00EF29A2"/>
    <w:rsid w:val="00EF2CC5"/>
    <w:rsid w:val="00EF2EE0"/>
    <w:rsid w:val="00EF31FA"/>
    <w:rsid w:val="00EF35D4"/>
    <w:rsid w:val="00EF3A57"/>
    <w:rsid w:val="00EF3CC5"/>
    <w:rsid w:val="00EF542A"/>
    <w:rsid w:val="00EF6895"/>
    <w:rsid w:val="00EF6956"/>
    <w:rsid w:val="00EF6B67"/>
    <w:rsid w:val="00EF70A4"/>
    <w:rsid w:val="00EF792E"/>
    <w:rsid w:val="00F00AC2"/>
    <w:rsid w:val="00F00ECD"/>
    <w:rsid w:val="00F01C82"/>
    <w:rsid w:val="00F01F29"/>
    <w:rsid w:val="00F022DE"/>
    <w:rsid w:val="00F025D8"/>
    <w:rsid w:val="00F03E64"/>
    <w:rsid w:val="00F042A6"/>
    <w:rsid w:val="00F04AC1"/>
    <w:rsid w:val="00F04CAB"/>
    <w:rsid w:val="00F04E31"/>
    <w:rsid w:val="00F060BF"/>
    <w:rsid w:val="00F06269"/>
    <w:rsid w:val="00F06674"/>
    <w:rsid w:val="00F06949"/>
    <w:rsid w:val="00F070DA"/>
    <w:rsid w:val="00F10376"/>
    <w:rsid w:val="00F10661"/>
    <w:rsid w:val="00F11098"/>
    <w:rsid w:val="00F11220"/>
    <w:rsid w:val="00F11346"/>
    <w:rsid w:val="00F11A54"/>
    <w:rsid w:val="00F11AD0"/>
    <w:rsid w:val="00F12124"/>
    <w:rsid w:val="00F135E5"/>
    <w:rsid w:val="00F13A38"/>
    <w:rsid w:val="00F14C15"/>
    <w:rsid w:val="00F14FE6"/>
    <w:rsid w:val="00F15366"/>
    <w:rsid w:val="00F15453"/>
    <w:rsid w:val="00F165AD"/>
    <w:rsid w:val="00F169F6"/>
    <w:rsid w:val="00F16D18"/>
    <w:rsid w:val="00F17830"/>
    <w:rsid w:val="00F202DE"/>
    <w:rsid w:val="00F2119C"/>
    <w:rsid w:val="00F2121D"/>
    <w:rsid w:val="00F21A34"/>
    <w:rsid w:val="00F21F48"/>
    <w:rsid w:val="00F227EA"/>
    <w:rsid w:val="00F231A7"/>
    <w:rsid w:val="00F23D85"/>
    <w:rsid w:val="00F23DF8"/>
    <w:rsid w:val="00F246F4"/>
    <w:rsid w:val="00F24A6E"/>
    <w:rsid w:val="00F253AF"/>
    <w:rsid w:val="00F2561A"/>
    <w:rsid w:val="00F264D2"/>
    <w:rsid w:val="00F26B61"/>
    <w:rsid w:val="00F27039"/>
    <w:rsid w:val="00F270AE"/>
    <w:rsid w:val="00F272E7"/>
    <w:rsid w:val="00F27611"/>
    <w:rsid w:val="00F27C16"/>
    <w:rsid w:val="00F313B2"/>
    <w:rsid w:val="00F31448"/>
    <w:rsid w:val="00F3156A"/>
    <w:rsid w:val="00F317A6"/>
    <w:rsid w:val="00F31CE1"/>
    <w:rsid w:val="00F31E25"/>
    <w:rsid w:val="00F33F4C"/>
    <w:rsid w:val="00F3467D"/>
    <w:rsid w:val="00F34E22"/>
    <w:rsid w:val="00F352D6"/>
    <w:rsid w:val="00F3582C"/>
    <w:rsid w:val="00F36063"/>
    <w:rsid w:val="00F362A5"/>
    <w:rsid w:val="00F3787E"/>
    <w:rsid w:val="00F37A7E"/>
    <w:rsid w:val="00F37DF8"/>
    <w:rsid w:val="00F40838"/>
    <w:rsid w:val="00F4141A"/>
    <w:rsid w:val="00F415DF"/>
    <w:rsid w:val="00F4193F"/>
    <w:rsid w:val="00F41958"/>
    <w:rsid w:val="00F4196F"/>
    <w:rsid w:val="00F42000"/>
    <w:rsid w:val="00F42FE9"/>
    <w:rsid w:val="00F435FD"/>
    <w:rsid w:val="00F4512E"/>
    <w:rsid w:val="00F456AB"/>
    <w:rsid w:val="00F47649"/>
    <w:rsid w:val="00F47661"/>
    <w:rsid w:val="00F47744"/>
    <w:rsid w:val="00F47DD1"/>
    <w:rsid w:val="00F507D9"/>
    <w:rsid w:val="00F50F65"/>
    <w:rsid w:val="00F510B2"/>
    <w:rsid w:val="00F5166F"/>
    <w:rsid w:val="00F51CE7"/>
    <w:rsid w:val="00F5219E"/>
    <w:rsid w:val="00F521CC"/>
    <w:rsid w:val="00F530EF"/>
    <w:rsid w:val="00F54365"/>
    <w:rsid w:val="00F54CD6"/>
    <w:rsid w:val="00F54F17"/>
    <w:rsid w:val="00F552DB"/>
    <w:rsid w:val="00F55667"/>
    <w:rsid w:val="00F56747"/>
    <w:rsid w:val="00F56913"/>
    <w:rsid w:val="00F56FC2"/>
    <w:rsid w:val="00F574F9"/>
    <w:rsid w:val="00F5785D"/>
    <w:rsid w:val="00F57BE5"/>
    <w:rsid w:val="00F57C9E"/>
    <w:rsid w:val="00F604A7"/>
    <w:rsid w:val="00F6059E"/>
    <w:rsid w:val="00F607D8"/>
    <w:rsid w:val="00F6159E"/>
    <w:rsid w:val="00F61D66"/>
    <w:rsid w:val="00F61EEC"/>
    <w:rsid w:val="00F61F8F"/>
    <w:rsid w:val="00F629ED"/>
    <w:rsid w:val="00F646C8"/>
    <w:rsid w:val="00F649B6"/>
    <w:rsid w:val="00F664AA"/>
    <w:rsid w:val="00F669FF"/>
    <w:rsid w:val="00F671FA"/>
    <w:rsid w:val="00F67567"/>
    <w:rsid w:val="00F67CB9"/>
    <w:rsid w:val="00F67CC8"/>
    <w:rsid w:val="00F7007A"/>
    <w:rsid w:val="00F70201"/>
    <w:rsid w:val="00F70872"/>
    <w:rsid w:val="00F7157E"/>
    <w:rsid w:val="00F716BD"/>
    <w:rsid w:val="00F71908"/>
    <w:rsid w:val="00F71DA2"/>
    <w:rsid w:val="00F72095"/>
    <w:rsid w:val="00F7240D"/>
    <w:rsid w:val="00F726CE"/>
    <w:rsid w:val="00F72961"/>
    <w:rsid w:val="00F73254"/>
    <w:rsid w:val="00F738C1"/>
    <w:rsid w:val="00F739AB"/>
    <w:rsid w:val="00F73AC1"/>
    <w:rsid w:val="00F74600"/>
    <w:rsid w:val="00F74C24"/>
    <w:rsid w:val="00F75116"/>
    <w:rsid w:val="00F755A5"/>
    <w:rsid w:val="00F75965"/>
    <w:rsid w:val="00F75DCE"/>
    <w:rsid w:val="00F762FA"/>
    <w:rsid w:val="00F76468"/>
    <w:rsid w:val="00F76732"/>
    <w:rsid w:val="00F80690"/>
    <w:rsid w:val="00F8077D"/>
    <w:rsid w:val="00F81766"/>
    <w:rsid w:val="00F818E1"/>
    <w:rsid w:val="00F82637"/>
    <w:rsid w:val="00F82AA7"/>
    <w:rsid w:val="00F83D9C"/>
    <w:rsid w:val="00F84314"/>
    <w:rsid w:val="00F84400"/>
    <w:rsid w:val="00F85A3F"/>
    <w:rsid w:val="00F8647D"/>
    <w:rsid w:val="00F86877"/>
    <w:rsid w:val="00F86F73"/>
    <w:rsid w:val="00F87E24"/>
    <w:rsid w:val="00F90369"/>
    <w:rsid w:val="00F90BC1"/>
    <w:rsid w:val="00F90F4E"/>
    <w:rsid w:val="00F91F93"/>
    <w:rsid w:val="00F9358D"/>
    <w:rsid w:val="00F9395C"/>
    <w:rsid w:val="00F93B14"/>
    <w:rsid w:val="00F93C53"/>
    <w:rsid w:val="00F949E3"/>
    <w:rsid w:val="00F9504F"/>
    <w:rsid w:val="00F95DB4"/>
    <w:rsid w:val="00F95F2C"/>
    <w:rsid w:val="00F95FA4"/>
    <w:rsid w:val="00F96740"/>
    <w:rsid w:val="00F97A1E"/>
    <w:rsid w:val="00FA06BD"/>
    <w:rsid w:val="00FA14F1"/>
    <w:rsid w:val="00FA17D8"/>
    <w:rsid w:val="00FA1C5E"/>
    <w:rsid w:val="00FA1DA4"/>
    <w:rsid w:val="00FA268F"/>
    <w:rsid w:val="00FA26A7"/>
    <w:rsid w:val="00FA2740"/>
    <w:rsid w:val="00FA2FB0"/>
    <w:rsid w:val="00FA359A"/>
    <w:rsid w:val="00FA3F7C"/>
    <w:rsid w:val="00FA4B2D"/>
    <w:rsid w:val="00FA50DB"/>
    <w:rsid w:val="00FA5128"/>
    <w:rsid w:val="00FA532D"/>
    <w:rsid w:val="00FA68D4"/>
    <w:rsid w:val="00FA6972"/>
    <w:rsid w:val="00FA6B66"/>
    <w:rsid w:val="00FB01D2"/>
    <w:rsid w:val="00FB03D9"/>
    <w:rsid w:val="00FB1345"/>
    <w:rsid w:val="00FB13E5"/>
    <w:rsid w:val="00FB1BA6"/>
    <w:rsid w:val="00FB2C46"/>
    <w:rsid w:val="00FB2CBC"/>
    <w:rsid w:val="00FB3B7D"/>
    <w:rsid w:val="00FB4773"/>
    <w:rsid w:val="00FB50FD"/>
    <w:rsid w:val="00FB5A18"/>
    <w:rsid w:val="00FB65C5"/>
    <w:rsid w:val="00FB6EA2"/>
    <w:rsid w:val="00FB7082"/>
    <w:rsid w:val="00FB76A0"/>
    <w:rsid w:val="00FC008C"/>
    <w:rsid w:val="00FC00C7"/>
    <w:rsid w:val="00FC014E"/>
    <w:rsid w:val="00FC1522"/>
    <w:rsid w:val="00FC164F"/>
    <w:rsid w:val="00FC2396"/>
    <w:rsid w:val="00FC2BC2"/>
    <w:rsid w:val="00FC30EB"/>
    <w:rsid w:val="00FC3550"/>
    <w:rsid w:val="00FC3A1E"/>
    <w:rsid w:val="00FC522A"/>
    <w:rsid w:val="00FC5650"/>
    <w:rsid w:val="00FC61F2"/>
    <w:rsid w:val="00FC6F01"/>
    <w:rsid w:val="00FC6F5B"/>
    <w:rsid w:val="00FC7884"/>
    <w:rsid w:val="00FC79C7"/>
    <w:rsid w:val="00FC7B8B"/>
    <w:rsid w:val="00FC7C2A"/>
    <w:rsid w:val="00FD0635"/>
    <w:rsid w:val="00FD0BEA"/>
    <w:rsid w:val="00FD0E41"/>
    <w:rsid w:val="00FD113F"/>
    <w:rsid w:val="00FD25F7"/>
    <w:rsid w:val="00FD2719"/>
    <w:rsid w:val="00FD29FD"/>
    <w:rsid w:val="00FD2A8A"/>
    <w:rsid w:val="00FD2CA3"/>
    <w:rsid w:val="00FD2E1D"/>
    <w:rsid w:val="00FD47FE"/>
    <w:rsid w:val="00FD48DC"/>
    <w:rsid w:val="00FD61EE"/>
    <w:rsid w:val="00FD6329"/>
    <w:rsid w:val="00FD67F2"/>
    <w:rsid w:val="00FD7AC5"/>
    <w:rsid w:val="00FE004C"/>
    <w:rsid w:val="00FE125A"/>
    <w:rsid w:val="00FE151B"/>
    <w:rsid w:val="00FE16B0"/>
    <w:rsid w:val="00FE493B"/>
    <w:rsid w:val="00FE4BCE"/>
    <w:rsid w:val="00FE4C4F"/>
    <w:rsid w:val="00FE4CA4"/>
    <w:rsid w:val="00FE4CA6"/>
    <w:rsid w:val="00FE5BB1"/>
    <w:rsid w:val="00FE692B"/>
    <w:rsid w:val="00FE7083"/>
    <w:rsid w:val="00FE7DFA"/>
    <w:rsid w:val="00FF0094"/>
    <w:rsid w:val="00FF009F"/>
    <w:rsid w:val="00FF04E2"/>
    <w:rsid w:val="00FF0593"/>
    <w:rsid w:val="00FF14A3"/>
    <w:rsid w:val="00FF17AC"/>
    <w:rsid w:val="00FF1D38"/>
    <w:rsid w:val="00FF2176"/>
    <w:rsid w:val="00FF22C2"/>
    <w:rsid w:val="00FF24DA"/>
    <w:rsid w:val="00FF26F9"/>
    <w:rsid w:val="00FF2C08"/>
    <w:rsid w:val="00FF381A"/>
    <w:rsid w:val="00FF3BC0"/>
    <w:rsid w:val="00FF406A"/>
    <w:rsid w:val="00FF420A"/>
    <w:rsid w:val="00FF475D"/>
    <w:rsid w:val="00FF4BEC"/>
    <w:rsid w:val="00FF4FC7"/>
    <w:rsid w:val="00FF5242"/>
    <w:rsid w:val="00FF57AF"/>
    <w:rsid w:val="00FF7A40"/>
    <w:rsid w:val="00FF7FB0"/>
    <w:rsid w:val="0268B94F"/>
    <w:rsid w:val="11D6CFAB"/>
    <w:rsid w:val="2AB2A12C"/>
    <w:rsid w:val="37648C54"/>
    <w:rsid w:val="46C00618"/>
    <w:rsid w:val="49F9F794"/>
    <w:rsid w:val="58960E20"/>
    <w:rsid w:val="5D041942"/>
    <w:rsid w:val="67CFFFA0"/>
    <w:rsid w:val="67D118A8"/>
    <w:rsid w:val="6A12B397"/>
    <w:rsid w:val="6E1F0900"/>
    <w:rsid w:val="75C02935"/>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23233"/>
    <o:shapelayout v:ext="edit">
      <o:idmap v:ext="edit" data="1"/>
    </o:shapelayout>
  </w:shapeDefaults>
  <w:decimalSymbol w:val=","/>
  <w:listSeparator w:val=";"/>
  <w14:docId w14:val="5180B67E"/>
  <w15:docId w15:val="{65249D79-31A5-4717-96D8-8D990802F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r-HR"/>
    </w:rPr>
  </w:style>
  <w:style w:type="paragraph" w:styleId="Heading1">
    <w:name w:val="heading 1"/>
    <w:basedOn w:val="Normal"/>
    <w:next w:val="Text1"/>
    <w:link w:val="Heading1Char"/>
    <w:uiPriority w:val="9"/>
    <w:qFormat/>
    <w:pPr>
      <w:keepNext/>
      <w:numPr>
        <w:numId w:val="6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6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6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6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6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6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6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A4531"/>
    <w:rPr>
      <w:sz w:val="16"/>
      <w:szCs w:val="16"/>
    </w:rPr>
  </w:style>
  <w:style w:type="paragraph" w:styleId="CommentText">
    <w:name w:val="annotation text"/>
    <w:aliases w:val="Char2"/>
    <w:basedOn w:val="Normal"/>
    <w:link w:val="CommentTextChar"/>
    <w:unhideWhenUsed/>
    <w:qFormat/>
    <w:rsid w:val="00AA4531"/>
    <w:rPr>
      <w:sz w:val="20"/>
      <w:szCs w:val="20"/>
    </w:rPr>
  </w:style>
  <w:style w:type="character" w:customStyle="1" w:styleId="CommentTextChar">
    <w:name w:val="Comment Text Char"/>
    <w:aliases w:val="Char2 Char"/>
    <w:basedOn w:val="DefaultParagraphFont"/>
    <w:link w:val="CommentText"/>
    <w:rsid w:val="00AA4531"/>
    <w:rPr>
      <w:rFonts w:ascii="Times New Roman" w:hAnsi="Times New Roman" w:cs="Times New Roman"/>
      <w:sz w:val="20"/>
      <w:szCs w:val="20"/>
      <w:lang w:val="hr-HR"/>
    </w:rPr>
  </w:style>
  <w:style w:type="paragraph" w:styleId="BalloonText">
    <w:name w:val="Balloon Text"/>
    <w:basedOn w:val="Normal"/>
    <w:link w:val="BalloonTextChar"/>
    <w:uiPriority w:val="99"/>
    <w:semiHidden/>
    <w:unhideWhenUsed/>
    <w:rsid w:val="00AA453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531"/>
    <w:rPr>
      <w:rFonts w:ascii="Segoe UI" w:hAnsi="Segoe UI" w:cs="Segoe UI"/>
      <w:sz w:val="18"/>
      <w:szCs w:val="18"/>
      <w:lang w:val="hr-HR"/>
    </w:rPr>
  </w:style>
  <w:style w:type="paragraph" w:styleId="ListParagraph">
    <w:name w:val="List Paragraph"/>
    <w:basedOn w:val="Normal"/>
    <w:uiPriority w:val="34"/>
    <w:qFormat/>
    <w:rsid w:val="00AA4531"/>
    <w:pPr>
      <w:ind w:left="720"/>
      <w:contextualSpacing/>
    </w:pPr>
  </w:style>
  <w:style w:type="paragraph" w:styleId="ListBullet">
    <w:name w:val="List Bullet"/>
    <w:basedOn w:val="Normal"/>
    <w:uiPriority w:val="99"/>
    <w:semiHidden/>
    <w:unhideWhenUsed/>
    <w:rsid w:val="0038390C"/>
    <w:pPr>
      <w:numPr>
        <w:numId w:val="1"/>
      </w:numPr>
      <w:contextualSpacing/>
    </w:pPr>
  </w:style>
  <w:style w:type="paragraph" w:styleId="ListBullet2">
    <w:name w:val="List Bullet 2"/>
    <w:basedOn w:val="Normal"/>
    <w:uiPriority w:val="99"/>
    <w:semiHidden/>
    <w:unhideWhenUsed/>
    <w:rsid w:val="0038390C"/>
    <w:pPr>
      <w:numPr>
        <w:numId w:val="2"/>
      </w:numPr>
      <w:contextualSpacing/>
    </w:pPr>
  </w:style>
  <w:style w:type="paragraph" w:styleId="ListBullet3">
    <w:name w:val="List Bullet 3"/>
    <w:basedOn w:val="Normal"/>
    <w:uiPriority w:val="99"/>
    <w:semiHidden/>
    <w:unhideWhenUsed/>
    <w:rsid w:val="0038390C"/>
    <w:pPr>
      <w:numPr>
        <w:numId w:val="3"/>
      </w:numPr>
      <w:contextualSpacing/>
    </w:pPr>
  </w:style>
  <w:style w:type="paragraph" w:styleId="ListBullet4">
    <w:name w:val="List Bullet 4"/>
    <w:basedOn w:val="Normal"/>
    <w:uiPriority w:val="99"/>
    <w:semiHidden/>
    <w:unhideWhenUsed/>
    <w:rsid w:val="0038390C"/>
    <w:pPr>
      <w:numPr>
        <w:numId w:val="4"/>
      </w:numPr>
      <w:contextualSpacing/>
    </w:pPr>
  </w:style>
  <w:style w:type="paragraph" w:styleId="Caption">
    <w:name w:val="caption"/>
    <w:basedOn w:val="Normal"/>
    <w:next w:val="Normal"/>
    <w:uiPriority w:val="35"/>
    <w:semiHidden/>
    <w:unhideWhenUsed/>
    <w:qFormat/>
    <w:rsid w:val="00447EF6"/>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447EF6"/>
    <w:pPr>
      <w:spacing w:after="0"/>
    </w:pPr>
  </w:style>
  <w:style w:type="paragraph" w:styleId="ListNumber">
    <w:name w:val="List Number"/>
    <w:basedOn w:val="Normal"/>
    <w:uiPriority w:val="99"/>
    <w:semiHidden/>
    <w:unhideWhenUsed/>
    <w:rsid w:val="00447EF6"/>
    <w:pPr>
      <w:numPr>
        <w:numId w:val="5"/>
      </w:numPr>
      <w:contextualSpacing/>
    </w:pPr>
  </w:style>
  <w:style w:type="paragraph" w:styleId="ListNumber2">
    <w:name w:val="List Number 2"/>
    <w:basedOn w:val="Normal"/>
    <w:uiPriority w:val="99"/>
    <w:semiHidden/>
    <w:unhideWhenUsed/>
    <w:rsid w:val="00447EF6"/>
    <w:pPr>
      <w:numPr>
        <w:numId w:val="6"/>
      </w:numPr>
      <w:contextualSpacing/>
    </w:pPr>
  </w:style>
  <w:style w:type="paragraph" w:styleId="ListNumber3">
    <w:name w:val="List Number 3"/>
    <w:basedOn w:val="Normal"/>
    <w:uiPriority w:val="99"/>
    <w:semiHidden/>
    <w:unhideWhenUsed/>
    <w:rsid w:val="00447EF6"/>
    <w:pPr>
      <w:numPr>
        <w:numId w:val="7"/>
      </w:numPr>
      <w:contextualSpacing/>
    </w:pPr>
  </w:style>
  <w:style w:type="paragraph" w:styleId="ListNumber4">
    <w:name w:val="List Number 4"/>
    <w:basedOn w:val="Normal"/>
    <w:uiPriority w:val="99"/>
    <w:semiHidden/>
    <w:unhideWhenUsed/>
    <w:rsid w:val="00447EF6"/>
    <w:pPr>
      <w:numPr>
        <w:numId w:val="8"/>
      </w:numPr>
      <w:contextualSpacing/>
    </w:pPr>
  </w:style>
  <w:style w:type="paragraph" w:styleId="List">
    <w:name w:val="List"/>
    <w:basedOn w:val="Normal"/>
    <w:uiPriority w:val="99"/>
    <w:unhideWhenUsed/>
    <w:rsid w:val="00D94FFE"/>
    <w:pPr>
      <w:ind w:left="283" w:hanging="283"/>
      <w:contextualSpacing/>
    </w:pPr>
  </w:style>
  <w:style w:type="paragraph" w:customStyle="1" w:styleId="Text10">
    <w:name w:val="Text1"/>
    <w:basedOn w:val="Normal"/>
    <w:rsid w:val="00833CB6"/>
    <w:rPr>
      <w:lang w:eastAsia="fr-BE"/>
    </w:rPr>
  </w:style>
  <w:style w:type="paragraph" w:customStyle="1" w:styleId="Te">
    <w:name w:val="Te]"/>
    <w:basedOn w:val="Normal"/>
    <w:rsid w:val="004A2C05"/>
    <w:rPr>
      <w:lang w:eastAsia="fr-BE"/>
    </w:rPr>
  </w:style>
  <w:style w:type="paragraph" w:styleId="CommentSubject">
    <w:name w:val="annotation subject"/>
    <w:basedOn w:val="CommentText"/>
    <w:next w:val="CommentText"/>
    <w:link w:val="CommentSubjectChar"/>
    <w:uiPriority w:val="99"/>
    <w:semiHidden/>
    <w:unhideWhenUsed/>
    <w:rsid w:val="00417F3C"/>
    <w:rPr>
      <w:b/>
      <w:bCs/>
    </w:rPr>
  </w:style>
  <w:style w:type="character" w:customStyle="1" w:styleId="CommentSubjectChar">
    <w:name w:val="Comment Subject Char"/>
    <w:basedOn w:val="CommentTextChar"/>
    <w:link w:val="CommentSubject"/>
    <w:uiPriority w:val="99"/>
    <w:semiHidden/>
    <w:rsid w:val="00417F3C"/>
    <w:rPr>
      <w:rFonts w:ascii="Times New Roman" w:hAnsi="Times New Roman" w:cs="Times New Roman"/>
      <w:b/>
      <w:bCs/>
      <w:sz w:val="20"/>
      <w:szCs w:val="20"/>
      <w:lang w:val="hr-HR"/>
    </w:rPr>
  </w:style>
  <w:style w:type="paragraph" w:customStyle="1" w:styleId="Annex">
    <w:name w:val="Annex"/>
    <w:basedOn w:val="Normal"/>
    <w:rsid w:val="002163CB"/>
  </w:style>
  <w:style w:type="paragraph" w:customStyle="1" w:styleId="Annext">
    <w:name w:val="Annex t"/>
    <w:basedOn w:val="Annex"/>
    <w:rsid w:val="002163CB"/>
  </w:style>
  <w:style w:type="paragraph" w:styleId="Revision">
    <w:name w:val="Revision"/>
    <w:hidden/>
    <w:uiPriority w:val="99"/>
    <w:semiHidden/>
    <w:rsid w:val="00D679A0"/>
    <w:pPr>
      <w:spacing w:after="0" w:line="240" w:lineRule="auto"/>
    </w:pPr>
    <w:rPr>
      <w:rFonts w:ascii="Times New Roman" w:hAnsi="Times New Roman" w:cs="Times New Roman"/>
      <w:sz w:val="24"/>
    </w:rPr>
  </w:style>
  <w:style w:type="paragraph" w:customStyle="1" w:styleId="Page">
    <w:name w:val="Page"/>
    <w:basedOn w:val="Normal"/>
    <w:rsid w:val="000F0628"/>
  </w:style>
  <w:style w:type="paragraph" w:customStyle="1" w:styleId="CM1">
    <w:name w:val="CM1"/>
    <w:basedOn w:val="Normal"/>
    <w:next w:val="Normal"/>
    <w:uiPriority w:val="99"/>
    <w:rsid w:val="00974EB4"/>
    <w:pPr>
      <w:autoSpaceDE w:val="0"/>
      <w:autoSpaceDN w:val="0"/>
      <w:adjustRightInd w:val="0"/>
      <w:spacing w:before="0" w:after="0"/>
      <w:jc w:val="left"/>
    </w:pPr>
    <w:rPr>
      <w:rFonts w:ascii="EU Albertina" w:hAnsi="EU Albertina" w:cstheme="minorBidi"/>
      <w:szCs w:val="24"/>
    </w:rPr>
  </w:style>
  <w:style w:type="paragraph" w:customStyle="1" w:styleId="CM3">
    <w:name w:val="CM3"/>
    <w:basedOn w:val="Normal"/>
    <w:next w:val="Normal"/>
    <w:uiPriority w:val="99"/>
    <w:rsid w:val="00974EB4"/>
    <w:pPr>
      <w:autoSpaceDE w:val="0"/>
      <w:autoSpaceDN w:val="0"/>
      <w:adjustRightInd w:val="0"/>
      <w:spacing w:before="0" w:after="0"/>
      <w:jc w:val="left"/>
    </w:pPr>
    <w:rPr>
      <w:rFonts w:ascii="EU Albertina" w:hAnsi="EU Albertina" w:cstheme="minorBidi"/>
      <w:szCs w:val="24"/>
    </w:rPr>
  </w:style>
  <w:style w:type="paragraph" w:customStyle="1" w:styleId="CM4">
    <w:name w:val="CM4"/>
    <w:basedOn w:val="Normal"/>
    <w:next w:val="Normal"/>
    <w:uiPriority w:val="99"/>
    <w:rsid w:val="00F716BD"/>
    <w:pPr>
      <w:autoSpaceDE w:val="0"/>
      <w:autoSpaceDN w:val="0"/>
      <w:adjustRightInd w:val="0"/>
      <w:spacing w:before="0" w:after="0"/>
      <w:jc w:val="left"/>
    </w:pPr>
    <w:rPr>
      <w:rFonts w:ascii="EU Albertina" w:hAnsi="EU Albertina" w:cstheme="minorBidi"/>
      <w:szCs w:val="24"/>
    </w:rPr>
  </w:style>
  <w:style w:type="paragraph" w:customStyle="1" w:styleId="Norml">
    <w:name w:val="Norml"/>
    <w:basedOn w:val="NumPar1"/>
    <w:rsid w:val="00664AFC"/>
    <w:pPr>
      <w:tabs>
        <w:tab w:val="clear" w:pos="850"/>
      </w:tabs>
      <w:ind w:firstLine="0"/>
    </w:pPr>
  </w:style>
  <w:style w:type="paragraph" w:customStyle="1" w:styleId="Annexetitreacte">
    <w:name w:val="Annexe titre (acte)"/>
    <w:basedOn w:val="Normal"/>
    <w:next w:val="Normal"/>
    <w:uiPriority w:val="99"/>
    <w:rsid w:val="00052F68"/>
    <w:pPr>
      <w:autoSpaceDE w:val="0"/>
      <w:autoSpaceDN w:val="0"/>
      <w:jc w:val="center"/>
    </w:pPr>
    <w:rPr>
      <w:rFonts w:eastAsiaTheme="minorEastAsia"/>
      <w:b/>
      <w:bCs/>
      <w:szCs w:val="24"/>
      <w:u w:val="single"/>
      <w:lang w:eastAsia="fr-BE"/>
    </w:rPr>
  </w:style>
  <w:style w:type="paragraph" w:customStyle="1" w:styleId="NormalCenterd">
    <w:name w:val="Normal Centerd"/>
    <w:basedOn w:val="Normal"/>
    <w:rsid w:val="00836293"/>
  </w:style>
  <w:style w:type="character" w:customStyle="1" w:styleId="normaltextrun">
    <w:name w:val="normaltextrun"/>
    <w:basedOn w:val="DefaultParagraphFont"/>
    <w:rsid w:val="006E4518"/>
  </w:style>
  <w:style w:type="paragraph" w:customStyle="1" w:styleId="Titreaticle">
    <w:name w:val="Titre aticle"/>
    <w:basedOn w:val="Normal"/>
    <w:rsid w:val="00123CED"/>
  </w:style>
  <w:style w:type="paragraph" w:styleId="EndnoteText">
    <w:name w:val="endnote text"/>
    <w:basedOn w:val="Normal"/>
    <w:link w:val="EndnoteTextChar"/>
    <w:uiPriority w:val="99"/>
    <w:semiHidden/>
    <w:unhideWhenUsed/>
    <w:rsid w:val="00962984"/>
    <w:pPr>
      <w:spacing w:before="0" w:after="0"/>
    </w:pPr>
    <w:rPr>
      <w:sz w:val="20"/>
      <w:szCs w:val="20"/>
    </w:rPr>
  </w:style>
  <w:style w:type="character" w:customStyle="1" w:styleId="EndnoteTextChar">
    <w:name w:val="Endnote Text Char"/>
    <w:basedOn w:val="DefaultParagraphFont"/>
    <w:link w:val="EndnoteText"/>
    <w:uiPriority w:val="99"/>
    <w:semiHidden/>
    <w:rsid w:val="00962984"/>
    <w:rPr>
      <w:rFonts w:ascii="Times New Roman" w:hAnsi="Times New Roman" w:cs="Times New Roman"/>
      <w:sz w:val="20"/>
      <w:szCs w:val="20"/>
      <w:lang w:val="hr-HR"/>
    </w:rPr>
  </w:style>
  <w:style w:type="character" w:styleId="EndnoteReference">
    <w:name w:val="endnote reference"/>
    <w:basedOn w:val="DefaultParagraphFont"/>
    <w:uiPriority w:val="99"/>
    <w:semiHidden/>
    <w:unhideWhenUsed/>
    <w:rsid w:val="00962984"/>
    <w:rPr>
      <w:vertAlign w:val="superscript"/>
    </w:rPr>
  </w:style>
  <w:style w:type="character" w:styleId="FollowedHyperlink">
    <w:name w:val="FollowedHyperlink"/>
    <w:basedOn w:val="DefaultParagraphFont"/>
    <w:uiPriority w:val="99"/>
    <w:semiHidden/>
    <w:unhideWhenUsed/>
    <w:rsid w:val="00E868FA"/>
    <w:rPr>
      <w:color w:val="800080" w:themeColor="followedHyperlink"/>
      <w:u w:val="single"/>
    </w:rPr>
  </w:style>
  <w:style w:type="paragraph" w:customStyle="1" w:styleId="ManualNumPar11">
    <w:name w:val="Manual NumPar 11"/>
    <w:basedOn w:val="Normal"/>
    <w:next w:val="Text1"/>
    <w:pPr>
      <w:ind w:left="850" w:hanging="850"/>
    </w:pPr>
  </w:style>
  <w:style w:type="character" w:styleId="Emphasis">
    <w:name w:val="Emphasis"/>
    <w:basedOn w:val="DefaultParagraphFont"/>
    <w:uiPriority w:val="20"/>
    <w:qFormat/>
    <w:rsid w:val="00E51D2D"/>
    <w:rPr>
      <w:i/>
      <w:iCs/>
    </w:rPr>
  </w:style>
  <w:style w:type="paragraph" w:customStyle="1" w:styleId="Ext1">
    <w:name w:val="Ext 1"/>
    <w:basedOn w:val="Normal"/>
    <w:rsid w:val="00771405"/>
  </w:style>
  <w:style w:type="paragraph" w:styleId="BodyText">
    <w:name w:val="Body Text"/>
    <w:basedOn w:val="Normal"/>
    <w:link w:val="BodyTextChar"/>
    <w:uiPriority w:val="99"/>
    <w:unhideWhenUsed/>
    <w:rsid w:val="007B0816"/>
    <w:pPr>
      <w:spacing w:before="0"/>
    </w:pPr>
    <w:rPr>
      <w:szCs w:val="24"/>
    </w:rPr>
  </w:style>
  <w:style w:type="character" w:customStyle="1" w:styleId="BodyTextChar">
    <w:name w:val="Body Text Char"/>
    <w:basedOn w:val="DefaultParagraphFont"/>
    <w:link w:val="BodyText"/>
    <w:uiPriority w:val="99"/>
    <w:rsid w:val="007B0816"/>
    <w:rPr>
      <w:rFonts w:ascii="Times New Roman" w:hAnsi="Times New Roman" w:cs="Times New Roman"/>
      <w:sz w:val="24"/>
      <w:szCs w:val="24"/>
      <w:lang w:val="hr-HR"/>
    </w:rPr>
  </w:style>
  <w:style w:type="paragraph" w:customStyle="1" w:styleId="ChapterT">
    <w:name w:val="Chapter T"/>
    <w:basedOn w:val="Normal"/>
    <w:rsid w:val="0030763E"/>
  </w:style>
  <w:style w:type="paragraph" w:customStyle="1" w:styleId="Chapter">
    <w:name w:val="Chapter"/>
    <w:basedOn w:val="NumPar1"/>
    <w:rsid w:val="0030763E"/>
  </w:style>
  <w:style w:type="character" w:styleId="Hyperlink">
    <w:name w:val="Hyperlink"/>
    <w:basedOn w:val="DefaultParagraphFont"/>
    <w:uiPriority w:val="99"/>
    <w:unhideWhenUsed/>
    <w:qFormat/>
    <w:rsid w:val="00635A69"/>
    <w:rPr>
      <w:color w:val="0000FF" w:themeColor="hyperlink"/>
      <w:u w:val="single"/>
    </w:rPr>
  </w:style>
  <w:style w:type="paragraph" w:customStyle="1" w:styleId="paragraph">
    <w:name w:val="paragraph"/>
    <w:basedOn w:val="Normal"/>
    <w:rsid w:val="006379EF"/>
    <w:pPr>
      <w:spacing w:before="100" w:beforeAutospacing="1" w:after="100" w:afterAutospacing="1"/>
      <w:jc w:val="left"/>
    </w:pPr>
    <w:rPr>
      <w:szCs w:val="24"/>
      <w:lang w:eastAsia="fr-BE"/>
    </w:rPr>
  </w:style>
  <w:style w:type="character" w:customStyle="1" w:styleId="eop">
    <w:name w:val="eop"/>
    <w:basedOn w:val="DefaultParagraphFont"/>
    <w:rsid w:val="006379EF"/>
  </w:style>
  <w:style w:type="paragraph" w:customStyle="1" w:styleId="NumPar11">
    <w:name w:val="NumPar 11"/>
    <w:basedOn w:val="Normal"/>
    <w:next w:val="Text1"/>
    <w:pPr>
      <w:tabs>
        <w:tab w:val="num" w:pos="850"/>
      </w:tabs>
      <w:ind w:left="850" w:hanging="850"/>
    </w:pPr>
  </w:style>
  <w:style w:type="character" w:customStyle="1" w:styleId="UnresolvedMention1">
    <w:name w:val="Unresolved Mention1"/>
    <w:basedOn w:val="DefaultParagraphFont"/>
    <w:uiPriority w:val="99"/>
    <w:semiHidden/>
    <w:unhideWhenUsed/>
    <w:rsid w:val="00D21175"/>
    <w:rPr>
      <w:color w:val="605E5C"/>
      <w:shd w:val="clear" w:color="auto" w:fill="E1DFDD"/>
    </w:rPr>
  </w:style>
  <w:style w:type="paragraph" w:customStyle="1" w:styleId="title-article-norm">
    <w:name w:val="title-article-norm"/>
    <w:basedOn w:val="Normal"/>
    <w:rsid w:val="00AB7656"/>
    <w:pPr>
      <w:spacing w:before="100" w:beforeAutospacing="1" w:after="100" w:afterAutospacing="1"/>
      <w:jc w:val="left"/>
    </w:pPr>
    <w:rPr>
      <w:rFonts w:eastAsia="Times New Roman"/>
      <w:szCs w:val="24"/>
      <w:lang w:eastAsia="en-GB"/>
    </w:rPr>
  </w:style>
  <w:style w:type="character" w:customStyle="1" w:styleId="markedcontent">
    <w:name w:val="markedcontent"/>
    <w:basedOn w:val="DefaultParagraphFont"/>
    <w:rsid w:val="007923C9"/>
  </w:style>
  <w:style w:type="paragraph" w:customStyle="1" w:styleId="NumPar">
    <w:name w:val="Num Par"/>
    <w:basedOn w:val="Normal"/>
    <w:rsid w:val="003D6000"/>
  </w:style>
  <w:style w:type="character" w:customStyle="1" w:styleId="hgkelc">
    <w:name w:val="hgkelc"/>
    <w:basedOn w:val="DefaultParagraphFont"/>
    <w:rsid w:val="008C5ACA"/>
  </w:style>
  <w:style w:type="paragraph" w:styleId="Header">
    <w:name w:val="header"/>
    <w:basedOn w:val="Normal"/>
    <w:link w:val="HeaderChar"/>
    <w:uiPriority w:val="99"/>
    <w:unhideWhenUsed/>
    <w:rsid w:val="002A29E9"/>
    <w:pPr>
      <w:tabs>
        <w:tab w:val="center" w:pos="4535"/>
        <w:tab w:val="right" w:pos="9071"/>
      </w:tabs>
      <w:spacing w:before="0"/>
    </w:pPr>
  </w:style>
  <w:style w:type="character" w:customStyle="1" w:styleId="HeaderChar">
    <w:name w:val="Header Char"/>
    <w:basedOn w:val="DefaultParagraphFont"/>
    <w:link w:val="Header"/>
    <w:uiPriority w:val="99"/>
    <w:rsid w:val="002A29E9"/>
    <w:rPr>
      <w:rFonts w:ascii="Times New Roman" w:hAnsi="Times New Roman" w:cs="Times New Roman"/>
      <w:sz w:val="24"/>
      <w:lang w:val="hr-HR"/>
    </w:rPr>
  </w:style>
  <w:style w:type="paragraph" w:styleId="Footer">
    <w:name w:val="footer"/>
    <w:basedOn w:val="Normal"/>
    <w:link w:val="FooterChar"/>
    <w:uiPriority w:val="99"/>
    <w:unhideWhenUsed/>
    <w:rsid w:val="002A29E9"/>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2A29E9"/>
    <w:rPr>
      <w:rFonts w:ascii="Times New Roman" w:hAnsi="Times New Roman" w:cs="Times New Roman"/>
      <w:sz w:val="24"/>
      <w:lang w:val="hr-H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hr-H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hr-H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hr-H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hr-H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hr-H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hr-H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hr-H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2A29E9"/>
    <w:pPr>
      <w:tabs>
        <w:tab w:val="center" w:pos="7285"/>
        <w:tab w:val="right" w:pos="14003"/>
      </w:tabs>
      <w:spacing w:before="0"/>
    </w:pPr>
  </w:style>
  <w:style w:type="paragraph" w:customStyle="1" w:styleId="FooterLandscape">
    <w:name w:val="FooterLandscape"/>
    <w:basedOn w:val="Normal"/>
    <w:rsid w:val="002A29E9"/>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2A29E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A29E9"/>
    <w:pPr>
      <w:spacing w:before="0"/>
      <w:jc w:val="right"/>
    </w:pPr>
    <w:rPr>
      <w:sz w:val="28"/>
    </w:rPr>
  </w:style>
  <w:style w:type="paragraph" w:customStyle="1" w:styleId="FooterSensitivity">
    <w:name w:val="Footer Sensitivity"/>
    <w:basedOn w:val="Normal"/>
    <w:rsid w:val="002A29E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53"/>
      </w:numPr>
    </w:pPr>
  </w:style>
  <w:style w:type="paragraph" w:customStyle="1" w:styleId="Tiret1">
    <w:name w:val="Tiret 1"/>
    <w:basedOn w:val="Point1"/>
    <w:pPr>
      <w:numPr>
        <w:numId w:val="54"/>
      </w:numPr>
    </w:pPr>
  </w:style>
  <w:style w:type="paragraph" w:customStyle="1" w:styleId="Tiret2">
    <w:name w:val="Tiret 2"/>
    <w:basedOn w:val="Point2"/>
    <w:pPr>
      <w:numPr>
        <w:numId w:val="55"/>
      </w:numPr>
    </w:pPr>
  </w:style>
  <w:style w:type="paragraph" w:customStyle="1" w:styleId="Tiret3">
    <w:name w:val="Tiret 3"/>
    <w:basedOn w:val="Point3"/>
    <w:pPr>
      <w:numPr>
        <w:numId w:val="56"/>
      </w:numPr>
    </w:pPr>
  </w:style>
  <w:style w:type="paragraph" w:customStyle="1" w:styleId="Tiret4">
    <w:name w:val="Tiret 4"/>
    <w:basedOn w:val="Point4"/>
    <w:pPr>
      <w:numPr>
        <w:numId w:val="57"/>
      </w:numPr>
    </w:pPr>
  </w:style>
  <w:style w:type="paragraph" w:customStyle="1" w:styleId="Tiret5">
    <w:name w:val="Tiret 5"/>
    <w:basedOn w:val="Point5"/>
    <w:pPr>
      <w:numPr>
        <w:numId w:val="5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59"/>
      </w:numPr>
    </w:pPr>
  </w:style>
  <w:style w:type="paragraph" w:customStyle="1" w:styleId="NumPar2">
    <w:name w:val="NumPar 2"/>
    <w:basedOn w:val="Normal"/>
    <w:next w:val="Text1"/>
    <w:pPr>
      <w:numPr>
        <w:ilvl w:val="1"/>
        <w:numId w:val="59"/>
      </w:numPr>
    </w:pPr>
  </w:style>
  <w:style w:type="paragraph" w:customStyle="1" w:styleId="NumPar3">
    <w:name w:val="NumPar 3"/>
    <w:basedOn w:val="Normal"/>
    <w:next w:val="Text1"/>
    <w:pPr>
      <w:numPr>
        <w:ilvl w:val="2"/>
        <w:numId w:val="59"/>
      </w:numPr>
    </w:pPr>
  </w:style>
  <w:style w:type="paragraph" w:customStyle="1" w:styleId="NumPar4">
    <w:name w:val="NumPar 4"/>
    <w:basedOn w:val="Normal"/>
    <w:next w:val="Text1"/>
    <w:pPr>
      <w:numPr>
        <w:ilvl w:val="3"/>
        <w:numId w:val="59"/>
      </w:numPr>
    </w:pPr>
  </w:style>
  <w:style w:type="paragraph" w:customStyle="1" w:styleId="NumPar5">
    <w:name w:val="NumPar 5"/>
    <w:basedOn w:val="Normal"/>
    <w:next w:val="Text2"/>
    <w:pPr>
      <w:numPr>
        <w:ilvl w:val="4"/>
        <w:numId w:val="59"/>
      </w:numPr>
    </w:pPr>
  </w:style>
  <w:style w:type="paragraph" w:customStyle="1" w:styleId="NumPar6">
    <w:name w:val="NumPar 6"/>
    <w:basedOn w:val="Normal"/>
    <w:next w:val="Text2"/>
    <w:pPr>
      <w:numPr>
        <w:ilvl w:val="5"/>
        <w:numId w:val="59"/>
      </w:numPr>
    </w:pPr>
  </w:style>
  <w:style w:type="paragraph" w:customStyle="1" w:styleId="NumPar7">
    <w:name w:val="NumPar 7"/>
    <w:basedOn w:val="Normal"/>
    <w:next w:val="Text2"/>
    <w:pPr>
      <w:numPr>
        <w:ilvl w:val="6"/>
        <w:numId w:val="5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61"/>
      </w:numPr>
    </w:pPr>
  </w:style>
  <w:style w:type="paragraph" w:customStyle="1" w:styleId="Point1number">
    <w:name w:val="Point 1 (number)"/>
    <w:basedOn w:val="Normal"/>
    <w:pPr>
      <w:numPr>
        <w:ilvl w:val="2"/>
        <w:numId w:val="61"/>
      </w:numPr>
    </w:pPr>
  </w:style>
  <w:style w:type="paragraph" w:customStyle="1" w:styleId="Point2number">
    <w:name w:val="Point 2 (number)"/>
    <w:basedOn w:val="Normal"/>
    <w:pPr>
      <w:numPr>
        <w:ilvl w:val="4"/>
        <w:numId w:val="61"/>
      </w:numPr>
    </w:pPr>
  </w:style>
  <w:style w:type="paragraph" w:customStyle="1" w:styleId="Point3number">
    <w:name w:val="Point 3 (number)"/>
    <w:basedOn w:val="Normal"/>
    <w:pPr>
      <w:numPr>
        <w:ilvl w:val="6"/>
        <w:numId w:val="61"/>
      </w:numPr>
    </w:pPr>
  </w:style>
  <w:style w:type="paragraph" w:customStyle="1" w:styleId="Point0letter">
    <w:name w:val="Point 0 (letter)"/>
    <w:basedOn w:val="Normal"/>
    <w:pPr>
      <w:numPr>
        <w:ilvl w:val="1"/>
        <w:numId w:val="61"/>
      </w:numPr>
    </w:pPr>
  </w:style>
  <w:style w:type="paragraph" w:customStyle="1" w:styleId="Point1letter">
    <w:name w:val="Point 1 (letter)"/>
    <w:basedOn w:val="Normal"/>
    <w:pPr>
      <w:numPr>
        <w:ilvl w:val="3"/>
        <w:numId w:val="61"/>
      </w:numPr>
    </w:pPr>
  </w:style>
  <w:style w:type="paragraph" w:customStyle="1" w:styleId="Point2letter">
    <w:name w:val="Point 2 (letter)"/>
    <w:basedOn w:val="Normal"/>
    <w:pPr>
      <w:numPr>
        <w:ilvl w:val="5"/>
        <w:numId w:val="61"/>
      </w:numPr>
    </w:pPr>
  </w:style>
  <w:style w:type="paragraph" w:customStyle="1" w:styleId="Point3letter">
    <w:name w:val="Point 3 (letter)"/>
    <w:basedOn w:val="Normal"/>
    <w:pPr>
      <w:numPr>
        <w:ilvl w:val="7"/>
        <w:numId w:val="61"/>
      </w:numPr>
    </w:pPr>
  </w:style>
  <w:style w:type="paragraph" w:customStyle="1" w:styleId="Point4letter">
    <w:name w:val="Point 4 (letter)"/>
    <w:basedOn w:val="Normal"/>
    <w:pPr>
      <w:numPr>
        <w:ilvl w:val="8"/>
        <w:numId w:val="61"/>
      </w:numPr>
    </w:pPr>
  </w:style>
  <w:style w:type="paragraph" w:customStyle="1" w:styleId="Bullet0">
    <w:name w:val="Bullet 0"/>
    <w:basedOn w:val="Normal"/>
    <w:pPr>
      <w:numPr>
        <w:numId w:val="62"/>
      </w:numPr>
    </w:pPr>
  </w:style>
  <w:style w:type="paragraph" w:customStyle="1" w:styleId="Bullet1">
    <w:name w:val="Bullet 1"/>
    <w:basedOn w:val="Normal"/>
    <w:pPr>
      <w:numPr>
        <w:numId w:val="63"/>
      </w:numPr>
    </w:pPr>
  </w:style>
  <w:style w:type="paragraph" w:customStyle="1" w:styleId="Bullet2">
    <w:name w:val="Bullet 2"/>
    <w:basedOn w:val="Normal"/>
    <w:pPr>
      <w:numPr>
        <w:numId w:val="64"/>
      </w:numPr>
    </w:pPr>
  </w:style>
  <w:style w:type="paragraph" w:customStyle="1" w:styleId="Bullet3">
    <w:name w:val="Bullet 3"/>
    <w:basedOn w:val="Normal"/>
    <w:pPr>
      <w:numPr>
        <w:numId w:val="65"/>
      </w:numPr>
    </w:pPr>
  </w:style>
  <w:style w:type="paragraph" w:customStyle="1" w:styleId="Bullet4">
    <w:name w:val="Bullet 4"/>
    <w:basedOn w:val="Normal"/>
    <w:pPr>
      <w:numPr>
        <w:numId w:val="6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6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299142">
      <w:bodyDiv w:val="1"/>
      <w:marLeft w:val="0"/>
      <w:marRight w:val="0"/>
      <w:marTop w:val="0"/>
      <w:marBottom w:val="0"/>
      <w:divBdr>
        <w:top w:val="none" w:sz="0" w:space="0" w:color="auto"/>
        <w:left w:val="none" w:sz="0" w:space="0" w:color="auto"/>
        <w:bottom w:val="none" w:sz="0" w:space="0" w:color="auto"/>
        <w:right w:val="none" w:sz="0" w:space="0" w:color="auto"/>
      </w:divBdr>
    </w:div>
    <w:div w:id="230887701">
      <w:bodyDiv w:val="1"/>
      <w:marLeft w:val="0"/>
      <w:marRight w:val="0"/>
      <w:marTop w:val="0"/>
      <w:marBottom w:val="0"/>
      <w:divBdr>
        <w:top w:val="none" w:sz="0" w:space="0" w:color="auto"/>
        <w:left w:val="none" w:sz="0" w:space="0" w:color="auto"/>
        <w:bottom w:val="none" w:sz="0" w:space="0" w:color="auto"/>
        <w:right w:val="none" w:sz="0" w:space="0" w:color="auto"/>
      </w:divBdr>
    </w:div>
    <w:div w:id="391082472">
      <w:bodyDiv w:val="1"/>
      <w:marLeft w:val="0"/>
      <w:marRight w:val="0"/>
      <w:marTop w:val="0"/>
      <w:marBottom w:val="0"/>
      <w:divBdr>
        <w:top w:val="none" w:sz="0" w:space="0" w:color="auto"/>
        <w:left w:val="none" w:sz="0" w:space="0" w:color="auto"/>
        <w:bottom w:val="none" w:sz="0" w:space="0" w:color="auto"/>
        <w:right w:val="none" w:sz="0" w:space="0" w:color="auto"/>
      </w:divBdr>
    </w:div>
    <w:div w:id="784469489">
      <w:bodyDiv w:val="1"/>
      <w:marLeft w:val="0"/>
      <w:marRight w:val="0"/>
      <w:marTop w:val="0"/>
      <w:marBottom w:val="0"/>
      <w:divBdr>
        <w:top w:val="none" w:sz="0" w:space="0" w:color="auto"/>
        <w:left w:val="none" w:sz="0" w:space="0" w:color="auto"/>
        <w:bottom w:val="none" w:sz="0" w:space="0" w:color="auto"/>
        <w:right w:val="none" w:sz="0" w:space="0" w:color="auto"/>
      </w:divBdr>
    </w:div>
    <w:div w:id="958881314">
      <w:bodyDiv w:val="1"/>
      <w:marLeft w:val="0"/>
      <w:marRight w:val="0"/>
      <w:marTop w:val="0"/>
      <w:marBottom w:val="0"/>
      <w:divBdr>
        <w:top w:val="none" w:sz="0" w:space="0" w:color="auto"/>
        <w:left w:val="none" w:sz="0" w:space="0" w:color="auto"/>
        <w:bottom w:val="none" w:sz="0" w:space="0" w:color="auto"/>
        <w:right w:val="none" w:sz="0" w:space="0" w:color="auto"/>
      </w:divBdr>
    </w:div>
    <w:div w:id="963147910">
      <w:bodyDiv w:val="1"/>
      <w:marLeft w:val="0"/>
      <w:marRight w:val="0"/>
      <w:marTop w:val="0"/>
      <w:marBottom w:val="0"/>
      <w:divBdr>
        <w:top w:val="none" w:sz="0" w:space="0" w:color="auto"/>
        <w:left w:val="none" w:sz="0" w:space="0" w:color="auto"/>
        <w:bottom w:val="none" w:sz="0" w:space="0" w:color="auto"/>
        <w:right w:val="none" w:sz="0" w:space="0" w:color="auto"/>
      </w:divBdr>
      <w:divsChild>
        <w:div w:id="247347345">
          <w:marLeft w:val="0"/>
          <w:marRight w:val="0"/>
          <w:marTop w:val="0"/>
          <w:marBottom w:val="0"/>
          <w:divBdr>
            <w:top w:val="none" w:sz="0" w:space="0" w:color="auto"/>
            <w:left w:val="none" w:sz="0" w:space="0" w:color="auto"/>
            <w:bottom w:val="none" w:sz="0" w:space="0" w:color="auto"/>
            <w:right w:val="none" w:sz="0" w:space="0" w:color="auto"/>
          </w:divBdr>
        </w:div>
        <w:div w:id="283509105">
          <w:marLeft w:val="0"/>
          <w:marRight w:val="0"/>
          <w:marTop w:val="0"/>
          <w:marBottom w:val="0"/>
          <w:divBdr>
            <w:top w:val="none" w:sz="0" w:space="0" w:color="auto"/>
            <w:left w:val="none" w:sz="0" w:space="0" w:color="auto"/>
            <w:bottom w:val="none" w:sz="0" w:space="0" w:color="auto"/>
            <w:right w:val="none" w:sz="0" w:space="0" w:color="auto"/>
          </w:divBdr>
        </w:div>
        <w:div w:id="1388260256">
          <w:marLeft w:val="0"/>
          <w:marRight w:val="0"/>
          <w:marTop w:val="0"/>
          <w:marBottom w:val="0"/>
          <w:divBdr>
            <w:top w:val="none" w:sz="0" w:space="0" w:color="auto"/>
            <w:left w:val="none" w:sz="0" w:space="0" w:color="auto"/>
            <w:bottom w:val="none" w:sz="0" w:space="0" w:color="auto"/>
            <w:right w:val="none" w:sz="0" w:space="0" w:color="auto"/>
          </w:divBdr>
        </w:div>
        <w:div w:id="2140756740">
          <w:marLeft w:val="0"/>
          <w:marRight w:val="0"/>
          <w:marTop w:val="0"/>
          <w:marBottom w:val="0"/>
          <w:divBdr>
            <w:top w:val="none" w:sz="0" w:space="0" w:color="auto"/>
            <w:left w:val="none" w:sz="0" w:space="0" w:color="auto"/>
            <w:bottom w:val="none" w:sz="0" w:space="0" w:color="auto"/>
            <w:right w:val="none" w:sz="0" w:space="0" w:color="auto"/>
          </w:divBdr>
        </w:div>
      </w:divsChild>
    </w:div>
    <w:div w:id="982391019">
      <w:bodyDiv w:val="1"/>
      <w:marLeft w:val="0"/>
      <w:marRight w:val="0"/>
      <w:marTop w:val="0"/>
      <w:marBottom w:val="0"/>
      <w:divBdr>
        <w:top w:val="none" w:sz="0" w:space="0" w:color="auto"/>
        <w:left w:val="none" w:sz="0" w:space="0" w:color="auto"/>
        <w:bottom w:val="none" w:sz="0" w:space="0" w:color="auto"/>
        <w:right w:val="none" w:sz="0" w:space="0" w:color="auto"/>
      </w:divBdr>
    </w:div>
    <w:div w:id="987125571">
      <w:bodyDiv w:val="1"/>
      <w:marLeft w:val="0"/>
      <w:marRight w:val="0"/>
      <w:marTop w:val="0"/>
      <w:marBottom w:val="0"/>
      <w:divBdr>
        <w:top w:val="none" w:sz="0" w:space="0" w:color="auto"/>
        <w:left w:val="none" w:sz="0" w:space="0" w:color="auto"/>
        <w:bottom w:val="none" w:sz="0" w:space="0" w:color="auto"/>
        <w:right w:val="none" w:sz="0" w:space="0" w:color="auto"/>
      </w:divBdr>
    </w:div>
    <w:div w:id="989091924">
      <w:bodyDiv w:val="1"/>
      <w:marLeft w:val="0"/>
      <w:marRight w:val="0"/>
      <w:marTop w:val="0"/>
      <w:marBottom w:val="0"/>
      <w:divBdr>
        <w:top w:val="none" w:sz="0" w:space="0" w:color="auto"/>
        <w:left w:val="none" w:sz="0" w:space="0" w:color="auto"/>
        <w:bottom w:val="none" w:sz="0" w:space="0" w:color="auto"/>
        <w:right w:val="none" w:sz="0" w:space="0" w:color="auto"/>
      </w:divBdr>
    </w:div>
    <w:div w:id="1058824054">
      <w:bodyDiv w:val="1"/>
      <w:marLeft w:val="0"/>
      <w:marRight w:val="0"/>
      <w:marTop w:val="0"/>
      <w:marBottom w:val="0"/>
      <w:divBdr>
        <w:top w:val="none" w:sz="0" w:space="0" w:color="auto"/>
        <w:left w:val="none" w:sz="0" w:space="0" w:color="auto"/>
        <w:bottom w:val="none" w:sz="0" w:space="0" w:color="auto"/>
        <w:right w:val="none" w:sz="0" w:space="0" w:color="auto"/>
      </w:divBdr>
    </w:div>
    <w:div w:id="1064328389">
      <w:bodyDiv w:val="1"/>
      <w:marLeft w:val="0"/>
      <w:marRight w:val="0"/>
      <w:marTop w:val="0"/>
      <w:marBottom w:val="0"/>
      <w:divBdr>
        <w:top w:val="none" w:sz="0" w:space="0" w:color="auto"/>
        <w:left w:val="none" w:sz="0" w:space="0" w:color="auto"/>
        <w:bottom w:val="none" w:sz="0" w:space="0" w:color="auto"/>
        <w:right w:val="none" w:sz="0" w:space="0" w:color="auto"/>
      </w:divBdr>
    </w:div>
    <w:div w:id="1079013379">
      <w:bodyDiv w:val="1"/>
      <w:marLeft w:val="0"/>
      <w:marRight w:val="0"/>
      <w:marTop w:val="0"/>
      <w:marBottom w:val="0"/>
      <w:divBdr>
        <w:top w:val="none" w:sz="0" w:space="0" w:color="auto"/>
        <w:left w:val="none" w:sz="0" w:space="0" w:color="auto"/>
        <w:bottom w:val="none" w:sz="0" w:space="0" w:color="auto"/>
        <w:right w:val="none" w:sz="0" w:space="0" w:color="auto"/>
      </w:divBdr>
    </w:div>
    <w:div w:id="1557546896">
      <w:bodyDiv w:val="1"/>
      <w:marLeft w:val="0"/>
      <w:marRight w:val="0"/>
      <w:marTop w:val="0"/>
      <w:marBottom w:val="0"/>
      <w:divBdr>
        <w:top w:val="none" w:sz="0" w:space="0" w:color="auto"/>
        <w:left w:val="none" w:sz="0" w:space="0" w:color="auto"/>
        <w:bottom w:val="none" w:sz="0" w:space="0" w:color="auto"/>
        <w:right w:val="none" w:sz="0" w:space="0" w:color="auto"/>
      </w:divBdr>
    </w:div>
    <w:div w:id="1762556406">
      <w:bodyDiv w:val="1"/>
      <w:marLeft w:val="0"/>
      <w:marRight w:val="0"/>
      <w:marTop w:val="0"/>
      <w:marBottom w:val="0"/>
      <w:divBdr>
        <w:top w:val="none" w:sz="0" w:space="0" w:color="auto"/>
        <w:left w:val="none" w:sz="0" w:space="0" w:color="auto"/>
        <w:bottom w:val="none" w:sz="0" w:space="0" w:color="auto"/>
        <w:right w:val="none" w:sz="0" w:space="0" w:color="auto"/>
      </w:divBdr>
    </w:div>
    <w:div w:id="1834100621">
      <w:bodyDiv w:val="1"/>
      <w:marLeft w:val="0"/>
      <w:marRight w:val="0"/>
      <w:marTop w:val="0"/>
      <w:marBottom w:val="0"/>
      <w:divBdr>
        <w:top w:val="none" w:sz="0" w:space="0" w:color="auto"/>
        <w:left w:val="none" w:sz="0" w:space="0" w:color="auto"/>
        <w:bottom w:val="none" w:sz="0" w:space="0" w:color="auto"/>
        <w:right w:val="none" w:sz="0" w:space="0" w:color="auto"/>
      </w:divBdr>
    </w:div>
    <w:div w:id="1909875004">
      <w:bodyDiv w:val="1"/>
      <w:marLeft w:val="0"/>
      <w:marRight w:val="0"/>
      <w:marTop w:val="0"/>
      <w:marBottom w:val="0"/>
      <w:divBdr>
        <w:top w:val="none" w:sz="0" w:space="0" w:color="auto"/>
        <w:left w:val="none" w:sz="0" w:space="0" w:color="auto"/>
        <w:bottom w:val="none" w:sz="0" w:space="0" w:color="auto"/>
        <w:right w:val="none" w:sz="0" w:space="0" w:color="auto"/>
      </w:divBdr>
      <w:divsChild>
        <w:div w:id="322005405">
          <w:marLeft w:val="0"/>
          <w:marRight w:val="0"/>
          <w:marTop w:val="0"/>
          <w:marBottom w:val="0"/>
          <w:divBdr>
            <w:top w:val="none" w:sz="0" w:space="0" w:color="auto"/>
            <w:left w:val="none" w:sz="0" w:space="0" w:color="auto"/>
            <w:bottom w:val="none" w:sz="0" w:space="0" w:color="auto"/>
            <w:right w:val="none" w:sz="0" w:space="0" w:color="auto"/>
          </w:divBdr>
        </w:div>
        <w:div w:id="534391561">
          <w:marLeft w:val="0"/>
          <w:marRight w:val="0"/>
          <w:marTop w:val="0"/>
          <w:marBottom w:val="0"/>
          <w:divBdr>
            <w:top w:val="none" w:sz="0" w:space="0" w:color="auto"/>
            <w:left w:val="none" w:sz="0" w:space="0" w:color="auto"/>
            <w:bottom w:val="none" w:sz="0" w:space="0" w:color="auto"/>
            <w:right w:val="none" w:sz="0" w:space="0" w:color="auto"/>
          </w:divBdr>
        </w:div>
        <w:div w:id="1678268248">
          <w:marLeft w:val="0"/>
          <w:marRight w:val="0"/>
          <w:marTop w:val="0"/>
          <w:marBottom w:val="0"/>
          <w:divBdr>
            <w:top w:val="none" w:sz="0" w:space="0" w:color="auto"/>
            <w:left w:val="none" w:sz="0" w:space="0" w:color="auto"/>
            <w:bottom w:val="none" w:sz="0" w:space="0" w:color="auto"/>
            <w:right w:val="none" w:sz="0" w:space="0" w:color="auto"/>
          </w:divBdr>
        </w:div>
        <w:div w:id="1689330076">
          <w:marLeft w:val="0"/>
          <w:marRight w:val="0"/>
          <w:marTop w:val="0"/>
          <w:marBottom w:val="0"/>
          <w:divBdr>
            <w:top w:val="none" w:sz="0" w:space="0" w:color="auto"/>
            <w:left w:val="none" w:sz="0" w:space="0" w:color="auto"/>
            <w:bottom w:val="none" w:sz="0" w:space="0" w:color="auto"/>
            <w:right w:val="none" w:sz="0" w:space="0" w:color="auto"/>
          </w:divBdr>
        </w:div>
      </w:divsChild>
    </w:div>
    <w:div w:id="1991904116">
      <w:bodyDiv w:val="1"/>
      <w:marLeft w:val="0"/>
      <w:marRight w:val="0"/>
      <w:marTop w:val="0"/>
      <w:marBottom w:val="0"/>
      <w:divBdr>
        <w:top w:val="none" w:sz="0" w:space="0" w:color="auto"/>
        <w:left w:val="none" w:sz="0" w:space="0" w:color="auto"/>
        <w:bottom w:val="none" w:sz="0" w:space="0" w:color="auto"/>
        <w:right w:val="none" w:sz="0" w:space="0" w:color="auto"/>
      </w:divBdr>
    </w:div>
    <w:div w:id="2056193624">
      <w:bodyDiv w:val="1"/>
      <w:marLeft w:val="0"/>
      <w:marRight w:val="0"/>
      <w:marTop w:val="0"/>
      <w:marBottom w:val="0"/>
      <w:divBdr>
        <w:top w:val="none" w:sz="0" w:space="0" w:color="auto"/>
        <w:left w:val="none" w:sz="0" w:space="0" w:color="auto"/>
        <w:bottom w:val="none" w:sz="0" w:space="0" w:color="auto"/>
        <w:right w:val="none" w:sz="0" w:space="0" w:color="auto"/>
      </w:divBdr>
      <w:divsChild>
        <w:div w:id="265815020">
          <w:marLeft w:val="0"/>
          <w:marRight w:val="0"/>
          <w:marTop w:val="0"/>
          <w:marBottom w:val="0"/>
          <w:divBdr>
            <w:top w:val="none" w:sz="0" w:space="0" w:color="auto"/>
            <w:left w:val="none" w:sz="0" w:space="0" w:color="auto"/>
            <w:bottom w:val="none" w:sz="0" w:space="0" w:color="auto"/>
            <w:right w:val="none" w:sz="0" w:space="0" w:color="auto"/>
          </w:divBdr>
        </w:div>
      </w:divsChild>
    </w:div>
    <w:div w:id="212503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publications/fitness-check-most-relevant-chemical-legislation-excluding-reach_en" TargetMode="External"/><Relationship Id="rId3" Type="http://schemas.openxmlformats.org/officeDocument/2006/relationships/hyperlink" Target="https://digital-strategy.ec.europa.eu/hr/library/european-declaration-digital-rights-and-principles" TargetMode="External"/><Relationship Id="rId7" Type="http://schemas.openxmlformats.org/officeDocument/2006/relationships/hyperlink" Target="https://ec.europa.eu/docsroom/documents/36289" TargetMode="External"/><Relationship Id="rId2" Type="http://schemas.openxmlformats.org/officeDocument/2006/relationships/hyperlink" Target="https://ec.europa.eu/info/publications/fitness-check-most-relevant-chemical-legislation-excluding-reach_en" TargetMode="External"/><Relationship Id="rId1" Type="http://schemas.openxmlformats.org/officeDocument/2006/relationships/hyperlink" Target="https://ec.europa.eu/docsroom/documents/36289" TargetMode="External"/><Relationship Id="rId6" Type="http://schemas.openxmlformats.org/officeDocument/2006/relationships/hyperlink" Target="http://data.europa.eu/eli/dec/2008/768(1)/oj" TargetMode="External"/><Relationship Id="rId5" Type="http://schemas.openxmlformats.org/officeDocument/2006/relationships/hyperlink" Target="https://sdgs.un.org/goals" TargetMode="External"/><Relationship Id="rId4" Type="http://schemas.openxmlformats.org/officeDocument/2006/relationships/hyperlink" Target="https://commission.europa.eu/document/41514677-9598-4d89-a572-abe21cb037f4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Status xmlns="13a9b140-5058-467c-a988-17cc8299bf60">Not Started</EC_Collab_Status>
    <EC_Collab_Reference xmlns="13a9b140-5058-467c-a988-17cc8299bf60" xsi:nil="true"/>
    <EC_Collab_DocumentLanguage xmlns="13a9b140-5058-467c-a988-17cc8299bf60">EN</EC_Collab_DocumentLanguag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4EE8C8EE09F49B46AF0F503B2185EF16" ma:contentTypeVersion="2" ma:contentTypeDescription="Create a new document in this library." ma:contentTypeScope="" ma:versionID="02d6b533b4f5105f3d5ed13edf8e2fee">
  <xsd:schema xmlns:xsd="http://www.w3.org/2001/XMLSchema" xmlns:xs="http://www.w3.org/2001/XMLSchema" xmlns:p="http://schemas.microsoft.com/office/2006/metadata/properties" xmlns:ns2="http://schemas.microsoft.com/sharepoint/v3/fields" xmlns:ns3="13a9b140-5058-467c-a988-17cc8299bf60" xmlns:ns4="b196367b-4f7f-4dcb-a98c-0b47782146f3" targetNamespace="http://schemas.microsoft.com/office/2006/metadata/properties" ma:root="true" ma:fieldsID="d5faa077caec6930ea5f52797a5ad902" ns2:_="" ns3:_="" ns4:_="">
    <xsd:import namespace="http://schemas.microsoft.com/sharepoint/v3/fields"/>
    <xsd:import namespace="13a9b140-5058-467c-a988-17cc8299bf60"/>
    <xsd:import namespace="b196367b-4f7f-4dcb-a98c-0b47782146f3"/>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3a9b140-5058-467c-a988-17cc8299bf6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b196367b-4f7f-4dcb-a98c-0b47782146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7B40DD5-6349-4178-A678-706626CBD6B8}">
  <ds:schemaRefs>
    <ds:schemaRef ds:uri="http://schemas.microsoft.com/office/2006/documentManagement/types"/>
    <ds:schemaRef ds:uri="13a9b140-5058-467c-a988-17cc8299bf60"/>
    <ds:schemaRef ds:uri="http://schemas.microsoft.com/office/infopath/2007/PartnerControls"/>
    <ds:schemaRef ds:uri="http://purl.org/dc/elements/1.1/"/>
    <ds:schemaRef ds:uri="http://schemas.microsoft.com/office/2006/metadata/properties"/>
    <ds:schemaRef ds:uri="http://www.w3.org/XML/1998/namespace"/>
    <ds:schemaRef ds:uri="http://purl.org/dc/terms/"/>
    <ds:schemaRef ds:uri="http://purl.org/dc/dcmitype/"/>
    <ds:schemaRef ds:uri="b196367b-4f7f-4dcb-a98c-0b47782146f3"/>
    <ds:schemaRef ds:uri="http://schemas.openxmlformats.org/package/2006/metadata/core-properties"/>
    <ds:schemaRef ds:uri="http://schemas.microsoft.com/sharepoint/v3/fields"/>
  </ds:schemaRefs>
</ds:datastoreItem>
</file>

<file path=customXml/itemProps2.xml><?xml version="1.0" encoding="utf-8"?>
<ds:datastoreItem xmlns:ds="http://schemas.openxmlformats.org/officeDocument/2006/customXml" ds:itemID="{0EBD88BB-262C-4743-91A1-C8A693066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3a9b140-5058-467c-a988-17cc8299bf60"/>
    <ds:schemaRef ds:uri="b196367b-4f7f-4dcb-a98c-0b4778214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377CB2-6989-44F7-8546-B57EDFC7D076}">
  <ds:schemaRefs>
    <ds:schemaRef ds:uri="http://schemas.microsoft.com/sharepoint/v3/contenttype/forms"/>
  </ds:schemaRefs>
</ds:datastoreItem>
</file>

<file path=customXml/itemProps4.xml><?xml version="1.0" encoding="utf-8"?>
<ds:datastoreItem xmlns:ds="http://schemas.openxmlformats.org/officeDocument/2006/customXml" ds:itemID="{ECA6D272-932B-4970-A5C7-1CFBE6B07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10</TotalTime>
  <Pages>45</Pages>
  <Words>18294</Words>
  <Characters>109216</Characters>
  <Application>Microsoft Office Word</Application>
  <DocSecurity>0</DocSecurity>
  <Lines>1820</Lines>
  <Paragraphs>607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53</cp:revision>
  <cp:lastPrinted>2023-03-23T16:17:00Z</cp:lastPrinted>
  <dcterms:created xsi:type="dcterms:W3CDTF">2023-04-27T08:30:00Z</dcterms:created>
  <dcterms:modified xsi:type="dcterms:W3CDTF">2023-05-30T09:36:00Z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Created using">
    <vt:lpwstr>LW 8.0.1, Build 20220429</vt:lpwstr>
  </property>
  <property fmtid="{D5CDD505-2E9C-101B-9397-08002B2CF9AE}" pid="5" name="Part">
    <vt:lpwstr>1</vt:lpwstr>
  </property>
  <property fmtid="{D5CDD505-2E9C-101B-9397-08002B2CF9AE}" pid="6" name="Total parts">
    <vt:lpwstr>1</vt:lpwstr>
  </property>
  <property fmtid="{D5CDD505-2E9C-101B-9397-08002B2CF9AE}" pid="7" name="Level of sensitivity">
    <vt:lpwstr>Standard treatment</vt:lpwstr>
  </property>
  <property fmtid="{D5CDD505-2E9C-101B-9397-08002B2CF9AE}" pid="8" name="LWTemplateID">
    <vt:lpwstr>SJ-023</vt:lpwstr>
  </property>
  <property fmtid="{D5CDD505-2E9C-101B-9397-08002B2CF9AE}" pid="9" name="ContentTypeId">
    <vt:lpwstr>0x010100258AA79CEB83498886A3A08681123250004EE8C8EE09F49B46AF0F503B2185EF16</vt:lpwstr>
  </property>
  <property fmtid="{D5CDD505-2E9C-101B-9397-08002B2CF9AE}" pid="10" name="Last edited using">
    <vt:lpwstr>LW 9.0, Build 20230317</vt:lpwstr>
  </property>
  <property fmtid="{D5CDD505-2E9C-101B-9397-08002B2CF9AE}" pid="11" name="MSIP_Label_6bd9ddd1-4d20-43f6-abfa-fc3c07406f94_Enabled">
    <vt:lpwstr>true</vt:lpwstr>
  </property>
  <property fmtid="{D5CDD505-2E9C-101B-9397-08002B2CF9AE}" pid="12" name="MSIP_Label_6bd9ddd1-4d20-43f6-abfa-fc3c07406f94_SetDate">
    <vt:lpwstr>2022-12-19T10:36:57Z</vt:lpwstr>
  </property>
  <property fmtid="{D5CDD505-2E9C-101B-9397-08002B2CF9AE}" pid="13" name="MSIP_Label_6bd9ddd1-4d20-43f6-abfa-fc3c07406f94_Method">
    <vt:lpwstr>Privileged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3447ece5-568d-4635-8572-286b05573af6</vt:lpwstr>
  </property>
  <property fmtid="{D5CDD505-2E9C-101B-9397-08002B2CF9AE}" pid="17" name="MSIP_Label_6bd9ddd1-4d20-43f6-abfa-fc3c07406f94_ContentBits">
    <vt:lpwstr>0</vt:lpwstr>
  </property>
  <property fmtid="{D5CDD505-2E9C-101B-9397-08002B2CF9AE}" pid="18" name="DQCStatus">
    <vt:lpwstr>Green (DQC version 03)</vt:lpwstr>
  </property>
</Properties>
</file>