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A314" w14:textId="7EF33B6C" w:rsidR="000814CC" w:rsidRDefault="003E37A2" w:rsidP="003E37A2">
      <w:pPr>
        <w:pStyle w:val="Pagedecouverture"/>
        <w:rPr>
          <w:noProof/>
        </w:rPr>
      </w:pPr>
      <w:bookmarkStart w:id="0" w:name="LW_BM_COVERPAGE"/>
      <w:r>
        <w:rPr>
          <w:noProof/>
        </w:rPr>
        <w:pict w14:anchorId="300E3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DCDCE70-DD4A-41DE-B935-F387F9969D83" style="width:455.25pt;height:324pt">
            <v:imagedata r:id="rId8" o:title=""/>
          </v:shape>
        </w:pict>
      </w:r>
    </w:p>
    <w:bookmarkEnd w:id="0"/>
    <w:p w14:paraId="04CA47FF" w14:textId="77777777" w:rsidR="000814CC" w:rsidRDefault="000814CC" w:rsidP="000814CC">
      <w:pPr>
        <w:rPr>
          <w:noProof/>
        </w:rPr>
        <w:sectPr w:rsidR="000814CC" w:rsidSect="003E37A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2868C40" w14:textId="435AA0DD" w:rsidR="00517B47" w:rsidRPr="00CE4DF2" w:rsidRDefault="00860BAE" w:rsidP="00194509">
      <w:pPr>
        <w:pStyle w:val="ManualHeading1"/>
        <w:spacing w:before="120"/>
        <w:rPr>
          <w:noProof/>
          <w:u w:val="single"/>
          <w:lang w:val="fi-FI"/>
        </w:rPr>
      </w:pPr>
      <w:bookmarkStart w:id="1" w:name="_GoBack"/>
      <w:bookmarkEnd w:id="1"/>
      <w:r w:rsidRPr="00606563">
        <w:rPr>
          <w:noProof/>
          <w:lang w:val="fi-FI"/>
        </w:rPr>
        <w:lastRenderedPageBreak/>
        <w:t>1.</w:t>
      </w:r>
      <w:r w:rsidRPr="00CE4DF2">
        <w:rPr>
          <w:noProof/>
          <w:lang w:val="fi-FI"/>
        </w:rPr>
        <w:tab/>
        <w:t>Tausta</w:t>
      </w:r>
    </w:p>
    <w:p w14:paraId="5E9826BC" w14:textId="578FD79A" w:rsidR="00E052ED" w:rsidRPr="00CE4DF2" w:rsidRDefault="00517B47" w:rsidP="00194509">
      <w:pPr>
        <w:rPr>
          <w:noProof/>
          <w:lang w:val="fi-FI"/>
        </w:rPr>
      </w:pPr>
      <w:r w:rsidRPr="00CE4DF2">
        <w:rPr>
          <w:noProof/>
          <w:lang w:val="fi-FI"/>
        </w:rPr>
        <w:t>Tässä kertomuksessa esitetään vuonna 2022 toteutetut EU:n keskeiset tutkimus- ja innovointitoimet ja kuvaus Horisontti Eurooppa -puiteohjelman, Horisontti 2020 -ohjelman ja Euratom-ohjelman seurannasta. Se ei kata kaikkia toimia.</w:t>
      </w:r>
    </w:p>
    <w:p w14:paraId="0EBF42AD" w14:textId="03CFE93D" w:rsidR="00517B47" w:rsidRPr="00CE4DF2" w:rsidRDefault="00E052ED" w:rsidP="00194509">
      <w:pPr>
        <w:rPr>
          <w:noProof/>
          <w:lang w:val="fi-FI"/>
        </w:rPr>
      </w:pPr>
      <w:r w:rsidRPr="00CE4DF2">
        <w:rPr>
          <w:noProof/>
          <w:lang w:val="fi-FI"/>
        </w:rPr>
        <w:t xml:space="preserve">Kertomus on laadittu Euroopan unionin toiminnasta tehdyn sopimuksen 190 artiklan ja </w:t>
      </w:r>
      <w:hyperlink r:id="rId15" w:history="1">
        <w:r w:rsidRPr="00CE4DF2">
          <w:rPr>
            <w:rStyle w:val="Hyperlink"/>
            <w:noProof/>
            <w:lang w:val="fi-FI"/>
          </w:rPr>
          <w:t>Euroopan atomienergiayhteisön perustamissopimuksen</w:t>
        </w:r>
      </w:hyperlink>
      <w:r w:rsidRPr="00CE4DF2">
        <w:rPr>
          <w:noProof/>
          <w:lang w:val="fi-FI"/>
        </w:rPr>
        <w:t xml:space="preserve"> 7 artiklan sekä </w:t>
      </w:r>
      <w:hyperlink r:id="rId16" w:history="1">
        <w:r w:rsidRPr="00CE4DF2">
          <w:rPr>
            <w:rStyle w:val="Hyperlink"/>
            <w:noProof/>
            <w:lang w:val="fi-FI"/>
          </w:rPr>
          <w:t>tutkimuksen ja innovoinnin puiteohjelman ”Horisontti Eurooppa” perustamisesta annetun asetuksen 50 artiklan</w:t>
        </w:r>
      </w:hyperlink>
      <w:r w:rsidRPr="00CE4DF2">
        <w:rPr>
          <w:noProof/>
          <w:lang w:val="fi-FI"/>
        </w:rPr>
        <w:t xml:space="preserve"> ja </w:t>
      </w:r>
      <w:hyperlink r:id="rId17" w:history="1">
        <w:r w:rsidRPr="00CE4DF2">
          <w:rPr>
            <w:rStyle w:val="Hyperlink"/>
            <w:noProof/>
            <w:lang w:val="fi-FI"/>
          </w:rPr>
          <w:t>Euroopan atomienergiayhteisön tutkimus- ja koulutusohjelman perustamisesta annetun neuvoston asetuksen (Euratom) 2021/765</w:t>
        </w:r>
      </w:hyperlink>
      <w:r w:rsidRPr="00CE4DF2">
        <w:rPr>
          <w:noProof/>
          <w:lang w:val="fi-FI"/>
        </w:rPr>
        <w:t xml:space="preserve"> 12 artiklan mukaisesti. </w:t>
      </w:r>
    </w:p>
    <w:p w14:paraId="37C5DD34" w14:textId="77777777" w:rsidR="00194509" w:rsidRPr="00CE4DF2" w:rsidRDefault="00194509" w:rsidP="00941F0D">
      <w:pPr>
        <w:rPr>
          <w:noProof/>
          <w:lang w:val="fi-FI"/>
        </w:rPr>
      </w:pPr>
    </w:p>
    <w:p w14:paraId="5A6DAF01" w14:textId="4970CC12" w:rsidR="00517B47" w:rsidRPr="00CE4DF2" w:rsidRDefault="00860BAE" w:rsidP="00194509">
      <w:pPr>
        <w:pStyle w:val="ManualHeading1"/>
        <w:spacing w:before="120"/>
        <w:rPr>
          <w:noProof/>
          <w:lang w:val="fi-FI"/>
        </w:rPr>
      </w:pPr>
      <w:r w:rsidRPr="00CE4DF2">
        <w:rPr>
          <w:noProof/>
          <w:lang w:val="fi-FI"/>
        </w:rPr>
        <w:t>2.</w:t>
      </w:r>
      <w:r w:rsidRPr="00CE4DF2">
        <w:rPr>
          <w:noProof/>
          <w:lang w:val="fi-FI"/>
        </w:rPr>
        <w:tab/>
        <w:t>Poliittinen tausta ja toimintapolitiikan kehitys</w:t>
      </w:r>
    </w:p>
    <w:p w14:paraId="5F5B3114" w14:textId="5BB221DC" w:rsidR="00DF6BC3" w:rsidRPr="00CE4DF2" w:rsidRDefault="000F1C6A" w:rsidP="00194509">
      <w:pPr>
        <w:rPr>
          <w:noProof/>
          <w:lang w:val="fi-FI"/>
        </w:rPr>
      </w:pPr>
      <w:r w:rsidRPr="00CE4DF2">
        <w:rPr>
          <w:noProof/>
          <w:lang w:val="fi-FI"/>
        </w:rPr>
        <w:t xml:space="preserve">Vuonna 2022 Venäjä hyökkäsi Ukrainaan. Tämä historiallinen käänne rikkoi kansainvälistä oikeutta ja horjutti turvallisuutta Euroopassa ja koko maailmassa. Näin toimimalla Venäjä rikkoi myös niitä tutkimusta ja innovointia koskevan kansainvälisen yhteistyön keskeisiä arvoja ja periaatteita, jotka on määritetty </w:t>
      </w:r>
      <w:hyperlink r:id="rId18" w:history="1">
        <w:r w:rsidRPr="00CE4DF2">
          <w:rPr>
            <w:rStyle w:val="Hyperlink"/>
            <w:noProof/>
            <w:lang w:val="fi-FI"/>
          </w:rPr>
          <w:t>tutkimusta ja innovointia koskevasta globaalista lähestymistavasta annetussa tiedonannossa</w:t>
        </w:r>
      </w:hyperlink>
      <w:r w:rsidRPr="00CE4DF2">
        <w:rPr>
          <w:noProof/>
          <w:lang w:val="fi-FI"/>
        </w:rPr>
        <w:t xml:space="preserve">. </w:t>
      </w:r>
    </w:p>
    <w:p w14:paraId="57BFC300" w14:textId="6BD11B31" w:rsidR="00B23401" w:rsidRPr="00CE4DF2" w:rsidRDefault="00DF6BC3" w:rsidP="00194509">
      <w:pPr>
        <w:rPr>
          <w:noProof/>
          <w:lang w:val="fi-FI"/>
        </w:rPr>
      </w:pPr>
      <w:r w:rsidRPr="00CE4DF2">
        <w:rPr>
          <w:noProof/>
          <w:lang w:val="fi-FI"/>
        </w:rPr>
        <w:t>Sodalla on ollut tuntuvia vaikutuksia EU:hun ja sen tutkimuksen ja innovoinnin toimintaympäristöön etenkin Ukrainan ja Venäjän kanssa tehtävän tieteellisen yhteistyön osalta, mutta myös energiansaannin, varmojen toimitusketjujen ja maahanmuuton kannalta.</w:t>
      </w:r>
    </w:p>
    <w:p w14:paraId="0ACD95A6" w14:textId="77777777" w:rsidR="009C22CA" w:rsidRPr="00CE4DF2" w:rsidRDefault="009C22CA" w:rsidP="00194509">
      <w:pPr>
        <w:rPr>
          <w:noProof/>
          <w:lang w:val="fi-FI"/>
        </w:rPr>
      </w:pPr>
    </w:p>
    <w:p w14:paraId="52C3910F" w14:textId="7EE8B135" w:rsidR="00EB7BAE" w:rsidRPr="00CE4DF2" w:rsidRDefault="00EB7BAE" w:rsidP="00134941">
      <w:pPr>
        <w:pStyle w:val="ManualHeading2"/>
        <w:ind w:left="0" w:firstLine="0"/>
        <w:rPr>
          <w:noProof/>
          <w:lang w:val="fi-FI"/>
        </w:rPr>
      </w:pPr>
      <w:r w:rsidRPr="00CE4DF2">
        <w:rPr>
          <w:noProof/>
          <w:lang w:val="fi-FI"/>
        </w:rPr>
        <w:t>2.1.</w:t>
      </w:r>
      <w:r w:rsidRPr="00CE4DF2">
        <w:rPr>
          <w:noProof/>
          <w:lang w:val="fi-FI"/>
        </w:rPr>
        <w:tab/>
        <w:t>Ukraina</w:t>
      </w:r>
    </w:p>
    <w:p w14:paraId="2FE9C949" w14:textId="5FF68177" w:rsidR="001460B0" w:rsidRPr="00CE4DF2" w:rsidRDefault="009472A4" w:rsidP="00134941">
      <w:pPr>
        <w:rPr>
          <w:noProof/>
          <w:lang w:val="fi-FI"/>
        </w:rPr>
      </w:pPr>
      <w:r w:rsidRPr="00CE4DF2">
        <w:rPr>
          <w:noProof/>
          <w:lang w:val="fi-FI"/>
        </w:rPr>
        <w:t>Komissio on asettanut Venäjälle pakotteita tutkimuksen ja innovoinnin alalla.</w:t>
      </w:r>
      <w:r w:rsidRPr="00CE4DF2">
        <w:rPr>
          <w:rStyle w:val="FootnoteReference"/>
          <w:noProof/>
          <w:lang w:val="fi-FI"/>
        </w:rPr>
        <w:footnoteReference w:id="1"/>
      </w:r>
      <w:r w:rsidRPr="00CE4DF2">
        <w:rPr>
          <w:noProof/>
          <w:lang w:val="fi-FI"/>
        </w:rPr>
        <w:t xml:space="preserve"> Käytännössä komissio</w:t>
      </w:r>
    </w:p>
    <w:p w14:paraId="65B2D772" w14:textId="362CF60C" w:rsidR="00EB7BAE" w:rsidRPr="00CE4DF2" w:rsidRDefault="004704C5" w:rsidP="00303BF0">
      <w:pPr>
        <w:numPr>
          <w:ilvl w:val="0"/>
          <w:numId w:val="55"/>
        </w:numPr>
        <w:rPr>
          <w:noProof/>
          <w:lang w:val="fi-FI"/>
        </w:rPr>
      </w:pPr>
      <w:r w:rsidRPr="00CE4DF2">
        <w:rPr>
          <w:noProof/>
          <w:lang w:val="fi-FI"/>
        </w:rPr>
        <w:t xml:space="preserve">lopetti tutkimusta ja innovointia koskevat yhteistyöhankkeet, päätti venäläisten julkisyhteisöjen osallistumisen </w:t>
      </w:r>
      <w:hyperlink r:id="rId19" w:history="1">
        <w:r w:rsidRPr="00CE4DF2">
          <w:rPr>
            <w:rStyle w:val="Hyperlink"/>
            <w:noProof/>
            <w:lang w:val="fi-FI"/>
          </w:rPr>
          <w:t>EU:n tutkimus- ja innovaatio-ohjelmiin</w:t>
        </w:r>
      </w:hyperlink>
      <w:r w:rsidRPr="00CE4DF2">
        <w:rPr>
          <w:noProof/>
          <w:lang w:val="fi-FI"/>
        </w:rPr>
        <w:t xml:space="preserve"> ja varmisti pakotteiden koordinoidun täytäntöönpanon ohjeistuksen ja seurannan avulla;</w:t>
      </w:r>
    </w:p>
    <w:p w14:paraId="19001066" w14:textId="0EFFD5E7" w:rsidR="00EB7BAE" w:rsidRPr="00CE4DF2" w:rsidRDefault="00EB7BAE" w:rsidP="00134941">
      <w:pPr>
        <w:numPr>
          <w:ilvl w:val="0"/>
          <w:numId w:val="55"/>
        </w:numPr>
        <w:rPr>
          <w:noProof/>
          <w:lang w:val="fi-FI"/>
        </w:rPr>
      </w:pPr>
      <w:r w:rsidRPr="00CE4DF2">
        <w:rPr>
          <w:noProof/>
          <w:lang w:val="fi-FI"/>
        </w:rPr>
        <w:t xml:space="preserve">aloitti Ukrainan tutkimus- ja tiedeyhteisön tukemiseksi kohdennettuja toimia, joita ovat esimerkiksi maaliskuussa 2022 käyttöön otettu </w:t>
      </w:r>
      <w:hyperlink r:id="rId20" w:history="1">
        <w:r w:rsidRPr="00CE4DF2">
          <w:rPr>
            <w:rStyle w:val="Hyperlink"/>
            <w:noProof/>
            <w:lang w:val="fi-FI"/>
          </w:rPr>
          <w:t>ERA4Ukraine-portaali</w:t>
        </w:r>
      </w:hyperlink>
      <w:r w:rsidRPr="00CE4DF2">
        <w:rPr>
          <w:noProof/>
          <w:lang w:val="fi-FI"/>
        </w:rPr>
        <w:t xml:space="preserve">, jolla tuetaan ukrainalaisia tutkijoita; lokakuussa 2022 Ukrainasta muualle siirtymään joutuneiden tutkijoiden tukemiseksi käynnistetty </w:t>
      </w:r>
      <w:hyperlink r:id="rId21" w:history="1">
        <w:r w:rsidRPr="00CE4DF2">
          <w:rPr>
            <w:rStyle w:val="Hyperlink"/>
            <w:noProof/>
            <w:lang w:val="fi-FI"/>
          </w:rPr>
          <w:t>Marie Skłodowska-Curie -toimi 4Ukraine</w:t>
        </w:r>
      </w:hyperlink>
      <w:r w:rsidRPr="00CE4DF2">
        <w:rPr>
          <w:noProof/>
          <w:lang w:val="fi-FI"/>
        </w:rPr>
        <w:t xml:space="preserve">, jonka budjetti on 25 miljoonaa euroa; </w:t>
      </w:r>
      <w:hyperlink r:id="rId22" w:history="1">
        <w:r w:rsidRPr="00CE4DF2">
          <w:rPr>
            <w:rStyle w:val="Hyperlink"/>
            <w:noProof/>
            <w:lang w:val="fi-FI"/>
          </w:rPr>
          <w:t>Euroopan innovaationeuvoston</w:t>
        </w:r>
      </w:hyperlink>
      <w:r w:rsidRPr="00CE4DF2">
        <w:rPr>
          <w:noProof/>
          <w:lang w:val="fi-FI"/>
        </w:rPr>
        <w:t xml:space="preserve"> ehdotuspyyntö, jonka tarkoituksena on tukea ukrainalaisia innovointiyrityksiä ja jonka budjetti on 20 miljoonaa euroa;</w:t>
      </w:r>
    </w:p>
    <w:p w14:paraId="7DF9655D" w14:textId="0D44AB09" w:rsidR="007F6F90" w:rsidRPr="00CE4DF2" w:rsidRDefault="007F6F90" w:rsidP="007F6F90">
      <w:pPr>
        <w:numPr>
          <w:ilvl w:val="0"/>
          <w:numId w:val="55"/>
        </w:numPr>
        <w:rPr>
          <w:noProof/>
          <w:lang w:val="fi-FI"/>
        </w:rPr>
      </w:pPr>
      <w:r w:rsidRPr="00CE4DF2">
        <w:rPr>
          <w:noProof/>
          <w:lang w:val="fi-FI"/>
        </w:rPr>
        <w:t xml:space="preserve">julkaisi toukokuussa 2022 </w:t>
      </w:r>
      <w:hyperlink r:id="rId23" w:history="1">
        <w:r w:rsidRPr="00CE4DF2">
          <w:rPr>
            <w:rStyle w:val="Hyperlink"/>
            <w:noProof/>
            <w:lang w:val="fi-FI"/>
          </w:rPr>
          <w:t>REPowerEU-suunnitelman</w:t>
        </w:r>
      </w:hyperlink>
      <w:r w:rsidRPr="00CE4DF2">
        <w:rPr>
          <w:noProof/>
          <w:lang w:val="fi-FI"/>
        </w:rPr>
        <w:t>, jonka tavoitteena katkaista Euroopan riippuvuus Venäjän fossiilisista polttoaineista vauhdittamalla EU:n vihreää siirtymää,</w:t>
      </w:r>
    </w:p>
    <w:p w14:paraId="31936543" w14:textId="42C1588F" w:rsidR="00EB7BAE" w:rsidRPr="00CE4DF2" w:rsidRDefault="00C11868" w:rsidP="00134941">
      <w:pPr>
        <w:numPr>
          <w:ilvl w:val="0"/>
          <w:numId w:val="55"/>
        </w:numPr>
        <w:rPr>
          <w:noProof/>
          <w:lang w:val="fi-FI"/>
        </w:rPr>
      </w:pPr>
      <w:r w:rsidRPr="00CE4DF2">
        <w:rPr>
          <w:noProof/>
          <w:lang w:val="fi-FI"/>
        </w:rPr>
        <w:t xml:space="preserve">käynnisti </w:t>
      </w:r>
      <w:hyperlink r:id="rId24" w:history="1">
        <w:r w:rsidRPr="00CE4DF2">
          <w:rPr>
            <w:rStyle w:val="Hyperlink"/>
            <w:noProof/>
            <w:lang w:val="fi-FI"/>
          </w:rPr>
          <w:t>Euratom-ohjelman</w:t>
        </w:r>
      </w:hyperlink>
      <w:r w:rsidRPr="00CE4DF2">
        <w:rPr>
          <w:noProof/>
          <w:lang w:val="fi-FI"/>
        </w:rPr>
        <w:t xml:space="preserve"> puitteissa uuden aihealueen, joka koskee </w:t>
      </w:r>
      <w:hyperlink r:id="rId25" w:history="1">
        <w:r w:rsidRPr="00CE4DF2">
          <w:rPr>
            <w:rStyle w:val="Hyperlink"/>
            <w:noProof/>
            <w:lang w:val="fi-FI"/>
          </w:rPr>
          <w:t>VVER-reaktoreissa käytettäväksi tarkoitetun vaihtoehtoisen ydinpolttoaineen turvallisuutta</w:t>
        </w:r>
      </w:hyperlink>
      <w:r w:rsidRPr="00CE4DF2">
        <w:rPr>
          <w:noProof/>
          <w:lang w:val="fi-FI"/>
        </w:rPr>
        <w:t xml:space="preserve"> ja jonka budjetti on 10 miljoonaa euroa. Tähän aihealueeseen kuuluvien toimien tavoitteena on varmistaa, että nämä Neuvostoliitossa rakennetut reaktorit pysyvät toiminnassa.</w:t>
      </w:r>
    </w:p>
    <w:p w14:paraId="77F75F29" w14:textId="77777777" w:rsidR="00AF0C0A" w:rsidRPr="00CE4DF2" w:rsidRDefault="00AF0C0A" w:rsidP="00921E89">
      <w:pPr>
        <w:pStyle w:val="ManualHeading2"/>
        <w:ind w:left="0" w:firstLine="0"/>
        <w:rPr>
          <w:noProof/>
          <w:lang w:val="fi-FI"/>
        </w:rPr>
      </w:pPr>
    </w:p>
    <w:p w14:paraId="3D59DF40" w14:textId="6EBA3104" w:rsidR="00517B47" w:rsidRPr="00CE4DF2" w:rsidRDefault="00860BAE" w:rsidP="00860BAE">
      <w:pPr>
        <w:pStyle w:val="ManualHeading2"/>
        <w:rPr>
          <w:noProof/>
          <w:lang w:val="fi-FI"/>
        </w:rPr>
      </w:pPr>
      <w:r w:rsidRPr="00CE4DF2">
        <w:rPr>
          <w:noProof/>
          <w:lang w:val="fi-FI"/>
        </w:rPr>
        <w:t>2.2.</w:t>
      </w:r>
      <w:r w:rsidRPr="00CE4DF2">
        <w:rPr>
          <w:noProof/>
          <w:lang w:val="fi-FI"/>
        </w:rPr>
        <w:tab/>
        <w:t>Vihreä ja digitaalinen siirtymä</w:t>
      </w:r>
    </w:p>
    <w:p w14:paraId="5641FAD3" w14:textId="3D124920" w:rsidR="00067083" w:rsidRPr="00CE4DF2" w:rsidRDefault="003920D3" w:rsidP="00EE2AD9">
      <w:pPr>
        <w:rPr>
          <w:noProof/>
          <w:lang w:val="fi-FI"/>
        </w:rPr>
      </w:pPr>
      <w:bookmarkStart w:id="2" w:name="_Hlk117088433"/>
      <w:r w:rsidRPr="00CE4DF2">
        <w:rPr>
          <w:noProof/>
          <w:lang w:val="fi-FI"/>
        </w:rPr>
        <w:t>Sekä Venäjän Ukrainaa vastaan aloittaman sodan että ilmastoon liittyvien ääri-ilmiöiden yleistymisen vuoksi EU:n siirtymisestä kohti oikeudenmukaista vihreää ja digitaalista yhteiskuntaa on tullut yhä kiireellisempää.</w:t>
      </w:r>
    </w:p>
    <w:p w14:paraId="15A42E50" w14:textId="769C49A1" w:rsidR="005745C7" w:rsidRPr="00CE4DF2" w:rsidRDefault="005745C7" w:rsidP="005745C7">
      <w:pPr>
        <w:rPr>
          <w:noProof/>
          <w:lang w:val="fi-FI"/>
        </w:rPr>
      </w:pPr>
      <w:r w:rsidRPr="00CE4DF2">
        <w:rPr>
          <w:noProof/>
          <w:lang w:val="fi-FI"/>
        </w:rPr>
        <w:t xml:space="preserve">Osana </w:t>
      </w:r>
      <w:hyperlink r:id="rId26" w:history="1">
        <w:r w:rsidRPr="00CE4DF2">
          <w:rPr>
            <w:rStyle w:val="Hyperlink"/>
            <w:noProof/>
            <w:lang w:val="fi-FI"/>
          </w:rPr>
          <w:t>REPowerEU-suunnitelmaa</w:t>
        </w:r>
      </w:hyperlink>
      <w:r w:rsidRPr="00CE4DF2">
        <w:rPr>
          <w:rStyle w:val="Hyperlink"/>
          <w:noProof/>
          <w:color w:val="000000" w:themeColor="text1"/>
          <w:u w:val="none"/>
          <w:lang w:val="fi-FI"/>
        </w:rPr>
        <w:t xml:space="preserve"> komissio julkaisi</w:t>
      </w:r>
      <w:r w:rsidRPr="00CE4DF2">
        <w:rPr>
          <w:noProof/>
          <w:lang w:val="fi-FI"/>
        </w:rPr>
        <w:t xml:space="preserve"> </w:t>
      </w:r>
      <w:hyperlink r:id="rId27" w:history="1">
        <w:r w:rsidRPr="00CE4DF2">
          <w:rPr>
            <w:rStyle w:val="Hyperlink"/>
            <w:noProof/>
            <w:lang w:val="fi-FI"/>
          </w:rPr>
          <w:t>EU:n aurinkoenergiastrategiaa koskevan tiedonannon</w:t>
        </w:r>
      </w:hyperlink>
      <w:r w:rsidRPr="00CE4DF2">
        <w:rPr>
          <w:noProof/>
          <w:lang w:val="fi-FI"/>
        </w:rPr>
        <w:t xml:space="preserve"> ja selvitti, miten tutkimuksen ja innovoinnin avulla voidaan edistää esimerkiksi tuuleen, lämpöpumppuihin, biometaaniin ja vetyyn liittyvien teknologioiden kehittämistä ja yleensä materiaalien kulutuksen vähentämistä sekä uusiutuvan energian laitteiden kierrätettävyyttä. </w:t>
      </w:r>
      <w:hyperlink r:id="rId28" w:history="1">
        <w:r w:rsidRPr="00CE4DF2">
          <w:rPr>
            <w:rStyle w:val="Hyperlink"/>
            <w:noProof/>
            <w:lang w:val="fi-FI"/>
          </w:rPr>
          <w:t>Energiajärjestelmän digitalisointia koskevassa tiedonannossa</w:t>
        </w:r>
      </w:hyperlink>
      <w:r w:rsidRPr="00CE4DF2">
        <w:rPr>
          <w:noProof/>
          <w:lang w:val="fi-FI"/>
        </w:rPr>
        <w:t xml:space="preserve"> korostettiin tarvetta laajentaa tutkimus- ja innovointitoimia. </w:t>
      </w:r>
    </w:p>
    <w:p w14:paraId="2532D320" w14:textId="4EAC3B75" w:rsidR="007375EF" w:rsidRPr="00CE4DF2" w:rsidRDefault="003E37A2" w:rsidP="007375EF">
      <w:pPr>
        <w:rPr>
          <w:noProof/>
          <w:bdr w:val="none" w:sz="0" w:space="0" w:color="auto" w:frame="1"/>
          <w:lang w:val="fi-FI"/>
        </w:rPr>
      </w:pPr>
      <w:hyperlink r:id="rId29" w:history="1">
        <w:r w:rsidR="007375EF" w:rsidRPr="00CE4DF2">
          <w:rPr>
            <w:rStyle w:val="Hyperlink"/>
            <w:noProof/>
            <w:bdr w:val="none" w:sz="0" w:space="0" w:color="auto" w:frame="1"/>
            <w:lang w:val="fi-FI"/>
          </w:rPr>
          <w:t>Seitsemännessä energiaunionin tilaa koskevassa kertomuksessa</w:t>
        </w:r>
      </w:hyperlink>
      <w:r w:rsidR="007375EF" w:rsidRPr="00CE4DF2">
        <w:rPr>
          <w:noProof/>
          <w:bdr w:val="none" w:sz="0" w:space="0" w:color="auto" w:frame="1"/>
          <w:lang w:val="fi-FI"/>
        </w:rPr>
        <w:t xml:space="preserve"> (lokakuu 2022) todettiin, että on tarpeen lisätä investointeja tutkimukseen ja innovointiin, jotta unioni pysyy </w:t>
      </w:r>
      <w:r w:rsidR="007375EF" w:rsidRPr="00CE4DF2">
        <w:rPr>
          <w:noProof/>
          <w:shd w:val="clear" w:color="auto" w:fill="FFFFFF"/>
          <w:lang w:val="fi-FI"/>
        </w:rPr>
        <w:t>puhtaan energian tutkimuksen eturintamassa.</w:t>
      </w:r>
    </w:p>
    <w:p w14:paraId="56916E08" w14:textId="26243E1A" w:rsidR="005745C7" w:rsidRPr="00CE4DF2" w:rsidRDefault="003E37A2" w:rsidP="005745C7">
      <w:pPr>
        <w:rPr>
          <w:noProof/>
          <w:bdr w:val="none" w:sz="0" w:space="0" w:color="auto" w:frame="1"/>
          <w:lang w:val="fi-FI"/>
        </w:rPr>
      </w:pPr>
      <w:hyperlink r:id="rId30" w:history="1">
        <w:r w:rsidR="005745C7" w:rsidRPr="00CE4DF2">
          <w:rPr>
            <w:rStyle w:val="Hyperlink"/>
            <w:noProof/>
            <w:lang w:val="fi-FI"/>
          </w:rPr>
          <w:t>EU:n tutkimukseen ja innovointiin tekemien investointien roolia EU:n vetystrategian toteuttamisen kannalta koskevassa komission yksiköiden valmisteluasiakirjassa</w:t>
        </w:r>
      </w:hyperlink>
      <w:r w:rsidR="005745C7" w:rsidRPr="00CE4DF2">
        <w:rPr>
          <w:noProof/>
          <w:lang w:val="fi-FI"/>
        </w:rPr>
        <w:t xml:space="preserve"> (tammikuu 2022) esiteltiin tämän alan hankkeiden tuloksia ja painotettiin tarvetta kehittää vetyä koskevaa osaamista.</w:t>
      </w:r>
    </w:p>
    <w:p w14:paraId="2882B214" w14:textId="17ACF024" w:rsidR="00285ABB" w:rsidRPr="00CE4DF2" w:rsidRDefault="00F8210D" w:rsidP="00285ABB">
      <w:pPr>
        <w:rPr>
          <w:noProof/>
          <w:bdr w:val="none" w:sz="0" w:space="0" w:color="auto" w:frame="1"/>
          <w:lang w:val="fi-FI"/>
        </w:rPr>
      </w:pPr>
      <w:r w:rsidRPr="00CE4DF2">
        <w:rPr>
          <w:noProof/>
          <w:bdr w:val="none" w:sz="0" w:space="0" w:color="auto" w:frame="1"/>
          <w:lang w:val="fi-FI"/>
        </w:rPr>
        <w:t xml:space="preserve">Heinäkuussa 2022 hyväksytyssä </w:t>
      </w:r>
      <w:hyperlink r:id="rId31" w:history="1">
        <w:r w:rsidRPr="00CE4DF2">
          <w:rPr>
            <w:rStyle w:val="Hyperlink"/>
            <w:noProof/>
            <w:bdr w:val="none" w:sz="0" w:space="0" w:color="auto" w:frame="1"/>
            <w:lang w:val="fi-FI"/>
          </w:rPr>
          <w:t>uudessa eurooppalaisessa innovaatio-ohjelmassa</w:t>
        </w:r>
      </w:hyperlink>
      <w:r w:rsidRPr="00CE4DF2">
        <w:rPr>
          <w:noProof/>
          <w:lang w:val="fi-FI"/>
        </w:rPr>
        <w:t xml:space="preserve"> korostettiin, että syväteknologian innovaatiot ovat välttämättömiä vihreän ja digitaalisen siirtymän tavoitteiden saavuttamiseksi.</w:t>
      </w:r>
      <w:r w:rsidRPr="00CE4DF2">
        <w:rPr>
          <w:noProof/>
          <w:bdr w:val="none" w:sz="0" w:space="0" w:color="auto" w:frame="1"/>
          <w:lang w:val="fi-FI"/>
        </w:rPr>
        <w:t xml:space="preserve"> </w:t>
      </w:r>
    </w:p>
    <w:p w14:paraId="78588225" w14:textId="35B3E3D2" w:rsidR="00285ABB" w:rsidRPr="00CE4DF2" w:rsidRDefault="00FC3612" w:rsidP="00410F37">
      <w:pPr>
        <w:rPr>
          <w:noProof/>
          <w:lang w:val="fi-FI"/>
        </w:rPr>
      </w:pPr>
      <w:r w:rsidRPr="00CE4DF2">
        <w:rPr>
          <w:noProof/>
          <w:lang w:val="fi-FI"/>
        </w:rPr>
        <w:t xml:space="preserve">Lokakuussa 2022 komissio julkaisi </w:t>
      </w:r>
      <w:hyperlink r:id="rId32" w:history="1">
        <w:r w:rsidRPr="00CE4DF2">
          <w:rPr>
            <w:rStyle w:val="Hyperlink"/>
            <w:noProof/>
            <w:lang w:val="fi-FI"/>
          </w:rPr>
          <w:t>turvallisia ja kestäviä kemikaaleja ja materiaaleja koskevan strategisen tutkimus- ja innovointisuunnitelman</w:t>
        </w:r>
      </w:hyperlink>
      <w:r w:rsidRPr="00CE4DF2">
        <w:rPr>
          <w:noProof/>
          <w:lang w:val="fi-FI"/>
        </w:rPr>
        <w:t xml:space="preserve"> ja kehotti sidosryhmiä ja tutkimuksen rahoittajia käyttämään sitä ohjeasiakirjana. Lisäksi komissio ehdotti joulukuussa 2022, että kehitettäisiin </w:t>
      </w:r>
      <w:hyperlink r:id="rId33" w:history="1">
        <w:r w:rsidRPr="00CE4DF2">
          <w:rPr>
            <w:rStyle w:val="Hyperlink"/>
            <w:noProof/>
            <w:lang w:val="fi-FI"/>
          </w:rPr>
          <w:t>eurooppalainen kehys ”turvallisiksi ja kestäviksi suunniteltujen” kemikaalien ja materiaalien tutkimus- ja innovointitoimia varten</w:t>
        </w:r>
      </w:hyperlink>
      <w:r w:rsidRPr="00CE4DF2">
        <w:rPr>
          <w:noProof/>
          <w:lang w:val="fi-FI"/>
        </w:rPr>
        <w:t xml:space="preserve">, ja aloitti tämän kehyksen kaksivuotisen testausvaiheen. </w:t>
      </w:r>
    </w:p>
    <w:p w14:paraId="08523467" w14:textId="63397E25" w:rsidR="00845BAA" w:rsidRPr="00CE4DF2" w:rsidRDefault="00845BAA" w:rsidP="00285ABB">
      <w:pPr>
        <w:rPr>
          <w:noProof/>
          <w:lang w:val="fi-FI"/>
        </w:rPr>
      </w:pPr>
      <w:r w:rsidRPr="00CE4DF2">
        <w:rPr>
          <w:noProof/>
          <w:lang w:val="fi-FI"/>
        </w:rPr>
        <w:t>Kiertotalouspaketti II (marraskuu 2022) perustui EU:n tutkimus- ja innovointihankkeisiin, joiden aiheita olivat muovien kiertotalous, kestävät pakkaukset sekä hiilenpoisto ja hiilidioksidin varastointi (</w:t>
      </w:r>
      <w:hyperlink r:id="rId34" w:history="1">
        <w:r w:rsidRPr="00CE4DF2">
          <w:rPr>
            <w:rStyle w:val="Hyperlink"/>
            <w:noProof/>
            <w:lang w:val="fi-FI"/>
          </w:rPr>
          <w:t>kestävät tuotteet</w:t>
        </w:r>
      </w:hyperlink>
      <w:r w:rsidRPr="00CE4DF2">
        <w:rPr>
          <w:noProof/>
          <w:lang w:val="fi-FI"/>
        </w:rPr>
        <w:t xml:space="preserve">, </w:t>
      </w:r>
      <w:hyperlink r:id="rId35" w:history="1">
        <w:r w:rsidRPr="00CE4DF2">
          <w:rPr>
            <w:rStyle w:val="Hyperlink"/>
            <w:noProof/>
            <w:lang w:val="fi-FI"/>
          </w:rPr>
          <w:t>tekstiilit</w:t>
        </w:r>
      </w:hyperlink>
      <w:r w:rsidRPr="00CE4DF2">
        <w:rPr>
          <w:noProof/>
          <w:lang w:val="fi-FI"/>
        </w:rPr>
        <w:t xml:space="preserve">, </w:t>
      </w:r>
      <w:hyperlink r:id="rId36" w:history="1">
        <w:r w:rsidRPr="00CE4DF2">
          <w:rPr>
            <w:rStyle w:val="Hyperlink"/>
            <w:noProof/>
            <w:lang w:val="fi-FI"/>
          </w:rPr>
          <w:t>rakennusmateriaalit</w:t>
        </w:r>
      </w:hyperlink>
      <w:r w:rsidRPr="00CE4DF2">
        <w:rPr>
          <w:noProof/>
          <w:lang w:val="fi-FI"/>
        </w:rPr>
        <w:t xml:space="preserve">, </w:t>
      </w:r>
      <w:hyperlink r:id="rId37" w:history="1">
        <w:r w:rsidRPr="00CE4DF2">
          <w:rPr>
            <w:rStyle w:val="Hyperlink"/>
            <w:noProof/>
            <w:lang w:val="fi-FI"/>
          </w:rPr>
          <w:t>pakkaukset</w:t>
        </w:r>
      </w:hyperlink>
      <w:r w:rsidRPr="00CE4DF2">
        <w:rPr>
          <w:noProof/>
          <w:lang w:val="fi-FI"/>
        </w:rPr>
        <w:t xml:space="preserve">, </w:t>
      </w:r>
      <w:hyperlink r:id="rId38" w:history="1">
        <w:r w:rsidRPr="00CE4DF2">
          <w:rPr>
            <w:rStyle w:val="Hyperlink"/>
            <w:noProof/>
            <w:lang w:val="fi-FI"/>
          </w:rPr>
          <w:t>muovit</w:t>
        </w:r>
      </w:hyperlink>
      <w:r w:rsidRPr="00CE4DF2">
        <w:rPr>
          <w:noProof/>
          <w:lang w:val="fi-FI"/>
        </w:rPr>
        <w:t>).</w:t>
      </w:r>
    </w:p>
    <w:p w14:paraId="20F45B20" w14:textId="77777777" w:rsidR="00867584" w:rsidRPr="00CE4DF2" w:rsidRDefault="003E37A2" w:rsidP="00F37223">
      <w:pPr>
        <w:rPr>
          <w:noProof/>
          <w:color w:val="000000" w:themeColor="text1"/>
          <w:lang w:val="fi-FI"/>
        </w:rPr>
      </w:pPr>
      <w:hyperlink r:id="rId39" w:history="1">
        <w:r w:rsidR="0099755A" w:rsidRPr="00CE4DF2">
          <w:rPr>
            <w:rStyle w:val="Hyperlink"/>
            <w:noProof/>
            <w:lang w:val="fi-FI"/>
          </w:rPr>
          <w:t>Kansainvälistä valtamerten hallinnointia koskevassa yhteisessä tiedonannossa</w:t>
        </w:r>
      </w:hyperlink>
      <w:r w:rsidR="0099755A" w:rsidRPr="00CE4DF2">
        <w:rPr>
          <w:noProof/>
          <w:color w:val="000000" w:themeColor="text1"/>
          <w:lang w:val="fi-FI"/>
        </w:rPr>
        <w:t xml:space="preserve"> (kesäkuu 2022) määritettiin, millaista tutkimusta tarvitaan tukemaan näyttöön perustuvia toimia, jotta valtameriä voidaan suojella ja hoitaa kestävästi. </w:t>
      </w:r>
    </w:p>
    <w:p w14:paraId="32150BAB" w14:textId="2904A816" w:rsidR="001830A9" w:rsidRPr="00CE4DF2" w:rsidRDefault="005A1B77" w:rsidP="00F37223">
      <w:pPr>
        <w:rPr>
          <w:noProof/>
          <w:color w:val="000000" w:themeColor="text1"/>
          <w:lang w:val="fi-FI"/>
        </w:rPr>
      </w:pPr>
      <w:r w:rsidRPr="00CE4DF2">
        <w:rPr>
          <w:noProof/>
          <w:lang w:val="fi-FI"/>
        </w:rPr>
        <w:t xml:space="preserve">Tiedonannon </w:t>
      </w:r>
      <w:hyperlink r:id="rId40" w:history="1">
        <w:r w:rsidRPr="00CE4DF2">
          <w:rPr>
            <w:rStyle w:val="Hyperlink"/>
            <w:i/>
            <w:iCs/>
            <w:noProof/>
            <w:lang w:val="fi-FI"/>
          </w:rPr>
          <w:t>Kohti vahvaa ja kestävää EU:n leväalaa</w:t>
        </w:r>
      </w:hyperlink>
      <w:r w:rsidRPr="00CE4DF2">
        <w:rPr>
          <w:noProof/>
          <w:color w:val="000000" w:themeColor="text1"/>
          <w:lang w:val="fi-FI"/>
        </w:rPr>
        <w:t xml:space="preserve"> (marraskuu 2022) mukaan tarvitaan lisää tutkimusta tästä luonnonvarasta, jonka hiili- ja ympäristöjalanjälki on pieni ja jota voidaan hyödyntää elintarvikkeiden, lääkkeiden, kosmetiikan, biomuovien ja kasvibiostimulanttien tuotannossa.</w:t>
      </w:r>
    </w:p>
    <w:bookmarkEnd w:id="2"/>
    <w:p w14:paraId="3A0DBBCE" w14:textId="47312CF9" w:rsidR="00DD10A4" w:rsidRPr="00CE4DF2" w:rsidRDefault="000702AD" w:rsidP="001347CE">
      <w:pPr>
        <w:rPr>
          <w:noProof/>
          <w:lang w:val="fi-FI"/>
        </w:rPr>
      </w:pPr>
      <w:r w:rsidRPr="00CE4DF2">
        <w:rPr>
          <w:noProof/>
          <w:color w:val="000000" w:themeColor="text1"/>
          <w:lang w:val="fi-FI"/>
        </w:rPr>
        <w:t xml:space="preserve">Neuvosto antoi </w:t>
      </w:r>
      <w:hyperlink r:id="rId41">
        <w:r w:rsidRPr="00CE4DF2">
          <w:rPr>
            <w:rStyle w:val="Hyperlink"/>
            <w:noProof/>
            <w:lang w:val="fi-FI"/>
          </w:rPr>
          <w:t>oikeudenmukaista siirtymistä ilmastoneutraaliuteen koskevan suosituksen</w:t>
        </w:r>
      </w:hyperlink>
      <w:r w:rsidRPr="00CE4DF2">
        <w:rPr>
          <w:noProof/>
          <w:lang w:val="fi-FI"/>
        </w:rPr>
        <w:t xml:space="preserve"> (kesäkuu 2022), jossa jäsenvaltiot sitoutuvat ottamaan käyttöön kattavia toimenpidekokonaisuuksia vihreän siirtymän oikeudenmukaisuuden varmistamiseksi. Neuvosto suositteli, että tutkimukselle ja innovoinnille annetaan merkittävä rooli vahvan tietopohjan luomisessa päätöksentekoa varten.</w:t>
      </w:r>
    </w:p>
    <w:p w14:paraId="16D7C921" w14:textId="17546F58" w:rsidR="007E7F62" w:rsidRPr="00CE4DF2" w:rsidRDefault="007E7F62" w:rsidP="00F37223">
      <w:pPr>
        <w:pStyle w:val="ListParagraph"/>
        <w:spacing w:before="120" w:after="120" w:line="240" w:lineRule="auto"/>
        <w:ind w:left="0"/>
        <w:jc w:val="both"/>
        <w:rPr>
          <w:rFonts w:ascii="Times New Roman" w:eastAsia="Times New Roman" w:hAnsi="Times New Roman"/>
          <w:noProof/>
          <w:sz w:val="24"/>
          <w:lang w:val="fi-FI"/>
        </w:rPr>
      </w:pPr>
      <w:r w:rsidRPr="00CE4DF2">
        <w:rPr>
          <w:rFonts w:ascii="Times New Roman" w:hAnsi="Times New Roman"/>
          <w:noProof/>
          <w:sz w:val="24"/>
          <w:lang w:val="fi-FI"/>
        </w:rPr>
        <w:t xml:space="preserve">Euroopan parlamentti ja neuvosto hyväksyivät </w:t>
      </w:r>
      <w:hyperlink r:id="rId42" w:history="1">
        <w:r w:rsidRPr="00CE4DF2">
          <w:rPr>
            <w:rStyle w:val="Hyperlink"/>
            <w:rFonts w:ascii="Times New Roman" w:hAnsi="Times New Roman"/>
            <w:noProof/>
            <w:sz w:val="24"/>
            <w:lang w:val="fi-FI"/>
          </w:rPr>
          <w:t>digitaalinen vuosikymmen 2030 -ohjelman</w:t>
        </w:r>
      </w:hyperlink>
      <w:r w:rsidRPr="00CE4DF2">
        <w:rPr>
          <w:rFonts w:ascii="Times New Roman" w:hAnsi="Times New Roman"/>
          <w:noProof/>
          <w:sz w:val="24"/>
          <w:lang w:val="fi-FI"/>
        </w:rPr>
        <w:t xml:space="preserve"> (joulukuu 2022). Ohjelmassa määritetään digitalisaatiotavoitteet, jotka EU:n on määrä saavuttaa vuoteen 2030 mennessä. Ohjelmaa varten luotu komission ja jäsenvaltioiden välinen yhteistyömekanismi tarjoaa myös puitteet sellaisten monikansallisten hankkeiden kehittämiselle, joita yksikään jäsenvaltio ei voisi kehittää yksin (esimerkiksi Euroopan yhteinen datainfrastruktuuri ja -palvelut sekä turvallinen kvanttiviestintä).</w:t>
      </w:r>
    </w:p>
    <w:p w14:paraId="3BAF7634" w14:textId="0D6974EE" w:rsidR="001830A9" w:rsidRPr="00CE4DF2" w:rsidRDefault="001830A9" w:rsidP="0037185D">
      <w:pPr>
        <w:pStyle w:val="ListParagraph"/>
        <w:spacing w:before="120" w:after="120" w:line="240" w:lineRule="auto"/>
        <w:ind w:left="0"/>
        <w:jc w:val="both"/>
        <w:rPr>
          <w:rFonts w:ascii="Times New Roman" w:eastAsia="Times New Roman" w:hAnsi="Times New Roman"/>
          <w:noProof/>
          <w:sz w:val="24"/>
          <w:lang w:val="fi-FI"/>
        </w:rPr>
      </w:pPr>
    </w:p>
    <w:p w14:paraId="23D6CEE4" w14:textId="6C095AF6" w:rsidR="009250BE" w:rsidRPr="00CE4DF2" w:rsidRDefault="009250BE" w:rsidP="0037185D">
      <w:pPr>
        <w:pStyle w:val="ListParagraph"/>
        <w:spacing w:before="120" w:after="120" w:line="240" w:lineRule="auto"/>
        <w:ind w:left="0"/>
        <w:jc w:val="both"/>
        <w:rPr>
          <w:rStyle w:val="Hyperlink"/>
          <w:rFonts w:ascii="Times New Roman" w:eastAsia="Times New Roman" w:hAnsi="Times New Roman"/>
          <w:noProof/>
          <w:sz w:val="24"/>
          <w:lang w:val="fi-FI"/>
        </w:rPr>
      </w:pPr>
      <w:r w:rsidRPr="00CE4DF2">
        <w:rPr>
          <w:rFonts w:ascii="Times New Roman" w:hAnsi="Times New Roman"/>
          <w:noProof/>
          <w:sz w:val="24"/>
          <w:lang w:val="fi-FI"/>
        </w:rPr>
        <w:t xml:space="preserve">Kesäkuussa komissio aloitti </w:t>
      </w:r>
      <w:hyperlink r:id="rId43" w:history="1">
        <w:r w:rsidRPr="00CE4DF2">
          <w:rPr>
            <w:rStyle w:val="Hyperlink"/>
            <w:rFonts w:ascii="Times New Roman" w:hAnsi="Times New Roman"/>
            <w:noProof/>
            <w:sz w:val="24"/>
            <w:lang w:val="fi-FI"/>
          </w:rPr>
          <w:t>jäsenvaltioiden kanssa vuoropuhelun</w:t>
        </w:r>
      </w:hyperlink>
      <w:r w:rsidRPr="00CE4DF2">
        <w:rPr>
          <w:rFonts w:ascii="Times New Roman" w:hAnsi="Times New Roman"/>
          <w:noProof/>
          <w:sz w:val="24"/>
          <w:lang w:val="fi-FI"/>
        </w:rPr>
        <w:t xml:space="preserve">, jonka aiheena on </w:t>
      </w:r>
      <w:r w:rsidRPr="00CE4DF2">
        <w:rPr>
          <w:rFonts w:ascii="Times New Roman" w:hAnsi="Times New Roman"/>
          <w:i/>
          <w:noProof/>
          <w:sz w:val="24"/>
          <w:lang w:val="fi-FI"/>
        </w:rPr>
        <w:t>kulttuuriperintöä tukeva yhteinen pilvipalvelu</w:t>
      </w:r>
      <w:r w:rsidRPr="00CE4DF2">
        <w:rPr>
          <w:rFonts w:ascii="Times New Roman" w:hAnsi="Times New Roman"/>
          <w:noProof/>
          <w:sz w:val="24"/>
          <w:lang w:val="fi-FI"/>
        </w:rPr>
        <w:t xml:space="preserve">. Vuoropuhelun tavoitteena on auttaa suojelemaan eurooppalaisia kulttuuriaarteita digitaalisen infrastruktuurin avulla. Työ pohjautuu </w:t>
      </w:r>
      <w:hyperlink r:id="rId44" w:history="1">
        <w:r w:rsidRPr="00CE4DF2">
          <w:rPr>
            <w:rStyle w:val="Hyperlink"/>
            <w:rFonts w:ascii="Times New Roman" w:hAnsi="Times New Roman"/>
            <w:noProof/>
            <w:sz w:val="24"/>
            <w:lang w:val="fi-FI"/>
          </w:rPr>
          <w:t>asiantuntijoiden raporttiin</w:t>
        </w:r>
      </w:hyperlink>
      <w:r w:rsidRPr="00CE4DF2">
        <w:rPr>
          <w:rFonts w:ascii="Times New Roman" w:hAnsi="Times New Roman"/>
          <w:noProof/>
          <w:sz w:val="24"/>
          <w:lang w:val="fi-FI"/>
        </w:rPr>
        <w:t xml:space="preserve"> ja </w:t>
      </w:r>
      <w:hyperlink r:id="rId45" w:history="1">
        <w:r w:rsidRPr="00CE4DF2">
          <w:rPr>
            <w:rStyle w:val="Hyperlink"/>
            <w:rFonts w:ascii="Times New Roman" w:hAnsi="Times New Roman"/>
            <w:noProof/>
            <w:sz w:val="24"/>
            <w:lang w:val="fi-FI"/>
          </w:rPr>
          <w:t>sidosryhmien kuulemiseen</w:t>
        </w:r>
      </w:hyperlink>
      <w:r w:rsidRPr="00CE4DF2">
        <w:rPr>
          <w:rStyle w:val="Hyperlink"/>
          <w:rFonts w:ascii="Times New Roman" w:hAnsi="Times New Roman"/>
          <w:noProof/>
          <w:sz w:val="24"/>
          <w:lang w:val="fi-FI"/>
        </w:rPr>
        <w:t>.</w:t>
      </w:r>
    </w:p>
    <w:p w14:paraId="3DF382FB" w14:textId="77777777" w:rsidR="009250BE" w:rsidRPr="00CE4DF2" w:rsidRDefault="009250BE" w:rsidP="0037185D">
      <w:pPr>
        <w:pStyle w:val="ListParagraph"/>
        <w:spacing w:before="120" w:after="120" w:line="240" w:lineRule="auto"/>
        <w:ind w:left="0"/>
        <w:jc w:val="both"/>
        <w:rPr>
          <w:rFonts w:ascii="Times New Roman" w:eastAsia="Times New Roman" w:hAnsi="Times New Roman"/>
          <w:noProof/>
          <w:color w:val="0563C1"/>
          <w:sz w:val="24"/>
          <w:u w:val="single"/>
          <w:lang w:val="fi-FI"/>
        </w:rPr>
      </w:pPr>
    </w:p>
    <w:p w14:paraId="31A0751E" w14:textId="6D74AE4E" w:rsidR="00517B47" w:rsidRPr="00CE4DF2" w:rsidRDefault="00860BAE" w:rsidP="004E2862">
      <w:pPr>
        <w:pStyle w:val="ManualHeading2"/>
        <w:rPr>
          <w:noProof/>
          <w:lang w:val="fi-FI"/>
        </w:rPr>
      </w:pPr>
      <w:r w:rsidRPr="00CE4DF2">
        <w:rPr>
          <w:noProof/>
          <w:lang w:val="fi-FI"/>
        </w:rPr>
        <w:t>2.3.</w:t>
      </w:r>
      <w:r w:rsidRPr="00CE4DF2">
        <w:rPr>
          <w:noProof/>
          <w:lang w:val="fi-FI"/>
        </w:rPr>
        <w:tab/>
        <w:t>Talous ja teollisuus</w:t>
      </w:r>
    </w:p>
    <w:p w14:paraId="6C371382" w14:textId="768E6AF7" w:rsidR="00FE1482" w:rsidRPr="00CE4DF2" w:rsidRDefault="003E37A2" w:rsidP="007B5DC2">
      <w:pPr>
        <w:pStyle w:val="ListParagraph"/>
        <w:spacing w:before="120" w:after="120" w:line="240" w:lineRule="auto"/>
        <w:ind w:left="0"/>
        <w:jc w:val="both"/>
        <w:rPr>
          <w:rFonts w:ascii="Times New Roman" w:eastAsia="Times New Roman" w:hAnsi="Times New Roman"/>
          <w:noProof/>
          <w:sz w:val="24"/>
          <w:lang w:val="fi-FI"/>
        </w:rPr>
      </w:pPr>
      <w:hyperlink r:id="rId46" w:history="1">
        <w:r w:rsidR="00FE1482" w:rsidRPr="00CE4DF2">
          <w:rPr>
            <w:rStyle w:val="Hyperlink"/>
            <w:rFonts w:ascii="Times New Roman" w:hAnsi="Times New Roman"/>
            <w:noProof/>
            <w:sz w:val="24"/>
            <w:lang w:val="fi-FI"/>
          </w:rPr>
          <w:t>EU:n sirusäädöstä</w:t>
        </w:r>
      </w:hyperlink>
      <w:r w:rsidR="00FE1482" w:rsidRPr="00CE4DF2">
        <w:rPr>
          <w:rFonts w:ascii="Times New Roman" w:hAnsi="Times New Roman"/>
          <w:noProof/>
          <w:sz w:val="24"/>
          <w:lang w:val="fi-FI"/>
        </w:rPr>
        <w:t xml:space="preserve"> koskevan ehdotuksen tavoitteena on auttaa lujittamaan EU:n puolijohde-ekosysteemiä etenkin vahvistamalla EU:n tutkimuksellista ja teknologista johtajuutta ja innovointivalmiuksia kehittyneiden sirujen suunnittelussa, valmistuksessa ja pakkaamisessa.</w:t>
      </w:r>
    </w:p>
    <w:p w14:paraId="3682250D" w14:textId="77777777" w:rsidR="00FE1482" w:rsidRPr="00CE4DF2" w:rsidRDefault="00FE1482" w:rsidP="0097463F">
      <w:pPr>
        <w:pStyle w:val="ListParagraph"/>
        <w:spacing w:before="120" w:after="120" w:line="240" w:lineRule="auto"/>
        <w:ind w:left="0"/>
        <w:jc w:val="both"/>
        <w:rPr>
          <w:rFonts w:ascii="Times New Roman" w:eastAsia="Times New Roman" w:hAnsi="Times New Roman"/>
          <w:noProof/>
          <w:sz w:val="24"/>
          <w:lang w:val="fi-FI"/>
        </w:rPr>
      </w:pPr>
    </w:p>
    <w:p w14:paraId="7A25ED60" w14:textId="47724616" w:rsidR="00EE0B6D" w:rsidRPr="00CE4DF2" w:rsidRDefault="00EE0B6D" w:rsidP="008034DB">
      <w:pPr>
        <w:pStyle w:val="ListParagraph"/>
        <w:spacing w:before="120" w:after="120" w:line="240" w:lineRule="auto"/>
        <w:ind w:left="0"/>
        <w:jc w:val="both"/>
        <w:rPr>
          <w:rFonts w:ascii="Times New Roman" w:eastAsia="Times New Roman" w:hAnsi="Times New Roman"/>
          <w:noProof/>
          <w:sz w:val="24"/>
          <w:lang w:val="fi-FI"/>
        </w:rPr>
      </w:pPr>
      <w:r w:rsidRPr="00CE4DF2">
        <w:rPr>
          <w:rFonts w:ascii="Times New Roman" w:hAnsi="Times New Roman"/>
          <w:noProof/>
          <w:sz w:val="24"/>
          <w:lang w:val="fi-FI"/>
        </w:rPr>
        <w:t xml:space="preserve">Venäjän hyökkäys Ukrainaan osoitti, että maantieteellistä riippumattomuutta kriittisten avaruusteknologioiden osalta on edistettävä kiireesti. Vuonna 2022 komissio teki ehdotuksen </w:t>
      </w:r>
      <w:hyperlink r:id="rId47" w:history="1">
        <w:r w:rsidRPr="00CE4DF2">
          <w:rPr>
            <w:rStyle w:val="Hyperlink"/>
            <w:rFonts w:ascii="Times New Roman" w:hAnsi="Times New Roman"/>
            <w:noProof/>
            <w:sz w:val="24"/>
            <w:lang w:val="fi-FI"/>
          </w:rPr>
          <w:t>unionin turvallisten yhteyksien ohjelman perustamisesta</w:t>
        </w:r>
      </w:hyperlink>
      <w:r w:rsidRPr="00CE4DF2">
        <w:rPr>
          <w:rFonts w:ascii="Times New Roman" w:hAnsi="Times New Roman"/>
          <w:noProof/>
          <w:sz w:val="24"/>
          <w:lang w:val="fi-FI"/>
        </w:rPr>
        <w:t xml:space="preserve">. Tällaiset yhteydet on määrä toteuttaa turvalliseen televiestintään tarkoitetulla kolmannella satelliittijärjestelmällä. </w:t>
      </w:r>
    </w:p>
    <w:p w14:paraId="7897CA98" w14:textId="77777777" w:rsidR="00EE0B6D" w:rsidRPr="00CE4DF2" w:rsidRDefault="00EE0B6D" w:rsidP="005C7770">
      <w:pPr>
        <w:pStyle w:val="ListParagraph"/>
        <w:spacing w:before="120" w:after="120" w:line="240" w:lineRule="auto"/>
        <w:ind w:left="0"/>
        <w:jc w:val="both"/>
        <w:rPr>
          <w:rFonts w:ascii="Times New Roman" w:eastAsia="Times New Roman" w:hAnsi="Times New Roman"/>
          <w:noProof/>
          <w:sz w:val="24"/>
          <w:lang w:val="fi-FI"/>
        </w:rPr>
      </w:pPr>
    </w:p>
    <w:p w14:paraId="7DC8B4A4" w14:textId="51115745" w:rsidR="008C4A0A" w:rsidRPr="00CE4DF2" w:rsidRDefault="008C4A0A" w:rsidP="00801BB4">
      <w:pPr>
        <w:pStyle w:val="ListParagraph"/>
        <w:spacing w:before="120" w:after="120" w:line="240" w:lineRule="auto"/>
        <w:ind w:left="0"/>
        <w:jc w:val="both"/>
        <w:rPr>
          <w:rFonts w:ascii="Times New Roman" w:eastAsia="Times New Roman" w:hAnsi="Times New Roman"/>
          <w:noProof/>
          <w:sz w:val="24"/>
          <w:lang w:val="fi-FI"/>
        </w:rPr>
      </w:pPr>
      <w:r w:rsidRPr="00CE4DF2">
        <w:rPr>
          <w:rFonts w:ascii="Times New Roman" w:hAnsi="Times New Roman"/>
          <w:noProof/>
          <w:sz w:val="24"/>
          <w:lang w:val="fi-FI"/>
        </w:rPr>
        <w:t xml:space="preserve">Ihmiskeskeisen, häiriönsietokykyisen ja kestävän teollisuus 5.0 ‑toimintamallin toteuttaminen on saanut lisää puhtia. Tästä osoituksena ovat esimerkiksi teollisuusjohtajien kanssa huhtikuussa 2022 pidetty korkean tason pyöreän pöydän keskustelu ja ensimmäinen </w:t>
      </w:r>
      <w:hyperlink r:id="rId48" w:history="1">
        <w:r w:rsidRPr="00CE4DF2">
          <w:rPr>
            <w:rStyle w:val="Hyperlink"/>
            <w:rFonts w:ascii="Times New Roman" w:hAnsi="Times New Roman"/>
            <w:noProof/>
            <w:sz w:val="24"/>
            <w:lang w:val="fi-FI"/>
          </w:rPr>
          <w:t>Industry of the Future -palkinto</w:t>
        </w:r>
      </w:hyperlink>
      <w:r w:rsidRPr="00CE4DF2">
        <w:rPr>
          <w:rFonts w:ascii="Times New Roman" w:hAnsi="Times New Roman"/>
          <w:noProof/>
          <w:sz w:val="24"/>
          <w:lang w:val="fi-FI"/>
        </w:rPr>
        <w:t>, jonka myötä on haluttu tuoda esiin EU:n rahoittamia teollisuus 5.0 -toimintamalliin liittyviä tutkimus- ja innovointihankkeita.</w:t>
      </w:r>
    </w:p>
    <w:p w14:paraId="214DDFEA" w14:textId="77777777" w:rsidR="00F539C2" w:rsidRPr="00CE4DF2" w:rsidRDefault="00F539C2" w:rsidP="00801BB4">
      <w:pPr>
        <w:pStyle w:val="ListParagraph"/>
        <w:spacing w:before="120" w:after="120" w:line="240" w:lineRule="auto"/>
        <w:ind w:left="0"/>
        <w:jc w:val="both"/>
        <w:rPr>
          <w:rFonts w:ascii="Times New Roman" w:eastAsia="Times New Roman" w:hAnsi="Times New Roman"/>
          <w:noProof/>
          <w:sz w:val="24"/>
          <w:lang w:val="fi-FI"/>
        </w:rPr>
      </w:pPr>
    </w:p>
    <w:p w14:paraId="1D1142D6" w14:textId="5298B7B2" w:rsidR="00517B47" w:rsidRPr="00CE4DF2" w:rsidRDefault="00860BAE" w:rsidP="00860BAE">
      <w:pPr>
        <w:pStyle w:val="ManualHeading2"/>
        <w:rPr>
          <w:noProof/>
          <w:lang w:val="fi-FI"/>
        </w:rPr>
      </w:pPr>
      <w:r w:rsidRPr="00CE4DF2">
        <w:rPr>
          <w:noProof/>
          <w:lang w:val="fi-FI"/>
        </w:rPr>
        <w:t>2.4.</w:t>
      </w:r>
      <w:r w:rsidRPr="00CE4DF2">
        <w:rPr>
          <w:noProof/>
          <w:lang w:val="fi-FI"/>
        </w:rPr>
        <w:tab/>
        <w:t>Turvallisuus</w:t>
      </w:r>
    </w:p>
    <w:p w14:paraId="3BEE19B4" w14:textId="3BBD13C3" w:rsidR="00725865" w:rsidRPr="00CE4DF2" w:rsidRDefault="00F955FB" w:rsidP="00725865">
      <w:pPr>
        <w:rPr>
          <w:noProof/>
          <w:lang w:val="fi-FI"/>
        </w:rPr>
      </w:pPr>
      <w:r w:rsidRPr="00CE4DF2">
        <w:rPr>
          <w:noProof/>
          <w:lang w:val="fi-FI"/>
        </w:rPr>
        <w:t>Viime vuosina uhkaympäristö on muuttunut tuntuvasti. Kyberturvallisuushyökkäykset ovat edelleen laajentuneet ja saaneet uusia muotoja, ja Ukrainan sodan vaikutus tuntuu myös EU:n sisäisessä turvallisuudessa. Tämä kaikki on johtanut siihen, että järjestäytyneeseen rikollisuuteen sekä ihmiskauppaan ja laittomaan huumausainekauppaan liittyvät riskit ovat kasvaneet. Lisääntyvät sään ääri-ilmiöt sekä kuivuus, helleaallot ja metsäpalot ovat korostaneet tarvetta varmistaa väestönsuojelu sekä yhteiskunnan selviytymiskyky ja valmius reagoida kriiseihin, myös kemiallisiin ja biologisiin vaaratilanteisiin sekä säteilyvaaroihin ja ydintapahtumiin, räjähteisiin liittyviin tapahtumiin ja luonnontapahtumiin.</w:t>
      </w:r>
    </w:p>
    <w:p w14:paraId="385CE203" w14:textId="7B902F1A" w:rsidR="00725865" w:rsidRPr="00CE4DF2" w:rsidRDefault="00725865" w:rsidP="00725865">
      <w:pPr>
        <w:rPr>
          <w:noProof/>
          <w:lang w:val="fi-FI"/>
        </w:rPr>
      </w:pPr>
      <w:r w:rsidRPr="00CE4DF2">
        <w:rPr>
          <w:noProof/>
          <w:lang w:val="fi-FI"/>
        </w:rPr>
        <w:t xml:space="preserve">Tutkimuksella ja innovoinnilla on edistetty merkittävästi </w:t>
      </w:r>
      <w:hyperlink r:id="rId49" w:history="1">
        <w:r w:rsidRPr="00CE4DF2">
          <w:rPr>
            <w:rStyle w:val="Hyperlink"/>
            <w:noProof/>
            <w:lang w:val="fi-FI"/>
          </w:rPr>
          <w:t>nopeasti muuttuvaan uhkaympäristöön</w:t>
        </w:r>
      </w:hyperlink>
      <w:r w:rsidRPr="00CE4DF2">
        <w:rPr>
          <w:noProof/>
          <w:lang w:val="fi-FI"/>
        </w:rPr>
        <w:t xml:space="preserve"> liittyviä toimia, joilla pyritään turvaamaan merkitykseltään rajatylittävä kriittinen infrastruktuuri EU:ssa. </w:t>
      </w:r>
      <w:hyperlink r:id="rId50" w:history="1">
        <w:r w:rsidRPr="00CE4DF2">
          <w:rPr>
            <w:rStyle w:val="Hyperlink"/>
            <w:noProof/>
            <w:lang w:val="fi-FI"/>
          </w:rPr>
          <w:t>Unionin koordinoitua lähestymistapaa kriittisen infrastruktuurin häiriönsietokyvyn vahvistamiseen koskevassa neuvoston suosituksessa</w:t>
        </w:r>
      </w:hyperlink>
      <w:r w:rsidRPr="00CE4DF2">
        <w:rPr>
          <w:noProof/>
          <w:lang w:val="fi-FI"/>
        </w:rPr>
        <w:t xml:space="preserve"> jäsenvaltioita kehotettiin hyödyntämään parhaalla tavalla tutkimus- ja innovointihankkeiden tuloksia etenkin stressitestien ja riskiskenaarioiden suunnittelussa.</w:t>
      </w:r>
    </w:p>
    <w:p w14:paraId="5E575BD7" w14:textId="2A818FB6" w:rsidR="00725865" w:rsidRPr="00CE4DF2" w:rsidRDefault="00725865" w:rsidP="00725865">
      <w:pPr>
        <w:rPr>
          <w:noProof/>
          <w:lang w:val="fi-FI"/>
        </w:rPr>
      </w:pPr>
      <w:r w:rsidRPr="00CE4DF2">
        <w:rPr>
          <w:noProof/>
          <w:lang w:val="fi-FI"/>
        </w:rPr>
        <w:t xml:space="preserve">Sellaisten toimijoiden häiriönsietokykyä, jotka tarjoavat välttämättömien yhteiskunnan toimintojen ylläpitämisen kannalta olennaisia palveluja, vahvistetaan </w:t>
      </w:r>
      <w:hyperlink r:id="rId51" w:history="1">
        <w:r w:rsidRPr="00CE4DF2">
          <w:rPr>
            <w:rStyle w:val="Hyperlink"/>
            <w:noProof/>
            <w:lang w:val="fi-FI"/>
          </w:rPr>
          <w:t>kriittisten toimijoiden häiriönsietokyvystä annetulla direktiivillä</w:t>
        </w:r>
      </w:hyperlink>
      <w:r w:rsidRPr="00CE4DF2">
        <w:rPr>
          <w:rStyle w:val="Hyperlink"/>
          <w:noProof/>
          <w:lang w:val="fi-FI"/>
        </w:rPr>
        <w:t>,</w:t>
      </w:r>
      <w:r w:rsidRPr="00CE4DF2">
        <w:rPr>
          <w:noProof/>
          <w:lang w:val="fi-FI"/>
        </w:rPr>
        <w:t xml:space="preserve"> jonka täytäntöönpanoa tuetaan tutkimuksella ja innovoinnilla.</w:t>
      </w:r>
    </w:p>
    <w:p w14:paraId="586B1D46" w14:textId="29E7E924" w:rsidR="00725865" w:rsidRPr="00CE4DF2" w:rsidRDefault="00725865" w:rsidP="00725865">
      <w:pPr>
        <w:rPr>
          <w:noProof/>
          <w:lang w:val="fi-FI"/>
        </w:rPr>
      </w:pPr>
      <w:r w:rsidRPr="00CE4DF2">
        <w:rPr>
          <w:noProof/>
          <w:lang w:val="fi-FI"/>
        </w:rPr>
        <w:t xml:space="preserve">Viidennessä </w:t>
      </w:r>
      <w:hyperlink r:id="rId52" w:history="1">
        <w:r w:rsidRPr="00CE4DF2">
          <w:rPr>
            <w:rStyle w:val="Hyperlink"/>
            <w:noProof/>
            <w:lang w:val="fi-FI"/>
          </w:rPr>
          <w:t>EU:n turvallisuusunionistrategian täytäntöönpanoa koskevassa edistymiskertomuksessa</w:t>
        </w:r>
      </w:hyperlink>
      <w:r w:rsidRPr="00CE4DF2">
        <w:rPr>
          <w:noProof/>
          <w:lang w:val="fi-FI"/>
        </w:rPr>
        <w:t xml:space="preserve"> korostettiin Horisontti Eurooppa -ohjelmaan kuuluvien tutkimustoimien roolia pyrittäessä parantamaan EU:n digitaalisen infrastruktuurin turvallisuutta ja kehittämään valmiuksia ehkäistä ja lieventää kyberhyökkäyksiä sekä tukemaan lainvalvontaa uusilla teknologioilla (esimerkiksi tekoälyllä).</w:t>
      </w:r>
    </w:p>
    <w:p w14:paraId="204EDBED" w14:textId="77782262" w:rsidR="00725865" w:rsidRPr="00CE4DF2" w:rsidRDefault="003E37A2" w:rsidP="00725865">
      <w:pPr>
        <w:rPr>
          <w:noProof/>
          <w:lang w:val="fi-FI"/>
        </w:rPr>
      </w:pPr>
      <w:hyperlink r:id="rId53" w:history="1">
        <w:r w:rsidR="00725865" w:rsidRPr="00CE4DF2">
          <w:rPr>
            <w:rStyle w:val="Hyperlink"/>
            <w:noProof/>
            <w:lang w:val="fi-FI"/>
          </w:rPr>
          <w:t>Eurooppalaisen tutkimuksen ja innovoinnin yhteisön</w:t>
        </w:r>
      </w:hyperlink>
      <w:r w:rsidR="00725865" w:rsidRPr="00CE4DF2">
        <w:rPr>
          <w:noProof/>
          <w:lang w:val="fi-FI"/>
        </w:rPr>
        <w:t xml:space="preserve"> asiantuntijaryhmä </w:t>
      </w:r>
      <w:hyperlink r:id="rId54" w:history="1">
        <w:r w:rsidR="00725865" w:rsidRPr="00CE4DF2">
          <w:rPr>
            <w:rStyle w:val="Hyperlink"/>
            <w:noProof/>
            <w:lang w:val="fi-FI"/>
          </w:rPr>
          <w:t>aloitti työnsä</w:t>
        </w:r>
      </w:hyperlink>
      <w:r w:rsidR="00725865" w:rsidRPr="00CE4DF2">
        <w:rPr>
          <w:noProof/>
          <w:lang w:val="fi-FI"/>
        </w:rPr>
        <w:t xml:space="preserve">, samoin kuin sen </w:t>
      </w:r>
      <w:hyperlink r:id="rId55" w:history="1">
        <w:r w:rsidR="00725865" w:rsidRPr="00CE4DF2">
          <w:rPr>
            <w:rStyle w:val="Hyperlink"/>
            <w:noProof/>
            <w:lang w:val="fi-FI"/>
          </w:rPr>
          <w:t>neljä alatyöryhmää</w:t>
        </w:r>
      </w:hyperlink>
      <w:r w:rsidR="00725865" w:rsidRPr="00CE4DF2">
        <w:rPr>
          <w:noProof/>
          <w:lang w:val="fi-FI"/>
        </w:rPr>
        <w:t>, joista yksi käsittelee turvallisuutta koskevan tutkimuksen ja innovoinnin lujittamista.</w:t>
      </w:r>
    </w:p>
    <w:p w14:paraId="3623B9CC" w14:textId="09F82B8A" w:rsidR="00E14B4D" w:rsidRPr="00CE4DF2" w:rsidRDefault="003E37A2" w:rsidP="00E14B4D">
      <w:pPr>
        <w:rPr>
          <w:noProof/>
          <w:lang w:val="fi-FI"/>
        </w:rPr>
      </w:pPr>
      <w:hyperlink r:id="rId56" w:anchor="efscm" w:history="1">
        <w:r w:rsidR="00E14B4D" w:rsidRPr="00CE4DF2">
          <w:rPr>
            <w:rStyle w:val="Hyperlink"/>
            <w:noProof/>
            <w:lang w:val="fi-FI"/>
          </w:rPr>
          <w:t>Euroopan elintarviketurvan kriisivalmius- ja kriisinhallintamekanismin</w:t>
        </w:r>
      </w:hyperlink>
      <w:r w:rsidR="00E14B4D" w:rsidRPr="00CE4DF2">
        <w:rPr>
          <w:noProof/>
          <w:lang w:val="fi-FI"/>
        </w:rPr>
        <w:t xml:space="preserve"> aloittamassa työssä korostettiin tutkimuksen ja innovoinnin merkitystä tuotannon monipuolistamisessa.</w:t>
      </w:r>
    </w:p>
    <w:p w14:paraId="678F2C44" w14:textId="77777777" w:rsidR="00B87BAF" w:rsidRPr="00CE4DF2" w:rsidRDefault="00B87BAF" w:rsidP="000507F1">
      <w:pPr>
        <w:pStyle w:val="ManualHeading2"/>
        <w:rPr>
          <w:noProof/>
          <w:lang w:val="fi-FI"/>
        </w:rPr>
      </w:pPr>
    </w:p>
    <w:p w14:paraId="42A1EF24" w14:textId="027F4538" w:rsidR="000507F1" w:rsidRPr="00CE4DF2" w:rsidRDefault="000507F1" w:rsidP="000507F1">
      <w:pPr>
        <w:pStyle w:val="ManualHeading2"/>
        <w:rPr>
          <w:noProof/>
          <w:lang w:val="fi-FI"/>
        </w:rPr>
      </w:pPr>
      <w:r w:rsidRPr="00CE4DF2">
        <w:rPr>
          <w:noProof/>
          <w:lang w:val="fi-FI"/>
        </w:rPr>
        <w:t>2.5.</w:t>
      </w:r>
      <w:r w:rsidRPr="00CE4DF2">
        <w:rPr>
          <w:noProof/>
          <w:lang w:val="fi-FI"/>
        </w:rPr>
        <w:tab/>
        <w:t>Covid-19-pandemia</w:t>
      </w:r>
    </w:p>
    <w:p w14:paraId="59601C08" w14:textId="483944F5" w:rsidR="000507F1" w:rsidRPr="00CE4DF2" w:rsidRDefault="000507F1" w:rsidP="000507F1">
      <w:pPr>
        <w:rPr>
          <w:noProof/>
          <w:bdr w:val="none" w:sz="0" w:space="0" w:color="auto" w:frame="1"/>
          <w:lang w:val="fi-FI"/>
        </w:rPr>
      </w:pPr>
      <w:r w:rsidRPr="00CE4DF2">
        <w:rPr>
          <w:noProof/>
          <w:bdr w:val="none" w:sz="0" w:space="0" w:color="auto" w:frame="1"/>
          <w:lang w:val="fi-FI"/>
        </w:rPr>
        <w:t>Vaikka pandemiassa siirryttiin vuonna 2022 endeemiseen vaiheeseen, tutkimustoimet ovat edelleen tärkeä painopistealue, jotta tautia ja sen seurauksia voidaan hallita.</w:t>
      </w:r>
    </w:p>
    <w:p w14:paraId="57204495" w14:textId="70C40315" w:rsidR="000507F1" w:rsidRPr="00CE4DF2" w:rsidRDefault="003E37A2" w:rsidP="000507F1">
      <w:pPr>
        <w:rPr>
          <w:noProof/>
          <w:bdr w:val="none" w:sz="0" w:space="0" w:color="auto" w:frame="1"/>
          <w:lang w:val="fi-FI"/>
        </w:rPr>
      </w:pPr>
      <w:hyperlink r:id="rId57" w:history="1">
        <w:r w:rsidR="000507F1" w:rsidRPr="00CE4DF2">
          <w:rPr>
            <w:rStyle w:val="Hyperlink"/>
            <w:noProof/>
            <w:bdr w:val="none" w:sz="0" w:space="0" w:color="auto" w:frame="1"/>
            <w:lang w:val="fi-FI"/>
          </w:rPr>
          <w:t>Euroopan covid-19-dataportaali</w:t>
        </w:r>
      </w:hyperlink>
      <w:r w:rsidR="000507F1" w:rsidRPr="00CE4DF2">
        <w:rPr>
          <w:noProof/>
          <w:bdr w:val="none" w:sz="0" w:space="0" w:color="auto" w:frame="1"/>
          <w:lang w:val="fi-FI"/>
        </w:rPr>
        <w:t xml:space="preserve"> kasvoi edelleen: tällä hetkellä siinä on yli 11 miljoonaa tietuetta eri tietotyypeistä, mukaan lukien yli 6,4 miljoonaa viruksen genomia, jotka 112 maata on selvittänyt. </w:t>
      </w:r>
    </w:p>
    <w:p w14:paraId="0BF3F4A1" w14:textId="31ED0C4F" w:rsidR="000507F1" w:rsidRPr="00CE4DF2" w:rsidRDefault="000507F1" w:rsidP="000507F1">
      <w:pPr>
        <w:rPr>
          <w:noProof/>
          <w:color w:val="000000" w:themeColor="text1"/>
          <w:lang w:val="fi-FI"/>
        </w:rPr>
      </w:pPr>
      <w:r w:rsidRPr="00CE4DF2">
        <w:rPr>
          <w:noProof/>
          <w:color w:val="000000" w:themeColor="text1"/>
          <w:lang w:val="fi-FI"/>
        </w:rPr>
        <w:t xml:space="preserve">Tiedonannossa </w:t>
      </w:r>
      <w:hyperlink r:id="rId58" w:history="1">
        <w:r w:rsidRPr="00CE4DF2">
          <w:rPr>
            <w:rStyle w:val="Hyperlink"/>
            <w:noProof/>
            <w:lang w:val="fi-FI"/>
          </w:rPr>
          <w:t>COVID-19 - EU:n valmius- ja reagointitoimien ylläpitäminen:</w:t>
        </w:r>
      </w:hyperlink>
      <w:hyperlink r:id="rId59" w:history="1">
        <w:r w:rsidRPr="00CE4DF2">
          <w:rPr>
            <w:rStyle w:val="Hyperlink"/>
            <w:i/>
            <w:iCs/>
            <w:noProof/>
            <w:lang w:val="fi-FI"/>
          </w:rPr>
          <w:t xml:space="preserve"> Katse eteenpäin</w:t>
        </w:r>
      </w:hyperlink>
      <w:r w:rsidRPr="00CE4DF2">
        <w:rPr>
          <w:noProof/>
          <w:color w:val="1F497D"/>
          <w:lang w:val="fi-FI"/>
        </w:rPr>
        <w:t xml:space="preserve"> </w:t>
      </w:r>
      <w:r w:rsidRPr="00CE4DF2">
        <w:rPr>
          <w:noProof/>
          <w:color w:val="000000" w:themeColor="text1"/>
          <w:lang w:val="fi-FI"/>
        </w:rPr>
        <w:t>(huhtikuu 2022) esiteltiin toimia, joiden avulla voidaan vastata tarpeeseen kehittää seuraavaa rokotesukupolvea Horisontti Eurooppa -ohjelmassa.</w:t>
      </w:r>
    </w:p>
    <w:p w14:paraId="35A403F1" w14:textId="77777777" w:rsidR="00113055" w:rsidRPr="00CE4DF2" w:rsidRDefault="00113055" w:rsidP="0037576C">
      <w:pPr>
        <w:rPr>
          <w:noProof/>
          <w:lang w:val="fi-FI"/>
        </w:rPr>
      </w:pPr>
    </w:p>
    <w:p w14:paraId="6E70326B" w14:textId="69E153B0" w:rsidR="00517B47" w:rsidRPr="00CE4DF2" w:rsidRDefault="00860BAE" w:rsidP="00860BAE">
      <w:pPr>
        <w:pStyle w:val="ManualHeading2"/>
        <w:rPr>
          <w:noProof/>
          <w:lang w:val="fi-FI"/>
        </w:rPr>
      </w:pPr>
      <w:r w:rsidRPr="00CE4DF2">
        <w:rPr>
          <w:noProof/>
          <w:lang w:val="fi-FI"/>
        </w:rPr>
        <w:t>2.6.</w:t>
      </w:r>
      <w:r w:rsidRPr="00CE4DF2">
        <w:rPr>
          <w:noProof/>
          <w:lang w:val="fi-FI"/>
        </w:rPr>
        <w:tab/>
        <w:t>Kumppanuus jäsenvaltioiden kanssa</w:t>
      </w:r>
    </w:p>
    <w:p w14:paraId="376EC4C5" w14:textId="502CE516" w:rsidR="00C17F46" w:rsidRPr="00CE4DF2" w:rsidRDefault="00995E28" w:rsidP="00A476E6">
      <w:pPr>
        <w:rPr>
          <w:noProof/>
          <w:lang w:val="fi-FI"/>
        </w:rPr>
      </w:pPr>
      <w:r w:rsidRPr="00CE4DF2">
        <w:rPr>
          <w:noProof/>
          <w:lang w:val="fi-FI"/>
        </w:rPr>
        <w:t xml:space="preserve">Vuoteen 2022 mennessä oli hyväksytty kaikki </w:t>
      </w:r>
      <w:hyperlink r:id="rId60" w:anchor="scoreboard" w:history="1">
        <w:r w:rsidRPr="00CE4DF2">
          <w:rPr>
            <w:rStyle w:val="Hyperlink"/>
            <w:noProof/>
            <w:lang w:val="fi-FI"/>
          </w:rPr>
          <w:t>elpymis- ja palautumissuunnitelmat</w:t>
        </w:r>
      </w:hyperlink>
      <w:r w:rsidRPr="00CE4DF2">
        <w:rPr>
          <w:noProof/>
          <w:lang w:val="fi-FI"/>
        </w:rPr>
        <w:t xml:space="preserve"> Unkarin suunnitelmaa lukuun ottamatta. Suunnitelmiin sisältyy runsaasti tutkimus- ja innovointitoimia, joiden arvo on yhteensä 47,7 miljardia euroa. Tutkimukseen ja innovointiin liittyviä tavoitteita on asetettu yhteensä 608. Tähän mennessä niistä 98 on saatu päätökseen, ja 36 tavoitetta on arvioitu jo saavutetuksi. </w:t>
      </w:r>
    </w:p>
    <w:p w14:paraId="2F7F9368" w14:textId="6711228F" w:rsidR="00C17F46" w:rsidRPr="00CE4DF2" w:rsidRDefault="003E37A2" w:rsidP="00A476E6">
      <w:pPr>
        <w:rPr>
          <w:noProof/>
          <w:lang w:val="fi-FI"/>
        </w:rPr>
      </w:pPr>
      <w:hyperlink r:id="rId61" w:history="1">
        <w:r w:rsidR="00C17F46" w:rsidRPr="00CE4DF2">
          <w:rPr>
            <w:rStyle w:val="Hyperlink"/>
            <w:noProof/>
            <w:lang w:val="fi-FI"/>
          </w:rPr>
          <w:t>Tehostetut vuoropuhelut</w:t>
        </w:r>
      </w:hyperlink>
      <w:r w:rsidR="00C17F46" w:rsidRPr="00CE4DF2">
        <w:rPr>
          <w:noProof/>
          <w:lang w:val="fi-FI"/>
        </w:rPr>
        <w:t xml:space="preserve"> ovat uusi toimintatapa, jolla jäsenvaltioita tuetaan tutkimusta ja innovointia koskevan yhteisen toimintapoliittisen ohjelman täytäntöönpanossa, ja tätä toimintatapaa on kokeiltu viidessä jäsenvaltiossa. </w:t>
      </w:r>
    </w:p>
    <w:p w14:paraId="4D8C5CA2" w14:textId="5B37FCBB" w:rsidR="00C17F46" w:rsidRPr="00CE4DF2" w:rsidRDefault="003E37A2">
      <w:pPr>
        <w:rPr>
          <w:noProof/>
          <w:lang w:val="fi-FI"/>
        </w:rPr>
      </w:pPr>
      <w:hyperlink r:id="rId62" w:history="1">
        <w:r w:rsidR="00C17F46" w:rsidRPr="00CE4DF2">
          <w:rPr>
            <w:rStyle w:val="Hyperlink"/>
            <w:noProof/>
            <w:lang w:val="fi-FI"/>
          </w:rPr>
          <w:t>Eurooppalaisen tutkimusalueen (ERA) foorumi</w:t>
        </w:r>
      </w:hyperlink>
      <w:r w:rsidR="00C17F46" w:rsidRPr="00CE4DF2">
        <w:rPr>
          <w:noProof/>
          <w:lang w:val="fi-FI"/>
        </w:rPr>
        <w:t xml:space="preserve"> tuo yhteen jäsenvaltiot, sidosryhmät ja assosioituneet maat. Se perustettiin vuonna 2022, ja sen tehtävänä on koordinoida </w:t>
      </w:r>
      <w:hyperlink r:id="rId63" w:history="1">
        <w:r w:rsidR="00C17F46" w:rsidRPr="00CE4DF2">
          <w:rPr>
            <w:rStyle w:val="Hyperlink"/>
            <w:noProof/>
            <w:lang w:val="fi-FI"/>
          </w:rPr>
          <w:t>ERAn toimintapoliittisen ohjelman 20 toimen</w:t>
        </w:r>
      </w:hyperlink>
      <w:r w:rsidR="00C17F46" w:rsidRPr="00CE4DF2">
        <w:rPr>
          <w:noProof/>
          <w:lang w:val="fi-FI"/>
        </w:rPr>
        <w:t xml:space="preserve"> täytäntöönpanoa. Nämä toimet koskevat esimerkiksi tutkijanuraa, avointa tiedettä, </w:t>
      </w:r>
      <w:hyperlink r:id="rId64" w:history="1">
        <w:r w:rsidR="00C17F46" w:rsidRPr="00CE4DF2">
          <w:rPr>
            <w:rStyle w:val="Hyperlink"/>
            <w:noProof/>
            <w:lang w:val="fi-FI"/>
          </w:rPr>
          <w:t>tutkimuksen arviointia</w:t>
        </w:r>
      </w:hyperlink>
      <w:r w:rsidR="00C17F46" w:rsidRPr="00CE4DF2">
        <w:rPr>
          <w:noProof/>
          <w:lang w:val="fi-FI"/>
        </w:rPr>
        <w:t xml:space="preserve"> ja infrastruktuureja. Joulukuussa 2022 neuvosto antoi </w:t>
      </w:r>
      <w:hyperlink r:id="rId65" w:history="1">
        <w:r w:rsidR="00C17F46" w:rsidRPr="00CE4DF2">
          <w:rPr>
            <w:rStyle w:val="Hyperlink"/>
            <w:noProof/>
            <w:lang w:val="fi-FI"/>
          </w:rPr>
          <w:t>suosituksen tietämyksen hyödyntämistä ohjaavista periaatteista</w:t>
        </w:r>
      </w:hyperlink>
      <w:r w:rsidR="00C17F46" w:rsidRPr="00CE4DF2">
        <w:rPr>
          <w:noProof/>
          <w:lang w:val="fi-FI"/>
        </w:rPr>
        <w:t>, joiden tavoitteena on vahvistaa tutkimuksen ja innovoinnin sosioekonomista vaikutusta.</w:t>
      </w:r>
    </w:p>
    <w:p w14:paraId="18C9F126" w14:textId="4BC2B106" w:rsidR="008F6630" w:rsidRPr="00CE4DF2" w:rsidRDefault="00567E89" w:rsidP="008F6630">
      <w:pPr>
        <w:rPr>
          <w:noProof/>
          <w:lang w:val="fi-FI"/>
        </w:rPr>
      </w:pPr>
      <w:r w:rsidRPr="00CE4DF2">
        <w:rPr>
          <w:noProof/>
          <w:lang w:val="fi-FI"/>
        </w:rPr>
        <w:t xml:space="preserve">Marraskuussa 2022 komissio julkaisi tiedonannon </w:t>
      </w:r>
      <w:hyperlink r:id="rId66" w:history="1">
        <w:r w:rsidRPr="00CE4DF2">
          <w:rPr>
            <w:rStyle w:val="Hyperlink"/>
            <w:noProof/>
            <w:lang w:val="fi-FI"/>
          </w:rPr>
          <w:t>”Horisontti Eurooppa -puiteohjelman ja EAKR-ohjelmien synergiat”</w:t>
        </w:r>
      </w:hyperlink>
      <w:r w:rsidRPr="00CE4DF2">
        <w:rPr>
          <w:noProof/>
          <w:lang w:val="fi-FI"/>
        </w:rPr>
        <w:t>, jossa kuvataan, millaisia synergiamahdollisuuksia ohjelmien hallintoviranomaisilla on.</w:t>
      </w:r>
    </w:p>
    <w:p w14:paraId="02F3BD54" w14:textId="77777777" w:rsidR="007968A0" w:rsidRPr="00CE4DF2" w:rsidRDefault="007968A0" w:rsidP="00860BAE">
      <w:pPr>
        <w:pStyle w:val="ManualHeading2"/>
        <w:rPr>
          <w:noProof/>
          <w:lang w:val="fi-FI"/>
        </w:rPr>
      </w:pPr>
    </w:p>
    <w:p w14:paraId="19B7DB3D" w14:textId="63D280A8" w:rsidR="00517B47" w:rsidRPr="00CE4DF2" w:rsidRDefault="00860BAE" w:rsidP="00860BAE">
      <w:pPr>
        <w:pStyle w:val="ManualHeading2"/>
        <w:rPr>
          <w:noProof/>
          <w:lang w:val="fi-FI"/>
        </w:rPr>
      </w:pPr>
      <w:r w:rsidRPr="00CE4DF2">
        <w:rPr>
          <w:noProof/>
          <w:lang w:val="fi-FI"/>
        </w:rPr>
        <w:t>2.7.</w:t>
      </w:r>
      <w:r w:rsidRPr="00CE4DF2">
        <w:rPr>
          <w:noProof/>
          <w:lang w:val="fi-FI"/>
        </w:rPr>
        <w:tab/>
        <w:t>Kansainväliset näkökohdat</w:t>
      </w:r>
    </w:p>
    <w:p w14:paraId="631AD455" w14:textId="46AAA407" w:rsidR="00807F90" w:rsidRPr="00CE4DF2" w:rsidRDefault="003E37A2" w:rsidP="000F7213">
      <w:pPr>
        <w:rPr>
          <w:noProof/>
          <w:lang w:val="fi-FI"/>
        </w:rPr>
      </w:pPr>
      <w:hyperlink r:id="rId67" w:history="1">
        <w:r w:rsidR="00807F90" w:rsidRPr="00CE4DF2">
          <w:rPr>
            <w:rStyle w:val="Hyperlink"/>
            <w:noProof/>
            <w:lang w:val="fi-FI"/>
          </w:rPr>
          <w:t>Globaali lähestymistapa tutkimus- ja innovaatiostrategiaan</w:t>
        </w:r>
      </w:hyperlink>
      <w:r w:rsidR="00807F90" w:rsidRPr="00CE4DF2">
        <w:rPr>
          <w:noProof/>
          <w:lang w:val="fi-FI"/>
        </w:rPr>
        <w:t xml:space="preserve"> pysyi kansainvälisen tutkimus- ja innovaatioyhteistyön selkärankana vuonna 2022. Lähestymistavassa otetaan tasapainoisesti huomioon avoimuus ja vastavuoroisuuden edistäminen perusarvojen ja yhteisten puite-ehtojen pohjalta. Huhtikuussa 2022 Euroopan parlamentti tuki strategiaa </w:t>
      </w:r>
      <w:hyperlink r:id="rId68" w:history="1">
        <w:r w:rsidR="00807F90" w:rsidRPr="00CE4DF2">
          <w:rPr>
            <w:rStyle w:val="Hyperlink"/>
            <w:noProof/>
            <w:lang w:val="fi-FI"/>
          </w:rPr>
          <w:t>päätöslauselmassaan</w:t>
        </w:r>
      </w:hyperlink>
      <w:r w:rsidR="00807F90" w:rsidRPr="00CE4DF2">
        <w:rPr>
          <w:noProof/>
          <w:lang w:val="fi-FI"/>
        </w:rPr>
        <w:t>.</w:t>
      </w:r>
    </w:p>
    <w:p w14:paraId="5E3C20BB" w14:textId="1436A1BC" w:rsidR="00807F90" w:rsidRPr="00CE4DF2" w:rsidRDefault="00807F90" w:rsidP="00807F90">
      <w:pPr>
        <w:rPr>
          <w:noProof/>
          <w:lang w:val="fi-FI"/>
        </w:rPr>
      </w:pPr>
      <w:r w:rsidRPr="00CE4DF2">
        <w:rPr>
          <w:noProof/>
          <w:lang w:val="fi-FI"/>
        </w:rPr>
        <w:t xml:space="preserve">Komissio vahvisti tutkimus- ja innovointiyhteistyötä Afrikan kanssa laatimalla </w:t>
      </w:r>
      <w:hyperlink r:id="rId69" w:history="1">
        <w:r w:rsidRPr="00CE4DF2">
          <w:rPr>
            <w:rStyle w:val="Hyperlink"/>
            <w:noProof/>
            <w:lang w:val="fi-FI"/>
          </w:rPr>
          <w:t>Afrikan unionin ja EU:n välisen innovaatio-ohjelman</w:t>
        </w:r>
      </w:hyperlink>
      <w:r w:rsidRPr="00CE4DF2">
        <w:rPr>
          <w:noProof/>
          <w:lang w:val="fi-FI"/>
        </w:rPr>
        <w:t xml:space="preserve">. Yhteistyötoimia eteläisen Välimeren maiden kanssa tehostettiin ensimmäisessä </w:t>
      </w:r>
      <w:hyperlink r:id="rId70" w:history="1">
        <w:r w:rsidRPr="00CE4DF2">
          <w:rPr>
            <w:rStyle w:val="Hyperlink"/>
            <w:noProof/>
            <w:lang w:val="fi-FI"/>
          </w:rPr>
          <w:t>tutkimukseen ja innovointiin keskittyneessä Välimeren unionin ministerikokouksessa</w:t>
        </w:r>
      </w:hyperlink>
      <w:r w:rsidRPr="00CE4DF2">
        <w:rPr>
          <w:noProof/>
          <w:lang w:val="fi-FI"/>
        </w:rPr>
        <w:t xml:space="preserve"> (kesäkuu 2022) annetulla </w:t>
      </w:r>
      <w:hyperlink r:id="rId71" w:history="1">
        <w:r w:rsidRPr="00CE4DF2">
          <w:rPr>
            <w:rStyle w:val="Hyperlink"/>
            <w:noProof/>
            <w:lang w:val="fi-FI"/>
          </w:rPr>
          <w:t>ministeritason julkilausumalla</w:t>
        </w:r>
      </w:hyperlink>
      <w:r w:rsidRPr="00CE4DF2">
        <w:rPr>
          <w:noProof/>
          <w:lang w:val="fi-FI"/>
        </w:rPr>
        <w:t xml:space="preserve">. </w:t>
      </w:r>
    </w:p>
    <w:p w14:paraId="4A2717C4" w14:textId="450CE691" w:rsidR="0068151D" w:rsidRPr="00CE4DF2" w:rsidRDefault="0068151D" w:rsidP="001347CE">
      <w:pPr>
        <w:rPr>
          <w:rFonts w:ascii="&amp;quot" w:hAnsi="&amp;quot"/>
          <w:noProof/>
          <w:lang w:val="fi-FI"/>
        </w:rPr>
      </w:pPr>
      <w:r w:rsidRPr="00CE4DF2">
        <w:rPr>
          <w:noProof/>
          <w:lang w:val="fi-FI"/>
        </w:rPr>
        <w:t xml:space="preserve">Neuvottelut </w:t>
      </w:r>
      <w:hyperlink r:id="rId72" w:history="1">
        <w:r w:rsidRPr="00CE4DF2">
          <w:rPr>
            <w:rStyle w:val="Hyperlink"/>
            <w:rFonts w:ascii="&amp;quot" w:hAnsi="&amp;quot"/>
            <w:noProof/>
            <w:lang w:val="fi-FI"/>
          </w:rPr>
          <w:t>EU:n ja Kiinan yhteisestä etenemissuunnitelmasta</w:t>
        </w:r>
      </w:hyperlink>
      <w:r w:rsidRPr="00CE4DF2">
        <w:rPr>
          <w:noProof/>
          <w:lang w:val="fi-FI"/>
        </w:rPr>
        <w:t xml:space="preserve">, joka koskee tieteen, teknologian ja innovoinnin alalla tehtävää yhteistyötä, etenivät hitaasti, koska Kiina ei halua osallistua innovointitoimiin. </w:t>
      </w:r>
      <w:hyperlink r:id="rId73" w:history="1">
        <w:r w:rsidRPr="00CE4DF2">
          <w:rPr>
            <w:rStyle w:val="Hyperlink"/>
            <w:noProof/>
            <w:lang w:val="fi-FI"/>
          </w:rPr>
          <w:t>EU:n ja Yhdysvaltojen yhteisessä neuvoa-antavassa ryhmässä</w:t>
        </w:r>
      </w:hyperlink>
      <w:r w:rsidRPr="00CE4DF2">
        <w:rPr>
          <w:noProof/>
          <w:lang w:val="fi-FI"/>
        </w:rPr>
        <w:t xml:space="preserve"> ja </w:t>
      </w:r>
      <w:hyperlink r:id="rId74" w:history="1">
        <w:r w:rsidRPr="00CE4DF2">
          <w:rPr>
            <w:rStyle w:val="Hyperlink"/>
            <w:noProof/>
            <w:lang w:val="fi-FI"/>
          </w:rPr>
          <w:t>EU:n ja Yhdysvaltojen kauppa- ja teknologianeuvostossa</w:t>
        </w:r>
      </w:hyperlink>
      <w:r w:rsidRPr="00CE4DF2">
        <w:rPr>
          <w:noProof/>
          <w:lang w:val="fi-FI"/>
        </w:rPr>
        <w:t xml:space="preserve"> sovittiin uusista toimista Yhdysvaltojen kanssa.</w:t>
      </w:r>
    </w:p>
    <w:p w14:paraId="6A57EC39" w14:textId="610EBE6A" w:rsidR="00E916B7" w:rsidRPr="00CE4DF2" w:rsidRDefault="00E916B7" w:rsidP="005A1ED5">
      <w:pPr>
        <w:rPr>
          <w:noProof/>
          <w:lang w:val="fi-FI"/>
        </w:rPr>
      </w:pPr>
      <w:r w:rsidRPr="00CE4DF2">
        <w:rPr>
          <w:noProof/>
          <w:lang w:val="fi-FI"/>
        </w:rPr>
        <w:t xml:space="preserve">Komissio tuki </w:t>
      </w:r>
      <w:hyperlink r:id="rId75" w:history="1">
        <w:r w:rsidRPr="00CE4DF2">
          <w:rPr>
            <w:rStyle w:val="Hyperlink"/>
            <w:noProof/>
            <w:lang w:val="fi-FI"/>
          </w:rPr>
          <w:t>hallitustenvälistä ilmastopaneelia</w:t>
        </w:r>
      </w:hyperlink>
      <w:r w:rsidRPr="00CE4DF2">
        <w:rPr>
          <w:noProof/>
          <w:lang w:val="fi-FI"/>
        </w:rPr>
        <w:t xml:space="preserve"> ja </w:t>
      </w:r>
      <w:hyperlink r:id="rId76" w:history="1">
        <w:r w:rsidRPr="00CE4DF2">
          <w:rPr>
            <w:rStyle w:val="Hyperlink"/>
            <w:noProof/>
            <w:lang w:val="fi-FI"/>
          </w:rPr>
          <w:t>hallitustenvälistä luontopaneelia</w:t>
        </w:r>
      </w:hyperlink>
      <w:r w:rsidRPr="00CE4DF2">
        <w:rPr>
          <w:noProof/>
          <w:lang w:val="fi-FI"/>
        </w:rPr>
        <w:t xml:space="preserve"> tarjoamalla tieteeseen ja toimintapolitiikkaan liittyviä vaihtoehtoja.</w:t>
      </w:r>
    </w:p>
    <w:p w14:paraId="79115C8E" w14:textId="08516FF0" w:rsidR="002E4B10" w:rsidRPr="00CE4DF2" w:rsidRDefault="002E4B10" w:rsidP="005A1ED5">
      <w:pPr>
        <w:rPr>
          <w:noProof/>
          <w:lang w:val="fi-FI"/>
        </w:rPr>
      </w:pPr>
      <w:r w:rsidRPr="00CE4DF2">
        <w:rPr>
          <w:noProof/>
          <w:lang w:val="fi-FI"/>
        </w:rPr>
        <w:t xml:space="preserve">Vuonna 2022 komissio kävi </w:t>
      </w:r>
      <w:hyperlink r:id="rId77" w:history="1">
        <w:r w:rsidRPr="00CE4DF2">
          <w:rPr>
            <w:rStyle w:val="Hyperlink"/>
            <w:noProof/>
            <w:lang w:val="fi-FI"/>
          </w:rPr>
          <w:t>Kanadan</w:t>
        </w:r>
      </w:hyperlink>
      <w:r w:rsidRPr="00CE4DF2">
        <w:rPr>
          <w:noProof/>
          <w:lang w:val="fi-FI"/>
        </w:rPr>
        <w:t xml:space="preserve">, </w:t>
      </w:r>
      <w:hyperlink r:id="rId78" w:history="1">
        <w:r w:rsidRPr="00CE4DF2">
          <w:rPr>
            <w:rStyle w:val="Hyperlink"/>
            <w:noProof/>
            <w:lang w:val="fi-FI"/>
          </w:rPr>
          <w:t>Yhdysvaltojen</w:t>
        </w:r>
      </w:hyperlink>
      <w:r w:rsidRPr="00CE4DF2">
        <w:rPr>
          <w:noProof/>
          <w:lang w:val="fi-FI"/>
        </w:rPr>
        <w:t xml:space="preserve"> sekä </w:t>
      </w:r>
      <w:hyperlink r:id="rId79" w:history="1">
        <w:r w:rsidRPr="00CE4DF2">
          <w:rPr>
            <w:rStyle w:val="Hyperlink"/>
            <w:noProof/>
            <w:lang w:val="fi-FI"/>
          </w:rPr>
          <w:t>Latinalaisen Amerikan ja Karibian alueen</w:t>
        </w:r>
      </w:hyperlink>
      <w:r w:rsidRPr="00CE4DF2">
        <w:rPr>
          <w:noProof/>
          <w:lang w:val="fi-FI"/>
        </w:rPr>
        <w:t xml:space="preserve"> kanssa useita vuoropuheluja maatalouden kestävyydestä. Tavoitteena oli selvittää tutkimukseen ja innovointiin liittyviä tarpeita, jotta voidaan ratkaista yhteisiä haasteita, joita ovat esimerkiksi karjanhoidosta aiheutuvat kasvihuonekaasupäästöt ja maaperän terveys.</w:t>
      </w:r>
    </w:p>
    <w:p w14:paraId="526B4F09" w14:textId="63AEC3B1" w:rsidR="005A1ED5" w:rsidRPr="00CE4DF2" w:rsidRDefault="003E37A2" w:rsidP="005A1ED5">
      <w:pPr>
        <w:rPr>
          <w:noProof/>
          <w:lang w:val="fi-FI"/>
        </w:rPr>
      </w:pPr>
      <w:hyperlink r:id="rId80" w:history="1">
        <w:r w:rsidR="005A1ED5" w:rsidRPr="00CE4DF2">
          <w:rPr>
            <w:rStyle w:val="Hyperlink"/>
            <w:noProof/>
            <w:lang w:val="fi-FI"/>
          </w:rPr>
          <w:t>MSCAdvocacy-hanke</w:t>
        </w:r>
      </w:hyperlink>
      <w:r w:rsidR="005A1ED5" w:rsidRPr="00CE4DF2">
        <w:rPr>
          <w:noProof/>
          <w:lang w:val="fi-FI"/>
        </w:rPr>
        <w:t xml:space="preserve"> aloitettiin kesäkuussa 2022, ja sen tavoitteena on edistää yhteistyötä 20 kansainvälisen kumppanimaan ja kuuden alueen kanssa. </w:t>
      </w:r>
    </w:p>
    <w:p w14:paraId="1AFE4A5A" w14:textId="77777777" w:rsidR="000814CC" w:rsidRPr="00CE4DF2" w:rsidRDefault="000814CC" w:rsidP="005A1ED5">
      <w:pPr>
        <w:rPr>
          <w:noProof/>
          <w:lang w:val="fi-FI"/>
        </w:rPr>
      </w:pPr>
    </w:p>
    <w:p w14:paraId="4AE45AF7" w14:textId="10D9393E" w:rsidR="003914AE" w:rsidRPr="00CE4DF2" w:rsidRDefault="00860BAE" w:rsidP="00860BAE">
      <w:pPr>
        <w:pStyle w:val="ManualHeading2"/>
        <w:rPr>
          <w:noProof/>
          <w:lang w:val="fi-FI"/>
        </w:rPr>
      </w:pPr>
      <w:r w:rsidRPr="00CE4DF2">
        <w:rPr>
          <w:noProof/>
          <w:lang w:val="fi-FI"/>
        </w:rPr>
        <w:t>2.8.</w:t>
      </w:r>
      <w:r w:rsidRPr="00CE4DF2">
        <w:rPr>
          <w:noProof/>
          <w:lang w:val="fi-FI"/>
        </w:rPr>
        <w:tab/>
        <w:t>Komission Yhteisen tutkimuskeskuksen toteuttamat suorat toimet</w:t>
      </w:r>
    </w:p>
    <w:p w14:paraId="5F33E284" w14:textId="33FAF0D6" w:rsidR="003914AE" w:rsidRPr="00CE4DF2" w:rsidRDefault="00C95B64" w:rsidP="00941F0D">
      <w:pPr>
        <w:rPr>
          <w:rStyle w:val="normaltextrun"/>
          <w:noProof/>
          <w:lang w:val="fi-FI"/>
        </w:rPr>
      </w:pPr>
      <w:r w:rsidRPr="00CE4DF2">
        <w:rPr>
          <w:noProof/>
          <w:lang w:val="fi-FI"/>
        </w:rPr>
        <w:t xml:space="preserve">Yhteinen tutkimuskeskus (JRC) tuki useita komission aloitteita tarjoamalla tieteellisiä analyyseja etenkin aiheista, joihin Venäjän hyökkäys Ukrainaan vaikutti. Näitä aiheita olivat muun muassa energian hinnoittelu, yleinen makrotaloudellinen tilanne, energiansaannin lyhyen ja pitkän aikavälin skenaariot sekä riskit, jotka liittyvät siihen, että Venäjä miehitti Tšernobylin ja Zaporižžjan ydinlaitokset. Lisäksi Yhteinen tutkimuskeskus analysoi ruokaturvaan liittyviä tekijöitä. </w:t>
      </w:r>
      <w:hyperlink r:id="rId81" w:history="1">
        <w:r w:rsidRPr="00CE4DF2">
          <w:rPr>
            <w:rStyle w:val="Hyperlink"/>
            <w:noProof/>
            <w:lang w:val="fi-FI"/>
          </w:rPr>
          <w:t>Vuoden 2022 strategisessa ennakointiraportissa</w:t>
        </w:r>
      </w:hyperlink>
      <w:r w:rsidRPr="00CE4DF2">
        <w:rPr>
          <w:noProof/>
          <w:lang w:val="fi-FI"/>
        </w:rPr>
        <w:t xml:space="preserve"> keskityttiin ”vihreän ja digitaalisen siirtymän yhteenkytkemiseen uudessa geopoliittisessa ympäristössä”. Edistääkseen EU:n vihreän kehityksen ohjelmassa asetetun tavoitteen saavuttamista Yhteinen tutkimuskeskus perusti </w:t>
      </w:r>
      <w:hyperlink r:id="rId82" w:history="1">
        <w:r w:rsidRPr="00CE4DF2">
          <w:rPr>
            <w:rStyle w:val="Hyperlink"/>
            <w:noProof/>
            <w:lang w:val="fi-FI"/>
          </w:rPr>
          <w:t>Euroopan sinisen talouden seurantakeskuksen</w:t>
        </w:r>
      </w:hyperlink>
      <w:r w:rsidRPr="00CE4DF2">
        <w:rPr>
          <w:noProof/>
          <w:lang w:val="fi-FI"/>
        </w:rPr>
        <w:t xml:space="preserve">. Se on tiedon levittämiseen tarkoitettu alusta, jonka tehtävänä on edistää valtamerien, merien ja rannikkoalueiden kestävyyttä. </w:t>
      </w:r>
      <w:hyperlink r:id="rId83" w:history="1">
        <w:r w:rsidRPr="00CE4DF2">
          <w:rPr>
            <w:rStyle w:val="Hyperlink"/>
            <w:noProof/>
            <w:lang w:val="fi-FI"/>
          </w:rPr>
          <w:t>Uusi eurooppalainen Bauhaus</w:t>
        </w:r>
      </w:hyperlink>
      <w:r w:rsidRPr="00CE4DF2">
        <w:rPr>
          <w:noProof/>
          <w:lang w:val="fi-FI"/>
        </w:rPr>
        <w:t xml:space="preserve"> </w:t>
      </w:r>
      <w:r w:rsidRPr="00CE4DF2">
        <w:rPr>
          <w:rStyle w:val="normaltextrun"/>
          <w:noProof/>
          <w:lang w:val="fi-FI"/>
        </w:rPr>
        <w:t>-hankkeiden</w:t>
      </w:r>
      <w:r w:rsidRPr="00CE4DF2">
        <w:rPr>
          <w:noProof/>
          <w:lang w:val="fi-FI"/>
        </w:rPr>
        <w:t xml:space="preserve"> edistämiseksi </w:t>
      </w:r>
      <w:r w:rsidRPr="00CE4DF2">
        <w:rPr>
          <w:noProof/>
          <w:shd w:val="clear" w:color="auto" w:fill="FFFFFF"/>
          <w:lang w:val="fi-FI"/>
        </w:rPr>
        <w:t xml:space="preserve">Yhteinen tutkimuskeskus perusti </w:t>
      </w:r>
      <w:hyperlink r:id="rId84" w:history="1">
        <w:r w:rsidRPr="00CE4DF2">
          <w:rPr>
            <w:rStyle w:val="Hyperlink"/>
            <w:noProof/>
            <w:shd w:val="clear" w:color="auto" w:fill="FFFFFF"/>
            <w:lang w:val="fi-FI"/>
          </w:rPr>
          <w:t>NEB Labin</w:t>
        </w:r>
      </w:hyperlink>
      <w:r w:rsidRPr="00CE4DF2">
        <w:rPr>
          <w:rStyle w:val="normaltextrun"/>
          <w:noProof/>
          <w:lang w:val="fi-FI"/>
        </w:rPr>
        <w:t>.</w:t>
      </w:r>
    </w:p>
    <w:p w14:paraId="05FFAF45" w14:textId="6F63A60D" w:rsidR="00517B47" w:rsidRPr="00CE4DF2" w:rsidRDefault="0027449B" w:rsidP="00860BAE">
      <w:pPr>
        <w:pStyle w:val="ManualHeading1"/>
        <w:rPr>
          <w:noProof/>
          <w:lang w:val="fi-FI"/>
        </w:rPr>
      </w:pPr>
      <w:r w:rsidRPr="00CE4DF2">
        <w:rPr>
          <w:noProof/>
          <w:lang w:val="fi-FI"/>
        </w:rPr>
        <w:br w:type="page"/>
        <w:t>3.</w:t>
      </w:r>
      <w:r w:rsidRPr="00CE4DF2">
        <w:rPr>
          <w:noProof/>
          <w:lang w:val="fi-FI"/>
        </w:rPr>
        <w:tab/>
        <w:t>Horisontti Eurooppa -puiteohjelman, Horisontti 2020 -ohjelman ja Euratom-ohjelman täytäntöönpano ja seuranta</w:t>
      </w:r>
    </w:p>
    <w:p w14:paraId="0CE49565" w14:textId="77777777" w:rsidR="0027449B" w:rsidRPr="00CE4DF2" w:rsidRDefault="0027449B" w:rsidP="00860BAE">
      <w:pPr>
        <w:pStyle w:val="ManualHeading2"/>
        <w:rPr>
          <w:noProof/>
          <w:lang w:val="fi-FI"/>
        </w:rPr>
      </w:pPr>
    </w:p>
    <w:p w14:paraId="3CF39C1E" w14:textId="266F0A23" w:rsidR="00517B47" w:rsidRPr="00CE4DF2" w:rsidRDefault="00860BAE" w:rsidP="00860BAE">
      <w:pPr>
        <w:pStyle w:val="ManualHeading2"/>
        <w:rPr>
          <w:noProof/>
          <w:lang w:val="fi-FI"/>
        </w:rPr>
      </w:pPr>
      <w:r w:rsidRPr="00CE4DF2">
        <w:rPr>
          <w:noProof/>
          <w:lang w:val="fi-FI"/>
        </w:rPr>
        <w:t>3.1.</w:t>
      </w:r>
      <w:r w:rsidRPr="00CE4DF2">
        <w:rPr>
          <w:noProof/>
          <w:lang w:val="fi-FI"/>
        </w:rPr>
        <w:tab/>
        <w:t>Horisontti Eurooppa -puiteohjelma vuonna 2022 – kohokohdat ja uutuudet</w:t>
      </w:r>
    </w:p>
    <w:p w14:paraId="191740A2" w14:textId="59792B57" w:rsidR="008176F3" w:rsidRPr="00CE4DF2" w:rsidRDefault="008176F3" w:rsidP="008176F3">
      <w:pPr>
        <w:rPr>
          <w:noProof/>
          <w:sz w:val="22"/>
          <w:lang w:val="fi-FI"/>
        </w:rPr>
      </w:pPr>
      <w:r w:rsidRPr="00CE4DF2">
        <w:rPr>
          <w:noProof/>
          <w:lang w:val="fi-FI"/>
        </w:rPr>
        <w:t xml:space="preserve">Toukokuussa 2022 komissio hyväksyi muutoksen </w:t>
      </w:r>
      <w:hyperlink r:id="rId85" w:history="1">
        <w:r w:rsidRPr="00CE4DF2">
          <w:rPr>
            <w:rStyle w:val="Hyperlink"/>
            <w:noProof/>
            <w:lang w:val="fi-FI"/>
          </w:rPr>
          <w:t>Horisontti Eurooppa -puiteohjelman pääasialliseen työohjelmaan vuosiksi 2021–2022</w:t>
        </w:r>
      </w:hyperlink>
      <w:r w:rsidRPr="00CE4DF2">
        <w:rPr>
          <w:noProof/>
          <w:lang w:val="fi-FI"/>
        </w:rPr>
        <w:t xml:space="preserve">. Työohjelmassa esiteltiin kaikki </w:t>
      </w:r>
      <w:hyperlink r:id="rId86" w:history="1">
        <w:r w:rsidRPr="00CE4DF2">
          <w:rPr>
            <w:rStyle w:val="Hyperlink"/>
            <w:noProof/>
            <w:lang w:val="fi-FI"/>
          </w:rPr>
          <w:t>EU:n missioihin</w:t>
        </w:r>
      </w:hyperlink>
      <w:r w:rsidRPr="00CE4DF2">
        <w:rPr>
          <w:noProof/>
          <w:lang w:val="fi-FI"/>
        </w:rPr>
        <w:t xml:space="preserve"> vuonna 2022 liittyvät toimet. </w:t>
      </w:r>
    </w:p>
    <w:p w14:paraId="79CE557B" w14:textId="2C838B98" w:rsidR="006B11AD" w:rsidRPr="00CE4DF2" w:rsidRDefault="003E37A2" w:rsidP="008176F3">
      <w:pPr>
        <w:rPr>
          <w:noProof/>
          <w:lang w:val="fi-FI"/>
        </w:rPr>
      </w:pPr>
      <w:hyperlink r:id="rId87" w:history="1">
        <w:r w:rsidR="006B11AD" w:rsidRPr="00CE4DF2">
          <w:rPr>
            <w:rStyle w:val="Hyperlink"/>
            <w:noProof/>
            <w:lang w:val="fi-FI"/>
          </w:rPr>
          <w:t>Vuoden 2022 T&amp;I-päivillä</w:t>
        </w:r>
      </w:hyperlink>
      <w:r w:rsidR="006B11AD" w:rsidRPr="00CE4DF2">
        <w:rPr>
          <w:noProof/>
          <w:lang w:val="fi-FI"/>
        </w:rPr>
        <w:t xml:space="preserve"> komissio käynnisti prosessin, jonka tavoitteena on laatia seuraava </w:t>
      </w:r>
      <w:hyperlink r:id="rId88" w:history="1">
        <w:r w:rsidR="006B11AD" w:rsidRPr="00CE4DF2">
          <w:rPr>
            <w:rStyle w:val="Hyperlink"/>
            <w:noProof/>
            <w:lang w:val="fi-FI"/>
          </w:rPr>
          <w:t>Horisontti Eurooppa -puiteohjelman strateginen suunnitelma vuosiksi 2025–2027</w:t>
        </w:r>
      </w:hyperlink>
      <w:r w:rsidR="006B11AD" w:rsidRPr="00CE4DF2">
        <w:rPr>
          <w:noProof/>
          <w:lang w:val="fi-FI"/>
        </w:rPr>
        <w:t>.</w:t>
      </w:r>
    </w:p>
    <w:p w14:paraId="1361ABF7" w14:textId="38226EB4" w:rsidR="008176F3" w:rsidRPr="00CE4DF2" w:rsidRDefault="000B060B" w:rsidP="008176F3">
      <w:pPr>
        <w:rPr>
          <w:noProof/>
          <w:lang w:val="fi-FI"/>
        </w:rPr>
      </w:pPr>
      <w:r w:rsidRPr="00CE4DF2">
        <w:rPr>
          <w:noProof/>
          <w:lang w:val="fi-FI"/>
        </w:rPr>
        <w:t xml:space="preserve">Joulukuussa 2022 komissio hyväksyi pääasiallisen </w:t>
      </w:r>
      <w:hyperlink r:id="rId89" w:anchor="work-programmes-under-horizon-europe" w:history="1">
        <w:r w:rsidRPr="00CE4DF2">
          <w:rPr>
            <w:rStyle w:val="Hyperlink"/>
            <w:noProof/>
            <w:lang w:val="fi-FI"/>
          </w:rPr>
          <w:t>Horisontti Eurooppa -puiteohjelman työohjelman vuosiksi 2023–2024</w:t>
        </w:r>
      </w:hyperlink>
      <w:r w:rsidRPr="00CE4DF2">
        <w:rPr>
          <w:noProof/>
          <w:lang w:val="fi-FI"/>
        </w:rPr>
        <w:t>. Sen myötä tutkimusta ja innovointia varten asetettiin saataville noin 13,5 miljardia euroa oikeudenmukaisen vihreän ja digitaalisen siirtymän vauhdittamiseksi, EU:n energia-alan häiriönsietokyvyn parantamiseksi ja kestävän elpymisen edistämiseksi covid-19-pandemian jälkeen. Työohjelmaan sisältyi myös geopoliittiseen tilanteeseen liittyviä toimia ja kohdennettua tukea Ukrainalle.</w:t>
      </w:r>
    </w:p>
    <w:p w14:paraId="7D1BA51F" w14:textId="77777777" w:rsidR="008176F3" w:rsidRPr="00CE4DF2" w:rsidRDefault="008176F3" w:rsidP="00921E89">
      <w:pPr>
        <w:rPr>
          <w:b/>
          <w:noProof/>
          <w:lang w:val="fi-FI"/>
        </w:rPr>
      </w:pPr>
    </w:p>
    <w:p w14:paraId="17F54822" w14:textId="7EB26212" w:rsidR="006E204C" w:rsidRPr="00CE4DF2" w:rsidRDefault="006E204C" w:rsidP="00921E89">
      <w:pPr>
        <w:contextualSpacing/>
        <w:rPr>
          <w:b/>
          <w:noProof/>
          <w:lang w:val="fi-FI"/>
        </w:rPr>
      </w:pPr>
      <w:r w:rsidRPr="00CE4DF2">
        <w:rPr>
          <w:b/>
          <w:noProof/>
          <w:lang w:val="fi-FI"/>
        </w:rPr>
        <w:t>Kansainvälinen yhteistyö ja assosiaationeuvottelut</w:t>
      </w:r>
    </w:p>
    <w:p w14:paraId="69F8BF0D" w14:textId="77777777" w:rsidR="007D6EE5" w:rsidRPr="00CE4DF2" w:rsidRDefault="007D6EE5" w:rsidP="00921E89">
      <w:pPr>
        <w:contextualSpacing/>
        <w:rPr>
          <w:noProof/>
          <w:lang w:val="fi-FI"/>
        </w:rPr>
      </w:pPr>
    </w:p>
    <w:p w14:paraId="353A7E64" w14:textId="66B0A153" w:rsidR="006E204C" w:rsidRPr="00CE4DF2" w:rsidRDefault="007D6EE5" w:rsidP="00921E89">
      <w:pPr>
        <w:contextualSpacing/>
        <w:rPr>
          <w:noProof/>
          <w:lang w:val="fi-FI"/>
        </w:rPr>
      </w:pPr>
      <w:r w:rsidRPr="00CE4DF2">
        <w:rPr>
          <w:noProof/>
          <w:lang w:val="fi-FI"/>
        </w:rPr>
        <w:t xml:space="preserve">Kansainvälistä yhteistyötä tukevien aihealueiden määrä kasvoi siten, että kun se vuosien 2021–2022 työohjelmassa oli noin 20 prosenttia, tällä hetkellä toteutettavassa vuosien 2023–2024 työohjelmassa se on noin 22 prosenttia. </w:t>
      </w:r>
    </w:p>
    <w:p w14:paraId="4F5AF4F3" w14:textId="05223915" w:rsidR="005C7770" w:rsidRPr="00CE4DF2" w:rsidRDefault="00D77028" w:rsidP="00921E89">
      <w:pPr>
        <w:rPr>
          <w:noProof/>
          <w:lang w:val="fi-FI"/>
        </w:rPr>
      </w:pPr>
      <w:r w:rsidRPr="00CE4DF2">
        <w:rPr>
          <w:noProof/>
          <w:lang w:val="fi-FI"/>
        </w:rPr>
        <w:t>Horisontti Eurooppa -asetuksen 22 artiklan 5 kohtaa, jonka nojalla osallistumista toimiin voidaan rajoittaa EU:n strategisten voimavarojen, etujen, autonomian tai turvallisuuden suojaamiseksi tietyillä arkaluonteisilla aloilla, sovellettiin vuosien 2021–2022 Horisontti Eurooppa -puiteohjelman työohjelmassa 49 aihealueeseen. Luku vastaa noin neljää prosenttia tämän työohjelman budjetista (noin 2 prosenttia Horisontti Eurooppa -puiteohjelman koko toimintabudjetista vuosina 2021–2022).</w:t>
      </w:r>
    </w:p>
    <w:p w14:paraId="15357F63" w14:textId="53849477" w:rsidR="005C7770" w:rsidRPr="00CE4DF2" w:rsidRDefault="0093220A" w:rsidP="00921E89">
      <w:pPr>
        <w:rPr>
          <w:noProof/>
          <w:lang w:val="fi-FI"/>
        </w:rPr>
      </w:pPr>
      <w:r w:rsidRPr="00CE4DF2">
        <w:rPr>
          <w:noProof/>
          <w:lang w:val="fi-FI"/>
        </w:rPr>
        <w:t xml:space="preserve">Vuonna 2022 tuli voimaan kelpoisuusperuste, jonka mukaan kaikilla EU-maiden tai assosioituneiden maiden julkisilla elimillä, tutkimusorganisaatioilla ja korkeakouluilla on oltava käytössä sukupuolten tasa-arvoa koskeva suunnitelma, jotta ne voivat saada rahoitusta. </w:t>
      </w:r>
    </w:p>
    <w:p w14:paraId="73AF7DCE" w14:textId="55F0E2B1" w:rsidR="005C7770" w:rsidRPr="00CE4DF2" w:rsidRDefault="005C7770" w:rsidP="00921E89">
      <w:pPr>
        <w:rPr>
          <w:noProof/>
          <w:lang w:val="fi-FI"/>
        </w:rPr>
      </w:pPr>
      <w:r w:rsidRPr="00CE4DF2">
        <w:rPr>
          <w:noProof/>
          <w:lang w:val="fi-FI"/>
        </w:rPr>
        <w:t xml:space="preserve">Vuoden 2022 loppuun mennessä </w:t>
      </w:r>
      <w:hyperlink r:id="rId90" w:history="1">
        <w:r w:rsidRPr="00CE4DF2">
          <w:rPr>
            <w:rStyle w:val="Hyperlink"/>
            <w:noProof/>
            <w:lang w:val="fi-FI"/>
          </w:rPr>
          <w:t>16 kolmatta maata</w:t>
        </w:r>
      </w:hyperlink>
      <w:r w:rsidRPr="00CE4DF2">
        <w:rPr>
          <w:noProof/>
          <w:lang w:val="fi-FI"/>
        </w:rPr>
        <w:t xml:space="preserve"> oli assosioitunut Horisontti Eurooppa -puiteohjelmaan. Neuvottelut Uuden-Seelannin kanssa on saatu päätökseen, ja neuvottelut Kanadan kanssa on käynnistetty. Kummankin maan odotetaan assosioituvan puiteohjelmaan vuoden 2023 aikana. Lisäksi on aloitettu alustavat keskustelut Japanin ja Etelä-Korean kanssa. </w:t>
      </w:r>
    </w:p>
    <w:p w14:paraId="28E76278" w14:textId="77777777" w:rsidR="008728DD" w:rsidRPr="00CE4DF2" w:rsidRDefault="008728DD" w:rsidP="008728DD">
      <w:pPr>
        <w:pStyle w:val="ManualHeading2"/>
        <w:ind w:left="0" w:firstLine="0"/>
        <w:rPr>
          <w:noProof/>
          <w:lang w:val="fi-FI"/>
        </w:rPr>
      </w:pPr>
    </w:p>
    <w:p w14:paraId="64227C00" w14:textId="4209C12B" w:rsidR="00517B47" w:rsidRPr="00CE4DF2" w:rsidRDefault="0027449B" w:rsidP="008728DD">
      <w:pPr>
        <w:pStyle w:val="ManualHeading2"/>
        <w:ind w:left="0" w:firstLine="0"/>
        <w:rPr>
          <w:noProof/>
          <w:lang w:val="fi-FI"/>
        </w:rPr>
      </w:pPr>
      <w:r w:rsidRPr="00CE4DF2">
        <w:rPr>
          <w:noProof/>
          <w:lang w:val="fi-FI"/>
        </w:rPr>
        <w:br w:type="page"/>
        <w:t>3.2.</w:t>
      </w:r>
      <w:r w:rsidRPr="00CE4DF2">
        <w:rPr>
          <w:noProof/>
          <w:lang w:val="fi-FI"/>
        </w:rPr>
        <w:tab/>
        <w:t>Horisontti Eurooppa -ohjelman seurantatiedot</w:t>
      </w:r>
    </w:p>
    <w:p w14:paraId="62476AF6" w14:textId="77777777" w:rsidR="003D1EF5" w:rsidRPr="00CE4DF2" w:rsidRDefault="003D1EF5" w:rsidP="002034FE">
      <w:pPr>
        <w:spacing w:after="0"/>
        <w:rPr>
          <w:b/>
          <w:noProof/>
          <w:lang w:val="fi-FI"/>
        </w:rPr>
      </w:pPr>
    </w:p>
    <w:p w14:paraId="28127A5D" w14:textId="6C85C0EE" w:rsidR="002034FE" w:rsidRPr="00CE4DF2" w:rsidRDefault="002034FE" w:rsidP="002034FE">
      <w:pPr>
        <w:spacing w:after="0"/>
        <w:rPr>
          <w:b/>
          <w:noProof/>
          <w:lang w:val="fi-FI"/>
        </w:rPr>
      </w:pPr>
      <w:r w:rsidRPr="00CE4DF2">
        <w:rPr>
          <w:b/>
          <w:noProof/>
          <w:lang w:val="fi-FI"/>
        </w:rPr>
        <w:t xml:space="preserve">Ehdotuspyynnöt ja aiheet </w:t>
      </w:r>
    </w:p>
    <w:p w14:paraId="67ECFD80" w14:textId="459146E5" w:rsidR="002034FE" w:rsidRPr="00CE4DF2" w:rsidRDefault="002034FE" w:rsidP="002034FE">
      <w:pPr>
        <w:rPr>
          <w:i/>
          <w:noProof/>
          <w:sz w:val="20"/>
          <w:lang w:val="fi-FI"/>
        </w:rPr>
      </w:pPr>
      <w:r w:rsidRPr="00CE4DF2">
        <w:rPr>
          <w:i/>
          <w:noProof/>
          <w:sz w:val="20"/>
          <w:lang w:val="fi-FI"/>
        </w:rPr>
        <w:t>Lähde: CPS-järjestelmästä (Call Passport System) 19.1.2023 haetut tiedot.</w:t>
      </w:r>
    </w:p>
    <w:p w14:paraId="16A83E86" w14:textId="61E949A9" w:rsidR="00DE5326" w:rsidRPr="00CE4DF2" w:rsidRDefault="002034FE" w:rsidP="00DE5326">
      <w:pPr>
        <w:rPr>
          <w:noProof/>
          <w:lang w:val="fi-FI"/>
        </w:rPr>
      </w:pPr>
      <w:r w:rsidRPr="00CE4DF2">
        <w:rPr>
          <w:noProof/>
          <w:lang w:val="fi-FI"/>
        </w:rPr>
        <w:t xml:space="preserve">Horisontti Eurooppa -puiteohjelman vuosien 2021–2022 pääasiallisessa työohjelmassa käynnistettiin 44 ehdotuspyyntöä vuonna 2022. Nämä ehdotuspyynnöt koskivat yhteensä 202:ta aihealuetta. Kaiken kaikkiaan vuosien 2021–2022 työohjelmassa lanseerattiin 874 aihealuetta 160 ehdotuspyynnössä ja lisäksi 195 muuta toimea. Ehdotuspyyntöjen ja toimien budjetti oli noin 16 miljardia euroa. </w:t>
      </w:r>
    </w:p>
    <w:p w14:paraId="326DD437" w14:textId="740633D6" w:rsidR="002034FE" w:rsidRPr="00CE4DF2" w:rsidRDefault="002034FE" w:rsidP="002034FE">
      <w:pPr>
        <w:rPr>
          <w:noProof/>
          <w:lang w:val="fi-FI"/>
        </w:rPr>
      </w:pPr>
      <w:r w:rsidRPr="00CE4DF2">
        <w:rPr>
          <w:noProof/>
          <w:lang w:val="fi-FI"/>
        </w:rPr>
        <w:t xml:space="preserve">Lisäksi </w:t>
      </w:r>
      <w:hyperlink r:id="rId91" w:history="1">
        <w:r w:rsidRPr="00CE4DF2">
          <w:rPr>
            <w:rStyle w:val="Hyperlink"/>
            <w:noProof/>
            <w:lang w:val="fi-FI"/>
          </w:rPr>
          <w:t>Euroopan tutkimusneuvosto</w:t>
        </w:r>
      </w:hyperlink>
      <w:r w:rsidRPr="00CE4DF2">
        <w:rPr>
          <w:noProof/>
          <w:lang w:val="fi-FI"/>
        </w:rPr>
        <w:t xml:space="preserve"> (ERC) käynnisti vuoden 2022 työohjelmaansa kuuluvassa huipputason tieteen pilarissa seitsemän hakua, joiden budjetti oli yhteensä 2 247 miljoonaa euroa. </w:t>
      </w:r>
    </w:p>
    <w:p w14:paraId="0A3F8772" w14:textId="6F9FE204" w:rsidR="0060607D" w:rsidRPr="00CE4DF2" w:rsidRDefault="003E37A2" w:rsidP="0060607D">
      <w:pPr>
        <w:rPr>
          <w:noProof/>
          <w:lang w:val="fi-FI"/>
        </w:rPr>
      </w:pPr>
      <w:hyperlink r:id="rId92" w:history="1">
        <w:r w:rsidR="0060607D" w:rsidRPr="00CE4DF2">
          <w:rPr>
            <w:rStyle w:val="Hyperlink"/>
            <w:noProof/>
            <w:lang w:val="fi-FI"/>
          </w:rPr>
          <w:t>Euroopan innovaationeuvosto</w:t>
        </w:r>
      </w:hyperlink>
      <w:r w:rsidR="0060607D" w:rsidRPr="00CE4DF2">
        <w:rPr>
          <w:noProof/>
          <w:lang w:val="fi-FI"/>
        </w:rPr>
        <w:t xml:space="preserve"> (EIC) käynnisti neljä ehdotuspyyntöä kolmen keskeisen välineen osalta (kaksi Pathfinder-, Transition- ja Accelerator-hakua, joissa on useita määräaikoja) ja 13 muuta toimea, joiden kokonaisbudjetti on 1 711,4</w:t>
      </w:r>
      <w:r w:rsidR="0060607D" w:rsidRPr="00CE4DF2">
        <w:rPr>
          <w:rStyle w:val="FootnoteReference"/>
          <w:noProof/>
          <w:lang w:val="fi-FI"/>
        </w:rPr>
        <w:footnoteReference w:id="2"/>
      </w:r>
      <w:r w:rsidR="0060607D" w:rsidRPr="00CE4DF2">
        <w:rPr>
          <w:noProof/>
          <w:lang w:val="fi-FI"/>
        </w:rPr>
        <w:t xml:space="preserve"> miljoonaa euroa. </w:t>
      </w:r>
    </w:p>
    <w:p w14:paraId="6A52F7BD" w14:textId="543C93D6" w:rsidR="002034FE" w:rsidRPr="00CE4DF2" w:rsidRDefault="002034FE" w:rsidP="001347CE">
      <w:pPr>
        <w:pStyle w:val="ListParagraph"/>
        <w:spacing w:before="120" w:after="120" w:line="240" w:lineRule="auto"/>
        <w:ind w:left="0"/>
        <w:jc w:val="both"/>
        <w:rPr>
          <w:rFonts w:ascii="Times New Roman" w:hAnsi="Times New Roman"/>
          <w:noProof/>
          <w:sz w:val="24"/>
          <w:lang w:val="fi-FI"/>
        </w:rPr>
      </w:pPr>
      <w:r w:rsidRPr="00CE4DF2">
        <w:rPr>
          <w:rFonts w:ascii="Times New Roman" w:hAnsi="Times New Roman"/>
          <w:noProof/>
          <w:sz w:val="24"/>
          <w:lang w:val="fi-FI"/>
        </w:rPr>
        <w:t xml:space="preserve">Horisontti Eurooppa -puiteohjelman pääasiallisen työohjelman mukaiset aihealueet oli suunniteltu siten, että niiden avulla saataisiin houkuteltua hankkeita, jotka edistävät </w:t>
      </w:r>
      <w:hyperlink r:id="rId93" w:history="1">
        <w:r w:rsidRPr="00CE4DF2">
          <w:rPr>
            <w:rStyle w:val="Hyperlink"/>
            <w:rFonts w:ascii="Times New Roman" w:hAnsi="Times New Roman"/>
            <w:noProof/>
            <w:sz w:val="24"/>
            <w:lang w:val="fi-FI"/>
          </w:rPr>
          <w:t>komission vuosiksi 2019–2024 asetettujen poliittisten painopisteiden toteutumista</w:t>
        </w:r>
      </w:hyperlink>
      <w:r w:rsidRPr="00CE4DF2">
        <w:rPr>
          <w:rFonts w:ascii="Times New Roman" w:hAnsi="Times New Roman"/>
          <w:noProof/>
          <w:sz w:val="24"/>
          <w:lang w:val="fi-FI"/>
        </w:rPr>
        <w:t>. Siitä, miten tässä on onnistuttu kunkin poliittisen painopisteen osalta, tiedetään tarkemmin vasta, kun tuensaajat ovat raportoineet hankkeiden tuloksista.</w:t>
      </w:r>
    </w:p>
    <w:p w14:paraId="0BF6FCC8" w14:textId="79709D3F" w:rsidR="002034FE" w:rsidRPr="00CE4DF2" w:rsidRDefault="00CE4DF2" w:rsidP="00801BB4">
      <w:pPr>
        <w:jc w:val="center"/>
        <w:rPr>
          <w:noProof/>
          <w:lang w:val="fi-FI"/>
        </w:rPr>
      </w:pPr>
      <w:r w:rsidRPr="00CE4DF2">
        <w:rPr>
          <w:noProof/>
        </w:rPr>
        <w:drawing>
          <wp:inline distT="0" distB="0" distL="0" distR="0" wp14:anchorId="380FAD9C" wp14:editId="194EA730">
            <wp:extent cx="5135245" cy="18821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135245" cy="1882140"/>
                    </a:xfrm>
                    <a:prstGeom prst="rect">
                      <a:avLst/>
                    </a:prstGeom>
                    <a:noFill/>
                    <a:ln>
                      <a:noFill/>
                    </a:ln>
                  </pic:spPr>
                </pic:pic>
              </a:graphicData>
            </a:graphic>
          </wp:inline>
        </w:drawing>
      </w:r>
    </w:p>
    <w:p w14:paraId="1D4C4672" w14:textId="08B04D2D" w:rsidR="002034FE" w:rsidRPr="00CE4DF2" w:rsidRDefault="00BD2CD2" w:rsidP="000E11E0">
      <w:pPr>
        <w:rPr>
          <w:i/>
          <w:noProof/>
          <w:sz w:val="16"/>
          <w:lang w:val="fi-FI"/>
        </w:rPr>
      </w:pPr>
      <w:r w:rsidRPr="00CE4DF2">
        <w:rPr>
          <w:i/>
          <w:noProof/>
          <w:sz w:val="16"/>
          <w:lang w:val="fi-FI"/>
        </w:rPr>
        <w:t>Kaavio 1: Komission painopisteisiin liittyvien aihealueiden prosenttiosuus Horisontti Eurooppa -puiteohjelman vuosien 2021–2022 pääasiallisesta työohjelmasta.</w:t>
      </w:r>
    </w:p>
    <w:p w14:paraId="13E05880" w14:textId="240EFFB2" w:rsidR="00A460F5" w:rsidRPr="00CE4DF2" w:rsidRDefault="00943B94" w:rsidP="001347CE">
      <w:pPr>
        <w:rPr>
          <w:noProof/>
          <w:lang w:val="fi-FI"/>
        </w:rPr>
      </w:pPr>
      <w:r w:rsidRPr="00CE4DF2">
        <w:rPr>
          <w:noProof/>
          <w:lang w:val="fi-FI"/>
        </w:rPr>
        <w:t>Tutkimuksella ja innovoinnilla on keskeinen rooli vihreän siirtymän vauhdittamisessa. Tähän mennessä Horisontti Eurooppa -puiteohjelman menoista</w:t>
      </w:r>
      <w:r w:rsidRPr="00CE4DF2">
        <w:rPr>
          <w:noProof/>
          <w:vertAlign w:val="superscript"/>
          <w:lang w:val="fi-FI"/>
        </w:rPr>
        <w:footnoteReference w:id="3"/>
      </w:r>
      <w:r w:rsidRPr="00CE4DF2">
        <w:rPr>
          <w:noProof/>
          <w:lang w:val="fi-FI"/>
        </w:rPr>
        <w:t> on osoitettu 34 prosenttia ilmastonmuutokseen ja 7,3 prosenttia biodiversiteettiin liittyviin toimiin.</w:t>
      </w:r>
    </w:p>
    <w:p w14:paraId="7AF20D4D" w14:textId="77777777" w:rsidR="003D1EF5" w:rsidRPr="00CE4DF2" w:rsidRDefault="003D1EF5" w:rsidP="001347CE">
      <w:pPr>
        <w:rPr>
          <w:b/>
          <w:noProof/>
          <w:lang w:val="fi-FI"/>
        </w:rPr>
      </w:pPr>
    </w:p>
    <w:p w14:paraId="331CD730" w14:textId="5052DAD8" w:rsidR="002034FE" w:rsidRPr="00CE4DF2" w:rsidRDefault="0027449B" w:rsidP="001347CE">
      <w:pPr>
        <w:rPr>
          <w:b/>
          <w:noProof/>
          <w:lang w:val="fi-FI"/>
        </w:rPr>
      </w:pPr>
      <w:r w:rsidRPr="00CE4DF2">
        <w:rPr>
          <w:noProof/>
          <w:lang w:val="fi-FI"/>
        </w:rPr>
        <w:br w:type="page"/>
      </w:r>
      <w:r w:rsidRPr="00CE4DF2">
        <w:rPr>
          <w:b/>
          <w:noProof/>
          <w:lang w:val="fi-FI"/>
        </w:rPr>
        <w:t>Hyväksytyt ehdotukset ja hyväksymisasteet</w:t>
      </w:r>
    </w:p>
    <w:p w14:paraId="747825C0" w14:textId="2B250706" w:rsidR="002034FE" w:rsidRPr="00CE4DF2" w:rsidRDefault="002034FE" w:rsidP="00801BB4">
      <w:pPr>
        <w:rPr>
          <w:i/>
          <w:noProof/>
          <w:sz w:val="18"/>
          <w:lang w:val="fi-FI"/>
        </w:rPr>
      </w:pPr>
      <w:r w:rsidRPr="00CE4DF2">
        <w:rPr>
          <w:i/>
          <w:noProof/>
          <w:sz w:val="18"/>
          <w:lang w:val="fi-FI"/>
        </w:rPr>
        <w:t>Lähde: Horizon Dashboard 30.12.2022.</w:t>
      </w:r>
    </w:p>
    <w:p w14:paraId="3DEA920D" w14:textId="6544FD4A" w:rsidR="001347CE" w:rsidRPr="00CE4DF2" w:rsidRDefault="002034FE" w:rsidP="000E11E0">
      <w:pPr>
        <w:rPr>
          <w:noProof/>
          <w:lang w:val="fi-FI"/>
        </w:rPr>
      </w:pPr>
      <w:r w:rsidRPr="00CE4DF2">
        <w:rPr>
          <w:noProof/>
          <w:lang w:val="fi-FI"/>
        </w:rPr>
        <w:t xml:space="preserve">Vuoden 2022 loppuun mennessä päätettyjen ja kokonaan arvioitujen ehdotuspyyntöjen puitteissa toimitettiin yhteensä </w:t>
      </w:r>
      <w:r w:rsidRPr="00CE4DF2">
        <w:rPr>
          <w:b/>
          <w:bCs/>
          <w:noProof/>
          <w:lang w:val="fi-FI"/>
        </w:rPr>
        <w:t>44 832 tukikelpoista ehdotusta</w:t>
      </w:r>
      <w:r w:rsidRPr="00CE4DF2">
        <w:rPr>
          <w:noProof/>
          <w:lang w:val="fi-FI"/>
        </w:rPr>
        <w:t>. Ulkopuolisten arvioijien mukaan 54 prosenttia näistä ehdotuksista oli laadukkaita, koska ne ylittivät vähimmäispistemäärän. Rahoitettavaksi valittiin 7 108 ehdotusta, joissa haetun rahoituksen kokonaismäärä oli 20,5 miljardia euroa.</w:t>
      </w:r>
      <w:r w:rsidRPr="00CE4DF2">
        <w:rPr>
          <w:noProof/>
          <w:lang w:val="fi-FI"/>
        </w:rPr>
        <w:tab/>
        <w:t xml:space="preserve"> </w:t>
      </w:r>
    </w:p>
    <w:p w14:paraId="404D245F" w14:textId="6817DB37" w:rsidR="002034FE" w:rsidRPr="00CE4DF2" w:rsidRDefault="00CE4DF2" w:rsidP="000E11E0">
      <w:pPr>
        <w:rPr>
          <w:noProof/>
          <w:lang w:val="fi-FI"/>
        </w:rPr>
      </w:pPr>
      <w:r w:rsidRPr="00CE4DF2">
        <w:rPr>
          <w:noProof/>
        </w:rPr>
        <w:drawing>
          <wp:inline distT="0" distB="0" distL="0" distR="0" wp14:anchorId="638BB75D" wp14:editId="2282F45F">
            <wp:extent cx="5471581" cy="119084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93139" cy="1195539"/>
                    </a:xfrm>
                    <a:prstGeom prst="rect">
                      <a:avLst/>
                    </a:prstGeom>
                    <a:noFill/>
                    <a:ln>
                      <a:noFill/>
                    </a:ln>
                  </pic:spPr>
                </pic:pic>
              </a:graphicData>
            </a:graphic>
          </wp:inline>
        </w:drawing>
      </w:r>
    </w:p>
    <w:p w14:paraId="43DF2170" w14:textId="08BC8A24" w:rsidR="002034FE" w:rsidRPr="00CE4DF2" w:rsidRDefault="00C639C3">
      <w:pPr>
        <w:jc w:val="left"/>
        <w:rPr>
          <w:i/>
          <w:noProof/>
          <w:sz w:val="18"/>
          <w:lang w:val="fi-FI"/>
        </w:rPr>
      </w:pPr>
      <w:r w:rsidRPr="00CE4DF2">
        <w:rPr>
          <w:i/>
          <w:noProof/>
          <w:sz w:val="18"/>
          <w:lang w:val="fi-FI"/>
        </w:rPr>
        <w:t>Kaavio 2: Tukikelpoiset ja valitut ehdotukset</w:t>
      </w:r>
    </w:p>
    <w:p w14:paraId="72249798" w14:textId="51074044" w:rsidR="0027449B" w:rsidRPr="00CE4DF2" w:rsidRDefault="0083317E" w:rsidP="008728DD">
      <w:pPr>
        <w:rPr>
          <w:noProof/>
          <w:lang w:val="fi-FI"/>
        </w:rPr>
      </w:pPr>
      <w:r w:rsidRPr="00CE4DF2">
        <w:rPr>
          <w:noProof/>
          <w:lang w:val="fi-FI"/>
        </w:rPr>
        <w:t>Tähän mennessä ehdotusten hyväksymisaste</w:t>
      </w:r>
      <w:r w:rsidRPr="00CE4DF2">
        <w:rPr>
          <w:rStyle w:val="FootnoteReference"/>
          <w:noProof/>
          <w:lang w:val="fi-FI"/>
        </w:rPr>
        <w:footnoteReference w:id="4"/>
      </w:r>
      <w:r w:rsidRPr="00CE4DF2">
        <w:rPr>
          <w:noProof/>
          <w:lang w:val="fi-FI"/>
        </w:rPr>
        <w:t xml:space="preserve"> on Horisontti Eurooppa -puiteohjelmassa suurempi (15,9 %) kuin Horisontti 2020 -ohjelmassa (11,9 %). Laadukkaista ehdotuksista 71 prosenttia ei kuitenkaan saa vielä rahoitusta, mutta todennäköisesti sitä saa 10,6 prosenttia, sillä ne siirrettiin varallaololuetteloon. Jotta kaikille laadukkaille ehdotuksille olisi voitu myöntää rahoitusta, olisi tarvittu noin 34,4 miljardia euroa lisää rahaa. </w:t>
      </w:r>
    </w:p>
    <w:p w14:paraId="1F9D2A83" w14:textId="77777777" w:rsidR="0027449B" w:rsidRPr="00CE4DF2" w:rsidRDefault="0027449B" w:rsidP="008728DD">
      <w:pPr>
        <w:rPr>
          <w:noProof/>
          <w:lang w:val="fi-FI"/>
        </w:rPr>
      </w:pPr>
    </w:p>
    <w:p w14:paraId="4620421C" w14:textId="74CE0B87" w:rsidR="002034FE" w:rsidRPr="00CE4DF2" w:rsidRDefault="002034FE" w:rsidP="008728DD">
      <w:pPr>
        <w:rPr>
          <w:b/>
          <w:noProof/>
          <w:lang w:val="fi-FI"/>
        </w:rPr>
      </w:pPr>
      <w:r w:rsidRPr="00CE4DF2">
        <w:rPr>
          <w:b/>
          <w:noProof/>
          <w:lang w:val="fi-FI"/>
        </w:rPr>
        <w:t>Allekirjoitetut avustussopimukset</w:t>
      </w:r>
    </w:p>
    <w:p w14:paraId="5E950F27" w14:textId="30FA7A82" w:rsidR="002034FE" w:rsidRPr="00CE4DF2" w:rsidRDefault="002034FE" w:rsidP="00801BB4">
      <w:pPr>
        <w:rPr>
          <w:i/>
          <w:noProof/>
          <w:sz w:val="18"/>
          <w:lang w:val="fi-FI"/>
        </w:rPr>
      </w:pPr>
      <w:r w:rsidRPr="00CE4DF2">
        <w:rPr>
          <w:i/>
          <w:noProof/>
          <w:sz w:val="18"/>
          <w:lang w:val="fi-FI"/>
        </w:rPr>
        <w:t>Lähde: Horizon Dashboard 30.12.2022.</w:t>
      </w:r>
    </w:p>
    <w:p w14:paraId="177322FD" w14:textId="288551CB" w:rsidR="002034FE" w:rsidRPr="00CE4DF2" w:rsidRDefault="002034FE" w:rsidP="000E11E0">
      <w:pPr>
        <w:rPr>
          <w:noProof/>
          <w:lang w:val="fi-FI"/>
        </w:rPr>
      </w:pPr>
      <w:r w:rsidRPr="00CE4DF2">
        <w:rPr>
          <w:noProof/>
          <w:lang w:val="fi-FI"/>
        </w:rPr>
        <w:t xml:space="preserve">Ehdotusten arvioinnin jälkeen on allekirjoitettu </w:t>
      </w:r>
      <w:r w:rsidRPr="00CE4DF2">
        <w:rPr>
          <w:b/>
          <w:bCs/>
          <w:noProof/>
          <w:lang w:val="fi-FI"/>
        </w:rPr>
        <w:t>5 509 avustussopimusta</w:t>
      </w:r>
      <w:r w:rsidRPr="00CE4DF2">
        <w:rPr>
          <w:noProof/>
          <w:lang w:val="fi-FI"/>
        </w:rPr>
        <w:t xml:space="preserve">, joilla on myönnetty rahoitusta jo </w:t>
      </w:r>
      <w:r w:rsidRPr="00CE4DF2">
        <w:rPr>
          <w:b/>
          <w:bCs/>
          <w:noProof/>
          <w:lang w:val="fi-FI"/>
        </w:rPr>
        <w:t>16,3 miljardia euroa</w:t>
      </w:r>
      <w:r w:rsidRPr="00CE4DF2">
        <w:rPr>
          <w:noProof/>
          <w:lang w:val="fi-FI"/>
        </w:rPr>
        <w:t>. Monien avustusten valmistelu on kuitenkin vielä kesken, sillä rahoitettavaksi valittuja ehdotuksia on 7 108.</w:t>
      </w:r>
    </w:p>
    <w:p w14:paraId="79D630FC" w14:textId="0B0EC65E" w:rsidR="0027449B" w:rsidRPr="00CE4DF2" w:rsidRDefault="000804A7" w:rsidP="003D1EF5">
      <w:pPr>
        <w:rPr>
          <w:noProof/>
          <w:lang w:val="fi-FI"/>
        </w:rPr>
      </w:pPr>
      <w:r w:rsidRPr="00CE4DF2">
        <w:rPr>
          <w:noProof/>
          <w:lang w:val="fi-FI"/>
        </w:rPr>
        <w:t>Avustuksen keskimääräinen suuruus on 3 miljoonaa euroa eli enemmän kuin Horisontti 2020 -ohjelmasta myönnetyn avustuksen keskimääräinen suuruus (2,3 miljoonaa euroa</w:t>
      </w:r>
      <w:r w:rsidRPr="00CE4DF2">
        <w:rPr>
          <w:noProof/>
          <w:vertAlign w:val="superscript"/>
          <w:lang w:val="fi-FI"/>
        </w:rPr>
        <w:footnoteReference w:id="5"/>
      </w:r>
      <w:r w:rsidRPr="00CE4DF2">
        <w:rPr>
          <w:noProof/>
          <w:lang w:val="fi-FI"/>
        </w:rPr>
        <w:t>). Yhdelle tuensaajalle myönnettyjen avustusten (43 % avustuksista) osalta keskimääräinen EU-rahoitus on noin 1,3 miljoonaa, kun taas yhteistyöhankkeisiin myönnettyjen avustusten keskimääräinen suuruus on noin 4,2 miljoonaa euroa (57 % avustuksista). Yhteistyöhankkeisiin myönnetyissä avustuksissa on keskimäärin 12 osallistujaa.</w:t>
      </w:r>
    </w:p>
    <w:p w14:paraId="1B2F925D" w14:textId="77777777" w:rsidR="002034FE" w:rsidRPr="00CE4DF2" w:rsidRDefault="0027449B" w:rsidP="0027449B">
      <w:pPr>
        <w:rPr>
          <w:noProof/>
          <w:lang w:val="fi-FI"/>
        </w:rPr>
      </w:pPr>
      <w:r w:rsidRPr="00CE4DF2">
        <w:rPr>
          <w:noProof/>
          <w:lang w:val="fi-F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2"/>
        <w:gridCol w:w="1418"/>
        <w:gridCol w:w="1134"/>
        <w:gridCol w:w="992"/>
        <w:gridCol w:w="1418"/>
        <w:gridCol w:w="1417"/>
      </w:tblGrid>
      <w:tr w:rsidR="000E6755" w:rsidRPr="00FB2D65" w14:paraId="7893DF13" w14:textId="77777777" w:rsidTr="000E6755">
        <w:trPr>
          <w:trHeight w:val="246"/>
        </w:trPr>
        <w:tc>
          <w:tcPr>
            <w:tcW w:w="1526" w:type="dxa"/>
            <w:tcBorders>
              <w:bottom w:val="single" w:sz="4" w:space="0" w:color="auto"/>
              <w:right w:val="single" w:sz="4" w:space="0" w:color="auto"/>
            </w:tcBorders>
            <w:shd w:val="clear" w:color="000000" w:fill="4F81BD"/>
            <w:noWrap/>
            <w:vAlign w:val="center"/>
            <w:hideMark/>
          </w:tcPr>
          <w:p w14:paraId="469FEA65" w14:textId="77777777" w:rsidR="002034FE" w:rsidRPr="00CE4DF2" w:rsidRDefault="002034FE" w:rsidP="003D1EF5">
            <w:pPr>
              <w:jc w:val="center"/>
              <w:rPr>
                <w:b/>
                <w:noProof/>
                <w:color w:val="FFFFFF"/>
                <w:sz w:val="16"/>
                <w:lang w:val="fi-FI"/>
              </w:rPr>
            </w:pPr>
            <w:r w:rsidRPr="00CE4DF2">
              <w:rPr>
                <w:b/>
                <w:noProof/>
                <w:color w:val="FFFFFF"/>
                <w:sz w:val="16"/>
                <w:lang w:val="fi-FI"/>
              </w:rPr>
              <w:t>Ohjelman osa</w:t>
            </w:r>
          </w:p>
        </w:tc>
        <w:tc>
          <w:tcPr>
            <w:tcW w:w="992" w:type="dxa"/>
            <w:tcBorders>
              <w:left w:val="single" w:sz="4" w:space="0" w:color="auto"/>
              <w:bottom w:val="single" w:sz="4" w:space="0" w:color="auto"/>
              <w:right w:val="single" w:sz="4" w:space="0" w:color="auto"/>
            </w:tcBorders>
            <w:shd w:val="clear" w:color="000000" w:fill="4F81BD"/>
            <w:noWrap/>
            <w:vAlign w:val="center"/>
            <w:hideMark/>
          </w:tcPr>
          <w:p w14:paraId="7FF00F29" w14:textId="46C5499B" w:rsidR="002034FE" w:rsidRPr="00CE4DF2" w:rsidRDefault="002034FE" w:rsidP="003D1EF5">
            <w:pPr>
              <w:jc w:val="center"/>
              <w:rPr>
                <w:b/>
                <w:noProof/>
                <w:color w:val="FFFFFF"/>
                <w:sz w:val="16"/>
                <w:lang w:val="fi-FI"/>
              </w:rPr>
            </w:pPr>
            <w:r w:rsidRPr="00CE4DF2">
              <w:rPr>
                <w:b/>
                <w:noProof/>
                <w:color w:val="FFFFFF"/>
                <w:sz w:val="16"/>
                <w:lang w:val="fi-FI"/>
              </w:rPr>
              <w:t>Tuki</w:t>
            </w:r>
            <w:r w:rsidR="00893005">
              <w:rPr>
                <w:b/>
                <w:noProof/>
                <w:color w:val="FFFFFF"/>
                <w:sz w:val="16"/>
                <w:lang w:val="fi-FI"/>
              </w:rPr>
              <w:softHyphen/>
            </w:r>
            <w:r w:rsidRPr="00CE4DF2">
              <w:rPr>
                <w:b/>
                <w:noProof/>
                <w:color w:val="FFFFFF"/>
                <w:sz w:val="16"/>
                <w:lang w:val="fi-FI"/>
              </w:rPr>
              <w:t>kelpoiset ehdotukset</w:t>
            </w:r>
          </w:p>
        </w:tc>
        <w:tc>
          <w:tcPr>
            <w:tcW w:w="992" w:type="dxa"/>
            <w:tcBorders>
              <w:left w:val="single" w:sz="4" w:space="0" w:color="auto"/>
              <w:bottom w:val="single" w:sz="4" w:space="0" w:color="auto"/>
              <w:right w:val="single" w:sz="4" w:space="0" w:color="auto"/>
            </w:tcBorders>
            <w:shd w:val="clear" w:color="000000" w:fill="4F81BD"/>
            <w:noWrap/>
            <w:vAlign w:val="center"/>
            <w:hideMark/>
          </w:tcPr>
          <w:p w14:paraId="37829C5E" w14:textId="4C0E103A" w:rsidR="002034FE" w:rsidRPr="00CE4DF2" w:rsidRDefault="00891A1F" w:rsidP="003D1EF5">
            <w:pPr>
              <w:jc w:val="center"/>
              <w:rPr>
                <w:b/>
                <w:noProof/>
                <w:color w:val="FFFFFF"/>
                <w:sz w:val="16"/>
                <w:lang w:val="fi-FI"/>
              </w:rPr>
            </w:pPr>
            <w:r w:rsidRPr="00CE4DF2">
              <w:rPr>
                <w:b/>
                <w:noProof/>
                <w:color w:val="FFFFFF"/>
                <w:sz w:val="16"/>
                <w:lang w:val="fi-FI"/>
              </w:rPr>
              <w:t>Valitut ehdotukset</w:t>
            </w:r>
          </w:p>
        </w:tc>
        <w:tc>
          <w:tcPr>
            <w:tcW w:w="1418" w:type="dxa"/>
            <w:tcBorders>
              <w:left w:val="single" w:sz="4" w:space="0" w:color="auto"/>
              <w:bottom w:val="single" w:sz="4" w:space="0" w:color="auto"/>
              <w:right w:val="single" w:sz="4" w:space="0" w:color="auto"/>
            </w:tcBorders>
            <w:shd w:val="clear" w:color="000000" w:fill="4F81BD"/>
            <w:noWrap/>
            <w:vAlign w:val="center"/>
            <w:hideMark/>
          </w:tcPr>
          <w:p w14:paraId="28B5A162" w14:textId="4248E8D4" w:rsidR="002034FE" w:rsidRPr="00CE4DF2" w:rsidRDefault="002034FE" w:rsidP="003D1EF5">
            <w:pPr>
              <w:jc w:val="center"/>
              <w:rPr>
                <w:b/>
                <w:noProof/>
                <w:color w:val="FFFFFF"/>
                <w:sz w:val="16"/>
                <w:lang w:val="fi-FI"/>
              </w:rPr>
            </w:pPr>
            <w:r w:rsidRPr="00CE4DF2">
              <w:rPr>
                <w:b/>
                <w:noProof/>
                <w:color w:val="FFFFFF"/>
                <w:sz w:val="16"/>
                <w:lang w:val="fi-FI"/>
              </w:rPr>
              <w:t>Ehdotusten hyväksymisaste (prosenttiosuus tukikelpoisista ehdotuksista)</w:t>
            </w:r>
          </w:p>
        </w:tc>
        <w:tc>
          <w:tcPr>
            <w:tcW w:w="1134" w:type="dxa"/>
            <w:tcBorders>
              <w:left w:val="single" w:sz="4" w:space="0" w:color="auto"/>
              <w:bottom w:val="single" w:sz="4" w:space="0" w:color="auto"/>
              <w:right w:val="single" w:sz="4" w:space="0" w:color="auto"/>
            </w:tcBorders>
            <w:shd w:val="clear" w:color="000000" w:fill="4F81BD"/>
            <w:noWrap/>
            <w:vAlign w:val="center"/>
            <w:hideMark/>
          </w:tcPr>
          <w:p w14:paraId="372697A6" w14:textId="5199AD8A" w:rsidR="002034FE" w:rsidRPr="00CE4DF2" w:rsidRDefault="003D1EF5" w:rsidP="003D1EF5">
            <w:pPr>
              <w:jc w:val="center"/>
              <w:rPr>
                <w:b/>
                <w:noProof/>
                <w:color w:val="FFFFFF"/>
                <w:sz w:val="16"/>
                <w:lang w:val="fi-FI"/>
              </w:rPr>
            </w:pPr>
            <w:r w:rsidRPr="00CE4DF2">
              <w:rPr>
                <w:b/>
                <w:noProof/>
                <w:color w:val="FFFFFF"/>
                <w:sz w:val="16"/>
                <w:lang w:val="fi-FI"/>
              </w:rPr>
              <w:t>EU:lta haettu rahoitusosuus valituissa ehdotuksissa (miljoonaa euroa)</w:t>
            </w:r>
          </w:p>
        </w:tc>
        <w:tc>
          <w:tcPr>
            <w:tcW w:w="992" w:type="dxa"/>
            <w:tcBorders>
              <w:left w:val="single" w:sz="4" w:space="0" w:color="auto"/>
              <w:bottom w:val="single" w:sz="4" w:space="0" w:color="auto"/>
              <w:right w:val="single" w:sz="4" w:space="0" w:color="auto"/>
            </w:tcBorders>
            <w:shd w:val="clear" w:color="auto" w:fill="1F4E79" w:themeFill="accent1" w:themeFillShade="80"/>
          </w:tcPr>
          <w:p w14:paraId="07738375" w14:textId="77777777" w:rsidR="003D1EF5" w:rsidRPr="00CE4DF2" w:rsidRDefault="003D1EF5" w:rsidP="003D1EF5">
            <w:pPr>
              <w:jc w:val="center"/>
              <w:rPr>
                <w:b/>
                <w:noProof/>
                <w:color w:val="FFFFFF"/>
                <w:sz w:val="16"/>
                <w:lang w:val="fi-FI"/>
              </w:rPr>
            </w:pPr>
          </w:p>
          <w:p w14:paraId="5E947E24" w14:textId="3864A0A4" w:rsidR="002034FE" w:rsidRPr="00CE4DF2" w:rsidRDefault="002034FE" w:rsidP="003D1EF5">
            <w:pPr>
              <w:jc w:val="center"/>
              <w:rPr>
                <w:b/>
                <w:noProof/>
                <w:color w:val="FFFFFF"/>
                <w:sz w:val="16"/>
                <w:lang w:val="fi-FI"/>
              </w:rPr>
            </w:pPr>
            <w:r w:rsidRPr="00CE4DF2">
              <w:rPr>
                <w:b/>
                <w:noProof/>
                <w:color w:val="FFFFFF"/>
                <w:sz w:val="16"/>
                <w:lang w:val="fi-FI"/>
              </w:rPr>
              <w:t>Allekirjoitetut avustussopimukset</w:t>
            </w:r>
          </w:p>
        </w:tc>
        <w:tc>
          <w:tcPr>
            <w:tcW w:w="1418" w:type="dxa"/>
            <w:tcBorders>
              <w:left w:val="single" w:sz="4" w:space="0" w:color="auto"/>
              <w:bottom w:val="single" w:sz="4" w:space="0" w:color="auto"/>
            </w:tcBorders>
            <w:shd w:val="clear" w:color="auto" w:fill="1F4E79" w:themeFill="accent1" w:themeFillShade="80"/>
          </w:tcPr>
          <w:p w14:paraId="7B0EA21E" w14:textId="77777777" w:rsidR="003D1EF5" w:rsidRPr="00CE4DF2" w:rsidRDefault="003D1EF5" w:rsidP="003D1EF5">
            <w:pPr>
              <w:jc w:val="center"/>
              <w:rPr>
                <w:b/>
                <w:noProof/>
                <w:color w:val="FFFFFF"/>
                <w:sz w:val="16"/>
                <w:lang w:val="fi-FI"/>
              </w:rPr>
            </w:pPr>
          </w:p>
          <w:p w14:paraId="01B805D2" w14:textId="699E5ACF" w:rsidR="002034FE" w:rsidRPr="00CE4DF2" w:rsidRDefault="002034FE" w:rsidP="003D1EF5">
            <w:pPr>
              <w:jc w:val="center"/>
              <w:rPr>
                <w:b/>
                <w:noProof/>
                <w:color w:val="FFFFFF"/>
                <w:sz w:val="16"/>
                <w:lang w:val="fi-FI"/>
              </w:rPr>
            </w:pPr>
            <w:r w:rsidRPr="00CE4DF2">
              <w:rPr>
                <w:b/>
                <w:noProof/>
                <w:color w:val="FFFFFF"/>
                <w:sz w:val="16"/>
                <w:lang w:val="fi-FI"/>
              </w:rPr>
              <w:t>EU:n rahoitusosuus allekirjoitetuissa avustussopimuksissa (miljoonaa euroa)</w:t>
            </w:r>
          </w:p>
        </w:tc>
        <w:tc>
          <w:tcPr>
            <w:tcW w:w="1417" w:type="dxa"/>
            <w:tcBorders>
              <w:left w:val="single" w:sz="4" w:space="0" w:color="auto"/>
              <w:bottom w:val="single" w:sz="4" w:space="0" w:color="auto"/>
            </w:tcBorders>
            <w:shd w:val="clear" w:color="auto" w:fill="1F4E79" w:themeFill="accent1" w:themeFillShade="80"/>
          </w:tcPr>
          <w:p w14:paraId="58630916" w14:textId="77777777" w:rsidR="003D1EF5" w:rsidRPr="00CE4DF2" w:rsidRDefault="003D1EF5" w:rsidP="003D1EF5">
            <w:pPr>
              <w:jc w:val="center"/>
              <w:rPr>
                <w:b/>
                <w:noProof/>
                <w:color w:val="FFFFFF"/>
                <w:sz w:val="16"/>
                <w:lang w:val="fi-FI"/>
              </w:rPr>
            </w:pPr>
          </w:p>
          <w:p w14:paraId="0BC3FB7F" w14:textId="42B2B342" w:rsidR="002034FE" w:rsidRPr="00CE4DF2" w:rsidRDefault="003D1EF5" w:rsidP="003D1EF5">
            <w:pPr>
              <w:jc w:val="center"/>
              <w:rPr>
                <w:b/>
                <w:noProof/>
                <w:color w:val="FFFFFF"/>
                <w:sz w:val="16"/>
                <w:lang w:val="fi-FI"/>
              </w:rPr>
            </w:pPr>
            <w:r w:rsidRPr="00CE4DF2">
              <w:rPr>
                <w:b/>
                <w:noProof/>
                <w:color w:val="FFFFFF"/>
                <w:sz w:val="16"/>
                <w:lang w:val="fi-FI"/>
              </w:rPr>
              <w:t>Avustuksen keskimääräinen suuruus</w:t>
            </w:r>
            <w:r w:rsidRPr="00CE4DF2">
              <w:rPr>
                <w:noProof/>
                <w:lang w:val="fi-FI"/>
              </w:rPr>
              <w:t xml:space="preserve"> </w:t>
            </w:r>
            <w:r w:rsidRPr="00CE4DF2">
              <w:rPr>
                <w:noProof/>
                <w:lang w:val="fi-FI"/>
              </w:rPr>
              <w:cr/>
            </w:r>
            <w:r w:rsidRPr="00CE4DF2">
              <w:rPr>
                <w:noProof/>
                <w:lang w:val="fi-FI"/>
              </w:rPr>
              <w:br/>
            </w:r>
            <w:r w:rsidRPr="00CE4DF2">
              <w:rPr>
                <w:b/>
                <w:noProof/>
                <w:color w:val="FFFFFF"/>
                <w:sz w:val="16"/>
                <w:lang w:val="fi-FI"/>
              </w:rPr>
              <w:t>(miljoonaa euroa)</w:t>
            </w:r>
          </w:p>
        </w:tc>
      </w:tr>
      <w:tr w:rsidR="002034FE" w:rsidRPr="00CE4DF2" w14:paraId="7F671456" w14:textId="77777777" w:rsidTr="009C2C57">
        <w:trPr>
          <w:trHeight w:val="246"/>
        </w:trPr>
        <w:tc>
          <w:tcPr>
            <w:tcW w:w="9889" w:type="dxa"/>
            <w:gridSpan w:val="8"/>
            <w:tcBorders>
              <w:top w:val="single" w:sz="4" w:space="0" w:color="auto"/>
              <w:bottom w:val="single" w:sz="4" w:space="0" w:color="auto"/>
              <w:right w:val="single" w:sz="4" w:space="0" w:color="auto"/>
            </w:tcBorders>
            <w:shd w:val="clear" w:color="auto" w:fill="D9D9D9" w:themeFill="background1" w:themeFillShade="D9"/>
            <w:noWrap/>
            <w:vAlign w:val="bottom"/>
          </w:tcPr>
          <w:p w14:paraId="5BE1C59E" w14:textId="77777777" w:rsidR="002034FE" w:rsidRPr="00CE4DF2" w:rsidRDefault="002034FE" w:rsidP="009C2C57">
            <w:pPr>
              <w:spacing w:after="0"/>
              <w:rPr>
                <w:b/>
                <w:noProof/>
                <w:sz w:val="16"/>
                <w:lang w:val="fi-FI"/>
              </w:rPr>
            </w:pPr>
            <w:r w:rsidRPr="00CE4DF2">
              <w:rPr>
                <w:b/>
                <w:noProof/>
                <w:sz w:val="16"/>
                <w:lang w:val="fi-FI"/>
              </w:rPr>
              <w:t>Pilari 1 – Huipputason tiede</w:t>
            </w:r>
          </w:p>
        </w:tc>
      </w:tr>
      <w:tr w:rsidR="00893005" w:rsidRPr="00CE4DF2" w14:paraId="69819E97"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3084348F" w14:textId="6C7674F8" w:rsidR="002034FE" w:rsidRPr="00CE4DF2" w:rsidRDefault="002034FE" w:rsidP="00C41BCF">
            <w:pPr>
              <w:spacing w:after="0"/>
              <w:jc w:val="left"/>
              <w:rPr>
                <w:noProof/>
                <w:sz w:val="16"/>
                <w:lang w:val="fi-FI"/>
              </w:rPr>
            </w:pPr>
            <w:r w:rsidRPr="00CE4DF2">
              <w:rPr>
                <w:noProof/>
                <w:sz w:val="16"/>
                <w:lang w:val="fi-FI"/>
              </w:rPr>
              <w:t xml:space="preserve">Euroopan tutkimusneuvosto </w:t>
            </w:r>
          </w:p>
        </w:tc>
        <w:tc>
          <w:tcPr>
            <w:tcW w:w="992" w:type="dxa"/>
            <w:tcBorders>
              <w:top w:val="single" w:sz="4" w:space="0" w:color="auto"/>
              <w:bottom w:val="single" w:sz="4" w:space="0" w:color="auto"/>
            </w:tcBorders>
            <w:shd w:val="clear" w:color="auto" w:fill="auto"/>
            <w:noWrap/>
            <w:vAlign w:val="bottom"/>
            <w:hideMark/>
          </w:tcPr>
          <w:p w14:paraId="5AE11B9A" w14:textId="77777777" w:rsidR="002034FE" w:rsidRPr="00CE4DF2" w:rsidRDefault="002034FE" w:rsidP="009C2C57">
            <w:pPr>
              <w:spacing w:after="0"/>
              <w:jc w:val="right"/>
              <w:rPr>
                <w:noProof/>
                <w:sz w:val="16"/>
                <w:lang w:val="fi-FI"/>
              </w:rPr>
            </w:pPr>
            <w:r w:rsidRPr="00CE4DF2">
              <w:rPr>
                <w:noProof/>
                <w:sz w:val="16"/>
                <w:lang w:val="fi-FI"/>
              </w:rPr>
              <w:t>14 814</w:t>
            </w:r>
          </w:p>
        </w:tc>
        <w:tc>
          <w:tcPr>
            <w:tcW w:w="992" w:type="dxa"/>
            <w:tcBorders>
              <w:top w:val="single" w:sz="4" w:space="0" w:color="auto"/>
              <w:bottom w:val="single" w:sz="4" w:space="0" w:color="auto"/>
            </w:tcBorders>
            <w:shd w:val="clear" w:color="auto" w:fill="auto"/>
            <w:noWrap/>
            <w:vAlign w:val="bottom"/>
          </w:tcPr>
          <w:p w14:paraId="08ECD1FE" w14:textId="77777777" w:rsidR="002034FE" w:rsidRPr="00CE4DF2" w:rsidRDefault="002034FE" w:rsidP="009C2C57">
            <w:pPr>
              <w:spacing w:after="0"/>
              <w:jc w:val="right"/>
              <w:rPr>
                <w:noProof/>
                <w:sz w:val="16"/>
                <w:lang w:val="fi-FI"/>
              </w:rPr>
            </w:pPr>
            <w:r w:rsidRPr="00CE4DF2">
              <w:rPr>
                <w:noProof/>
                <w:sz w:val="16"/>
                <w:lang w:val="fi-FI"/>
              </w:rPr>
              <w:t>1 769</w:t>
            </w:r>
          </w:p>
        </w:tc>
        <w:tc>
          <w:tcPr>
            <w:tcW w:w="1418" w:type="dxa"/>
            <w:tcBorders>
              <w:top w:val="single" w:sz="4" w:space="0" w:color="auto"/>
              <w:bottom w:val="single" w:sz="4" w:space="0" w:color="auto"/>
            </w:tcBorders>
            <w:shd w:val="clear" w:color="auto" w:fill="auto"/>
            <w:noWrap/>
            <w:vAlign w:val="bottom"/>
          </w:tcPr>
          <w:p w14:paraId="0040B819" w14:textId="77777777" w:rsidR="002034FE" w:rsidRPr="00CE4DF2" w:rsidRDefault="002034FE" w:rsidP="009C2C57">
            <w:pPr>
              <w:spacing w:after="0"/>
              <w:jc w:val="right"/>
              <w:rPr>
                <w:noProof/>
                <w:sz w:val="16"/>
                <w:lang w:val="fi-FI"/>
              </w:rPr>
            </w:pPr>
            <w:r w:rsidRPr="00CE4DF2">
              <w:rPr>
                <w:noProof/>
                <w:sz w:val="16"/>
                <w:lang w:val="fi-FI"/>
              </w:rPr>
              <w:t>11,9 %</w:t>
            </w:r>
          </w:p>
        </w:tc>
        <w:tc>
          <w:tcPr>
            <w:tcW w:w="1134" w:type="dxa"/>
            <w:tcBorders>
              <w:top w:val="single" w:sz="4" w:space="0" w:color="auto"/>
              <w:left w:val="nil"/>
              <w:bottom w:val="single" w:sz="4" w:space="0" w:color="auto"/>
              <w:right w:val="single" w:sz="4" w:space="0" w:color="auto"/>
            </w:tcBorders>
            <w:shd w:val="clear" w:color="auto" w:fill="auto"/>
            <w:noWrap/>
          </w:tcPr>
          <w:p w14:paraId="4DE33ABF" w14:textId="77777777" w:rsidR="002034FE" w:rsidRPr="00CE4DF2" w:rsidRDefault="002034FE" w:rsidP="009C2C57">
            <w:pPr>
              <w:spacing w:after="0"/>
              <w:jc w:val="right"/>
              <w:rPr>
                <w:noProof/>
                <w:sz w:val="16"/>
                <w:lang w:val="fi-FI"/>
              </w:rPr>
            </w:pPr>
            <w:r w:rsidRPr="00CE4DF2">
              <w:rPr>
                <w:noProof/>
                <w:sz w:val="16"/>
                <w:lang w:val="fi-FI"/>
              </w:rPr>
              <w:t>2 906</w:t>
            </w:r>
          </w:p>
        </w:tc>
        <w:tc>
          <w:tcPr>
            <w:tcW w:w="992" w:type="dxa"/>
            <w:tcBorders>
              <w:top w:val="single" w:sz="4" w:space="0" w:color="auto"/>
              <w:left w:val="nil"/>
              <w:bottom w:val="single" w:sz="4" w:space="0" w:color="auto"/>
              <w:right w:val="single" w:sz="4" w:space="0" w:color="auto"/>
            </w:tcBorders>
          </w:tcPr>
          <w:p w14:paraId="21519CEA" w14:textId="77777777" w:rsidR="002034FE" w:rsidRPr="00CE4DF2" w:rsidRDefault="002034FE" w:rsidP="009C2C57">
            <w:pPr>
              <w:spacing w:after="0"/>
              <w:jc w:val="right"/>
              <w:rPr>
                <w:noProof/>
                <w:sz w:val="16"/>
                <w:lang w:val="fi-FI"/>
              </w:rPr>
            </w:pPr>
            <w:r w:rsidRPr="00CE4DF2">
              <w:rPr>
                <w:noProof/>
                <w:sz w:val="16"/>
                <w:lang w:val="fi-FI"/>
              </w:rPr>
              <w:t>1 398</w:t>
            </w:r>
          </w:p>
        </w:tc>
        <w:tc>
          <w:tcPr>
            <w:tcW w:w="1418" w:type="dxa"/>
            <w:tcBorders>
              <w:top w:val="single" w:sz="4" w:space="0" w:color="auto"/>
              <w:left w:val="single" w:sz="4" w:space="0" w:color="auto"/>
              <w:bottom w:val="single" w:sz="4" w:space="0" w:color="auto"/>
              <w:right w:val="single" w:sz="4" w:space="0" w:color="auto"/>
            </w:tcBorders>
          </w:tcPr>
          <w:p w14:paraId="52FD719B" w14:textId="77777777" w:rsidR="002034FE" w:rsidRPr="00CE4DF2" w:rsidRDefault="002034FE" w:rsidP="009C2C57">
            <w:pPr>
              <w:spacing w:after="0"/>
              <w:jc w:val="right"/>
              <w:rPr>
                <w:noProof/>
                <w:sz w:val="16"/>
                <w:lang w:val="fi-FI"/>
              </w:rPr>
            </w:pPr>
            <w:r w:rsidRPr="00CE4DF2">
              <w:rPr>
                <w:noProof/>
                <w:sz w:val="16"/>
                <w:lang w:val="fi-FI"/>
              </w:rPr>
              <w:t>2 271</w:t>
            </w:r>
          </w:p>
        </w:tc>
        <w:tc>
          <w:tcPr>
            <w:tcW w:w="1417" w:type="dxa"/>
            <w:tcBorders>
              <w:top w:val="single" w:sz="4" w:space="0" w:color="auto"/>
              <w:left w:val="single" w:sz="4" w:space="0" w:color="auto"/>
              <w:bottom w:val="single" w:sz="4" w:space="0" w:color="auto"/>
              <w:right w:val="single" w:sz="4" w:space="0" w:color="auto"/>
            </w:tcBorders>
          </w:tcPr>
          <w:p w14:paraId="5FFC34C7" w14:textId="77777777" w:rsidR="002034FE" w:rsidRPr="00CE4DF2" w:rsidRDefault="002034FE" w:rsidP="009C2C57">
            <w:pPr>
              <w:spacing w:after="0"/>
              <w:jc w:val="right"/>
              <w:rPr>
                <w:noProof/>
                <w:sz w:val="16"/>
                <w:lang w:val="fi-FI"/>
              </w:rPr>
            </w:pPr>
            <w:r w:rsidRPr="00CE4DF2">
              <w:rPr>
                <w:noProof/>
                <w:sz w:val="16"/>
                <w:lang w:val="fi-FI"/>
              </w:rPr>
              <w:t>1,6</w:t>
            </w:r>
          </w:p>
        </w:tc>
      </w:tr>
      <w:tr w:rsidR="00893005" w:rsidRPr="00CE4DF2" w14:paraId="05A1240A"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2CAE0111" w14:textId="379BD448" w:rsidR="002034FE" w:rsidRPr="00CE4DF2" w:rsidRDefault="002034FE" w:rsidP="00C41BCF">
            <w:pPr>
              <w:spacing w:after="0"/>
              <w:jc w:val="left"/>
              <w:rPr>
                <w:noProof/>
                <w:sz w:val="16"/>
                <w:lang w:val="fi-FI"/>
              </w:rPr>
            </w:pPr>
            <w:r w:rsidRPr="00CE4DF2">
              <w:rPr>
                <w:noProof/>
                <w:sz w:val="16"/>
                <w:lang w:val="fi-FI"/>
              </w:rPr>
              <w:t xml:space="preserve">Marie Skłodowska-Curie -toimet </w:t>
            </w:r>
          </w:p>
        </w:tc>
        <w:tc>
          <w:tcPr>
            <w:tcW w:w="992" w:type="dxa"/>
            <w:tcBorders>
              <w:top w:val="single" w:sz="4" w:space="0" w:color="auto"/>
              <w:bottom w:val="single" w:sz="4" w:space="0" w:color="auto"/>
            </w:tcBorders>
            <w:shd w:val="clear" w:color="auto" w:fill="auto"/>
            <w:noWrap/>
            <w:vAlign w:val="bottom"/>
          </w:tcPr>
          <w:p w14:paraId="2A6BA678" w14:textId="77777777" w:rsidR="002034FE" w:rsidRPr="00CE4DF2" w:rsidRDefault="002034FE" w:rsidP="009C2C57">
            <w:pPr>
              <w:spacing w:after="0"/>
              <w:jc w:val="right"/>
              <w:rPr>
                <w:noProof/>
                <w:sz w:val="16"/>
                <w:lang w:val="fi-FI"/>
              </w:rPr>
            </w:pPr>
            <w:r w:rsidRPr="00CE4DF2">
              <w:rPr>
                <w:noProof/>
                <w:sz w:val="16"/>
                <w:lang w:val="fi-FI"/>
              </w:rPr>
              <w:t>16 672</w:t>
            </w:r>
          </w:p>
        </w:tc>
        <w:tc>
          <w:tcPr>
            <w:tcW w:w="992" w:type="dxa"/>
            <w:tcBorders>
              <w:top w:val="single" w:sz="4" w:space="0" w:color="auto"/>
              <w:bottom w:val="single" w:sz="4" w:space="0" w:color="auto"/>
            </w:tcBorders>
            <w:shd w:val="clear" w:color="auto" w:fill="auto"/>
            <w:noWrap/>
            <w:vAlign w:val="bottom"/>
          </w:tcPr>
          <w:p w14:paraId="7EDE1365" w14:textId="77777777" w:rsidR="002034FE" w:rsidRPr="00CE4DF2" w:rsidRDefault="002034FE" w:rsidP="009C2C57">
            <w:pPr>
              <w:spacing w:after="0"/>
              <w:jc w:val="right"/>
              <w:rPr>
                <w:noProof/>
                <w:sz w:val="16"/>
                <w:lang w:val="fi-FI"/>
              </w:rPr>
            </w:pPr>
            <w:r w:rsidRPr="00CE4DF2">
              <w:rPr>
                <w:noProof/>
                <w:sz w:val="16"/>
                <w:lang w:val="fi-FI"/>
              </w:rPr>
              <w:t>2 692</w:t>
            </w:r>
          </w:p>
        </w:tc>
        <w:tc>
          <w:tcPr>
            <w:tcW w:w="1418" w:type="dxa"/>
            <w:tcBorders>
              <w:top w:val="single" w:sz="4" w:space="0" w:color="auto"/>
              <w:bottom w:val="single" w:sz="4" w:space="0" w:color="auto"/>
            </w:tcBorders>
            <w:shd w:val="clear" w:color="auto" w:fill="auto"/>
            <w:noWrap/>
            <w:vAlign w:val="bottom"/>
          </w:tcPr>
          <w:p w14:paraId="289B06AC" w14:textId="77777777" w:rsidR="002034FE" w:rsidRPr="00CE4DF2" w:rsidRDefault="002034FE" w:rsidP="009C2C57">
            <w:pPr>
              <w:spacing w:after="0"/>
              <w:jc w:val="right"/>
              <w:rPr>
                <w:noProof/>
                <w:sz w:val="16"/>
                <w:lang w:val="fi-FI"/>
              </w:rPr>
            </w:pPr>
            <w:r w:rsidRPr="00CE4DF2">
              <w:rPr>
                <w:noProof/>
                <w:sz w:val="16"/>
                <w:lang w:val="fi-FI"/>
              </w:rPr>
              <w:t>16,1 %</w:t>
            </w:r>
          </w:p>
        </w:tc>
        <w:tc>
          <w:tcPr>
            <w:tcW w:w="1134" w:type="dxa"/>
            <w:tcBorders>
              <w:top w:val="single" w:sz="4" w:space="0" w:color="auto"/>
              <w:left w:val="nil"/>
              <w:bottom w:val="single" w:sz="4" w:space="0" w:color="auto"/>
              <w:right w:val="single" w:sz="4" w:space="0" w:color="auto"/>
            </w:tcBorders>
            <w:shd w:val="clear" w:color="auto" w:fill="auto"/>
            <w:noWrap/>
          </w:tcPr>
          <w:p w14:paraId="5E5BCD6C" w14:textId="77777777" w:rsidR="002034FE" w:rsidRPr="00CE4DF2" w:rsidRDefault="002034FE" w:rsidP="009C2C57">
            <w:pPr>
              <w:spacing w:after="0"/>
              <w:jc w:val="right"/>
              <w:rPr>
                <w:noProof/>
                <w:sz w:val="16"/>
                <w:lang w:val="fi-FI"/>
              </w:rPr>
            </w:pPr>
            <w:r w:rsidRPr="00CE4DF2">
              <w:rPr>
                <w:noProof/>
                <w:sz w:val="16"/>
                <w:lang w:val="fi-FI"/>
              </w:rPr>
              <w:t>1 093</w:t>
            </w:r>
          </w:p>
        </w:tc>
        <w:tc>
          <w:tcPr>
            <w:tcW w:w="992" w:type="dxa"/>
            <w:tcBorders>
              <w:top w:val="single" w:sz="4" w:space="0" w:color="auto"/>
              <w:left w:val="nil"/>
              <w:bottom w:val="single" w:sz="4" w:space="0" w:color="auto"/>
              <w:right w:val="single" w:sz="4" w:space="0" w:color="auto"/>
            </w:tcBorders>
          </w:tcPr>
          <w:p w14:paraId="02E49961" w14:textId="77777777" w:rsidR="002034FE" w:rsidRPr="00CE4DF2" w:rsidRDefault="002034FE" w:rsidP="009C2C57">
            <w:pPr>
              <w:spacing w:after="0"/>
              <w:jc w:val="right"/>
              <w:rPr>
                <w:noProof/>
                <w:sz w:val="16"/>
                <w:lang w:val="fi-FI"/>
              </w:rPr>
            </w:pPr>
            <w:r w:rsidRPr="00CE4DF2">
              <w:rPr>
                <w:noProof/>
                <w:sz w:val="16"/>
                <w:lang w:val="fi-FI"/>
              </w:rPr>
              <w:t>1 532</w:t>
            </w:r>
          </w:p>
        </w:tc>
        <w:tc>
          <w:tcPr>
            <w:tcW w:w="1418" w:type="dxa"/>
            <w:tcBorders>
              <w:top w:val="single" w:sz="4" w:space="0" w:color="auto"/>
              <w:left w:val="single" w:sz="4" w:space="0" w:color="auto"/>
              <w:bottom w:val="single" w:sz="4" w:space="0" w:color="auto"/>
              <w:right w:val="single" w:sz="4" w:space="0" w:color="auto"/>
            </w:tcBorders>
          </w:tcPr>
          <w:p w14:paraId="16DCDC5B" w14:textId="77777777" w:rsidR="002034FE" w:rsidRPr="00CE4DF2" w:rsidRDefault="002034FE" w:rsidP="009C2C57">
            <w:pPr>
              <w:spacing w:after="0"/>
              <w:jc w:val="right"/>
              <w:rPr>
                <w:noProof/>
                <w:sz w:val="16"/>
                <w:lang w:val="fi-FI"/>
              </w:rPr>
            </w:pPr>
            <w:r w:rsidRPr="00CE4DF2">
              <w:rPr>
                <w:noProof/>
                <w:sz w:val="16"/>
                <w:lang w:val="fi-FI"/>
              </w:rPr>
              <w:t>859</w:t>
            </w:r>
          </w:p>
        </w:tc>
        <w:tc>
          <w:tcPr>
            <w:tcW w:w="1417" w:type="dxa"/>
            <w:tcBorders>
              <w:top w:val="single" w:sz="4" w:space="0" w:color="auto"/>
              <w:left w:val="single" w:sz="4" w:space="0" w:color="auto"/>
              <w:bottom w:val="single" w:sz="4" w:space="0" w:color="auto"/>
              <w:right w:val="single" w:sz="4" w:space="0" w:color="auto"/>
            </w:tcBorders>
          </w:tcPr>
          <w:p w14:paraId="31FE58CB" w14:textId="77777777" w:rsidR="002034FE" w:rsidRPr="00CE4DF2" w:rsidRDefault="002034FE" w:rsidP="009C2C57">
            <w:pPr>
              <w:spacing w:after="0"/>
              <w:jc w:val="right"/>
              <w:rPr>
                <w:noProof/>
                <w:sz w:val="16"/>
                <w:lang w:val="fi-FI"/>
              </w:rPr>
            </w:pPr>
            <w:r w:rsidRPr="00CE4DF2">
              <w:rPr>
                <w:noProof/>
                <w:sz w:val="16"/>
                <w:lang w:val="fi-FI"/>
              </w:rPr>
              <w:t>0,6</w:t>
            </w:r>
          </w:p>
        </w:tc>
      </w:tr>
      <w:tr w:rsidR="00893005" w:rsidRPr="00CE4DF2" w14:paraId="229518CE"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11F04144" w14:textId="19A59015" w:rsidR="002034FE" w:rsidRPr="00CE4DF2" w:rsidRDefault="002034FE" w:rsidP="00891A1F">
            <w:pPr>
              <w:spacing w:after="0"/>
              <w:jc w:val="left"/>
              <w:rPr>
                <w:noProof/>
                <w:sz w:val="16"/>
                <w:lang w:val="fi-FI"/>
              </w:rPr>
            </w:pPr>
            <w:r w:rsidRPr="00CE4DF2">
              <w:rPr>
                <w:noProof/>
                <w:sz w:val="16"/>
                <w:lang w:val="fi-FI"/>
              </w:rPr>
              <w:t>Tutkimus</w:t>
            </w:r>
            <w:r w:rsidR="00893005">
              <w:rPr>
                <w:noProof/>
                <w:sz w:val="16"/>
                <w:lang w:val="fi-FI"/>
              </w:rPr>
              <w:softHyphen/>
            </w:r>
            <w:r w:rsidRPr="00CE4DF2">
              <w:rPr>
                <w:noProof/>
                <w:sz w:val="16"/>
                <w:lang w:val="fi-FI"/>
              </w:rPr>
              <w:t>infrastruktuurit</w:t>
            </w:r>
          </w:p>
        </w:tc>
        <w:tc>
          <w:tcPr>
            <w:tcW w:w="992" w:type="dxa"/>
            <w:tcBorders>
              <w:top w:val="single" w:sz="4" w:space="0" w:color="auto"/>
              <w:bottom w:val="single" w:sz="4" w:space="0" w:color="auto"/>
            </w:tcBorders>
            <w:shd w:val="clear" w:color="auto" w:fill="auto"/>
            <w:noWrap/>
            <w:vAlign w:val="bottom"/>
          </w:tcPr>
          <w:p w14:paraId="490498EE" w14:textId="77777777" w:rsidR="002034FE" w:rsidRPr="00CE4DF2" w:rsidRDefault="002034FE" w:rsidP="009C2C57">
            <w:pPr>
              <w:spacing w:after="0"/>
              <w:jc w:val="right"/>
              <w:rPr>
                <w:noProof/>
                <w:sz w:val="16"/>
                <w:lang w:val="fi-FI"/>
              </w:rPr>
            </w:pPr>
            <w:r w:rsidRPr="00CE4DF2">
              <w:rPr>
                <w:noProof/>
                <w:sz w:val="16"/>
                <w:lang w:val="fi-FI"/>
              </w:rPr>
              <w:t>139</w:t>
            </w:r>
          </w:p>
        </w:tc>
        <w:tc>
          <w:tcPr>
            <w:tcW w:w="992" w:type="dxa"/>
            <w:tcBorders>
              <w:top w:val="single" w:sz="4" w:space="0" w:color="auto"/>
              <w:bottom w:val="single" w:sz="4" w:space="0" w:color="auto"/>
            </w:tcBorders>
            <w:shd w:val="clear" w:color="auto" w:fill="auto"/>
            <w:noWrap/>
            <w:vAlign w:val="bottom"/>
          </w:tcPr>
          <w:p w14:paraId="506BCA63" w14:textId="77777777" w:rsidR="002034FE" w:rsidRPr="00CE4DF2" w:rsidRDefault="002034FE" w:rsidP="009C2C57">
            <w:pPr>
              <w:spacing w:after="0"/>
              <w:jc w:val="right"/>
              <w:rPr>
                <w:noProof/>
                <w:sz w:val="16"/>
                <w:lang w:val="fi-FI"/>
              </w:rPr>
            </w:pPr>
            <w:r w:rsidRPr="00CE4DF2">
              <w:rPr>
                <w:noProof/>
                <w:sz w:val="16"/>
                <w:lang w:val="fi-FI"/>
              </w:rPr>
              <w:t>74</w:t>
            </w:r>
          </w:p>
        </w:tc>
        <w:tc>
          <w:tcPr>
            <w:tcW w:w="1418" w:type="dxa"/>
            <w:tcBorders>
              <w:top w:val="single" w:sz="4" w:space="0" w:color="auto"/>
              <w:bottom w:val="single" w:sz="4" w:space="0" w:color="auto"/>
            </w:tcBorders>
            <w:shd w:val="clear" w:color="auto" w:fill="auto"/>
            <w:noWrap/>
            <w:vAlign w:val="bottom"/>
          </w:tcPr>
          <w:p w14:paraId="52400F55" w14:textId="77777777" w:rsidR="002034FE" w:rsidRPr="00CE4DF2" w:rsidRDefault="002034FE" w:rsidP="009C2C57">
            <w:pPr>
              <w:spacing w:after="0"/>
              <w:jc w:val="right"/>
              <w:rPr>
                <w:noProof/>
                <w:sz w:val="16"/>
                <w:lang w:val="fi-FI"/>
              </w:rPr>
            </w:pPr>
            <w:r w:rsidRPr="00CE4DF2">
              <w:rPr>
                <w:noProof/>
                <w:sz w:val="16"/>
                <w:lang w:val="fi-FI"/>
              </w:rPr>
              <w:t>53,2 %</w:t>
            </w:r>
          </w:p>
        </w:tc>
        <w:tc>
          <w:tcPr>
            <w:tcW w:w="1134" w:type="dxa"/>
            <w:tcBorders>
              <w:top w:val="single" w:sz="4" w:space="0" w:color="auto"/>
              <w:left w:val="nil"/>
              <w:bottom w:val="single" w:sz="4" w:space="0" w:color="auto"/>
              <w:right w:val="single" w:sz="4" w:space="0" w:color="auto"/>
            </w:tcBorders>
            <w:shd w:val="clear" w:color="auto" w:fill="auto"/>
            <w:noWrap/>
          </w:tcPr>
          <w:p w14:paraId="7E9901C6" w14:textId="77777777" w:rsidR="002034FE" w:rsidRPr="00CE4DF2" w:rsidRDefault="002034FE" w:rsidP="009C2C57">
            <w:pPr>
              <w:spacing w:after="0"/>
              <w:jc w:val="right"/>
              <w:rPr>
                <w:noProof/>
                <w:sz w:val="16"/>
                <w:lang w:val="fi-FI"/>
              </w:rPr>
            </w:pPr>
            <w:r w:rsidRPr="00CE4DF2">
              <w:rPr>
                <w:noProof/>
                <w:sz w:val="16"/>
                <w:lang w:val="fi-FI"/>
              </w:rPr>
              <w:t>512</w:t>
            </w:r>
          </w:p>
        </w:tc>
        <w:tc>
          <w:tcPr>
            <w:tcW w:w="992" w:type="dxa"/>
            <w:tcBorders>
              <w:top w:val="single" w:sz="4" w:space="0" w:color="auto"/>
              <w:left w:val="nil"/>
              <w:bottom w:val="single" w:sz="4" w:space="0" w:color="auto"/>
              <w:right w:val="single" w:sz="4" w:space="0" w:color="auto"/>
            </w:tcBorders>
          </w:tcPr>
          <w:p w14:paraId="4EE5F739" w14:textId="77777777" w:rsidR="002034FE" w:rsidRPr="00CE4DF2" w:rsidRDefault="002034FE" w:rsidP="009C2C57">
            <w:pPr>
              <w:spacing w:after="0"/>
              <w:jc w:val="right"/>
              <w:rPr>
                <w:noProof/>
                <w:sz w:val="16"/>
                <w:lang w:val="fi-FI"/>
              </w:rPr>
            </w:pPr>
            <w:r w:rsidRPr="00CE4DF2">
              <w:rPr>
                <w:noProof/>
                <w:sz w:val="16"/>
                <w:lang w:val="fi-FI"/>
              </w:rPr>
              <w:t>73</w:t>
            </w:r>
          </w:p>
        </w:tc>
        <w:tc>
          <w:tcPr>
            <w:tcW w:w="1418" w:type="dxa"/>
            <w:tcBorders>
              <w:top w:val="single" w:sz="4" w:space="0" w:color="auto"/>
              <w:left w:val="single" w:sz="4" w:space="0" w:color="auto"/>
              <w:bottom w:val="single" w:sz="4" w:space="0" w:color="auto"/>
              <w:right w:val="single" w:sz="4" w:space="0" w:color="auto"/>
            </w:tcBorders>
          </w:tcPr>
          <w:p w14:paraId="674A2DEE" w14:textId="77777777" w:rsidR="002034FE" w:rsidRPr="00CE4DF2" w:rsidRDefault="002034FE" w:rsidP="009C2C57">
            <w:pPr>
              <w:spacing w:after="0"/>
              <w:jc w:val="right"/>
              <w:rPr>
                <w:noProof/>
                <w:sz w:val="16"/>
                <w:lang w:val="fi-FI"/>
              </w:rPr>
            </w:pPr>
            <w:r w:rsidRPr="00CE4DF2">
              <w:rPr>
                <w:noProof/>
                <w:sz w:val="16"/>
                <w:lang w:val="fi-FI"/>
              </w:rPr>
              <w:t>506</w:t>
            </w:r>
          </w:p>
        </w:tc>
        <w:tc>
          <w:tcPr>
            <w:tcW w:w="1417" w:type="dxa"/>
            <w:tcBorders>
              <w:top w:val="single" w:sz="4" w:space="0" w:color="auto"/>
              <w:left w:val="single" w:sz="4" w:space="0" w:color="auto"/>
              <w:bottom w:val="single" w:sz="4" w:space="0" w:color="auto"/>
              <w:right w:val="single" w:sz="4" w:space="0" w:color="auto"/>
            </w:tcBorders>
          </w:tcPr>
          <w:p w14:paraId="23D0F6B4" w14:textId="77777777" w:rsidR="002034FE" w:rsidRPr="00CE4DF2" w:rsidRDefault="002034FE" w:rsidP="009C2C57">
            <w:pPr>
              <w:spacing w:after="0"/>
              <w:jc w:val="right"/>
              <w:rPr>
                <w:noProof/>
                <w:sz w:val="16"/>
                <w:lang w:val="fi-FI"/>
              </w:rPr>
            </w:pPr>
            <w:r w:rsidRPr="00CE4DF2">
              <w:rPr>
                <w:noProof/>
                <w:sz w:val="16"/>
                <w:lang w:val="fi-FI"/>
              </w:rPr>
              <w:t>6,9</w:t>
            </w:r>
          </w:p>
        </w:tc>
      </w:tr>
      <w:tr w:rsidR="002034FE" w:rsidRPr="00FB2D65" w14:paraId="16AAEAD8" w14:textId="77777777" w:rsidTr="009C2C57">
        <w:trPr>
          <w:trHeight w:val="246"/>
        </w:trPr>
        <w:tc>
          <w:tcPr>
            <w:tcW w:w="9889" w:type="dxa"/>
            <w:gridSpan w:val="8"/>
            <w:tcBorders>
              <w:top w:val="single" w:sz="4" w:space="0" w:color="auto"/>
              <w:bottom w:val="single" w:sz="4" w:space="0" w:color="auto"/>
              <w:right w:val="single" w:sz="4" w:space="0" w:color="auto"/>
            </w:tcBorders>
            <w:shd w:val="clear" w:color="auto" w:fill="D9D9D9" w:themeFill="background1" w:themeFillShade="D9"/>
            <w:noWrap/>
            <w:vAlign w:val="bottom"/>
          </w:tcPr>
          <w:p w14:paraId="4CE56044" w14:textId="77777777" w:rsidR="002034FE" w:rsidRPr="00CE4DF2" w:rsidRDefault="002034FE" w:rsidP="00891A1F">
            <w:pPr>
              <w:spacing w:after="0"/>
              <w:jc w:val="left"/>
              <w:rPr>
                <w:b/>
                <w:noProof/>
                <w:sz w:val="16"/>
                <w:lang w:val="fi-FI"/>
              </w:rPr>
            </w:pPr>
            <w:r w:rsidRPr="00CE4DF2">
              <w:rPr>
                <w:b/>
                <w:noProof/>
                <w:sz w:val="16"/>
                <w:lang w:val="fi-FI"/>
              </w:rPr>
              <w:t>Pilari II – Maailmanlaajuiset haasteet ja Euroopan teollisuuden kilpailukyky</w:t>
            </w:r>
          </w:p>
        </w:tc>
      </w:tr>
      <w:tr w:rsidR="00893005" w:rsidRPr="00CE4DF2" w14:paraId="397D9473"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360027A7" w14:textId="58676A24" w:rsidR="002034FE" w:rsidRPr="00CE4DF2" w:rsidRDefault="002034FE" w:rsidP="008A7F48">
            <w:pPr>
              <w:spacing w:after="0"/>
              <w:jc w:val="left"/>
              <w:rPr>
                <w:noProof/>
                <w:sz w:val="16"/>
                <w:lang w:val="fi-FI"/>
              </w:rPr>
            </w:pPr>
            <w:r w:rsidRPr="00CE4DF2">
              <w:rPr>
                <w:noProof/>
                <w:sz w:val="16"/>
                <w:lang w:val="fi-FI"/>
              </w:rPr>
              <w:t>Klusteri 1</w:t>
            </w:r>
          </w:p>
        </w:tc>
        <w:tc>
          <w:tcPr>
            <w:tcW w:w="992" w:type="dxa"/>
            <w:tcBorders>
              <w:top w:val="single" w:sz="4" w:space="0" w:color="auto"/>
              <w:bottom w:val="single" w:sz="4" w:space="0" w:color="auto"/>
            </w:tcBorders>
            <w:shd w:val="clear" w:color="auto" w:fill="auto"/>
            <w:noWrap/>
            <w:vAlign w:val="bottom"/>
          </w:tcPr>
          <w:p w14:paraId="3EFDFA93" w14:textId="77777777" w:rsidR="002034FE" w:rsidRPr="00CE4DF2" w:rsidRDefault="002034FE" w:rsidP="009C2C57">
            <w:pPr>
              <w:spacing w:after="0"/>
              <w:jc w:val="right"/>
              <w:rPr>
                <w:noProof/>
                <w:sz w:val="16"/>
                <w:lang w:val="fi-FI"/>
              </w:rPr>
            </w:pPr>
            <w:r w:rsidRPr="00CE4DF2">
              <w:rPr>
                <w:noProof/>
                <w:sz w:val="16"/>
                <w:lang w:val="fi-FI"/>
              </w:rPr>
              <w:t>1 307</w:t>
            </w:r>
          </w:p>
        </w:tc>
        <w:tc>
          <w:tcPr>
            <w:tcW w:w="992" w:type="dxa"/>
            <w:tcBorders>
              <w:top w:val="single" w:sz="4" w:space="0" w:color="auto"/>
              <w:bottom w:val="single" w:sz="4" w:space="0" w:color="auto"/>
            </w:tcBorders>
            <w:shd w:val="clear" w:color="auto" w:fill="auto"/>
            <w:noWrap/>
            <w:vAlign w:val="bottom"/>
          </w:tcPr>
          <w:p w14:paraId="3082A921" w14:textId="77777777" w:rsidR="002034FE" w:rsidRPr="00CE4DF2" w:rsidRDefault="002034FE" w:rsidP="009C2C57">
            <w:pPr>
              <w:spacing w:after="0"/>
              <w:jc w:val="right"/>
              <w:rPr>
                <w:noProof/>
                <w:sz w:val="16"/>
                <w:lang w:val="fi-FI"/>
              </w:rPr>
            </w:pPr>
            <w:r w:rsidRPr="00CE4DF2">
              <w:rPr>
                <w:noProof/>
                <w:sz w:val="16"/>
                <w:lang w:val="fi-FI"/>
              </w:rPr>
              <w:t>288</w:t>
            </w:r>
          </w:p>
        </w:tc>
        <w:tc>
          <w:tcPr>
            <w:tcW w:w="1418" w:type="dxa"/>
            <w:tcBorders>
              <w:top w:val="single" w:sz="4" w:space="0" w:color="auto"/>
              <w:bottom w:val="single" w:sz="4" w:space="0" w:color="auto"/>
            </w:tcBorders>
            <w:shd w:val="clear" w:color="auto" w:fill="auto"/>
            <w:noWrap/>
            <w:vAlign w:val="bottom"/>
          </w:tcPr>
          <w:p w14:paraId="1F9F14A8" w14:textId="77777777" w:rsidR="002034FE" w:rsidRPr="00CE4DF2" w:rsidRDefault="002034FE" w:rsidP="009C2C57">
            <w:pPr>
              <w:spacing w:after="0"/>
              <w:jc w:val="right"/>
              <w:rPr>
                <w:noProof/>
                <w:sz w:val="16"/>
                <w:lang w:val="fi-FI"/>
              </w:rPr>
            </w:pPr>
            <w:r w:rsidRPr="00CE4DF2">
              <w:rPr>
                <w:noProof/>
                <w:sz w:val="16"/>
                <w:lang w:val="fi-FI"/>
              </w:rPr>
              <w:t>22,0 %</w:t>
            </w:r>
          </w:p>
        </w:tc>
        <w:tc>
          <w:tcPr>
            <w:tcW w:w="1134" w:type="dxa"/>
            <w:tcBorders>
              <w:top w:val="single" w:sz="4" w:space="0" w:color="auto"/>
              <w:left w:val="nil"/>
              <w:bottom w:val="single" w:sz="4" w:space="0" w:color="auto"/>
              <w:right w:val="single" w:sz="4" w:space="0" w:color="auto"/>
            </w:tcBorders>
            <w:shd w:val="clear" w:color="auto" w:fill="auto"/>
            <w:noWrap/>
          </w:tcPr>
          <w:p w14:paraId="34E83751" w14:textId="77777777" w:rsidR="002034FE" w:rsidRPr="00CE4DF2" w:rsidRDefault="002034FE" w:rsidP="009C2C57">
            <w:pPr>
              <w:spacing w:after="0"/>
              <w:jc w:val="right"/>
              <w:rPr>
                <w:noProof/>
                <w:sz w:val="16"/>
                <w:lang w:val="fi-FI"/>
              </w:rPr>
            </w:pPr>
            <w:r w:rsidRPr="00CE4DF2">
              <w:rPr>
                <w:noProof/>
                <w:sz w:val="16"/>
                <w:lang w:val="fi-FI"/>
              </w:rPr>
              <w:t>2 291</w:t>
            </w:r>
          </w:p>
        </w:tc>
        <w:tc>
          <w:tcPr>
            <w:tcW w:w="992" w:type="dxa"/>
            <w:tcBorders>
              <w:top w:val="single" w:sz="4" w:space="0" w:color="auto"/>
              <w:left w:val="nil"/>
              <w:bottom w:val="single" w:sz="4" w:space="0" w:color="auto"/>
              <w:right w:val="single" w:sz="4" w:space="0" w:color="auto"/>
            </w:tcBorders>
          </w:tcPr>
          <w:p w14:paraId="4B9EE070" w14:textId="77777777" w:rsidR="002034FE" w:rsidRPr="00CE4DF2" w:rsidRDefault="002034FE" w:rsidP="009C2C57">
            <w:pPr>
              <w:spacing w:after="0"/>
              <w:jc w:val="right"/>
              <w:rPr>
                <w:noProof/>
                <w:sz w:val="16"/>
                <w:lang w:val="fi-FI"/>
              </w:rPr>
            </w:pPr>
            <w:r w:rsidRPr="00CE4DF2">
              <w:rPr>
                <w:noProof/>
                <w:sz w:val="16"/>
                <w:lang w:val="fi-FI"/>
              </w:rPr>
              <w:t>187</w:t>
            </w:r>
          </w:p>
        </w:tc>
        <w:tc>
          <w:tcPr>
            <w:tcW w:w="1418" w:type="dxa"/>
            <w:tcBorders>
              <w:top w:val="single" w:sz="4" w:space="0" w:color="auto"/>
              <w:left w:val="single" w:sz="4" w:space="0" w:color="auto"/>
              <w:bottom w:val="single" w:sz="4" w:space="0" w:color="auto"/>
              <w:right w:val="single" w:sz="4" w:space="0" w:color="auto"/>
            </w:tcBorders>
          </w:tcPr>
          <w:p w14:paraId="29150381" w14:textId="77777777" w:rsidR="002034FE" w:rsidRPr="00CE4DF2" w:rsidRDefault="002034FE" w:rsidP="009C2C57">
            <w:pPr>
              <w:spacing w:after="0"/>
              <w:jc w:val="right"/>
              <w:rPr>
                <w:noProof/>
                <w:sz w:val="16"/>
                <w:lang w:val="fi-FI"/>
              </w:rPr>
            </w:pPr>
            <w:r w:rsidRPr="00CE4DF2">
              <w:rPr>
                <w:noProof/>
                <w:sz w:val="16"/>
                <w:lang w:val="fi-FI"/>
              </w:rPr>
              <w:t>1 575</w:t>
            </w:r>
          </w:p>
        </w:tc>
        <w:tc>
          <w:tcPr>
            <w:tcW w:w="1417" w:type="dxa"/>
            <w:tcBorders>
              <w:top w:val="single" w:sz="4" w:space="0" w:color="auto"/>
              <w:left w:val="single" w:sz="4" w:space="0" w:color="auto"/>
              <w:bottom w:val="single" w:sz="4" w:space="0" w:color="auto"/>
              <w:right w:val="single" w:sz="4" w:space="0" w:color="auto"/>
            </w:tcBorders>
          </w:tcPr>
          <w:p w14:paraId="26342509" w14:textId="77777777" w:rsidR="002034FE" w:rsidRPr="00CE4DF2" w:rsidRDefault="002034FE" w:rsidP="009C2C57">
            <w:pPr>
              <w:spacing w:after="0"/>
              <w:jc w:val="right"/>
              <w:rPr>
                <w:noProof/>
                <w:sz w:val="16"/>
                <w:lang w:val="fi-FI"/>
              </w:rPr>
            </w:pPr>
            <w:r w:rsidRPr="00CE4DF2">
              <w:rPr>
                <w:noProof/>
                <w:sz w:val="16"/>
                <w:lang w:val="fi-FI"/>
              </w:rPr>
              <w:t>8,4</w:t>
            </w:r>
          </w:p>
        </w:tc>
      </w:tr>
      <w:tr w:rsidR="00893005" w:rsidRPr="00CE4DF2" w14:paraId="7EEEB5AB" w14:textId="77777777" w:rsidTr="000E6755">
        <w:trPr>
          <w:trHeight w:val="348"/>
        </w:trPr>
        <w:tc>
          <w:tcPr>
            <w:tcW w:w="1526" w:type="dxa"/>
            <w:tcBorders>
              <w:top w:val="single" w:sz="4" w:space="0" w:color="auto"/>
              <w:bottom w:val="single" w:sz="4" w:space="0" w:color="auto"/>
            </w:tcBorders>
            <w:shd w:val="clear" w:color="auto" w:fill="auto"/>
            <w:noWrap/>
            <w:vAlign w:val="bottom"/>
            <w:hideMark/>
          </w:tcPr>
          <w:p w14:paraId="21B4D2E0" w14:textId="0266D718" w:rsidR="002034FE" w:rsidRPr="00CE4DF2" w:rsidRDefault="002034FE" w:rsidP="008A7F48">
            <w:pPr>
              <w:spacing w:after="0"/>
              <w:jc w:val="left"/>
              <w:rPr>
                <w:noProof/>
                <w:sz w:val="16"/>
                <w:lang w:val="fi-FI"/>
              </w:rPr>
            </w:pPr>
            <w:r w:rsidRPr="00CE4DF2">
              <w:rPr>
                <w:noProof/>
                <w:sz w:val="16"/>
                <w:lang w:val="fi-FI"/>
              </w:rPr>
              <w:t>Klusteri 2</w:t>
            </w:r>
          </w:p>
        </w:tc>
        <w:tc>
          <w:tcPr>
            <w:tcW w:w="992" w:type="dxa"/>
            <w:tcBorders>
              <w:top w:val="single" w:sz="4" w:space="0" w:color="auto"/>
              <w:bottom w:val="single" w:sz="4" w:space="0" w:color="auto"/>
            </w:tcBorders>
            <w:shd w:val="clear" w:color="auto" w:fill="auto"/>
            <w:noWrap/>
            <w:vAlign w:val="bottom"/>
          </w:tcPr>
          <w:p w14:paraId="310A9FB6" w14:textId="77777777" w:rsidR="002034FE" w:rsidRPr="00CE4DF2" w:rsidRDefault="002034FE" w:rsidP="009C2C57">
            <w:pPr>
              <w:spacing w:after="0"/>
              <w:jc w:val="right"/>
              <w:rPr>
                <w:noProof/>
                <w:sz w:val="16"/>
                <w:lang w:val="fi-FI"/>
              </w:rPr>
            </w:pPr>
            <w:r w:rsidRPr="00CE4DF2">
              <w:rPr>
                <w:noProof/>
                <w:sz w:val="16"/>
                <w:lang w:val="fi-FI"/>
              </w:rPr>
              <w:t>1 120</w:t>
            </w:r>
          </w:p>
        </w:tc>
        <w:tc>
          <w:tcPr>
            <w:tcW w:w="992" w:type="dxa"/>
            <w:tcBorders>
              <w:top w:val="single" w:sz="4" w:space="0" w:color="auto"/>
              <w:bottom w:val="single" w:sz="4" w:space="0" w:color="auto"/>
            </w:tcBorders>
            <w:shd w:val="clear" w:color="auto" w:fill="auto"/>
            <w:noWrap/>
            <w:vAlign w:val="bottom"/>
          </w:tcPr>
          <w:p w14:paraId="7F9DD5C4" w14:textId="77777777" w:rsidR="002034FE" w:rsidRPr="00CE4DF2" w:rsidRDefault="002034FE" w:rsidP="009C2C57">
            <w:pPr>
              <w:spacing w:after="0"/>
              <w:jc w:val="right"/>
              <w:rPr>
                <w:noProof/>
                <w:sz w:val="16"/>
                <w:lang w:val="fi-FI"/>
              </w:rPr>
            </w:pPr>
            <w:r w:rsidRPr="00CE4DF2">
              <w:rPr>
                <w:noProof/>
                <w:sz w:val="16"/>
                <w:lang w:val="fi-FI"/>
              </w:rPr>
              <w:t>144</w:t>
            </w:r>
          </w:p>
        </w:tc>
        <w:tc>
          <w:tcPr>
            <w:tcW w:w="1418" w:type="dxa"/>
            <w:tcBorders>
              <w:top w:val="single" w:sz="4" w:space="0" w:color="auto"/>
              <w:bottom w:val="single" w:sz="4" w:space="0" w:color="auto"/>
            </w:tcBorders>
            <w:shd w:val="clear" w:color="auto" w:fill="auto"/>
            <w:noWrap/>
            <w:vAlign w:val="bottom"/>
          </w:tcPr>
          <w:p w14:paraId="651EB96F" w14:textId="77777777" w:rsidR="002034FE" w:rsidRPr="00CE4DF2" w:rsidRDefault="002034FE" w:rsidP="009C2C57">
            <w:pPr>
              <w:spacing w:after="0"/>
              <w:jc w:val="right"/>
              <w:rPr>
                <w:noProof/>
                <w:sz w:val="16"/>
                <w:lang w:val="fi-FI"/>
              </w:rPr>
            </w:pPr>
            <w:r w:rsidRPr="00CE4DF2">
              <w:rPr>
                <w:noProof/>
                <w:sz w:val="16"/>
                <w:lang w:val="fi-FI"/>
              </w:rPr>
              <w:t>12,9 %</w:t>
            </w:r>
          </w:p>
        </w:tc>
        <w:tc>
          <w:tcPr>
            <w:tcW w:w="1134" w:type="dxa"/>
            <w:tcBorders>
              <w:top w:val="single" w:sz="4" w:space="0" w:color="auto"/>
              <w:left w:val="nil"/>
              <w:bottom w:val="single" w:sz="4" w:space="0" w:color="auto"/>
              <w:right w:val="single" w:sz="4" w:space="0" w:color="auto"/>
            </w:tcBorders>
            <w:shd w:val="clear" w:color="auto" w:fill="auto"/>
            <w:noWrap/>
          </w:tcPr>
          <w:p w14:paraId="66BCD3A1" w14:textId="77777777" w:rsidR="002034FE" w:rsidRPr="00CE4DF2" w:rsidRDefault="002034FE" w:rsidP="009C2C57">
            <w:pPr>
              <w:spacing w:after="0"/>
              <w:jc w:val="right"/>
              <w:rPr>
                <w:noProof/>
                <w:sz w:val="16"/>
                <w:lang w:val="fi-FI"/>
              </w:rPr>
            </w:pPr>
            <w:r w:rsidRPr="00CE4DF2">
              <w:rPr>
                <w:noProof/>
                <w:sz w:val="16"/>
                <w:lang w:val="fi-FI"/>
              </w:rPr>
              <w:t>444</w:t>
            </w:r>
          </w:p>
        </w:tc>
        <w:tc>
          <w:tcPr>
            <w:tcW w:w="992" w:type="dxa"/>
            <w:tcBorders>
              <w:top w:val="single" w:sz="4" w:space="0" w:color="auto"/>
              <w:left w:val="nil"/>
              <w:bottom w:val="single" w:sz="4" w:space="0" w:color="auto"/>
              <w:right w:val="single" w:sz="4" w:space="0" w:color="auto"/>
            </w:tcBorders>
          </w:tcPr>
          <w:p w14:paraId="750FAE70" w14:textId="77777777" w:rsidR="002034FE" w:rsidRPr="00CE4DF2" w:rsidRDefault="002034FE" w:rsidP="009C2C57">
            <w:pPr>
              <w:spacing w:after="0"/>
              <w:jc w:val="right"/>
              <w:rPr>
                <w:noProof/>
                <w:sz w:val="16"/>
                <w:lang w:val="fi-FI"/>
              </w:rPr>
            </w:pPr>
            <w:r w:rsidRPr="00CE4DF2">
              <w:rPr>
                <w:noProof/>
                <w:sz w:val="16"/>
                <w:lang w:val="fi-FI"/>
              </w:rPr>
              <w:t>139</w:t>
            </w:r>
          </w:p>
        </w:tc>
        <w:tc>
          <w:tcPr>
            <w:tcW w:w="1418" w:type="dxa"/>
            <w:tcBorders>
              <w:top w:val="single" w:sz="4" w:space="0" w:color="auto"/>
              <w:left w:val="single" w:sz="4" w:space="0" w:color="auto"/>
              <w:bottom w:val="single" w:sz="4" w:space="0" w:color="auto"/>
              <w:right w:val="single" w:sz="4" w:space="0" w:color="auto"/>
            </w:tcBorders>
          </w:tcPr>
          <w:p w14:paraId="75A3EE8D" w14:textId="77777777" w:rsidR="002034FE" w:rsidRPr="00CE4DF2" w:rsidRDefault="002034FE" w:rsidP="009C2C57">
            <w:pPr>
              <w:spacing w:after="0"/>
              <w:jc w:val="right"/>
              <w:rPr>
                <w:noProof/>
                <w:sz w:val="16"/>
                <w:lang w:val="fi-FI"/>
              </w:rPr>
            </w:pPr>
            <w:r w:rsidRPr="00CE4DF2">
              <w:rPr>
                <w:noProof/>
                <w:sz w:val="16"/>
                <w:lang w:val="fi-FI"/>
              </w:rPr>
              <w:t>405</w:t>
            </w:r>
          </w:p>
        </w:tc>
        <w:tc>
          <w:tcPr>
            <w:tcW w:w="1417" w:type="dxa"/>
            <w:tcBorders>
              <w:top w:val="single" w:sz="4" w:space="0" w:color="auto"/>
              <w:left w:val="single" w:sz="4" w:space="0" w:color="auto"/>
              <w:bottom w:val="single" w:sz="4" w:space="0" w:color="auto"/>
              <w:right w:val="single" w:sz="4" w:space="0" w:color="auto"/>
            </w:tcBorders>
          </w:tcPr>
          <w:p w14:paraId="2D039EC5" w14:textId="77777777" w:rsidR="002034FE" w:rsidRPr="00CE4DF2" w:rsidRDefault="002034FE" w:rsidP="009C2C57">
            <w:pPr>
              <w:spacing w:after="0"/>
              <w:jc w:val="right"/>
              <w:rPr>
                <w:noProof/>
                <w:sz w:val="16"/>
                <w:lang w:val="fi-FI"/>
              </w:rPr>
            </w:pPr>
            <w:r w:rsidRPr="00CE4DF2">
              <w:rPr>
                <w:noProof/>
                <w:sz w:val="16"/>
                <w:lang w:val="fi-FI"/>
              </w:rPr>
              <w:t>2,9</w:t>
            </w:r>
          </w:p>
        </w:tc>
      </w:tr>
      <w:tr w:rsidR="00893005" w:rsidRPr="00CE4DF2" w14:paraId="3514BC9F"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26BC539D" w14:textId="11DD0DBA" w:rsidR="002034FE" w:rsidRPr="00CE4DF2" w:rsidRDefault="002034FE" w:rsidP="008A7F48">
            <w:pPr>
              <w:spacing w:after="0"/>
              <w:jc w:val="left"/>
              <w:rPr>
                <w:noProof/>
                <w:sz w:val="16"/>
                <w:lang w:val="fi-FI"/>
              </w:rPr>
            </w:pPr>
            <w:r w:rsidRPr="00CE4DF2">
              <w:rPr>
                <w:noProof/>
                <w:sz w:val="16"/>
                <w:lang w:val="fi-FI"/>
              </w:rPr>
              <w:t xml:space="preserve">Klusteri 3 </w:t>
            </w:r>
          </w:p>
        </w:tc>
        <w:tc>
          <w:tcPr>
            <w:tcW w:w="992" w:type="dxa"/>
            <w:tcBorders>
              <w:top w:val="single" w:sz="4" w:space="0" w:color="auto"/>
              <w:bottom w:val="single" w:sz="4" w:space="0" w:color="auto"/>
            </w:tcBorders>
            <w:shd w:val="clear" w:color="auto" w:fill="auto"/>
            <w:noWrap/>
            <w:vAlign w:val="bottom"/>
          </w:tcPr>
          <w:p w14:paraId="21E0767E" w14:textId="77777777" w:rsidR="002034FE" w:rsidRPr="00CE4DF2" w:rsidRDefault="002034FE" w:rsidP="009C2C57">
            <w:pPr>
              <w:spacing w:after="0"/>
              <w:jc w:val="right"/>
              <w:rPr>
                <w:noProof/>
                <w:sz w:val="16"/>
                <w:lang w:val="fi-FI"/>
              </w:rPr>
            </w:pPr>
            <w:r w:rsidRPr="00CE4DF2">
              <w:rPr>
                <w:noProof/>
                <w:sz w:val="16"/>
                <w:lang w:val="fi-FI"/>
              </w:rPr>
              <w:t>313</w:t>
            </w:r>
          </w:p>
        </w:tc>
        <w:tc>
          <w:tcPr>
            <w:tcW w:w="992" w:type="dxa"/>
            <w:tcBorders>
              <w:top w:val="single" w:sz="4" w:space="0" w:color="auto"/>
              <w:bottom w:val="single" w:sz="4" w:space="0" w:color="auto"/>
            </w:tcBorders>
            <w:shd w:val="clear" w:color="auto" w:fill="auto"/>
            <w:noWrap/>
            <w:vAlign w:val="bottom"/>
          </w:tcPr>
          <w:p w14:paraId="3B2E8C0D" w14:textId="77777777" w:rsidR="002034FE" w:rsidRPr="00CE4DF2" w:rsidRDefault="002034FE" w:rsidP="009C2C57">
            <w:pPr>
              <w:spacing w:after="0"/>
              <w:jc w:val="right"/>
              <w:rPr>
                <w:noProof/>
                <w:sz w:val="16"/>
                <w:lang w:val="fi-FI"/>
              </w:rPr>
            </w:pPr>
            <w:r w:rsidRPr="00CE4DF2">
              <w:rPr>
                <w:noProof/>
                <w:sz w:val="16"/>
                <w:lang w:val="fi-FI"/>
              </w:rPr>
              <w:t>51</w:t>
            </w:r>
          </w:p>
        </w:tc>
        <w:tc>
          <w:tcPr>
            <w:tcW w:w="1418" w:type="dxa"/>
            <w:tcBorders>
              <w:top w:val="single" w:sz="4" w:space="0" w:color="auto"/>
              <w:bottom w:val="single" w:sz="4" w:space="0" w:color="auto"/>
            </w:tcBorders>
            <w:shd w:val="clear" w:color="auto" w:fill="auto"/>
            <w:noWrap/>
            <w:vAlign w:val="bottom"/>
          </w:tcPr>
          <w:p w14:paraId="03BFA51E" w14:textId="77777777" w:rsidR="002034FE" w:rsidRPr="00CE4DF2" w:rsidRDefault="002034FE" w:rsidP="009C2C57">
            <w:pPr>
              <w:spacing w:after="0"/>
              <w:jc w:val="right"/>
              <w:rPr>
                <w:noProof/>
                <w:sz w:val="16"/>
                <w:lang w:val="fi-FI"/>
              </w:rPr>
            </w:pPr>
            <w:r w:rsidRPr="00CE4DF2">
              <w:rPr>
                <w:noProof/>
                <w:sz w:val="16"/>
                <w:lang w:val="fi-FI"/>
              </w:rPr>
              <w:t>16,3 %</w:t>
            </w:r>
          </w:p>
        </w:tc>
        <w:tc>
          <w:tcPr>
            <w:tcW w:w="1134" w:type="dxa"/>
            <w:tcBorders>
              <w:top w:val="single" w:sz="4" w:space="0" w:color="auto"/>
              <w:left w:val="nil"/>
              <w:bottom w:val="single" w:sz="4" w:space="0" w:color="auto"/>
              <w:right w:val="single" w:sz="4" w:space="0" w:color="auto"/>
            </w:tcBorders>
            <w:shd w:val="clear" w:color="auto" w:fill="auto"/>
            <w:noWrap/>
          </w:tcPr>
          <w:p w14:paraId="6A2E33EE" w14:textId="77777777" w:rsidR="002034FE" w:rsidRPr="00CE4DF2" w:rsidRDefault="002034FE" w:rsidP="009C2C57">
            <w:pPr>
              <w:spacing w:after="0"/>
              <w:jc w:val="right"/>
              <w:rPr>
                <w:noProof/>
                <w:sz w:val="16"/>
                <w:lang w:val="fi-FI"/>
              </w:rPr>
            </w:pPr>
            <w:r w:rsidRPr="00CE4DF2">
              <w:rPr>
                <w:noProof/>
                <w:sz w:val="16"/>
                <w:lang w:val="fi-FI"/>
              </w:rPr>
              <w:t>229</w:t>
            </w:r>
          </w:p>
        </w:tc>
        <w:tc>
          <w:tcPr>
            <w:tcW w:w="992" w:type="dxa"/>
            <w:tcBorders>
              <w:top w:val="single" w:sz="4" w:space="0" w:color="auto"/>
              <w:left w:val="nil"/>
              <w:bottom w:val="single" w:sz="4" w:space="0" w:color="auto"/>
              <w:right w:val="single" w:sz="4" w:space="0" w:color="auto"/>
            </w:tcBorders>
          </w:tcPr>
          <w:p w14:paraId="098B2EF8" w14:textId="77777777" w:rsidR="002034FE" w:rsidRPr="00CE4DF2" w:rsidRDefault="002034FE" w:rsidP="009C2C57">
            <w:pPr>
              <w:spacing w:after="0"/>
              <w:jc w:val="right"/>
              <w:rPr>
                <w:noProof/>
                <w:sz w:val="16"/>
                <w:lang w:val="fi-FI"/>
              </w:rPr>
            </w:pPr>
            <w:r w:rsidRPr="00CE4DF2">
              <w:rPr>
                <w:noProof/>
                <w:sz w:val="16"/>
                <w:lang w:val="fi-FI"/>
              </w:rPr>
              <w:t>54</w:t>
            </w:r>
          </w:p>
        </w:tc>
        <w:tc>
          <w:tcPr>
            <w:tcW w:w="1418" w:type="dxa"/>
            <w:tcBorders>
              <w:top w:val="single" w:sz="4" w:space="0" w:color="auto"/>
              <w:left w:val="single" w:sz="4" w:space="0" w:color="auto"/>
              <w:bottom w:val="single" w:sz="4" w:space="0" w:color="auto"/>
              <w:right w:val="single" w:sz="4" w:space="0" w:color="auto"/>
            </w:tcBorders>
          </w:tcPr>
          <w:p w14:paraId="3B959D16" w14:textId="77777777" w:rsidR="002034FE" w:rsidRPr="00CE4DF2" w:rsidRDefault="002034FE" w:rsidP="009C2C57">
            <w:pPr>
              <w:spacing w:after="0"/>
              <w:jc w:val="right"/>
              <w:rPr>
                <w:noProof/>
                <w:sz w:val="16"/>
                <w:lang w:val="fi-FI"/>
              </w:rPr>
            </w:pPr>
            <w:r w:rsidRPr="00CE4DF2">
              <w:rPr>
                <w:noProof/>
                <w:sz w:val="16"/>
                <w:lang w:val="fi-FI"/>
              </w:rPr>
              <w:t>229</w:t>
            </w:r>
          </w:p>
        </w:tc>
        <w:tc>
          <w:tcPr>
            <w:tcW w:w="1417" w:type="dxa"/>
            <w:tcBorders>
              <w:top w:val="single" w:sz="4" w:space="0" w:color="auto"/>
              <w:left w:val="single" w:sz="4" w:space="0" w:color="auto"/>
              <w:bottom w:val="single" w:sz="4" w:space="0" w:color="auto"/>
              <w:right w:val="single" w:sz="4" w:space="0" w:color="auto"/>
            </w:tcBorders>
          </w:tcPr>
          <w:p w14:paraId="75B82949" w14:textId="77777777" w:rsidR="002034FE" w:rsidRPr="00CE4DF2" w:rsidRDefault="002034FE" w:rsidP="009C2C57">
            <w:pPr>
              <w:spacing w:after="0"/>
              <w:jc w:val="right"/>
              <w:rPr>
                <w:noProof/>
                <w:sz w:val="16"/>
                <w:lang w:val="fi-FI"/>
              </w:rPr>
            </w:pPr>
            <w:r w:rsidRPr="00CE4DF2">
              <w:rPr>
                <w:noProof/>
                <w:sz w:val="16"/>
                <w:lang w:val="fi-FI"/>
              </w:rPr>
              <w:t>4,2</w:t>
            </w:r>
          </w:p>
        </w:tc>
      </w:tr>
      <w:tr w:rsidR="00893005" w:rsidRPr="00CE4DF2" w14:paraId="2C6C7535"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7794F733" w14:textId="5DA3DBA0" w:rsidR="002034FE" w:rsidRPr="00CE4DF2" w:rsidRDefault="002034FE" w:rsidP="008A7F48">
            <w:pPr>
              <w:spacing w:after="0"/>
              <w:jc w:val="left"/>
              <w:rPr>
                <w:noProof/>
                <w:sz w:val="16"/>
                <w:lang w:val="fi-FI"/>
              </w:rPr>
            </w:pPr>
            <w:r w:rsidRPr="00CE4DF2">
              <w:rPr>
                <w:noProof/>
                <w:sz w:val="16"/>
                <w:lang w:val="fi-FI"/>
              </w:rPr>
              <w:t xml:space="preserve">Klusteri 4 </w:t>
            </w:r>
          </w:p>
        </w:tc>
        <w:tc>
          <w:tcPr>
            <w:tcW w:w="992" w:type="dxa"/>
            <w:tcBorders>
              <w:top w:val="single" w:sz="4" w:space="0" w:color="auto"/>
              <w:bottom w:val="single" w:sz="4" w:space="0" w:color="auto"/>
            </w:tcBorders>
            <w:shd w:val="clear" w:color="auto" w:fill="auto"/>
            <w:noWrap/>
            <w:vAlign w:val="bottom"/>
          </w:tcPr>
          <w:p w14:paraId="28DC5EC2" w14:textId="77777777" w:rsidR="002034FE" w:rsidRPr="00CE4DF2" w:rsidRDefault="002034FE" w:rsidP="009C2C57">
            <w:pPr>
              <w:spacing w:after="0"/>
              <w:jc w:val="right"/>
              <w:rPr>
                <w:noProof/>
                <w:sz w:val="16"/>
                <w:lang w:val="fi-FI"/>
              </w:rPr>
            </w:pPr>
            <w:r w:rsidRPr="00CE4DF2">
              <w:rPr>
                <w:noProof/>
                <w:sz w:val="16"/>
                <w:lang w:val="fi-FI"/>
              </w:rPr>
              <w:t>2 736</w:t>
            </w:r>
          </w:p>
        </w:tc>
        <w:tc>
          <w:tcPr>
            <w:tcW w:w="992" w:type="dxa"/>
            <w:tcBorders>
              <w:top w:val="single" w:sz="4" w:space="0" w:color="auto"/>
              <w:bottom w:val="single" w:sz="4" w:space="0" w:color="auto"/>
            </w:tcBorders>
            <w:shd w:val="clear" w:color="auto" w:fill="auto"/>
            <w:noWrap/>
            <w:vAlign w:val="bottom"/>
          </w:tcPr>
          <w:p w14:paraId="292BFC70" w14:textId="77777777" w:rsidR="002034FE" w:rsidRPr="00CE4DF2" w:rsidRDefault="002034FE" w:rsidP="009C2C57">
            <w:pPr>
              <w:spacing w:after="0"/>
              <w:jc w:val="right"/>
              <w:rPr>
                <w:noProof/>
                <w:sz w:val="16"/>
                <w:lang w:val="fi-FI"/>
              </w:rPr>
            </w:pPr>
            <w:r w:rsidRPr="00CE4DF2">
              <w:rPr>
                <w:noProof/>
                <w:sz w:val="16"/>
                <w:lang w:val="fi-FI"/>
              </w:rPr>
              <w:t>564</w:t>
            </w:r>
          </w:p>
        </w:tc>
        <w:tc>
          <w:tcPr>
            <w:tcW w:w="1418" w:type="dxa"/>
            <w:tcBorders>
              <w:top w:val="single" w:sz="4" w:space="0" w:color="auto"/>
              <w:bottom w:val="single" w:sz="4" w:space="0" w:color="auto"/>
            </w:tcBorders>
            <w:shd w:val="clear" w:color="auto" w:fill="auto"/>
            <w:noWrap/>
            <w:vAlign w:val="bottom"/>
          </w:tcPr>
          <w:p w14:paraId="178024DD" w14:textId="77777777" w:rsidR="002034FE" w:rsidRPr="00CE4DF2" w:rsidRDefault="002034FE" w:rsidP="009C2C57">
            <w:pPr>
              <w:spacing w:after="0"/>
              <w:jc w:val="right"/>
              <w:rPr>
                <w:noProof/>
                <w:sz w:val="16"/>
                <w:lang w:val="fi-FI"/>
              </w:rPr>
            </w:pPr>
            <w:r w:rsidRPr="00CE4DF2">
              <w:rPr>
                <w:noProof/>
                <w:sz w:val="16"/>
                <w:lang w:val="fi-FI"/>
              </w:rPr>
              <w:t>20,6 %</w:t>
            </w:r>
          </w:p>
        </w:tc>
        <w:tc>
          <w:tcPr>
            <w:tcW w:w="1134" w:type="dxa"/>
            <w:tcBorders>
              <w:top w:val="single" w:sz="4" w:space="0" w:color="auto"/>
              <w:left w:val="nil"/>
              <w:bottom w:val="single" w:sz="4" w:space="0" w:color="auto"/>
              <w:right w:val="single" w:sz="4" w:space="0" w:color="auto"/>
            </w:tcBorders>
            <w:shd w:val="clear" w:color="auto" w:fill="auto"/>
            <w:noWrap/>
          </w:tcPr>
          <w:p w14:paraId="2A12F366" w14:textId="77777777" w:rsidR="002034FE" w:rsidRPr="00CE4DF2" w:rsidRDefault="002034FE" w:rsidP="009C2C57">
            <w:pPr>
              <w:spacing w:after="0"/>
              <w:jc w:val="right"/>
              <w:rPr>
                <w:noProof/>
                <w:sz w:val="16"/>
                <w:lang w:val="fi-FI"/>
              </w:rPr>
            </w:pPr>
            <w:r w:rsidRPr="00CE4DF2">
              <w:rPr>
                <w:noProof/>
                <w:sz w:val="16"/>
                <w:lang w:val="fi-FI"/>
              </w:rPr>
              <w:t>3 606</w:t>
            </w:r>
          </w:p>
        </w:tc>
        <w:tc>
          <w:tcPr>
            <w:tcW w:w="992" w:type="dxa"/>
            <w:tcBorders>
              <w:top w:val="single" w:sz="4" w:space="0" w:color="auto"/>
              <w:left w:val="nil"/>
              <w:bottom w:val="single" w:sz="4" w:space="0" w:color="auto"/>
              <w:right w:val="single" w:sz="4" w:space="0" w:color="auto"/>
            </w:tcBorders>
          </w:tcPr>
          <w:p w14:paraId="341063FA" w14:textId="77777777" w:rsidR="002034FE" w:rsidRPr="00CE4DF2" w:rsidRDefault="002034FE" w:rsidP="009C2C57">
            <w:pPr>
              <w:spacing w:after="0"/>
              <w:jc w:val="right"/>
              <w:rPr>
                <w:noProof/>
                <w:sz w:val="16"/>
                <w:lang w:val="fi-FI"/>
              </w:rPr>
            </w:pPr>
            <w:r w:rsidRPr="00CE4DF2">
              <w:rPr>
                <w:noProof/>
                <w:sz w:val="16"/>
                <w:lang w:val="fi-FI"/>
              </w:rPr>
              <w:t>556</w:t>
            </w:r>
          </w:p>
        </w:tc>
        <w:tc>
          <w:tcPr>
            <w:tcW w:w="1418" w:type="dxa"/>
            <w:tcBorders>
              <w:top w:val="single" w:sz="4" w:space="0" w:color="auto"/>
              <w:left w:val="single" w:sz="4" w:space="0" w:color="auto"/>
              <w:bottom w:val="single" w:sz="4" w:space="0" w:color="auto"/>
              <w:right w:val="single" w:sz="4" w:space="0" w:color="auto"/>
            </w:tcBorders>
          </w:tcPr>
          <w:p w14:paraId="73D83214" w14:textId="77777777" w:rsidR="002034FE" w:rsidRPr="00CE4DF2" w:rsidRDefault="002034FE" w:rsidP="009C2C57">
            <w:pPr>
              <w:spacing w:after="0"/>
              <w:jc w:val="right"/>
              <w:rPr>
                <w:noProof/>
                <w:sz w:val="16"/>
                <w:lang w:val="fi-FI"/>
              </w:rPr>
            </w:pPr>
            <w:r w:rsidRPr="00CE4DF2">
              <w:rPr>
                <w:noProof/>
                <w:sz w:val="16"/>
                <w:lang w:val="fi-FI"/>
              </w:rPr>
              <w:t>3 290</w:t>
            </w:r>
          </w:p>
        </w:tc>
        <w:tc>
          <w:tcPr>
            <w:tcW w:w="1417" w:type="dxa"/>
            <w:tcBorders>
              <w:top w:val="single" w:sz="4" w:space="0" w:color="auto"/>
              <w:left w:val="single" w:sz="4" w:space="0" w:color="auto"/>
              <w:bottom w:val="single" w:sz="4" w:space="0" w:color="auto"/>
              <w:right w:val="single" w:sz="4" w:space="0" w:color="auto"/>
            </w:tcBorders>
          </w:tcPr>
          <w:p w14:paraId="48061550" w14:textId="77777777" w:rsidR="002034FE" w:rsidRPr="00CE4DF2" w:rsidRDefault="002034FE" w:rsidP="009C2C57">
            <w:pPr>
              <w:spacing w:after="0"/>
              <w:jc w:val="right"/>
              <w:rPr>
                <w:noProof/>
                <w:sz w:val="16"/>
                <w:lang w:val="fi-FI"/>
              </w:rPr>
            </w:pPr>
            <w:r w:rsidRPr="00CE4DF2">
              <w:rPr>
                <w:noProof/>
                <w:sz w:val="16"/>
                <w:lang w:val="fi-FI"/>
              </w:rPr>
              <w:t>5,9</w:t>
            </w:r>
          </w:p>
        </w:tc>
      </w:tr>
      <w:tr w:rsidR="00893005" w:rsidRPr="00CE4DF2" w14:paraId="3E8A475B" w14:textId="77777777" w:rsidTr="000E6755">
        <w:trPr>
          <w:trHeight w:val="448"/>
        </w:trPr>
        <w:tc>
          <w:tcPr>
            <w:tcW w:w="1526" w:type="dxa"/>
            <w:tcBorders>
              <w:top w:val="single" w:sz="4" w:space="0" w:color="auto"/>
              <w:bottom w:val="single" w:sz="4" w:space="0" w:color="auto"/>
            </w:tcBorders>
            <w:shd w:val="clear" w:color="auto" w:fill="auto"/>
            <w:noWrap/>
            <w:vAlign w:val="bottom"/>
            <w:hideMark/>
          </w:tcPr>
          <w:p w14:paraId="57D92F3F" w14:textId="53511993" w:rsidR="002034FE" w:rsidRPr="00CE4DF2" w:rsidRDefault="002034FE" w:rsidP="008A7F48">
            <w:pPr>
              <w:spacing w:after="0"/>
              <w:jc w:val="left"/>
              <w:rPr>
                <w:noProof/>
                <w:sz w:val="16"/>
                <w:lang w:val="fi-FI"/>
              </w:rPr>
            </w:pPr>
            <w:r w:rsidRPr="00CE4DF2">
              <w:rPr>
                <w:noProof/>
                <w:sz w:val="16"/>
                <w:lang w:val="fi-FI"/>
              </w:rPr>
              <w:t xml:space="preserve">Klusteri 5 </w:t>
            </w:r>
          </w:p>
        </w:tc>
        <w:tc>
          <w:tcPr>
            <w:tcW w:w="992" w:type="dxa"/>
            <w:tcBorders>
              <w:top w:val="single" w:sz="4" w:space="0" w:color="auto"/>
              <w:bottom w:val="single" w:sz="4" w:space="0" w:color="auto"/>
            </w:tcBorders>
            <w:shd w:val="clear" w:color="auto" w:fill="auto"/>
            <w:noWrap/>
            <w:vAlign w:val="bottom"/>
          </w:tcPr>
          <w:p w14:paraId="41F6582E" w14:textId="77777777" w:rsidR="002034FE" w:rsidRPr="00CE4DF2" w:rsidRDefault="002034FE" w:rsidP="009C2C57">
            <w:pPr>
              <w:spacing w:after="0"/>
              <w:jc w:val="right"/>
              <w:rPr>
                <w:noProof/>
                <w:sz w:val="16"/>
                <w:lang w:val="fi-FI"/>
              </w:rPr>
            </w:pPr>
            <w:r w:rsidRPr="00CE4DF2">
              <w:rPr>
                <w:noProof/>
                <w:sz w:val="16"/>
                <w:lang w:val="fi-FI"/>
              </w:rPr>
              <w:t>2 121</w:t>
            </w:r>
          </w:p>
        </w:tc>
        <w:tc>
          <w:tcPr>
            <w:tcW w:w="992" w:type="dxa"/>
            <w:tcBorders>
              <w:top w:val="single" w:sz="4" w:space="0" w:color="auto"/>
              <w:bottom w:val="single" w:sz="4" w:space="0" w:color="auto"/>
            </w:tcBorders>
            <w:shd w:val="clear" w:color="auto" w:fill="auto"/>
            <w:noWrap/>
            <w:vAlign w:val="bottom"/>
          </w:tcPr>
          <w:p w14:paraId="22A1C3D0" w14:textId="77777777" w:rsidR="002034FE" w:rsidRPr="00CE4DF2" w:rsidRDefault="002034FE" w:rsidP="009C2C57">
            <w:pPr>
              <w:spacing w:after="0"/>
              <w:jc w:val="right"/>
              <w:rPr>
                <w:noProof/>
                <w:sz w:val="16"/>
                <w:lang w:val="fi-FI"/>
              </w:rPr>
            </w:pPr>
            <w:r w:rsidRPr="00CE4DF2">
              <w:rPr>
                <w:noProof/>
                <w:sz w:val="16"/>
                <w:lang w:val="fi-FI"/>
              </w:rPr>
              <w:t>511</w:t>
            </w:r>
          </w:p>
        </w:tc>
        <w:tc>
          <w:tcPr>
            <w:tcW w:w="1418" w:type="dxa"/>
            <w:tcBorders>
              <w:top w:val="single" w:sz="4" w:space="0" w:color="auto"/>
              <w:bottom w:val="single" w:sz="4" w:space="0" w:color="auto"/>
            </w:tcBorders>
            <w:shd w:val="clear" w:color="auto" w:fill="auto"/>
            <w:noWrap/>
            <w:vAlign w:val="bottom"/>
          </w:tcPr>
          <w:p w14:paraId="32E1DA01" w14:textId="77777777" w:rsidR="002034FE" w:rsidRPr="00CE4DF2" w:rsidRDefault="002034FE" w:rsidP="009C2C57">
            <w:pPr>
              <w:spacing w:after="0"/>
              <w:jc w:val="right"/>
              <w:rPr>
                <w:noProof/>
                <w:sz w:val="16"/>
                <w:lang w:val="fi-FI"/>
              </w:rPr>
            </w:pPr>
            <w:r w:rsidRPr="00CE4DF2">
              <w:rPr>
                <w:noProof/>
                <w:sz w:val="16"/>
                <w:lang w:val="fi-FI"/>
              </w:rPr>
              <w:t>24,1 %</w:t>
            </w:r>
          </w:p>
        </w:tc>
        <w:tc>
          <w:tcPr>
            <w:tcW w:w="1134" w:type="dxa"/>
            <w:tcBorders>
              <w:top w:val="single" w:sz="4" w:space="0" w:color="auto"/>
              <w:left w:val="nil"/>
              <w:bottom w:val="single" w:sz="4" w:space="0" w:color="auto"/>
              <w:right w:val="single" w:sz="4" w:space="0" w:color="auto"/>
            </w:tcBorders>
            <w:shd w:val="clear" w:color="auto" w:fill="auto"/>
            <w:noWrap/>
          </w:tcPr>
          <w:p w14:paraId="1D75313B" w14:textId="77777777" w:rsidR="002034FE" w:rsidRPr="00CE4DF2" w:rsidRDefault="002034FE" w:rsidP="009C2C57">
            <w:pPr>
              <w:spacing w:after="0"/>
              <w:jc w:val="right"/>
              <w:rPr>
                <w:noProof/>
                <w:sz w:val="16"/>
                <w:lang w:val="fi-FI"/>
              </w:rPr>
            </w:pPr>
            <w:r w:rsidRPr="00CE4DF2">
              <w:rPr>
                <w:noProof/>
                <w:sz w:val="16"/>
                <w:lang w:val="fi-FI"/>
              </w:rPr>
              <w:t>4 434</w:t>
            </w:r>
          </w:p>
        </w:tc>
        <w:tc>
          <w:tcPr>
            <w:tcW w:w="992" w:type="dxa"/>
            <w:tcBorders>
              <w:top w:val="single" w:sz="4" w:space="0" w:color="auto"/>
              <w:left w:val="nil"/>
              <w:bottom w:val="single" w:sz="4" w:space="0" w:color="auto"/>
              <w:right w:val="single" w:sz="4" w:space="0" w:color="auto"/>
            </w:tcBorders>
          </w:tcPr>
          <w:p w14:paraId="33EE683F" w14:textId="77777777" w:rsidR="002034FE" w:rsidRPr="00CE4DF2" w:rsidRDefault="002034FE" w:rsidP="009C2C57">
            <w:pPr>
              <w:spacing w:after="0"/>
              <w:jc w:val="right"/>
              <w:rPr>
                <w:noProof/>
                <w:sz w:val="16"/>
                <w:lang w:val="fi-FI"/>
              </w:rPr>
            </w:pPr>
            <w:r w:rsidRPr="00CE4DF2">
              <w:rPr>
                <w:noProof/>
                <w:sz w:val="16"/>
                <w:lang w:val="fi-FI"/>
              </w:rPr>
              <w:t>427</w:t>
            </w:r>
          </w:p>
        </w:tc>
        <w:tc>
          <w:tcPr>
            <w:tcW w:w="1418" w:type="dxa"/>
            <w:tcBorders>
              <w:top w:val="single" w:sz="4" w:space="0" w:color="auto"/>
              <w:left w:val="single" w:sz="4" w:space="0" w:color="auto"/>
              <w:bottom w:val="single" w:sz="4" w:space="0" w:color="auto"/>
              <w:right w:val="single" w:sz="4" w:space="0" w:color="auto"/>
            </w:tcBorders>
          </w:tcPr>
          <w:p w14:paraId="5C21FB1F" w14:textId="77777777" w:rsidR="002034FE" w:rsidRPr="00CE4DF2" w:rsidRDefault="002034FE" w:rsidP="009C2C57">
            <w:pPr>
              <w:spacing w:after="0"/>
              <w:jc w:val="right"/>
              <w:rPr>
                <w:noProof/>
                <w:sz w:val="16"/>
                <w:lang w:val="fi-FI"/>
              </w:rPr>
            </w:pPr>
            <w:r w:rsidRPr="00CE4DF2">
              <w:rPr>
                <w:noProof/>
                <w:sz w:val="16"/>
                <w:lang w:val="fi-FI"/>
              </w:rPr>
              <w:t>3 506</w:t>
            </w:r>
          </w:p>
        </w:tc>
        <w:tc>
          <w:tcPr>
            <w:tcW w:w="1417" w:type="dxa"/>
            <w:tcBorders>
              <w:top w:val="single" w:sz="4" w:space="0" w:color="auto"/>
              <w:left w:val="single" w:sz="4" w:space="0" w:color="auto"/>
              <w:bottom w:val="single" w:sz="4" w:space="0" w:color="auto"/>
              <w:right w:val="single" w:sz="4" w:space="0" w:color="auto"/>
            </w:tcBorders>
          </w:tcPr>
          <w:p w14:paraId="1EABC3FB" w14:textId="77777777" w:rsidR="002034FE" w:rsidRPr="00CE4DF2" w:rsidRDefault="002034FE" w:rsidP="009C2C57">
            <w:pPr>
              <w:spacing w:after="0"/>
              <w:jc w:val="right"/>
              <w:rPr>
                <w:noProof/>
                <w:sz w:val="16"/>
                <w:lang w:val="fi-FI"/>
              </w:rPr>
            </w:pPr>
            <w:r w:rsidRPr="00CE4DF2">
              <w:rPr>
                <w:noProof/>
                <w:sz w:val="16"/>
                <w:lang w:val="fi-FI"/>
              </w:rPr>
              <w:t>8,2</w:t>
            </w:r>
          </w:p>
        </w:tc>
      </w:tr>
      <w:tr w:rsidR="00893005" w:rsidRPr="00CE4DF2" w14:paraId="1351E74C" w14:textId="77777777" w:rsidTr="000E6755">
        <w:trPr>
          <w:trHeight w:val="270"/>
        </w:trPr>
        <w:tc>
          <w:tcPr>
            <w:tcW w:w="1526" w:type="dxa"/>
            <w:tcBorders>
              <w:top w:val="single" w:sz="4" w:space="0" w:color="auto"/>
              <w:bottom w:val="single" w:sz="4" w:space="0" w:color="auto"/>
            </w:tcBorders>
            <w:shd w:val="clear" w:color="auto" w:fill="auto"/>
            <w:noWrap/>
            <w:vAlign w:val="bottom"/>
            <w:hideMark/>
          </w:tcPr>
          <w:p w14:paraId="59E0395C" w14:textId="2D110443" w:rsidR="002034FE" w:rsidRPr="00CE4DF2" w:rsidRDefault="002034FE" w:rsidP="008A7F48">
            <w:pPr>
              <w:spacing w:after="0"/>
              <w:jc w:val="left"/>
              <w:rPr>
                <w:noProof/>
                <w:sz w:val="16"/>
                <w:lang w:val="fi-FI"/>
              </w:rPr>
            </w:pPr>
            <w:r w:rsidRPr="00CE4DF2">
              <w:rPr>
                <w:noProof/>
                <w:sz w:val="16"/>
                <w:lang w:val="fi-FI"/>
              </w:rPr>
              <w:t xml:space="preserve">Klusteri 6 </w:t>
            </w:r>
          </w:p>
        </w:tc>
        <w:tc>
          <w:tcPr>
            <w:tcW w:w="992" w:type="dxa"/>
            <w:tcBorders>
              <w:top w:val="single" w:sz="4" w:space="0" w:color="auto"/>
              <w:bottom w:val="single" w:sz="4" w:space="0" w:color="auto"/>
            </w:tcBorders>
            <w:shd w:val="clear" w:color="auto" w:fill="auto"/>
            <w:noWrap/>
            <w:vAlign w:val="bottom"/>
          </w:tcPr>
          <w:p w14:paraId="0A056D52" w14:textId="77777777" w:rsidR="002034FE" w:rsidRPr="00CE4DF2" w:rsidRDefault="002034FE" w:rsidP="009C2C57">
            <w:pPr>
              <w:spacing w:after="0"/>
              <w:jc w:val="right"/>
              <w:rPr>
                <w:noProof/>
                <w:sz w:val="16"/>
                <w:lang w:val="fi-FI"/>
              </w:rPr>
            </w:pPr>
            <w:r w:rsidRPr="00CE4DF2">
              <w:rPr>
                <w:noProof/>
                <w:sz w:val="16"/>
                <w:lang w:val="fi-FI"/>
              </w:rPr>
              <w:t>1 492</w:t>
            </w:r>
          </w:p>
        </w:tc>
        <w:tc>
          <w:tcPr>
            <w:tcW w:w="992" w:type="dxa"/>
            <w:tcBorders>
              <w:top w:val="single" w:sz="4" w:space="0" w:color="auto"/>
              <w:bottom w:val="single" w:sz="4" w:space="0" w:color="auto"/>
            </w:tcBorders>
            <w:shd w:val="clear" w:color="auto" w:fill="auto"/>
            <w:noWrap/>
            <w:vAlign w:val="bottom"/>
          </w:tcPr>
          <w:p w14:paraId="0D3F8FAD" w14:textId="77777777" w:rsidR="002034FE" w:rsidRPr="00CE4DF2" w:rsidRDefault="002034FE" w:rsidP="009C2C57">
            <w:pPr>
              <w:spacing w:after="0"/>
              <w:jc w:val="right"/>
              <w:rPr>
                <w:noProof/>
                <w:sz w:val="16"/>
                <w:lang w:val="fi-FI"/>
              </w:rPr>
            </w:pPr>
            <w:r w:rsidRPr="00CE4DF2">
              <w:rPr>
                <w:noProof/>
                <w:sz w:val="16"/>
                <w:lang w:val="fi-FI"/>
              </w:rPr>
              <w:t>388</w:t>
            </w:r>
          </w:p>
        </w:tc>
        <w:tc>
          <w:tcPr>
            <w:tcW w:w="1418" w:type="dxa"/>
            <w:tcBorders>
              <w:top w:val="single" w:sz="4" w:space="0" w:color="auto"/>
              <w:bottom w:val="single" w:sz="4" w:space="0" w:color="auto"/>
            </w:tcBorders>
            <w:shd w:val="clear" w:color="auto" w:fill="auto"/>
            <w:noWrap/>
            <w:vAlign w:val="bottom"/>
          </w:tcPr>
          <w:p w14:paraId="5A778BC1" w14:textId="77777777" w:rsidR="002034FE" w:rsidRPr="00CE4DF2" w:rsidRDefault="002034FE" w:rsidP="009C2C57">
            <w:pPr>
              <w:spacing w:after="0"/>
              <w:jc w:val="right"/>
              <w:rPr>
                <w:noProof/>
                <w:sz w:val="16"/>
                <w:lang w:val="fi-FI"/>
              </w:rPr>
            </w:pPr>
            <w:r w:rsidRPr="00CE4DF2">
              <w:rPr>
                <w:noProof/>
                <w:sz w:val="16"/>
                <w:lang w:val="fi-FI"/>
              </w:rPr>
              <w:t>26,0 %</w:t>
            </w:r>
          </w:p>
        </w:tc>
        <w:tc>
          <w:tcPr>
            <w:tcW w:w="1134" w:type="dxa"/>
            <w:tcBorders>
              <w:top w:val="single" w:sz="4" w:space="0" w:color="auto"/>
              <w:left w:val="nil"/>
              <w:bottom w:val="single" w:sz="4" w:space="0" w:color="auto"/>
              <w:right w:val="single" w:sz="4" w:space="0" w:color="auto"/>
            </w:tcBorders>
            <w:shd w:val="clear" w:color="auto" w:fill="auto"/>
            <w:noWrap/>
          </w:tcPr>
          <w:p w14:paraId="0CA08891" w14:textId="77777777" w:rsidR="003D1EF5" w:rsidRPr="00CE4DF2" w:rsidRDefault="003D1EF5" w:rsidP="009C2C57">
            <w:pPr>
              <w:spacing w:after="0"/>
              <w:jc w:val="right"/>
              <w:rPr>
                <w:noProof/>
                <w:sz w:val="16"/>
                <w:lang w:val="fi-FI"/>
              </w:rPr>
            </w:pPr>
          </w:p>
          <w:p w14:paraId="373955E3" w14:textId="2810191F" w:rsidR="002034FE" w:rsidRPr="00CE4DF2" w:rsidRDefault="002034FE" w:rsidP="009C2C57">
            <w:pPr>
              <w:spacing w:after="0"/>
              <w:jc w:val="right"/>
              <w:rPr>
                <w:noProof/>
                <w:sz w:val="16"/>
                <w:lang w:val="fi-FI"/>
              </w:rPr>
            </w:pPr>
            <w:r w:rsidRPr="00CE4DF2">
              <w:rPr>
                <w:noProof/>
                <w:sz w:val="16"/>
                <w:lang w:val="fi-FI"/>
              </w:rPr>
              <w:t>2 341</w:t>
            </w:r>
          </w:p>
        </w:tc>
        <w:tc>
          <w:tcPr>
            <w:tcW w:w="992" w:type="dxa"/>
            <w:tcBorders>
              <w:top w:val="single" w:sz="4" w:space="0" w:color="auto"/>
              <w:left w:val="nil"/>
              <w:bottom w:val="single" w:sz="4" w:space="0" w:color="auto"/>
              <w:right w:val="single" w:sz="4" w:space="0" w:color="auto"/>
            </w:tcBorders>
          </w:tcPr>
          <w:p w14:paraId="029CA83A" w14:textId="77777777" w:rsidR="003D1EF5" w:rsidRPr="00CE4DF2" w:rsidRDefault="003D1EF5" w:rsidP="009C2C57">
            <w:pPr>
              <w:spacing w:after="0"/>
              <w:jc w:val="right"/>
              <w:rPr>
                <w:noProof/>
                <w:sz w:val="16"/>
                <w:lang w:val="fi-FI"/>
              </w:rPr>
            </w:pPr>
          </w:p>
          <w:p w14:paraId="2DA0B916" w14:textId="3AA90E76" w:rsidR="002034FE" w:rsidRPr="00CE4DF2" w:rsidRDefault="002034FE" w:rsidP="009C2C57">
            <w:pPr>
              <w:spacing w:after="0"/>
              <w:jc w:val="right"/>
              <w:rPr>
                <w:noProof/>
                <w:sz w:val="16"/>
                <w:lang w:val="fi-FI"/>
              </w:rPr>
            </w:pPr>
            <w:r w:rsidRPr="00CE4DF2">
              <w:rPr>
                <w:noProof/>
                <w:sz w:val="16"/>
                <w:lang w:val="fi-FI"/>
              </w:rPr>
              <w:t>308</w:t>
            </w:r>
          </w:p>
        </w:tc>
        <w:tc>
          <w:tcPr>
            <w:tcW w:w="1418" w:type="dxa"/>
            <w:tcBorders>
              <w:top w:val="single" w:sz="4" w:space="0" w:color="auto"/>
              <w:left w:val="single" w:sz="4" w:space="0" w:color="auto"/>
              <w:bottom w:val="single" w:sz="4" w:space="0" w:color="auto"/>
              <w:right w:val="single" w:sz="4" w:space="0" w:color="auto"/>
            </w:tcBorders>
          </w:tcPr>
          <w:p w14:paraId="2315BD85" w14:textId="77777777" w:rsidR="003D1EF5" w:rsidRPr="00CE4DF2" w:rsidRDefault="003D1EF5" w:rsidP="009C2C57">
            <w:pPr>
              <w:spacing w:after="0"/>
              <w:jc w:val="right"/>
              <w:rPr>
                <w:noProof/>
                <w:sz w:val="16"/>
                <w:lang w:val="fi-FI"/>
              </w:rPr>
            </w:pPr>
          </w:p>
          <w:p w14:paraId="09E94FBF" w14:textId="0D7A2CCF" w:rsidR="002034FE" w:rsidRPr="00CE4DF2" w:rsidRDefault="002034FE" w:rsidP="009C2C57">
            <w:pPr>
              <w:spacing w:after="0"/>
              <w:jc w:val="right"/>
              <w:rPr>
                <w:noProof/>
                <w:sz w:val="16"/>
                <w:lang w:val="fi-FI"/>
              </w:rPr>
            </w:pPr>
            <w:r w:rsidRPr="00CE4DF2">
              <w:rPr>
                <w:noProof/>
                <w:sz w:val="16"/>
                <w:lang w:val="fi-FI"/>
              </w:rPr>
              <w:t>1 766</w:t>
            </w:r>
          </w:p>
        </w:tc>
        <w:tc>
          <w:tcPr>
            <w:tcW w:w="1417" w:type="dxa"/>
            <w:tcBorders>
              <w:top w:val="single" w:sz="4" w:space="0" w:color="auto"/>
              <w:left w:val="single" w:sz="4" w:space="0" w:color="auto"/>
              <w:bottom w:val="single" w:sz="4" w:space="0" w:color="auto"/>
              <w:right w:val="single" w:sz="4" w:space="0" w:color="auto"/>
            </w:tcBorders>
          </w:tcPr>
          <w:p w14:paraId="73B2B7F0" w14:textId="77777777" w:rsidR="003D1EF5" w:rsidRPr="00CE4DF2" w:rsidRDefault="003D1EF5" w:rsidP="009C2C57">
            <w:pPr>
              <w:spacing w:after="0"/>
              <w:jc w:val="right"/>
              <w:rPr>
                <w:noProof/>
                <w:sz w:val="16"/>
                <w:lang w:val="fi-FI"/>
              </w:rPr>
            </w:pPr>
          </w:p>
          <w:p w14:paraId="56A50231" w14:textId="518EF0A5" w:rsidR="002034FE" w:rsidRPr="00CE4DF2" w:rsidRDefault="002034FE" w:rsidP="009C2C57">
            <w:pPr>
              <w:spacing w:after="0"/>
              <w:jc w:val="right"/>
              <w:rPr>
                <w:noProof/>
                <w:sz w:val="16"/>
                <w:lang w:val="fi-FI"/>
              </w:rPr>
            </w:pPr>
            <w:r w:rsidRPr="00CE4DF2">
              <w:rPr>
                <w:noProof/>
                <w:sz w:val="16"/>
                <w:lang w:val="fi-FI"/>
              </w:rPr>
              <w:t>5,7</w:t>
            </w:r>
          </w:p>
        </w:tc>
      </w:tr>
      <w:tr w:rsidR="002034FE" w:rsidRPr="00CE4DF2" w14:paraId="0386A6FC" w14:textId="77777777" w:rsidTr="009C2C57">
        <w:trPr>
          <w:trHeight w:val="246"/>
        </w:trPr>
        <w:tc>
          <w:tcPr>
            <w:tcW w:w="9889" w:type="dxa"/>
            <w:gridSpan w:val="8"/>
            <w:tcBorders>
              <w:top w:val="single" w:sz="4" w:space="0" w:color="auto"/>
              <w:bottom w:val="single" w:sz="4" w:space="0" w:color="auto"/>
              <w:right w:val="single" w:sz="4" w:space="0" w:color="auto"/>
            </w:tcBorders>
            <w:shd w:val="clear" w:color="auto" w:fill="D9D9D9" w:themeFill="background1" w:themeFillShade="D9"/>
            <w:noWrap/>
            <w:vAlign w:val="bottom"/>
          </w:tcPr>
          <w:p w14:paraId="48230BC0" w14:textId="77777777" w:rsidR="002034FE" w:rsidRPr="00CE4DF2" w:rsidRDefault="002034FE" w:rsidP="003D1EF5">
            <w:pPr>
              <w:spacing w:after="0"/>
              <w:jc w:val="left"/>
              <w:rPr>
                <w:b/>
                <w:noProof/>
                <w:sz w:val="16"/>
                <w:lang w:val="fi-FI"/>
              </w:rPr>
            </w:pPr>
            <w:r w:rsidRPr="00CE4DF2">
              <w:rPr>
                <w:b/>
                <w:noProof/>
                <w:sz w:val="16"/>
                <w:lang w:val="fi-FI"/>
              </w:rPr>
              <w:t>Pilari III – Innovatiivinen Eurooppa</w:t>
            </w:r>
          </w:p>
        </w:tc>
      </w:tr>
      <w:tr w:rsidR="00893005" w:rsidRPr="00CE4DF2" w14:paraId="58CF07CE"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5FC0CA0B" w14:textId="2A0E6E9F" w:rsidR="002034FE" w:rsidRPr="00CE4DF2" w:rsidRDefault="008A7F48" w:rsidP="00C41BCF">
            <w:pPr>
              <w:spacing w:after="0"/>
              <w:jc w:val="left"/>
              <w:rPr>
                <w:noProof/>
                <w:sz w:val="16"/>
                <w:lang w:val="fi-FI"/>
              </w:rPr>
            </w:pPr>
            <w:r w:rsidRPr="00CE4DF2">
              <w:rPr>
                <w:noProof/>
                <w:sz w:val="16"/>
                <w:lang w:val="fi-FI"/>
              </w:rPr>
              <w:t>Euroopan innovaationeuvosto*</w:t>
            </w:r>
          </w:p>
        </w:tc>
        <w:tc>
          <w:tcPr>
            <w:tcW w:w="992" w:type="dxa"/>
            <w:tcBorders>
              <w:top w:val="single" w:sz="4" w:space="0" w:color="auto"/>
              <w:bottom w:val="single" w:sz="4" w:space="0" w:color="auto"/>
            </w:tcBorders>
            <w:shd w:val="clear" w:color="auto" w:fill="auto"/>
            <w:noWrap/>
            <w:vAlign w:val="bottom"/>
          </w:tcPr>
          <w:p w14:paraId="0213E031" w14:textId="77777777" w:rsidR="002034FE" w:rsidRPr="00CE4DF2" w:rsidRDefault="002034FE" w:rsidP="009C2C57">
            <w:pPr>
              <w:spacing w:after="0"/>
              <w:jc w:val="right"/>
              <w:rPr>
                <w:noProof/>
                <w:sz w:val="16"/>
                <w:lang w:val="fi-FI"/>
              </w:rPr>
            </w:pPr>
            <w:r w:rsidRPr="00CE4DF2">
              <w:rPr>
                <w:noProof/>
                <w:sz w:val="16"/>
                <w:lang w:val="fi-FI"/>
              </w:rPr>
              <w:t>2 549</w:t>
            </w:r>
          </w:p>
        </w:tc>
        <w:tc>
          <w:tcPr>
            <w:tcW w:w="992" w:type="dxa"/>
            <w:tcBorders>
              <w:top w:val="single" w:sz="4" w:space="0" w:color="auto"/>
              <w:bottom w:val="single" w:sz="4" w:space="0" w:color="auto"/>
            </w:tcBorders>
            <w:shd w:val="clear" w:color="auto" w:fill="auto"/>
            <w:noWrap/>
            <w:vAlign w:val="bottom"/>
          </w:tcPr>
          <w:p w14:paraId="4F8C6342" w14:textId="77777777" w:rsidR="002034FE" w:rsidRPr="00CE4DF2" w:rsidRDefault="002034FE" w:rsidP="009C2C57">
            <w:pPr>
              <w:spacing w:after="0"/>
              <w:jc w:val="right"/>
              <w:rPr>
                <w:noProof/>
                <w:sz w:val="16"/>
                <w:lang w:val="fi-FI"/>
              </w:rPr>
            </w:pPr>
            <w:r w:rsidRPr="00CE4DF2">
              <w:rPr>
                <w:noProof/>
                <w:sz w:val="16"/>
                <w:lang w:val="fi-FI"/>
              </w:rPr>
              <w:t>225</w:t>
            </w:r>
          </w:p>
        </w:tc>
        <w:tc>
          <w:tcPr>
            <w:tcW w:w="1418" w:type="dxa"/>
            <w:tcBorders>
              <w:top w:val="single" w:sz="4" w:space="0" w:color="auto"/>
              <w:bottom w:val="single" w:sz="4" w:space="0" w:color="auto"/>
            </w:tcBorders>
            <w:shd w:val="clear" w:color="auto" w:fill="auto"/>
            <w:noWrap/>
            <w:vAlign w:val="bottom"/>
          </w:tcPr>
          <w:p w14:paraId="57C8C24E" w14:textId="77777777" w:rsidR="002034FE" w:rsidRPr="00CE4DF2" w:rsidRDefault="002034FE" w:rsidP="009C2C57">
            <w:pPr>
              <w:spacing w:after="0"/>
              <w:jc w:val="right"/>
              <w:rPr>
                <w:noProof/>
                <w:sz w:val="16"/>
                <w:lang w:val="fi-FI"/>
              </w:rPr>
            </w:pPr>
            <w:r w:rsidRPr="00CE4DF2">
              <w:rPr>
                <w:noProof/>
                <w:sz w:val="16"/>
                <w:lang w:val="fi-FI"/>
              </w:rPr>
              <w:t>8,8 %</w:t>
            </w:r>
          </w:p>
        </w:tc>
        <w:tc>
          <w:tcPr>
            <w:tcW w:w="1134" w:type="dxa"/>
            <w:tcBorders>
              <w:top w:val="single" w:sz="4" w:space="0" w:color="auto"/>
              <w:left w:val="nil"/>
              <w:bottom w:val="single" w:sz="4" w:space="0" w:color="auto"/>
              <w:right w:val="single" w:sz="4" w:space="0" w:color="auto"/>
            </w:tcBorders>
            <w:shd w:val="clear" w:color="auto" w:fill="auto"/>
            <w:noWrap/>
          </w:tcPr>
          <w:p w14:paraId="4BD30752" w14:textId="77777777" w:rsidR="002034FE" w:rsidRPr="00CE4DF2" w:rsidRDefault="002034FE" w:rsidP="009C2C57">
            <w:pPr>
              <w:spacing w:after="0"/>
              <w:jc w:val="right"/>
              <w:rPr>
                <w:noProof/>
                <w:sz w:val="16"/>
                <w:lang w:val="fi-FI"/>
              </w:rPr>
            </w:pPr>
            <w:r w:rsidRPr="00CE4DF2">
              <w:rPr>
                <w:noProof/>
                <w:sz w:val="16"/>
                <w:lang w:val="fi-FI"/>
              </w:rPr>
              <w:t>691</w:t>
            </w:r>
          </w:p>
        </w:tc>
        <w:tc>
          <w:tcPr>
            <w:tcW w:w="992" w:type="dxa"/>
            <w:tcBorders>
              <w:top w:val="single" w:sz="4" w:space="0" w:color="auto"/>
              <w:left w:val="nil"/>
              <w:bottom w:val="single" w:sz="4" w:space="0" w:color="auto"/>
              <w:right w:val="single" w:sz="4" w:space="0" w:color="auto"/>
            </w:tcBorders>
          </w:tcPr>
          <w:p w14:paraId="79CCBE96" w14:textId="77777777" w:rsidR="002034FE" w:rsidRPr="00CE4DF2" w:rsidRDefault="002034FE" w:rsidP="009C2C57">
            <w:pPr>
              <w:spacing w:after="0"/>
              <w:jc w:val="right"/>
              <w:rPr>
                <w:noProof/>
                <w:sz w:val="16"/>
                <w:lang w:val="fi-FI"/>
              </w:rPr>
            </w:pPr>
            <w:r w:rsidRPr="00CE4DF2">
              <w:rPr>
                <w:noProof/>
                <w:sz w:val="16"/>
                <w:lang w:val="fi-FI"/>
              </w:rPr>
              <w:t>465</w:t>
            </w:r>
          </w:p>
        </w:tc>
        <w:tc>
          <w:tcPr>
            <w:tcW w:w="1418" w:type="dxa"/>
            <w:tcBorders>
              <w:top w:val="single" w:sz="4" w:space="0" w:color="auto"/>
              <w:left w:val="single" w:sz="4" w:space="0" w:color="auto"/>
              <w:bottom w:val="single" w:sz="4" w:space="0" w:color="auto"/>
              <w:right w:val="single" w:sz="4" w:space="0" w:color="auto"/>
            </w:tcBorders>
          </w:tcPr>
          <w:p w14:paraId="3EB86C9D" w14:textId="77777777" w:rsidR="002034FE" w:rsidRPr="00CE4DF2" w:rsidRDefault="002034FE" w:rsidP="009C2C57">
            <w:pPr>
              <w:spacing w:after="0"/>
              <w:jc w:val="right"/>
              <w:rPr>
                <w:noProof/>
                <w:sz w:val="16"/>
                <w:lang w:val="fi-FI"/>
              </w:rPr>
            </w:pPr>
            <w:r w:rsidRPr="00CE4DF2">
              <w:rPr>
                <w:noProof/>
                <w:sz w:val="16"/>
                <w:lang w:val="fi-FI"/>
              </w:rPr>
              <w:t>1 171</w:t>
            </w:r>
          </w:p>
        </w:tc>
        <w:tc>
          <w:tcPr>
            <w:tcW w:w="1417" w:type="dxa"/>
            <w:tcBorders>
              <w:top w:val="single" w:sz="4" w:space="0" w:color="auto"/>
              <w:left w:val="single" w:sz="4" w:space="0" w:color="auto"/>
              <w:bottom w:val="single" w:sz="4" w:space="0" w:color="auto"/>
              <w:right w:val="single" w:sz="4" w:space="0" w:color="auto"/>
            </w:tcBorders>
          </w:tcPr>
          <w:p w14:paraId="442BA112" w14:textId="77777777" w:rsidR="002034FE" w:rsidRPr="00CE4DF2" w:rsidRDefault="002034FE" w:rsidP="009C2C57">
            <w:pPr>
              <w:spacing w:after="0"/>
              <w:jc w:val="right"/>
              <w:rPr>
                <w:noProof/>
                <w:sz w:val="16"/>
                <w:lang w:val="fi-FI"/>
              </w:rPr>
            </w:pPr>
            <w:r w:rsidRPr="00CE4DF2">
              <w:rPr>
                <w:noProof/>
                <w:sz w:val="16"/>
                <w:lang w:val="fi-FI"/>
              </w:rPr>
              <w:t>2,5</w:t>
            </w:r>
          </w:p>
        </w:tc>
      </w:tr>
      <w:tr w:rsidR="00893005" w:rsidRPr="00CE4DF2" w14:paraId="10AABB0F"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196B42A1" w14:textId="77777777" w:rsidR="002034FE" w:rsidRPr="00CE4DF2" w:rsidRDefault="002034FE" w:rsidP="003D1EF5">
            <w:pPr>
              <w:spacing w:after="0"/>
              <w:jc w:val="left"/>
              <w:rPr>
                <w:noProof/>
                <w:sz w:val="16"/>
                <w:lang w:val="fi-FI"/>
              </w:rPr>
            </w:pPr>
            <w:r w:rsidRPr="00CE4DF2">
              <w:rPr>
                <w:noProof/>
                <w:sz w:val="16"/>
                <w:lang w:val="fi-FI"/>
              </w:rPr>
              <w:t>Euroopan innovaatioekosysteemit</w:t>
            </w:r>
          </w:p>
        </w:tc>
        <w:tc>
          <w:tcPr>
            <w:tcW w:w="992" w:type="dxa"/>
            <w:tcBorders>
              <w:top w:val="single" w:sz="4" w:space="0" w:color="auto"/>
              <w:bottom w:val="single" w:sz="4" w:space="0" w:color="auto"/>
            </w:tcBorders>
            <w:shd w:val="clear" w:color="auto" w:fill="auto"/>
            <w:noWrap/>
            <w:vAlign w:val="bottom"/>
          </w:tcPr>
          <w:p w14:paraId="42E7D755" w14:textId="77777777" w:rsidR="002034FE" w:rsidRPr="00CE4DF2" w:rsidRDefault="002034FE" w:rsidP="009C2C57">
            <w:pPr>
              <w:spacing w:after="0"/>
              <w:jc w:val="right"/>
              <w:rPr>
                <w:noProof/>
                <w:sz w:val="16"/>
                <w:lang w:val="fi-FI"/>
              </w:rPr>
            </w:pPr>
            <w:r w:rsidRPr="00CE4DF2">
              <w:rPr>
                <w:noProof/>
                <w:sz w:val="16"/>
                <w:lang w:val="fi-FI"/>
              </w:rPr>
              <w:t>569</w:t>
            </w:r>
          </w:p>
        </w:tc>
        <w:tc>
          <w:tcPr>
            <w:tcW w:w="992" w:type="dxa"/>
            <w:tcBorders>
              <w:top w:val="single" w:sz="4" w:space="0" w:color="auto"/>
              <w:bottom w:val="single" w:sz="4" w:space="0" w:color="auto"/>
            </w:tcBorders>
            <w:shd w:val="clear" w:color="auto" w:fill="auto"/>
            <w:noWrap/>
            <w:vAlign w:val="bottom"/>
          </w:tcPr>
          <w:p w14:paraId="533C9E3C" w14:textId="77777777" w:rsidR="002034FE" w:rsidRPr="00CE4DF2" w:rsidRDefault="002034FE" w:rsidP="009C2C57">
            <w:pPr>
              <w:spacing w:after="0"/>
              <w:jc w:val="right"/>
              <w:rPr>
                <w:noProof/>
                <w:sz w:val="16"/>
                <w:lang w:val="fi-FI"/>
              </w:rPr>
            </w:pPr>
            <w:r w:rsidRPr="00CE4DF2">
              <w:rPr>
                <w:noProof/>
                <w:sz w:val="16"/>
                <w:lang w:val="fi-FI"/>
              </w:rPr>
              <w:t>93</w:t>
            </w:r>
          </w:p>
        </w:tc>
        <w:tc>
          <w:tcPr>
            <w:tcW w:w="1418" w:type="dxa"/>
            <w:tcBorders>
              <w:top w:val="single" w:sz="4" w:space="0" w:color="auto"/>
              <w:bottom w:val="single" w:sz="4" w:space="0" w:color="auto"/>
            </w:tcBorders>
            <w:shd w:val="clear" w:color="auto" w:fill="auto"/>
            <w:noWrap/>
            <w:vAlign w:val="bottom"/>
          </w:tcPr>
          <w:p w14:paraId="578F5324" w14:textId="77777777" w:rsidR="002034FE" w:rsidRPr="00CE4DF2" w:rsidRDefault="002034FE" w:rsidP="009C2C57">
            <w:pPr>
              <w:spacing w:after="0"/>
              <w:jc w:val="right"/>
              <w:rPr>
                <w:noProof/>
                <w:sz w:val="16"/>
                <w:lang w:val="fi-FI"/>
              </w:rPr>
            </w:pPr>
            <w:r w:rsidRPr="00CE4DF2">
              <w:rPr>
                <w:noProof/>
                <w:sz w:val="16"/>
                <w:lang w:val="fi-FI"/>
              </w:rPr>
              <w:t>16,3 %</w:t>
            </w:r>
          </w:p>
        </w:tc>
        <w:tc>
          <w:tcPr>
            <w:tcW w:w="1134" w:type="dxa"/>
            <w:tcBorders>
              <w:top w:val="single" w:sz="4" w:space="0" w:color="auto"/>
              <w:left w:val="nil"/>
              <w:bottom w:val="single" w:sz="4" w:space="0" w:color="auto"/>
              <w:right w:val="single" w:sz="4" w:space="0" w:color="auto"/>
            </w:tcBorders>
            <w:shd w:val="clear" w:color="auto" w:fill="auto"/>
            <w:noWrap/>
          </w:tcPr>
          <w:p w14:paraId="307562C5" w14:textId="77777777" w:rsidR="002034FE" w:rsidRPr="00CE4DF2" w:rsidRDefault="002034FE" w:rsidP="009C2C57">
            <w:pPr>
              <w:spacing w:after="0"/>
              <w:jc w:val="right"/>
              <w:rPr>
                <w:noProof/>
                <w:sz w:val="16"/>
                <w:lang w:val="fi-FI"/>
              </w:rPr>
            </w:pPr>
            <w:r w:rsidRPr="00CE4DF2">
              <w:rPr>
                <w:noProof/>
                <w:sz w:val="16"/>
                <w:lang w:val="fi-FI"/>
              </w:rPr>
              <w:t>105</w:t>
            </w:r>
          </w:p>
        </w:tc>
        <w:tc>
          <w:tcPr>
            <w:tcW w:w="992" w:type="dxa"/>
            <w:tcBorders>
              <w:top w:val="single" w:sz="4" w:space="0" w:color="auto"/>
              <w:left w:val="nil"/>
              <w:bottom w:val="single" w:sz="4" w:space="0" w:color="auto"/>
              <w:right w:val="single" w:sz="4" w:space="0" w:color="auto"/>
            </w:tcBorders>
          </w:tcPr>
          <w:p w14:paraId="225AFF7A" w14:textId="77777777" w:rsidR="002034FE" w:rsidRPr="00CE4DF2" w:rsidRDefault="002034FE" w:rsidP="009C2C57">
            <w:pPr>
              <w:spacing w:after="0"/>
              <w:jc w:val="right"/>
              <w:rPr>
                <w:noProof/>
                <w:sz w:val="16"/>
                <w:lang w:val="fi-FI"/>
              </w:rPr>
            </w:pPr>
            <w:r w:rsidRPr="00CE4DF2">
              <w:rPr>
                <w:noProof/>
                <w:sz w:val="16"/>
                <w:lang w:val="fi-FI"/>
              </w:rPr>
              <w:t>91</w:t>
            </w:r>
          </w:p>
        </w:tc>
        <w:tc>
          <w:tcPr>
            <w:tcW w:w="1418" w:type="dxa"/>
            <w:tcBorders>
              <w:top w:val="single" w:sz="4" w:space="0" w:color="auto"/>
              <w:left w:val="single" w:sz="4" w:space="0" w:color="auto"/>
              <w:bottom w:val="single" w:sz="4" w:space="0" w:color="auto"/>
              <w:right w:val="single" w:sz="4" w:space="0" w:color="auto"/>
            </w:tcBorders>
          </w:tcPr>
          <w:p w14:paraId="1807B1FB" w14:textId="77777777" w:rsidR="002034FE" w:rsidRPr="00CE4DF2" w:rsidRDefault="002034FE" w:rsidP="009C2C57">
            <w:pPr>
              <w:spacing w:after="0"/>
              <w:jc w:val="right"/>
              <w:rPr>
                <w:noProof/>
                <w:sz w:val="16"/>
                <w:lang w:val="fi-FI"/>
              </w:rPr>
            </w:pPr>
            <w:r w:rsidRPr="00CE4DF2">
              <w:rPr>
                <w:noProof/>
                <w:sz w:val="16"/>
                <w:lang w:val="fi-FI"/>
              </w:rPr>
              <w:t>103</w:t>
            </w:r>
          </w:p>
        </w:tc>
        <w:tc>
          <w:tcPr>
            <w:tcW w:w="1417" w:type="dxa"/>
            <w:tcBorders>
              <w:top w:val="single" w:sz="4" w:space="0" w:color="auto"/>
              <w:left w:val="single" w:sz="4" w:space="0" w:color="auto"/>
              <w:bottom w:val="single" w:sz="4" w:space="0" w:color="auto"/>
              <w:right w:val="single" w:sz="4" w:space="0" w:color="auto"/>
            </w:tcBorders>
          </w:tcPr>
          <w:p w14:paraId="7A43A8AC" w14:textId="77777777" w:rsidR="002034FE" w:rsidRPr="00CE4DF2" w:rsidRDefault="002034FE" w:rsidP="009C2C57">
            <w:pPr>
              <w:spacing w:after="0"/>
              <w:jc w:val="right"/>
              <w:rPr>
                <w:noProof/>
                <w:sz w:val="16"/>
                <w:lang w:val="fi-FI"/>
              </w:rPr>
            </w:pPr>
            <w:r w:rsidRPr="00CE4DF2">
              <w:rPr>
                <w:noProof/>
                <w:sz w:val="16"/>
                <w:lang w:val="fi-FI"/>
              </w:rPr>
              <w:t>1,1</w:t>
            </w:r>
          </w:p>
        </w:tc>
      </w:tr>
      <w:tr w:rsidR="00893005" w:rsidRPr="00CE4DF2" w14:paraId="7C555E89" w14:textId="77777777" w:rsidTr="000E6755">
        <w:trPr>
          <w:trHeight w:val="246"/>
        </w:trPr>
        <w:tc>
          <w:tcPr>
            <w:tcW w:w="1526" w:type="dxa"/>
            <w:tcBorders>
              <w:top w:val="single" w:sz="4" w:space="0" w:color="auto"/>
              <w:bottom w:val="single" w:sz="4" w:space="0" w:color="auto"/>
            </w:tcBorders>
            <w:shd w:val="clear" w:color="auto" w:fill="auto"/>
            <w:noWrap/>
            <w:vAlign w:val="bottom"/>
          </w:tcPr>
          <w:p w14:paraId="00D6E992" w14:textId="0B8C754C" w:rsidR="002034FE" w:rsidRPr="00CE4DF2" w:rsidRDefault="002034FE" w:rsidP="00C41BCF">
            <w:pPr>
              <w:spacing w:after="0"/>
              <w:jc w:val="left"/>
              <w:rPr>
                <w:noProof/>
                <w:sz w:val="16"/>
                <w:lang w:val="fi-FI"/>
              </w:rPr>
            </w:pPr>
            <w:r w:rsidRPr="00CE4DF2">
              <w:rPr>
                <w:noProof/>
                <w:sz w:val="16"/>
                <w:lang w:val="fi-FI"/>
              </w:rPr>
              <w:t xml:space="preserve">Euroopan innovaatio- ja teknologiainstituutti </w:t>
            </w:r>
          </w:p>
        </w:tc>
        <w:tc>
          <w:tcPr>
            <w:tcW w:w="992" w:type="dxa"/>
            <w:tcBorders>
              <w:top w:val="single" w:sz="4" w:space="0" w:color="auto"/>
              <w:bottom w:val="single" w:sz="4" w:space="0" w:color="auto"/>
            </w:tcBorders>
            <w:shd w:val="clear" w:color="auto" w:fill="auto"/>
            <w:noWrap/>
            <w:vAlign w:val="bottom"/>
          </w:tcPr>
          <w:p w14:paraId="4FCB4594" w14:textId="77777777" w:rsidR="002034FE" w:rsidRPr="00CE4DF2" w:rsidDel="009C76E0" w:rsidRDefault="002034FE" w:rsidP="009C2C57">
            <w:pPr>
              <w:spacing w:after="0"/>
              <w:jc w:val="right"/>
              <w:rPr>
                <w:noProof/>
                <w:sz w:val="16"/>
                <w:lang w:val="fi-FI"/>
              </w:rPr>
            </w:pPr>
            <w:r w:rsidRPr="00CE4DF2">
              <w:rPr>
                <w:noProof/>
                <w:sz w:val="16"/>
                <w:lang w:val="fi-FI"/>
              </w:rPr>
              <w:t>20</w:t>
            </w:r>
          </w:p>
        </w:tc>
        <w:tc>
          <w:tcPr>
            <w:tcW w:w="992" w:type="dxa"/>
            <w:tcBorders>
              <w:top w:val="single" w:sz="4" w:space="0" w:color="auto"/>
              <w:bottom w:val="single" w:sz="4" w:space="0" w:color="auto"/>
            </w:tcBorders>
            <w:shd w:val="clear" w:color="auto" w:fill="auto"/>
            <w:noWrap/>
            <w:vAlign w:val="bottom"/>
          </w:tcPr>
          <w:p w14:paraId="443919CE" w14:textId="77777777" w:rsidR="002034FE" w:rsidRPr="00CE4DF2" w:rsidRDefault="002034FE" w:rsidP="009C2C57">
            <w:pPr>
              <w:spacing w:after="0"/>
              <w:jc w:val="right"/>
              <w:rPr>
                <w:noProof/>
                <w:sz w:val="16"/>
                <w:lang w:val="fi-FI"/>
              </w:rPr>
            </w:pPr>
            <w:r w:rsidRPr="00CE4DF2">
              <w:rPr>
                <w:noProof/>
                <w:sz w:val="16"/>
                <w:lang w:val="fi-FI"/>
              </w:rPr>
              <w:t>17</w:t>
            </w:r>
          </w:p>
        </w:tc>
        <w:tc>
          <w:tcPr>
            <w:tcW w:w="1418" w:type="dxa"/>
            <w:tcBorders>
              <w:top w:val="single" w:sz="4" w:space="0" w:color="auto"/>
              <w:bottom w:val="single" w:sz="4" w:space="0" w:color="auto"/>
            </w:tcBorders>
            <w:shd w:val="clear" w:color="auto" w:fill="auto"/>
            <w:noWrap/>
            <w:vAlign w:val="bottom"/>
          </w:tcPr>
          <w:p w14:paraId="5D9FCD60" w14:textId="77777777" w:rsidR="002034FE" w:rsidRPr="00CE4DF2" w:rsidRDefault="002034FE" w:rsidP="009C2C57">
            <w:pPr>
              <w:spacing w:after="0"/>
              <w:jc w:val="right"/>
              <w:rPr>
                <w:noProof/>
                <w:sz w:val="16"/>
                <w:lang w:val="fi-FI"/>
              </w:rPr>
            </w:pPr>
            <w:r w:rsidRPr="00CE4DF2">
              <w:rPr>
                <w:noProof/>
                <w:sz w:val="16"/>
                <w:lang w:val="fi-FI"/>
              </w:rPr>
              <w:t>85,0 %</w:t>
            </w:r>
          </w:p>
        </w:tc>
        <w:tc>
          <w:tcPr>
            <w:tcW w:w="1134" w:type="dxa"/>
            <w:tcBorders>
              <w:top w:val="single" w:sz="4" w:space="0" w:color="auto"/>
              <w:left w:val="nil"/>
              <w:bottom w:val="single" w:sz="4" w:space="0" w:color="auto"/>
              <w:right w:val="single" w:sz="4" w:space="0" w:color="auto"/>
            </w:tcBorders>
            <w:shd w:val="clear" w:color="auto" w:fill="auto"/>
            <w:noWrap/>
          </w:tcPr>
          <w:p w14:paraId="03535E93" w14:textId="77777777" w:rsidR="003D1EF5" w:rsidRPr="00CE4DF2" w:rsidRDefault="003D1EF5" w:rsidP="009C2C57">
            <w:pPr>
              <w:spacing w:after="0"/>
              <w:jc w:val="right"/>
              <w:rPr>
                <w:noProof/>
                <w:sz w:val="16"/>
                <w:lang w:val="fi-FI"/>
              </w:rPr>
            </w:pPr>
          </w:p>
          <w:p w14:paraId="5696B809" w14:textId="470E1BF5" w:rsidR="002034FE" w:rsidRPr="00CE4DF2" w:rsidRDefault="002034FE" w:rsidP="009C2C57">
            <w:pPr>
              <w:spacing w:after="0"/>
              <w:jc w:val="right"/>
              <w:rPr>
                <w:noProof/>
                <w:sz w:val="16"/>
                <w:lang w:val="fi-FI"/>
              </w:rPr>
            </w:pPr>
            <w:r w:rsidRPr="00CE4DF2">
              <w:rPr>
                <w:noProof/>
                <w:sz w:val="16"/>
                <w:lang w:val="fi-FI"/>
              </w:rPr>
              <w:t>1 103</w:t>
            </w:r>
          </w:p>
        </w:tc>
        <w:tc>
          <w:tcPr>
            <w:tcW w:w="992" w:type="dxa"/>
            <w:tcBorders>
              <w:top w:val="single" w:sz="4" w:space="0" w:color="auto"/>
              <w:left w:val="nil"/>
              <w:bottom w:val="single" w:sz="4" w:space="0" w:color="auto"/>
              <w:right w:val="single" w:sz="4" w:space="0" w:color="auto"/>
            </w:tcBorders>
          </w:tcPr>
          <w:p w14:paraId="0D489574" w14:textId="77777777" w:rsidR="003D1EF5" w:rsidRPr="00CE4DF2" w:rsidRDefault="003D1EF5" w:rsidP="009C2C57">
            <w:pPr>
              <w:spacing w:after="0"/>
              <w:jc w:val="right"/>
              <w:rPr>
                <w:noProof/>
                <w:sz w:val="16"/>
                <w:lang w:val="fi-FI"/>
              </w:rPr>
            </w:pPr>
          </w:p>
          <w:p w14:paraId="6F1F1B24" w14:textId="4B0EAE7C" w:rsidR="002034FE" w:rsidRPr="00CE4DF2" w:rsidRDefault="002034FE" w:rsidP="009C2C57">
            <w:pPr>
              <w:spacing w:after="0"/>
              <w:jc w:val="right"/>
              <w:rPr>
                <w:noProof/>
                <w:sz w:val="16"/>
                <w:lang w:val="fi-FI"/>
              </w:rPr>
            </w:pPr>
            <w:r w:rsidRPr="00CE4DF2">
              <w:rPr>
                <w:noProof/>
                <w:sz w:val="16"/>
                <w:lang w:val="fi-FI"/>
              </w:rPr>
              <w:t>Ei sovelleta</w:t>
            </w:r>
          </w:p>
        </w:tc>
        <w:tc>
          <w:tcPr>
            <w:tcW w:w="1418" w:type="dxa"/>
            <w:tcBorders>
              <w:top w:val="single" w:sz="4" w:space="0" w:color="auto"/>
              <w:left w:val="single" w:sz="4" w:space="0" w:color="auto"/>
              <w:bottom w:val="single" w:sz="4" w:space="0" w:color="auto"/>
              <w:right w:val="single" w:sz="4" w:space="0" w:color="auto"/>
            </w:tcBorders>
          </w:tcPr>
          <w:p w14:paraId="7DB30DF2" w14:textId="77777777" w:rsidR="003D1EF5" w:rsidRPr="00CE4DF2" w:rsidRDefault="003D1EF5" w:rsidP="009C2C57">
            <w:pPr>
              <w:spacing w:after="0"/>
              <w:jc w:val="right"/>
              <w:rPr>
                <w:noProof/>
                <w:sz w:val="16"/>
                <w:lang w:val="fi-FI"/>
              </w:rPr>
            </w:pPr>
          </w:p>
          <w:p w14:paraId="1761272C" w14:textId="1BE36554" w:rsidR="002034FE" w:rsidRPr="00CE4DF2" w:rsidRDefault="002034FE" w:rsidP="009C2C57">
            <w:pPr>
              <w:spacing w:after="0"/>
              <w:jc w:val="right"/>
              <w:rPr>
                <w:noProof/>
                <w:sz w:val="16"/>
                <w:lang w:val="fi-FI"/>
              </w:rPr>
            </w:pPr>
            <w:r w:rsidRPr="00CE4DF2">
              <w:rPr>
                <w:noProof/>
                <w:sz w:val="16"/>
                <w:lang w:val="fi-FI"/>
              </w:rPr>
              <w:t>Ei sovelleta</w:t>
            </w:r>
          </w:p>
        </w:tc>
        <w:tc>
          <w:tcPr>
            <w:tcW w:w="1417" w:type="dxa"/>
            <w:tcBorders>
              <w:top w:val="single" w:sz="4" w:space="0" w:color="auto"/>
              <w:left w:val="single" w:sz="4" w:space="0" w:color="auto"/>
              <w:bottom w:val="single" w:sz="4" w:space="0" w:color="auto"/>
              <w:right w:val="single" w:sz="4" w:space="0" w:color="auto"/>
            </w:tcBorders>
          </w:tcPr>
          <w:p w14:paraId="05287677" w14:textId="77777777" w:rsidR="002034FE" w:rsidRPr="00CE4DF2" w:rsidRDefault="002034FE" w:rsidP="009C2C57">
            <w:pPr>
              <w:spacing w:after="0"/>
              <w:jc w:val="right"/>
              <w:rPr>
                <w:noProof/>
                <w:sz w:val="16"/>
                <w:lang w:val="fi-FI"/>
              </w:rPr>
            </w:pPr>
          </w:p>
        </w:tc>
      </w:tr>
      <w:tr w:rsidR="002034FE" w:rsidRPr="00FB2D65" w14:paraId="37C5BBFB" w14:textId="77777777" w:rsidTr="009C2C57">
        <w:trPr>
          <w:trHeight w:val="246"/>
        </w:trPr>
        <w:tc>
          <w:tcPr>
            <w:tcW w:w="9889" w:type="dxa"/>
            <w:gridSpan w:val="8"/>
            <w:tcBorders>
              <w:top w:val="single" w:sz="4" w:space="0" w:color="auto"/>
              <w:bottom w:val="single" w:sz="4" w:space="0" w:color="auto"/>
              <w:right w:val="single" w:sz="4" w:space="0" w:color="auto"/>
            </w:tcBorders>
            <w:shd w:val="clear" w:color="auto" w:fill="D9D9D9" w:themeFill="background1" w:themeFillShade="D9"/>
            <w:noWrap/>
            <w:vAlign w:val="bottom"/>
          </w:tcPr>
          <w:p w14:paraId="7218AD85" w14:textId="77777777" w:rsidR="002034FE" w:rsidRPr="00CE4DF2" w:rsidRDefault="002034FE" w:rsidP="003D1EF5">
            <w:pPr>
              <w:spacing w:after="0"/>
              <w:jc w:val="left"/>
              <w:rPr>
                <w:b/>
                <w:noProof/>
                <w:sz w:val="16"/>
                <w:lang w:val="fi-FI"/>
              </w:rPr>
            </w:pPr>
            <w:r w:rsidRPr="00CE4DF2">
              <w:rPr>
                <w:b/>
                <w:noProof/>
                <w:sz w:val="16"/>
                <w:lang w:val="fi-FI"/>
              </w:rPr>
              <w:t>Osallistumispohjan laajentaminen ja eurooppalaisen tutkimusalueen vahvistaminen</w:t>
            </w:r>
          </w:p>
        </w:tc>
      </w:tr>
      <w:tr w:rsidR="00893005" w:rsidRPr="00CE4DF2" w14:paraId="350EED68"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37C95EFB" w14:textId="77777777" w:rsidR="002034FE" w:rsidRPr="00CE4DF2" w:rsidRDefault="002034FE" w:rsidP="003D1EF5">
            <w:pPr>
              <w:spacing w:after="0"/>
              <w:jc w:val="left"/>
              <w:rPr>
                <w:noProof/>
                <w:sz w:val="16"/>
                <w:lang w:val="fi-FI"/>
              </w:rPr>
            </w:pPr>
            <w:r w:rsidRPr="00CE4DF2">
              <w:rPr>
                <w:noProof/>
                <w:sz w:val="16"/>
                <w:lang w:val="fi-FI"/>
              </w:rPr>
              <w:t>Osallistumispohjan laajentaminen ja huippuosaamisen levittäminen</w:t>
            </w:r>
          </w:p>
        </w:tc>
        <w:tc>
          <w:tcPr>
            <w:tcW w:w="992" w:type="dxa"/>
            <w:tcBorders>
              <w:top w:val="single" w:sz="4" w:space="0" w:color="auto"/>
              <w:bottom w:val="single" w:sz="4" w:space="0" w:color="auto"/>
            </w:tcBorders>
            <w:shd w:val="clear" w:color="auto" w:fill="auto"/>
            <w:noWrap/>
            <w:vAlign w:val="bottom"/>
          </w:tcPr>
          <w:p w14:paraId="434D9202" w14:textId="77777777" w:rsidR="002034FE" w:rsidRPr="00CE4DF2" w:rsidRDefault="002034FE" w:rsidP="009C2C57">
            <w:pPr>
              <w:spacing w:after="0"/>
              <w:jc w:val="right"/>
              <w:rPr>
                <w:noProof/>
                <w:sz w:val="16"/>
                <w:lang w:val="fi-FI"/>
              </w:rPr>
            </w:pPr>
            <w:r w:rsidRPr="00CE4DF2">
              <w:rPr>
                <w:noProof/>
                <w:sz w:val="16"/>
                <w:lang w:val="fi-FI"/>
              </w:rPr>
              <w:t>831</w:t>
            </w:r>
          </w:p>
        </w:tc>
        <w:tc>
          <w:tcPr>
            <w:tcW w:w="992" w:type="dxa"/>
            <w:tcBorders>
              <w:top w:val="single" w:sz="4" w:space="0" w:color="auto"/>
              <w:bottom w:val="single" w:sz="4" w:space="0" w:color="auto"/>
            </w:tcBorders>
            <w:shd w:val="clear" w:color="auto" w:fill="auto"/>
            <w:noWrap/>
            <w:vAlign w:val="bottom"/>
          </w:tcPr>
          <w:p w14:paraId="11E733DE" w14:textId="77777777" w:rsidR="002034FE" w:rsidRPr="00CE4DF2" w:rsidRDefault="002034FE" w:rsidP="009C2C57">
            <w:pPr>
              <w:spacing w:after="0"/>
              <w:jc w:val="right"/>
              <w:rPr>
                <w:noProof/>
                <w:sz w:val="16"/>
                <w:lang w:val="fi-FI"/>
              </w:rPr>
            </w:pPr>
            <w:r w:rsidRPr="00CE4DF2">
              <w:rPr>
                <w:noProof/>
                <w:sz w:val="16"/>
                <w:lang w:val="fi-FI"/>
              </w:rPr>
              <w:t>241</w:t>
            </w:r>
          </w:p>
        </w:tc>
        <w:tc>
          <w:tcPr>
            <w:tcW w:w="1418" w:type="dxa"/>
            <w:tcBorders>
              <w:top w:val="single" w:sz="4" w:space="0" w:color="auto"/>
              <w:bottom w:val="single" w:sz="4" w:space="0" w:color="auto"/>
            </w:tcBorders>
            <w:shd w:val="clear" w:color="auto" w:fill="auto"/>
            <w:noWrap/>
            <w:vAlign w:val="bottom"/>
          </w:tcPr>
          <w:p w14:paraId="6DBD76A8" w14:textId="77777777" w:rsidR="002034FE" w:rsidRPr="00CE4DF2" w:rsidRDefault="002034FE" w:rsidP="009C2C57">
            <w:pPr>
              <w:spacing w:after="0"/>
              <w:jc w:val="right"/>
              <w:rPr>
                <w:noProof/>
                <w:sz w:val="16"/>
                <w:lang w:val="fi-FI"/>
              </w:rPr>
            </w:pPr>
            <w:r w:rsidRPr="00CE4DF2">
              <w:rPr>
                <w:noProof/>
                <w:sz w:val="16"/>
                <w:lang w:val="fi-FI"/>
              </w:rPr>
              <w:t>29,0 %</w:t>
            </w:r>
          </w:p>
        </w:tc>
        <w:tc>
          <w:tcPr>
            <w:tcW w:w="1134" w:type="dxa"/>
            <w:tcBorders>
              <w:top w:val="single" w:sz="4" w:space="0" w:color="auto"/>
              <w:left w:val="nil"/>
              <w:bottom w:val="single" w:sz="4" w:space="0" w:color="auto"/>
              <w:right w:val="single" w:sz="4" w:space="0" w:color="auto"/>
            </w:tcBorders>
            <w:shd w:val="clear" w:color="auto" w:fill="auto"/>
            <w:noWrap/>
          </w:tcPr>
          <w:p w14:paraId="1CA30616" w14:textId="77777777" w:rsidR="003D1EF5" w:rsidRPr="00CE4DF2" w:rsidRDefault="003D1EF5" w:rsidP="009C2C57">
            <w:pPr>
              <w:spacing w:after="0"/>
              <w:jc w:val="right"/>
              <w:rPr>
                <w:noProof/>
                <w:sz w:val="16"/>
                <w:lang w:val="fi-FI"/>
              </w:rPr>
            </w:pPr>
          </w:p>
          <w:p w14:paraId="187DEEEA" w14:textId="31837EC4" w:rsidR="002034FE" w:rsidRPr="00CE4DF2" w:rsidRDefault="002034FE" w:rsidP="009C2C57">
            <w:pPr>
              <w:spacing w:after="0"/>
              <w:jc w:val="right"/>
              <w:rPr>
                <w:noProof/>
                <w:sz w:val="16"/>
                <w:lang w:val="fi-FI"/>
              </w:rPr>
            </w:pPr>
            <w:r w:rsidRPr="00CE4DF2">
              <w:rPr>
                <w:noProof/>
                <w:sz w:val="16"/>
                <w:lang w:val="fi-FI"/>
              </w:rPr>
              <w:t>666</w:t>
            </w:r>
          </w:p>
        </w:tc>
        <w:tc>
          <w:tcPr>
            <w:tcW w:w="992" w:type="dxa"/>
            <w:tcBorders>
              <w:top w:val="single" w:sz="4" w:space="0" w:color="auto"/>
              <w:left w:val="nil"/>
              <w:bottom w:val="single" w:sz="4" w:space="0" w:color="auto"/>
              <w:right w:val="single" w:sz="4" w:space="0" w:color="auto"/>
            </w:tcBorders>
          </w:tcPr>
          <w:p w14:paraId="02C39C3A" w14:textId="77777777" w:rsidR="003D1EF5" w:rsidRPr="00CE4DF2" w:rsidRDefault="003D1EF5" w:rsidP="009C2C57">
            <w:pPr>
              <w:spacing w:after="0"/>
              <w:jc w:val="right"/>
              <w:rPr>
                <w:noProof/>
                <w:sz w:val="16"/>
                <w:lang w:val="fi-FI"/>
              </w:rPr>
            </w:pPr>
          </w:p>
          <w:p w14:paraId="32433F6E" w14:textId="3F3F844F" w:rsidR="002034FE" w:rsidRPr="00CE4DF2" w:rsidRDefault="002034FE" w:rsidP="009C2C57">
            <w:pPr>
              <w:spacing w:after="0"/>
              <w:jc w:val="right"/>
              <w:rPr>
                <w:noProof/>
                <w:sz w:val="16"/>
                <w:lang w:val="fi-FI"/>
              </w:rPr>
            </w:pPr>
            <w:r w:rsidRPr="00CE4DF2">
              <w:rPr>
                <w:noProof/>
                <w:sz w:val="16"/>
                <w:lang w:val="fi-FI"/>
              </w:rPr>
              <w:t>230</w:t>
            </w:r>
          </w:p>
        </w:tc>
        <w:tc>
          <w:tcPr>
            <w:tcW w:w="1418" w:type="dxa"/>
            <w:tcBorders>
              <w:top w:val="single" w:sz="4" w:space="0" w:color="auto"/>
              <w:left w:val="single" w:sz="4" w:space="0" w:color="auto"/>
              <w:bottom w:val="single" w:sz="4" w:space="0" w:color="auto"/>
              <w:right w:val="single" w:sz="4" w:space="0" w:color="auto"/>
            </w:tcBorders>
          </w:tcPr>
          <w:p w14:paraId="44919915" w14:textId="77777777" w:rsidR="003D1EF5" w:rsidRPr="00CE4DF2" w:rsidRDefault="003D1EF5" w:rsidP="009C2C57">
            <w:pPr>
              <w:spacing w:after="0"/>
              <w:jc w:val="right"/>
              <w:rPr>
                <w:noProof/>
                <w:sz w:val="16"/>
                <w:lang w:val="fi-FI"/>
              </w:rPr>
            </w:pPr>
          </w:p>
          <w:p w14:paraId="58E5302F" w14:textId="04B8E764" w:rsidR="002034FE" w:rsidRPr="00CE4DF2" w:rsidRDefault="002034FE" w:rsidP="009C2C57">
            <w:pPr>
              <w:spacing w:after="0"/>
              <w:jc w:val="right"/>
              <w:rPr>
                <w:noProof/>
                <w:sz w:val="16"/>
                <w:lang w:val="fi-FI"/>
              </w:rPr>
            </w:pPr>
            <w:r w:rsidRPr="00CE4DF2">
              <w:rPr>
                <w:noProof/>
                <w:sz w:val="16"/>
                <w:lang w:val="fi-FI"/>
              </w:rPr>
              <w:t>488</w:t>
            </w:r>
          </w:p>
        </w:tc>
        <w:tc>
          <w:tcPr>
            <w:tcW w:w="1417" w:type="dxa"/>
            <w:tcBorders>
              <w:top w:val="single" w:sz="4" w:space="0" w:color="auto"/>
              <w:left w:val="single" w:sz="4" w:space="0" w:color="auto"/>
              <w:bottom w:val="single" w:sz="4" w:space="0" w:color="auto"/>
              <w:right w:val="single" w:sz="4" w:space="0" w:color="auto"/>
            </w:tcBorders>
          </w:tcPr>
          <w:p w14:paraId="31FB42D0" w14:textId="77777777" w:rsidR="003D1EF5" w:rsidRPr="00CE4DF2" w:rsidRDefault="003D1EF5" w:rsidP="009C2C57">
            <w:pPr>
              <w:spacing w:after="0"/>
              <w:jc w:val="right"/>
              <w:rPr>
                <w:noProof/>
                <w:sz w:val="16"/>
                <w:lang w:val="fi-FI"/>
              </w:rPr>
            </w:pPr>
          </w:p>
          <w:p w14:paraId="6B765104" w14:textId="4AAB8ADE" w:rsidR="002034FE" w:rsidRPr="00CE4DF2" w:rsidRDefault="002034FE" w:rsidP="009C2C57">
            <w:pPr>
              <w:spacing w:after="0"/>
              <w:jc w:val="right"/>
              <w:rPr>
                <w:noProof/>
                <w:sz w:val="16"/>
                <w:lang w:val="fi-FI"/>
              </w:rPr>
            </w:pPr>
            <w:r w:rsidRPr="00CE4DF2">
              <w:rPr>
                <w:noProof/>
                <w:sz w:val="16"/>
                <w:lang w:val="fi-FI"/>
              </w:rPr>
              <w:t>2,1</w:t>
            </w:r>
          </w:p>
        </w:tc>
      </w:tr>
      <w:tr w:rsidR="00893005" w:rsidRPr="00CE4DF2" w14:paraId="0A91A7BF" w14:textId="77777777" w:rsidTr="000E6755">
        <w:trPr>
          <w:trHeight w:val="246"/>
        </w:trPr>
        <w:tc>
          <w:tcPr>
            <w:tcW w:w="1526" w:type="dxa"/>
            <w:tcBorders>
              <w:top w:val="single" w:sz="4" w:space="0" w:color="auto"/>
              <w:bottom w:val="single" w:sz="4" w:space="0" w:color="auto"/>
            </w:tcBorders>
            <w:shd w:val="clear" w:color="auto" w:fill="auto"/>
            <w:noWrap/>
            <w:vAlign w:val="bottom"/>
            <w:hideMark/>
          </w:tcPr>
          <w:p w14:paraId="18B67870" w14:textId="77777777" w:rsidR="002034FE" w:rsidRPr="00CE4DF2" w:rsidRDefault="002034FE" w:rsidP="003D1EF5">
            <w:pPr>
              <w:spacing w:after="0"/>
              <w:jc w:val="left"/>
              <w:rPr>
                <w:noProof/>
                <w:sz w:val="16"/>
                <w:lang w:val="fi-FI"/>
              </w:rPr>
            </w:pPr>
            <w:r w:rsidRPr="00CE4DF2">
              <w:rPr>
                <w:noProof/>
                <w:sz w:val="16"/>
                <w:lang w:val="fi-FI"/>
              </w:rPr>
              <w:t>Euroopan T&amp;I-järjestelmän uudistaminen ja parantaminen</w:t>
            </w:r>
          </w:p>
        </w:tc>
        <w:tc>
          <w:tcPr>
            <w:tcW w:w="992" w:type="dxa"/>
            <w:tcBorders>
              <w:top w:val="single" w:sz="4" w:space="0" w:color="auto"/>
              <w:bottom w:val="single" w:sz="4" w:space="0" w:color="auto"/>
            </w:tcBorders>
            <w:shd w:val="clear" w:color="auto" w:fill="auto"/>
            <w:noWrap/>
            <w:vAlign w:val="bottom"/>
          </w:tcPr>
          <w:p w14:paraId="2B37295F" w14:textId="77777777" w:rsidR="002034FE" w:rsidRPr="00CE4DF2" w:rsidRDefault="002034FE" w:rsidP="009C2C57">
            <w:pPr>
              <w:spacing w:after="0"/>
              <w:jc w:val="right"/>
              <w:rPr>
                <w:noProof/>
                <w:sz w:val="16"/>
                <w:lang w:val="fi-FI"/>
              </w:rPr>
            </w:pPr>
            <w:r w:rsidRPr="00CE4DF2">
              <w:rPr>
                <w:noProof/>
                <w:sz w:val="16"/>
                <w:lang w:val="fi-FI"/>
              </w:rPr>
              <w:t>149</w:t>
            </w:r>
          </w:p>
        </w:tc>
        <w:tc>
          <w:tcPr>
            <w:tcW w:w="992" w:type="dxa"/>
            <w:tcBorders>
              <w:top w:val="single" w:sz="4" w:space="0" w:color="auto"/>
              <w:bottom w:val="single" w:sz="4" w:space="0" w:color="auto"/>
            </w:tcBorders>
            <w:shd w:val="clear" w:color="auto" w:fill="auto"/>
            <w:noWrap/>
            <w:vAlign w:val="bottom"/>
          </w:tcPr>
          <w:p w14:paraId="7E3ADC54" w14:textId="77777777" w:rsidR="002034FE" w:rsidRPr="00CE4DF2" w:rsidRDefault="002034FE" w:rsidP="009C2C57">
            <w:pPr>
              <w:spacing w:after="0"/>
              <w:jc w:val="right"/>
              <w:rPr>
                <w:noProof/>
                <w:sz w:val="16"/>
                <w:lang w:val="fi-FI"/>
              </w:rPr>
            </w:pPr>
            <w:r w:rsidRPr="00CE4DF2">
              <w:rPr>
                <w:noProof/>
                <w:sz w:val="16"/>
                <w:lang w:val="fi-FI"/>
              </w:rPr>
              <w:t>51</w:t>
            </w:r>
          </w:p>
        </w:tc>
        <w:tc>
          <w:tcPr>
            <w:tcW w:w="1418" w:type="dxa"/>
            <w:tcBorders>
              <w:top w:val="single" w:sz="4" w:space="0" w:color="auto"/>
              <w:bottom w:val="single" w:sz="4" w:space="0" w:color="auto"/>
            </w:tcBorders>
            <w:shd w:val="clear" w:color="auto" w:fill="auto"/>
            <w:noWrap/>
            <w:vAlign w:val="bottom"/>
          </w:tcPr>
          <w:p w14:paraId="332372E9" w14:textId="77777777" w:rsidR="002034FE" w:rsidRPr="00CE4DF2" w:rsidRDefault="002034FE" w:rsidP="009C2C57">
            <w:pPr>
              <w:spacing w:after="0"/>
              <w:jc w:val="right"/>
              <w:rPr>
                <w:noProof/>
                <w:sz w:val="16"/>
                <w:lang w:val="fi-FI"/>
              </w:rPr>
            </w:pPr>
            <w:r w:rsidRPr="00CE4DF2">
              <w:rPr>
                <w:noProof/>
                <w:sz w:val="16"/>
                <w:lang w:val="fi-FI"/>
              </w:rPr>
              <w:t>34,2 %</w:t>
            </w:r>
          </w:p>
        </w:tc>
        <w:tc>
          <w:tcPr>
            <w:tcW w:w="1134" w:type="dxa"/>
            <w:tcBorders>
              <w:top w:val="single" w:sz="4" w:space="0" w:color="auto"/>
              <w:left w:val="nil"/>
              <w:bottom w:val="single" w:sz="4" w:space="0" w:color="auto"/>
              <w:right w:val="single" w:sz="4" w:space="0" w:color="auto"/>
            </w:tcBorders>
            <w:shd w:val="clear" w:color="auto" w:fill="auto"/>
            <w:noWrap/>
          </w:tcPr>
          <w:p w14:paraId="56F3290E" w14:textId="77777777" w:rsidR="003D1EF5" w:rsidRPr="00CE4DF2" w:rsidRDefault="003D1EF5" w:rsidP="009C2C57">
            <w:pPr>
              <w:spacing w:after="0"/>
              <w:jc w:val="right"/>
              <w:rPr>
                <w:noProof/>
                <w:sz w:val="16"/>
                <w:lang w:val="fi-FI"/>
              </w:rPr>
            </w:pPr>
          </w:p>
          <w:p w14:paraId="71FC19CD" w14:textId="38C7757E" w:rsidR="002034FE" w:rsidRPr="00CE4DF2" w:rsidRDefault="002034FE" w:rsidP="009C2C57">
            <w:pPr>
              <w:spacing w:after="0"/>
              <w:jc w:val="right"/>
              <w:rPr>
                <w:noProof/>
                <w:sz w:val="16"/>
                <w:lang w:val="fi-FI"/>
              </w:rPr>
            </w:pPr>
            <w:r w:rsidRPr="00CE4DF2">
              <w:rPr>
                <w:noProof/>
                <w:sz w:val="16"/>
                <w:lang w:val="fi-FI"/>
              </w:rPr>
              <w:t>125</w:t>
            </w:r>
          </w:p>
        </w:tc>
        <w:tc>
          <w:tcPr>
            <w:tcW w:w="992" w:type="dxa"/>
            <w:tcBorders>
              <w:top w:val="single" w:sz="4" w:space="0" w:color="auto"/>
              <w:left w:val="nil"/>
              <w:bottom w:val="single" w:sz="4" w:space="0" w:color="auto"/>
              <w:right w:val="single" w:sz="4" w:space="0" w:color="auto"/>
            </w:tcBorders>
          </w:tcPr>
          <w:p w14:paraId="012EE693" w14:textId="77777777" w:rsidR="003D1EF5" w:rsidRPr="00CE4DF2" w:rsidRDefault="003D1EF5" w:rsidP="009C2C57">
            <w:pPr>
              <w:spacing w:after="0"/>
              <w:jc w:val="right"/>
              <w:rPr>
                <w:noProof/>
                <w:sz w:val="16"/>
                <w:lang w:val="fi-FI"/>
              </w:rPr>
            </w:pPr>
          </w:p>
          <w:p w14:paraId="6F76C069" w14:textId="3B59DAE2" w:rsidR="002034FE" w:rsidRPr="00CE4DF2" w:rsidRDefault="002034FE" w:rsidP="009C2C57">
            <w:pPr>
              <w:spacing w:after="0"/>
              <w:jc w:val="right"/>
              <w:rPr>
                <w:noProof/>
                <w:sz w:val="16"/>
                <w:lang w:val="fi-FI"/>
              </w:rPr>
            </w:pPr>
            <w:r w:rsidRPr="00CE4DF2">
              <w:rPr>
                <w:noProof/>
                <w:sz w:val="16"/>
                <w:lang w:val="fi-FI"/>
              </w:rPr>
              <w:t>49</w:t>
            </w:r>
          </w:p>
        </w:tc>
        <w:tc>
          <w:tcPr>
            <w:tcW w:w="1418" w:type="dxa"/>
            <w:tcBorders>
              <w:top w:val="single" w:sz="4" w:space="0" w:color="auto"/>
              <w:left w:val="single" w:sz="4" w:space="0" w:color="auto"/>
              <w:bottom w:val="single" w:sz="4" w:space="0" w:color="auto"/>
              <w:right w:val="single" w:sz="4" w:space="0" w:color="auto"/>
            </w:tcBorders>
          </w:tcPr>
          <w:p w14:paraId="106B0111" w14:textId="77777777" w:rsidR="003D1EF5" w:rsidRPr="00CE4DF2" w:rsidRDefault="003D1EF5" w:rsidP="009C2C57">
            <w:pPr>
              <w:spacing w:after="0"/>
              <w:jc w:val="right"/>
              <w:rPr>
                <w:noProof/>
                <w:sz w:val="16"/>
                <w:lang w:val="fi-FI"/>
              </w:rPr>
            </w:pPr>
          </w:p>
          <w:p w14:paraId="39C06E90" w14:textId="50DEDA56" w:rsidR="002034FE" w:rsidRPr="00CE4DF2" w:rsidRDefault="002034FE" w:rsidP="009C2C57">
            <w:pPr>
              <w:spacing w:after="0"/>
              <w:jc w:val="right"/>
              <w:rPr>
                <w:noProof/>
                <w:sz w:val="16"/>
                <w:lang w:val="fi-FI"/>
              </w:rPr>
            </w:pPr>
            <w:r w:rsidRPr="00CE4DF2">
              <w:rPr>
                <w:noProof/>
                <w:sz w:val="16"/>
                <w:lang w:val="fi-FI"/>
              </w:rPr>
              <w:t>110</w:t>
            </w:r>
          </w:p>
        </w:tc>
        <w:tc>
          <w:tcPr>
            <w:tcW w:w="1417" w:type="dxa"/>
            <w:tcBorders>
              <w:top w:val="single" w:sz="4" w:space="0" w:color="auto"/>
              <w:left w:val="single" w:sz="4" w:space="0" w:color="auto"/>
              <w:bottom w:val="single" w:sz="4" w:space="0" w:color="auto"/>
              <w:right w:val="single" w:sz="4" w:space="0" w:color="auto"/>
            </w:tcBorders>
          </w:tcPr>
          <w:p w14:paraId="7266F65B" w14:textId="77777777" w:rsidR="003D1EF5" w:rsidRPr="00CE4DF2" w:rsidRDefault="003D1EF5" w:rsidP="009C2C57">
            <w:pPr>
              <w:spacing w:after="0"/>
              <w:jc w:val="right"/>
              <w:rPr>
                <w:noProof/>
                <w:sz w:val="16"/>
                <w:lang w:val="fi-FI"/>
              </w:rPr>
            </w:pPr>
          </w:p>
          <w:p w14:paraId="265E4BE0" w14:textId="69B8D241" w:rsidR="002034FE" w:rsidRPr="00CE4DF2" w:rsidRDefault="002034FE" w:rsidP="009C2C57">
            <w:pPr>
              <w:spacing w:after="0"/>
              <w:jc w:val="right"/>
              <w:rPr>
                <w:noProof/>
                <w:sz w:val="16"/>
                <w:lang w:val="fi-FI"/>
              </w:rPr>
            </w:pPr>
            <w:r w:rsidRPr="00CE4DF2">
              <w:rPr>
                <w:noProof/>
                <w:sz w:val="16"/>
                <w:lang w:val="fi-FI"/>
              </w:rPr>
              <w:t>2,2</w:t>
            </w:r>
          </w:p>
        </w:tc>
      </w:tr>
      <w:tr w:rsidR="000E6755" w:rsidRPr="00CE4DF2" w14:paraId="6D999DB6" w14:textId="77777777" w:rsidTr="000E6755">
        <w:trPr>
          <w:trHeight w:val="246"/>
        </w:trPr>
        <w:tc>
          <w:tcPr>
            <w:tcW w:w="1526" w:type="dxa"/>
            <w:tcBorders>
              <w:top w:val="single" w:sz="4" w:space="0" w:color="auto"/>
              <w:bottom w:val="single" w:sz="4" w:space="0" w:color="auto"/>
            </w:tcBorders>
            <w:shd w:val="clear" w:color="auto" w:fill="BFBFBF" w:themeFill="background1" w:themeFillShade="BF"/>
            <w:noWrap/>
            <w:vAlign w:val="bottom"/>
          </w:tcPr>
          <w:p w14:paraId="10DCF5EC" w14:textId="77777777" w:rsidR="002034FE" w:rsidRPr="00CE4DF2" w:rsidRDefault="002034FE" w:rsidP="009C2C57">
            <w:pPr>
              <w:spacing w:after="0"/>
              <w:rPr>
                <w:b/>
                <w:noProof/>
                <w:sz w:val="16"/>
                <w:lang w:val="fi-FI"/>
              </w:rPr>
            </w:pPr>
            <w:r w:rsidRPr="00CE4DF2">
              <w:rPr>
                <w:b/>
                <w:noProof/>
                <w:sz w:val="16"/>
                <w:lang w:val="fi-FI"/>
              </w:rPr>
              <w:t>Horisontti Eurooppa -ohjelma yhteensä</w:t>
            </w:r>
          </w:p>
        </w:tc>
        <w:tc>
          <w:tcPr>
            <w:tcW w:w="992" w:type="dxa"/>
            <w:tcBorders>
              <w:top w:val="single" w:sz="4" w:space="0" w:color="auto"/>
              <w:bottom w:val="single" w:sz="4" w:space="0" w:color="auto"/>
            </w:tcBorders>
            <w:shd w:val="clear" w:color="auto" w:fill="BFBFBF" w:themeFill="background1" w:themeFillShade="BF"/>
            <w:noWrap/>
            <w:vAlign w:val="bottom"/>
          </w:tcPr>
          <w:p w14:paraId="07D326AB" w14:textId="77777777" w:rsidR="002034FE" w:rsidRPr="00CE4DF2" w:rsidRDefault="002034FE" w:rsidP="009C2C57">
            <w:pPr>
              <w:spacing w:after="0"/>
              <w:jc w:val="right"/>
              <w:rPr>
                <w:b/>
                <w:noProof/>
                <w:sz w:val="16"/>
                <w:lang w:val="fi-FI"/>
              </w:rPr>
            </w:pPr>
            <w:r w:rsidRPr="00CE4DF2">
              <w:rPr>
                <w:b/>
                <w:noProof/>
                <w:sz w:val="16"/>
                <w:lang w:val="fi-FI"/>
              </w:rPr>
              <w:t>44 832</w:t>
            </w:r>
          </w:p>
        </w:tc>
        <w:tc>
          <w:tcPr>
            <w:tcW w:w="992" w:type="dxa"/>
            <w:tcBorders>
              <w:top w:val="single" w:sz="4" w:space="0" w:color="auto"/>
              <w:bottom w:val="single" w:sz="4" w:space="0" w:color="auto"/>
            </w:tcBorders>
            <w:shd w:val="clear" w:color="auto" w:fill="BFBFBF" w:themeFill="background1" w:themeFillShade="BF"/>
            <w:noWrap/>
            <w:vAlign w:val="bottom"/>
          </w:tcPr>
          <w:p w14:paraId="4A7F2FFC" w14:textId="77777777" w:rsidR="002034FE" w:rsidRPr="00CE4DF2" w:rsidRDefault="002034FE" w:rsidP="009C2C57">
            <w:pPr>
              <w:spacing w:after="0"/>
              <w:jc w:val="right"/>
              <w:rPr>
                <w:b/>
                <w:noProof/>
                <w:sz w:val="16"/>
                <w:lang w:val="fi-FI"/>
              </w:rPr>
            </w:pPr>
            <w:r w:rsidRPr="00CE4DF2">
              <w:rPr>
                <w:b/>
                <w:noProof/>
                <w:sz w:val="16"/>
                <w:lang w:val="fi-FI"/>
              </w:rPr>
              <w:t>7 108</w:t>
            </w:r>
          </w:p>
        </w:tc>
        <w:tc>
          <w:tcPr>
            <w:tcW w:w="1418" w:type="dxa"/>
            <w:tcBorders>
              <w:top w:val="single" w:sz="4" w:space="0" w:color="auto"/>
              <w:bottom w:val="single" w:sz="4" w:space="0" w:color="auto"/>
            </w:tcBorders>
            <w:shd w:val="clear" w:color="auto" w:fill="BFBFBF" w:themeFill="background1" w:themeFillShade="BF"/>
            <w:noWrap/>
            <w:vAlign w:val="bottom"/>
          </w:tcPr>
          <w:p w14:paraId="0C60A36D" w14:textId="77777777" w:rsidR="002034FE" w:rsidRPr="00CE4DF2" w:rsidRDefault="002034FE" w:rsidP="009C2C57">
            <w:pPr>
              <w:spacing w:after="0"/>
              <w:jc w:val="right"/>
              <w:rPr>
                <w:b/>
                <w:noProof/>
                <w:sz w:val="16"/>
                <w:lang w:val="fi-FI"/>
              </w:rPr>
            </w:pPr>
            <w:r w:rsidRPr="00CE4DF2">
              <w:rPr>
                <w:b/>
                <w:noProof/>
                <w:sz w:val="16"/>
                <w:lang w:val="fi-FI"/>
              </w:rPr>
              <w:t>15,9 %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tcPr>
          <w:p w14:paraId="726A4E02" w14:textId="77777777" w:rsidR="002034FE" w:rsidRPr="00CE4DF2" w:rsidRDefault="002034FE" w:rsidP="009C2C57">
            <w:pPr>
              <w:spacing w:after="0"/>
              <w:jc w:val="right"/>
              <w:rPr>
                <w:b/>
                <w:noProof/>
                <w:sz w:val="16"/>
                <w:lang w:val="fi-FI"/>
              </w:rPr>
            </w:pPr>
            <w:r w:rsidRPr="00CE4DF2">
              <w:rPr>
                <w:b/>
                <w:noProof/>
                <w:sz w:val="16"/>
                <w:lang w:val="fi-FI"/>
              </w:rPr>
              <w:t>20 546</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tcPr>
          <w:p w14:paraId="733F9284" w14:textId="77777777" w:rsidR="002034FE" w:rsidRPr="00CE4DF2" w:rsidRDefault="002034FE" w:rsidP="009C2C57">
            <w:pPr>
              <w:spacing w:after="0"/>
              <w:jc w:val="right"/>
              <w:rPr>
                <w:b/>
                <w:noProof/>
                <w:sz w:val="16"/>
                <w:lang w:val="fi-FI"/>
              </w:rPr>
            </w:pPr>
            <w:r w:rsidRPr="00CE4DF2">
              <w:rPr>
                <w:b/>
                <w:noProof/>
                <w:sz w:val="16"/>
                <w:lang w:val="fi-FI"/>
              </w:rPr>
              <w:t>5 509</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4D274" w14:textId="77777777" w:rsidR="002034FE" w:rsidRPr="00CE4DF2" w:rsidRDefault="002034FE" w:rsidP="009C2C57">
            <w:pPr>
              <w:spacing w:after="0"/>
              <w:jc w:val="right"/>
              <w:rPr>
                <w:b/>
                <w:noProof/>
                <w:sz w:val="16"/>
                <w:lang w:val="fi-FI"/>
              </w:rPr>
            </w:pPr>
            <w:r w:rsidRPr="00CE4DF2">
              <w:rPr>
                <w:b/>
                <w:noProof/>
                <w:sz w:val="16"/>
                <w:lang w:val="fi-FI"/>
              </w:rPr>
              <w:t>16 279</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6A99C3" w14:textId="77777777" w:rsidR="002034FE" w:rsidRPr="00CE4DF2" w:rsidRDefault="002034FE" w:rsidP="009C2C57">
            <w:pPr>
              <w:spacing w:after="0"/>
              <w:jc w:val="right"/>
              <w:rPr>
                <w:b/>
                <w:noProof/>
                <w:sz w:val="16"/>
                <w:lang w:val="fi-FI"/>
              </w:rPr>
            </w:pPr>
            <w:r w:rsidRPr="00CE4DF2">
              <w:rPr>
                <w:b/>
                <w:noProof/>
                <w:sz w:val="16"/>
                <w:lang w:val="fi-FI"/>
              </w:rPr>
              <w:t>3.0</w:t>
            </w:r>
          </w:p>
        </w:tc>
      </w:tr>
    </w:tbl>
    <w:p w14:paraId="39444115" w14:textId="0BA8CD44" w:rsidR="002034FE" w:rsidRPr="00CE4DF2" w:rsidRDefault="008A7F48" w:rsidP="002034FE">
      <w:pPr>
        <w:rPr>
          <w:i/>
          <w:noProof/>
          <w:sz w:val="18"/>
          <w:lang w:val="fi-FI"/>
        </w:rPr>
      </w:pPr>
      <w:r w:rsidRPr="00CE4DF2">
        <w:rPr>
          <w:i/>
          <w:noProof/>
          <w:sz w:val="18"/>
          <w:lang w:val="fi-FI"/>
        </w:rPr>
        <w:t xml:space="preserve">* EIC:n Accelerator-välineeseen liittyviä ehdotuksia koskevia tietoja ei ollut saatavana tämän analyysin laatimishetkellä. </w:t>
      </w:r>
      <w:r w:rsidRPr="00CE4DF2">
        <w:rPr>
          <w:noProof/>
          <w:lang w:val="fi-FI"/>
        </w:rPr>
        <w:tab/>
        <w:t xml:space="preserve"> </w:t>
      </w:r>
      <w:r w:rsidRPr="00CE4DF2">
        <w:rPr>
          <w:noProof/>
          <w:lang w:val="fi-FI"/>
        </w:rPr>
        <w:cr/>
      </w:r>
      <w:r w:rsidRPr="00CE4DF2">
        <w:rPr>
          <w:noProof/>
          <w:lang w:val="fi-FI"/>
        </w:rPr>
        <w:br/>
      </w:r>
      <w:r w:rsidRPr="00CE4DF2">
        <w:rPr>
          <w:i/>
          <w:noProof/>
          <w:sz w:val="18"/>
          <w:lang w:val="fi-FI"/>
        </w:rPr>
        <w:t>Taulukko 1: Ehdotukset ja avustukset ohjelman kussakin osassa</w:t>
      </w:r>
      <w:r w:rsidRPr="00CE4DF2">
        <w:rPr>
          <w:noProof/>
          <w:lang w:val="fi-FI"/>
        </w:rPr>
        <w:tab/>
        <w:t xml:space="preserve"> </w:t>
      </w:r>
      <w:r w:rsidRPr="00CE4DF2">
        <w:rPr>
          <w:noProof/>
          <w:lang w:val="fi-FI"/>
        </w:rPr>
        <w:cr/>
      </w:r>
      <w:r w:rsidRPr="00CE4DF2">
        <w:rPr>
          <w:noProof/>
          <w:lang w:val="fi-FI"/>
        </w:rPr>
        <w:br/>
      </w:r>
    </w:p>
    <w:p w14:paraId="2AF4A6E7" w14:textId="6D4A781B" w:rsidR="002034FE" w:rsidRPr="00CE4DF2" w:rsidRDefault="00EF6C97" w:rsidP="00E6025B">
      <w:pPr>
        <w:pStyle w:val="Heading3"/>
        <w:numPr>
          <w:ilvl w:val="0"/>
          <w:numId w:val="0"/>
        </w:numPr>
        <w:spacing w:before="0"/>
        <w:ind w:left="850" w:hanging="850"/>
        <w:rPr>
          <w:b/>
          <w:i w:val="0"/>
          <w:noProof/>
          <w:lang w:val="fi-FI"/>
        </w:rPr>
      </w:pPr>
      <w:r w:rsidRPr="00CE4DF2">
        <w:rPr>
          <w:noProof/>
          <w:lang w:val="fi-FI"/>
        </w:rPr>
        <w:br w:type="page"/>
      </w:r>
      <w:r w:rsidRPr="00CE4DF2">
        <w:rPr>
          <w:b/>
          <w:i w:val="0"/>
          <w:noProof/>
          <w:lang w:val="fi-FI"/>
        </w:rPr>
        <w:t xml:space="preserve">Hakijat ja osallistujat </w:t>
      </w:r>
    </w:p>
    <w:p w14:paraId="06B3BB92" w14:textId="46F36769" w:rsidR="002034FE" w:rsidRPr="00CE4DF2" w:rsidRDefault="002034FE" w:rsidP="002034FE">
      <w:pPr>
        <w:rPr>
          <w:i/>
          <w:noProof/>
          <w:sz w:val="18"/>
          <w:lang w:val="fi-FI"/>
        </w:rPr>
      </w:pPr>
      <w:r w:rsidRPr="00CE4DF2">
        <w:rPr>
          <w:i/>
          <w:noProof/>
          <w:sz w:val="18"/>
          <w:lang w:val="fi-FI"/>
        </w:rPr>
        <w:t>Lähde: Horizon Dashboard 30.12.2022.</w:t>
      </w:r>
    </w:p>
    <w:p w14:paraId="382F86BD" w14:textId="256A5343" w:rsidR="002034FE" w:rsidRPr="00CE4DF2" w:rsidRDefault="002034FE" w:rsidP="00801BB4">
      <w:pPr>
        <w:rPr>
          <w:noProof/>
          <w:lang w:val="fi-FI"/>
        </w:rPr>
      </w:pPr>
      <w:r w:rsidRPr="00CE4DF2">
        <w:rPr>
          <w:noProof/>
          <w:lang w:val="fi-FI"/>
        </w:rPr>
        <w:t xml:space="preserve">Jäsenvaltioiden osuus toimitetuista tukikelpoisista hakemuksista oli 81,8 prosenttia; 18,8 prosenttia hakemuksista tuli </w:t>
      </w:r>
      <w:hyperlink r:id="rId96" w:history="1">
        <w:r w:rsidRPr="00CE4DF2">
          <w:rPr>
            <w:rStyle w:val="Hyperlink"/>
            <w:noProof/>
            <w:lang w:val="fi-FI"/>
          </w:rPr>
          <w:t>osallistumispohjaa laajentavissa maissa</w:t>
        </w:r>
      </w:hyperlink>
      <w:r w:rsidRPr="00CE4DF2">
        <w:rPr>
          <w:noProof/>
          <w:lang w:val="fi-FI"/>
        </w:rPr>
        <w:t xml:space="preserve"> sijaitsevilta organisaatioilta. </w:t>
      </w:r>
    </w:p>
    <w:p w14:paraId="1250CB11" w14:textId="075CE316" w:rsidR="002034FE" w:rsidRPr="00CE4DF2" w:rsidRDefault="002034FE" w:rsidP="000E11E0">
      <w:pPr>
        <w:rPr>
          <w:noProof/>
          <w:lang w:val="fi-FI"/>
        </w:rPr>
      </w:pPr>
      <w:r w:rsidRPr="00CE4DF2">
        <w:rPr>
          <w:noProof/>
          <w:lang w:val="fi-FI"/>
        </w:rPr>
        <w:t>Assosioituneet maat toimittivat 5,7 prosenttia kaikista hakemuksista. Kolmannet maat toimittivat 12,5 prosenttia hakemuksista, ja niistä yli puolet tuli Yhdistyneessä kuningaskunnassa</w:t>
      </w:r>
      <w:r w:rsidRPr="00CE4DF2">
        <w:rPr>
          <w:rStyle w:val="FootnoteReference"/>
          <w:noProof/>
          <w:lang w:val="fi-FI"/>
        </w:rPr>
        <w:footnoteReference w:id="6"/>
      </w:r>
      <w:r w:rsidRPr="00CE4DF2">
        <w:rPr>
          <w:noProof/>
          <w:lang w:val="fi-FI"/>
        </w:rPr>
        <w:t xml:space="preserve"> sijaitsevilta organisaatioilta. </w:t>
      </w:r>
    </w:p>
    <w:p w14:paraId="11807DAA" w14:textId="77777777" w:rsidR="00EF6C97" w:rsidRPr="00CE4DF2" w:rsidRDefault="00EF6C97" w:rsidP="000E11E0">
      <w:pPr>
        <w:rPr>
          <w:noProof/>
          <w:lang w:val="fi-FI"/>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276"/>
        <w:gridCol w:w="1134"/>
        <w:gridCol w:w="992"/>
        <w:gridCol w:w="851"/>
        <w:gridCol w:w="992"/>
        <w:gridCol w:w="1378"/>
      </w:tblGrid>
      <w:tr w:rsidR="002034FE" w:rsidRPr="00FB2D65" w14:paraId="66A6225B" w14:textId="77777777" w:rsidTr="0037157F">
        <w:trPr>
          <w:trHeight w:val="246"/>
        </w:trPr>
        <w:tc>
          <w:tcPr>
            <w:tcW w:w="1526" w:type="dxa"/>
            <w:tcBorders>
              <w:bottom w:val="single" w:sz="4" w:space="0" w:color="auto"/>
              <w:right w:val="single" w:sz="4" w:space="0" w:color="auto"/>
            </w:tcBorders>
            <w:shd w:val="clear" w:color="000000" w:fill="4F81BD"/>
            <w:noWrap/>
            <w:vAlign w:val="center"/>
            <w:hideMark/>
          </w:tcPr>
          <w:p w14:paraId="408B0CD0" w14:textId="6AF4A8B9" w:rsidR="002034FE" w:rsidRPr="00CE4DF2" w:rsidRDefault="002034FE" w:rsidP="009C2C57">
            <w:pPr>
              <w:spacing w:after="0"/>
              <w:rPr>
                <w:b/>
                <w:noProof/>
                <w:color w:val="FFFFFF"/>
                <w:sz w:val="16"/>
                <w:lang w:val="fi-FI"/>
              </w:rPr>
            </w:pPr>
            <w:r w:rsidRPr="00CE4DF2">
              <w:rPr>
                <w:noProof/>
                <w:lang w:val="fi-FI"/>
              </w:rPr>
              <w:t xml:space="preserve"> </w:t>
            </w:r>
            <w:r w:rsidRPr="00CE4DF2">
              <w:rPr>
                <w:b/>
                <w:noProof/>
                <w:color w:val="FFFFFF"/>
                <w:sz w:val="16"/>
                <w:lang w:val="fi-FI"/>
              </w:rPr>
              <w:t>Maaryhmä</w:t>
            </w:r>
          </w:p>
        </w:tc>
        <w:tc>
          <w:tcPr>
            <w:tcW w:w="1417" w:type="dxa"/>
            <w:tcBorders>
              <w:left w:val="single" w:sz="4" w:space="0" w:color="auto"/>
              <w:bottom w:val="single" w:sz="4" w:space="0" w:color="auto"/>
              <w:right w:val="single" w:sz="4" w:space="0" w:color="auto"/>
            </w:tcBorders>
            <w:shd w:val="clear" w:color="000000" w:fill="4F81BD"/>
            <w:noWrap/>
            <w:vAlign w:val="center"/>
            <w:hideMark/>
          </w:tcPr>
          <w:p w14:paraId="317765E6" w14:textId="77777777" w:rsidR="002034FE" w:rsidRPr="00CE4DF2" w:rsidRDefault="002034FE" w:rsidP="00E6025B">
            <w:pPr>
              <w:spacing w:after="0"/>
              <w:jc w:val="left"/>
              <w:rPr>
                <w:b/>
                <w:noProof/>
                <w:color w:val="FFFFFF"/>
                <w:sz w:val="16"/>
                <w:lang w:val="fi-FI"/>
              </w:rPr>
            </w:pPr>
            <w:r w:rsidRPr="00CE4DF2">
              <w:rPr>
                <w:b/>
                <w:noProof/>
                <w:color w:val="FFFFFF"/>
                <w:sz w:val="16"/>
                <w:lang w:val="fi-FI"/>
              </w:rPr>
              <w:t>Tukikelpoisiin ehdotuksiin liittyvät hakemukset</w:t>
            </w:r>
          </w:p>
        </w:tc>
        <w:tc>
          <w:tcPr>
            <w:tcW w:w="1276" w:type="dxa"/>
            <w:tcBorders>
              <w:left w:val="single" w:sz="4" w:space="0" w:color="auto"/>
              <w:bottom w:val="single" w:sz="4" w:space="0" w:color="auto"/>
              <w:right w:val="single" w:sz="4" w:space="0" w:color="auto"/>
            </w:tcBorders>
            <w:shd w:val="clear" w:color="000000" w:fill="4F81BD"/>
            <w:noWrap/>
            <w:vAlign w:val="center"/>
            <w:hideMark/>
          </w:tcPr>
          <w:p w14:paraId="4C8CF654" w14:textId="6EB23402" w:rsidR="002034FE" w:rsidRPr="00CE4DF2" w:rsidRDefault="004918C2" w:rsidP="00E6025B">
            <w:pPr>
              <w:spacing w:after="0"/>
              <w:jc w:val="left"/>
              <w:rPr>
                <w:b/>
                <w:noProof/>
                <w:color w:val="FFFFFF"/>
                <w:sz w:val="16"/>
                <w:lang w:val="fi-FI"/>
              </w:rPr>
            </w:pPr>
            <w:r w:rsidRPr="00CE4DF2">
              <w:rPr>
                <w:b/>
                <w:noProof/>
                <w:color w:val="FFFFFF"/>
                <w:sz w:val="16"/>
                <w:lang w:val="fi-FI"/>
              </w:rPr>
              <w:t>Prosenttiosuus kaikista hakemuksista</w:t>
            </w:r>
          </w:p>
        </w:tc>
        <w:tc>
          <w:tcPr>
            <w:tcW w:w="1134" w:type="dxa"/>
            <w:tcBorders>
              <w:left w:val="single" w:sz="4" w:space="0" w:color="auto"/>
              <w:bottom w:val="single" w:sz="4" w:space="0" w:color="auto"/>
              <w:right w:val="single" w:sz="4" w:space="0" w:color="auto"/>
            </w:tcBorders>
            <w:shd w:val="clear" w:color="000000" w:fill="4F81BD"/>
          </w:tcPr>
          <w:p w14:paraId="56D2E32F" w14:textId="77777777" w:rsidR="002034FE" w:rsidRPr="00CE4DF2" w:rsidRDefault="002034FE" w:rsidP="00E6025B">
            <w:pPr>
              <w:spacing w:after="0"/>
              <w:jc w:val="left"/>
              <w:rPr>
                <w:b/>
                <w:noProof/>
                <w:color w:val="FFFFFF"/>
                <w:sz w:val="16"/>
                <w:lang w:val="fi-FI"/>
              </w:rPr>
            </w:pPr>
          </w:p>
          <w:p w14:paraId="210DBEEE" w14:textId="215684E7" w:rsidR="002034FE" w:rsidRPr="00CE4DF2" w:rsidRDefault="004918C2" w:rsidP="00E6025B">
            <w:pPr>
              <w:spacing w:after="0"/>
              <w:jc w:val="left"/>
              <w:rPr>
                <w:b/>
                <w:noProof/>
                <w:color w:val="FFFFFF"/>
                <w:sz w:val="16"/>
                <w:lang w:val="fi-FI"/>
              </w:rPr>
            </w:pPr>
            <w:r w:rsidRPr="00CE4DF2">
              <w:rPr>
                <w:b/>
                <w:noProof/>
                <w:color w:val="FFFFFF"/>
                <w:sz w:val="16"/>
                <w:lang w:val="fi-FI"/>
              </w:rPr>
              <w:t>Hakemusten hyväksymisaste</w:t>
            </w:r>
          </w:p>
        </w:tc>
        <w:tc>
          <w:tcPr>
            <w:tcW w:w="992" w:type="dxa"/>
            <w:tcBorders>
              <w:left w:val="single" w:sz="4" w:space="0" w:color="auto"/>
              <w:bottom w:val="single" w:sz="4" w:space="0" w:color="auto"/>
              <w:right w:val="single" w:sz="4" w:space="0" w:color="auto"/>
            </w:tcBorders>
            <w:shd w:val="clear" w:color="000000" w:fill="4F81BD"/>
            <w:noWrap/>
            <w:vAlign w:val="center"/>
            <w:hideMark/>
          </w:tcPr>
          <w:p w14:paraId="276273D3" w14:textId="4E91149A" w:rsidR="002034FE" w:rsidRPr="00CE4DF2" w:rsidRDefault="002034FE" w:rsidP="00E6025B">
            <w:pPr>
              <w:spacing w:after="0"/>
              <w:jc w:val="left"/>
              <w:rPr>
                <w:b/>
                <w:noProof/>
                <w:color w:val="FFFFFF"/>
                <w:sz w:val="16"/>
                <w:lang w:val="fi-FI"/>
              </w:rPr>
            </w:pPr>
            <w:r w:rsidRPr="00CE4DF2">
              <w:rPr>
                <w:b/>
                <w:noProof/>
                <w:color w:val="FFFFFF"/>
                <w:sz w:val="16"/>
                <w:lang w:val="fi-FI"/>
              </w:rPr>
              <w:t>Osallistuminen allekirjoitetuissa avustussopimuksissa</w:t>
            </w:r>
          </w:p>
        </w:tc>
        <w:tc>
          <w:tcPr>
            <w:tcW w:w="851" w:type="dxa"/>
            <w:tcBorders>
              <w:left w:val="single" w:sz="4" w:space="0" w:color="auto"/>
              <w:bottom w:val="single" w:sz="4" w:space="0" w:color="auto"/>
              <w:right w:val="single" w:sz="4" w:space="0" w:color="auto"/>
            </w:tcBorders>
            <w:shd w:val="clear" w:color="000000" w:fill="4F81BD"/>
            <w:noWrap/>
            <w:vAlign w:val="center"/>
            <w:hideMark/>
          </w:tcPr>
          <w:p w14:paraId="07022472" w14:textId="121B0E84" w:rsidR="002034FE" w:rsidRPr="00CE4DF2" w:rsidRDefault="002034FE" w:rsidP="00E6025B">
            <w:pPr>
              <w:spacing w:after="0"/>
              <w:jc w:val="left"/>
              <w:rPr>
                <w:b/>
                <w:noProof/>
                <w:color w:val="FFFFFF"/>
                <w:sz w:val="16"/>
                <w:lang w:val="fi-FI"/>
              </w:rPr>
            </w:pPr>
            <w:r w:rsidRPr="00CE4DF2">
              <w:rPr>
                <w:b/>
                <w:noProof/>
                <w:color w:val="FFFFFF"/>
                <w:sz w:val="16"/>
                <w:lang w:val="fi-FI"/>
              </w:rPr>
              <w:t>Prosenttiosuus kaikista osallistumisista</w:t>
            </w:r>
          </w:p>
        </w:tc>
        <w:tc>
          <w:tcPr>
            <w:tcW w:w="992" w:type="dxa"/>
            <w:tcBorders>
              <w:left w:val="single" w:sz="4" w:space="0" w:color="auto"/>
              <w:bottom w:val="single" w:sz="4" w:space="0" w:color="auto"/>
              <w:right w:val="single" w:sz="4" w:space="0" w:color="auto"/>
            </w:tcBorders>
            <w:shd w:val="clear" w:color="000000" w:fill="4F81BD"/>
            <w:noWrap/>
            <w:vAlign w:val="center"/>
            <w:hideMark/>
          </w:tcPr>
          <w:p w14:paraId="783CE521" w14:textId="3DD6A02B" w:rsidR="002034FE" w:rsidRPr="00CE4DF2" w:rsidRDefault="002034FE" w:rsidP="0043210F">
            <w:pPr>
              <w:spacing w:after="0"/>
              <w:jc w:val="left"/>
              <w:rPr>
                <w:b/>
                <w:noProof/>
                <w:color w:val="FFFFFF"/>
                <w:sz w:val="16"/>
                <w:lang w:val="fi-FI"/>
              </w:rPr>
            </w:pPr>
            <w:r w:rsidRPr="00CE4DF2">
              <w:rPr>
                <w:b/>
                <w:noProof/>
                <w:color w:val="FFFFFF"/>
                <w:sz w:val="16"/>
                <w:lang w:val="fi-FI"/>
              </w:rPr>
              <w:t>EU:n rahoitusosuus allekirjoitetuissa avustussopimuksissa (miljoonaa euroa)</w:t>
            </w:r>
          </w:p>
        </w:tc>
        <w:tc>
          <w:tcPr>
            <w:tcW w:w="1378" w:type="dxa"/>
            <w:tcBorders>
              <w:left w:val="single" w:sz="4" w:space="0" w:color="auto"/>
              <w:bottom w:val="single" w:sz="4" w:space="0" w:color="auto"/>
            </w:tcBorders>
            <w:shd w:val="clear" w:color="000000" w:fill="4F81BD"/>
            <w:noWrap/>
            <w:vAlign w:val="center"/>
            <w:hideMark/>
          </w:tcPr>
          <w:p w14:paraId="532F1A46" w14:textId="77777777" w:rsidR="002034FE" w:rsidRPr="00CE4DF2" w:rsidRDefault="002034FE" w:rsidP="00E6025B">
            <w:pPr>
              <w:spacing w:after="0"/>
              <w:jc w:val="left"/>
              <w:rPr>
                <w:b/>
                <w:noProof/>
                <w:color w:val="FFFFFF"/>
                <w:sz w:val="16"/>
                <w:lang w:val="fi-FI"/>
              </w:rPr>
            </w:pPr>
            <w:r w:rsidRPr="00CE4DF2">
              <w:rPr>
                <w:b/>
                <w:noProof/>
                <w:color w:val="FFFFFF"/>
                <w:sz w:val="16"/>
                <w:lang w:val="fi-FI"/>
              </w:rPr>
              <w:t>Prosenttiosuus EU:n kokonaisrahoitusosuudesta allekirjoitetuissa avustussopimuksissa</w:t>
            </w:r>
          </w:p>
          <w:p w14:paraId="510FCFDD" w14:textId="77777777" w:rsidR="002034FE" w:rsidRPr="00CE4DF2" w:rsidRDefault="002034FE" w:rsidP="00E6025B">
            <w:pPr>
              <w:spacing w:after="0"/>
              <w:jc w:val="left"/>
              <w:rPr>
                <w:b/>
                <w:noProof/>
                <w:color w:val="FFFFFF"/>
                <w:sz w:val="16"/>
                <w:lang w:val="fi-FI"/>
              </w:rPr>
            </w:pPr>
          </w:p>
        </w:tc>
      </w:tr>
      <w:tr w:rsidR="002034FE" w:rsidRPr="00CE4DF2" w14:paraId="58AA35F5" w14:textId="77777777" w:rsidTr="0037157F">
        <w:trPr>
          <w:trHeight w:val="246"/>
        </w:trPr>
        <w:tc>
          <w:tcPr>
            <w:tcW w:w="1526" w:type="dxa"/>
            <w:tcBorders>
              <w:top w:val="single" w:sz="4" w:space="0" w:color="auto"/>
              <w:bottom w:val="single" w:sz="4" w:space="0" w:color="auto"/>
            </w:tcBorders>
            <w:shd w:val="clear" w:color="auto" w:fill="auto"/>
            <w:noWrap/>
            <w:vAlign w:val="bottom"/>
          </w:tcPr>
          <w:p w14:paraId="0E80EB6E" w14:textId="244391B2" w:rsidR="002034FE" w:rsidRPr="00CE4DF2" w:rsidRDefault="002034FE" w:rsidP="0039008B">
            <w:pPr>
              <w:spacing w:after="0"/>
              <w:rPr>
                <w:noProof/>
                <w:sz w:val="16"/>
                <w:lang w:val="fi-FI"/>
              </w:rPr>
            </w:pPr>
            <w:r w:rsidRPr="00CE4DF2">
              <w:rPr>
                <w:noProof/>
                <w:sz w:val="16"/>
                <w:lang w:val="fi-FI"/>
              </w:rPr>
              <w:t>Jäsenvaltiot</w:t>
            </w:r>
          </w:p>
        </w:tc>
        <w:tc>
          <w:tcPr>
            <w:tcW w:w="1417" w:type="dxa"/>
            <w:tcBorders>
              <w:top w:val="single" w:sz="4" w:space="0" w:color="auto"/>
              <w:bottom w:val="single" w:sz="4" w:space="0" w:color="auto"/>
            </w:tcBorders>
            <w:shd w:val="clear" w:color="auto" w:fill="auto"/>
            <w:noWrap/>
            <w:vAlign w:val="bottom"/>
          </w:tcPr>
          <w:p w14:paraId="02D4A3CC" w14:textId="77777777" w:rsidR="002034FE" w:rsidRPr="00CE4DF2" w:rsidRDefault="002034FE" w:rsidP="009C2C57">
            <w:pPr>
              <w:spacing w:after="0"/>
              <w:jc w:val="center"/>
              <w:rPr>
                <w:noProof/>
                <w:sz w:val="16"/>
                <w:lang w:val="fi-FI"/>
              </w:rPr>
            </w:pPr>
            <w:r w:rsidRPr="00CE4DF2">
              <w:rPr>
                <w:noProof/>
                <w:sz w:val="16"/>
                <w:lang w:val="fi-FI"/>
              </w:rPr>
              <w:t>167 859</w:t>
            </w:r>
          </w:p>
        </w:tc>
        <w:tc>
          <w:tcPr>
            <w:tcW w:w="1276" w:type="dxa"/>
            <w:tcBorders>
              <w:top w:val="single" w:sz="4" w:space="0" w:color="auto"/>
              <w:bottom w:val="single" w:sz="4" w:space="0" w:color="auto"/>
            </w:tcBorders>
            <w:shd w:val="clear" w:color="auto" w:fill="auto"/>
            <w:noWrap/>
            <w:vAlign w:val="bottom"/>
          </w:tcPr>
          <w:p w14:paraId="329C6B81" w14:textId="77777777" w:rsidR="002034FE" w:rsidRPr="00CE4DF2" w:rsidRDefault="002034FE" w:rsidP="009C2C57">
            <w:pPr>
              <w:spacing w:after="0"/>
              <w:jc w:val="center"/>
              <w:rPr>
                <w:noProof/>
                <w:sz w:val="16"/>
                <w:lang w:val="fi-FI"/>
              </w:rPr>
            </w:pPr>
            <w:r w:rsidRPr="00CE4DF2">
              <w:rPr>
                <w:noProof/>
                <w:sz w:val="16"/>
                <w:lang w:val="fi-FI"/>
              </w:rPr>
              <w:t>81,8 %</w:t>
            </w:r>
          </w:p>
        </w:tc>
        <w:tc>
          <w:tcPr>
            <w:tcW w:w="1134" w:type="dxa"/>
            <w:tcBorders>
              <w:top w:val="single" w:sz="4" w:space="0" w:color="auto"/>
              <w:bottom w:val="single" w:sz="4" w:space="0" w:color="auto"/>
            </w:tcBorders>
            <w:vAlign w:val="bottom"/>
          </w:tcPr>
          <w:p w14:paraId="35D4F5A7" w14:textId="77777777" w:rsidR="002034FE" w:rsidRPr="00CE4DF2" w:rsidRDefault="002034FE" w:rsidP="009C2C57">
            <w:pPr>
              <w:spacing w:after="0"/>
              <w:jc w:val="center"/>
              <w:rPr>
                <w:noProof/>
                <w:sz w:val="16"/>
                <w:lang w:val="fi-FI"/>
              </w:rPr>
            </w:pPr>
            <w:r w:rsidRPr="00CE4DF2">
              <w:rPr>
                <w:noProof/>
                <w:sz w:val="16"/>
                <w:lang w:val="fi-FI"/>
              </w:rPr>
              <w:t>21,9 %</w:t>
            </w:r>
          </w:p>
        </w:tc>
        <w:tc>
          <w:tcPr>
            <w:tcW w:w="992" w:type="dxa"/>
            <w:tcBorders>
              <w:top w:val="single" w:sz="4" w:space="0" w:color="auto"/>
              <w:bottom w:val="single" w:sz="4" w:space="0" w:color="auto"/>
            </w:tcBorders>
            <w:shd w:val="clear" w:color="auto" w:fill="auto"/>
            <w:noWrap/>
            <w:vAlign w:val="bottom"/>
          </w:tcPr>
          <w:p w14:paraId="45E0E494" w14:textId="742646D8" w:rsidR="002034FE" w:rsidRPr="00CE4DF2" w:rsidRDefault="002034FE" w:rsidP="009C2C57">
            <w:pPr>
              <w:spacing w:after="0"/>
              <w:jc w:val="center"/>
              <w:rPr>
                <w:noProof/>
                <w:sz w:val="16"/>
                <w:lang w:val="fi-FI"/>
              </w:rPr>
            </w:pPr>
            <w:r w:rsidRPr="00CE4DF2">
              <w:rPr>
                <w:noProof/>
                <w:sz w:val="16"/>
                <w:lang w:val="fi-FI"/>
              </w:rPr>
              <w:t>32 954</w:t>
            </w:r>
          </w:p>
        </w:tc>
        <w:tc>
          <w:tcPr>
            <w:tcW w:w="851" w:type="dxa"/>
            <w:tcBorders>
              <w:top w:val="single" w:sz="4" w:space="0" w:color="auto"/>
              <w:bottom w:val="single" w:sz="4" w:space="0" w:color="auto"/>
            </w:tcBorders>
            <w:shd w:val="clear" w:color="auto" w:fill="auto"/>
            <w:noWrap/>
            <w:vAlign w:val="bottom"/>
          </w:tcPr>
          <w:p w14:paraId="5FADE498" w14:textId="77777777" w:rsidR="002034FE" w:rsidRPr="00CE4DF2" w:rsidRDefault="002034FE" w:rsidP="009C2C57">
            <w:pPr>
              <w:spacing w:after="0"/>
              <w:jc w:val="center"/>
              <w:rPr>
                <w:noProof/>
                <w:sz w:val="16"/>
                <w:lang w:val="fi-FI"/>
              </w:rPr>
            </w:pPr>
            <w:r w:rsidRPr="00CE4DF2">
              <w:rPr>
                <w:noProof/>
                <w:sz w:val="16"/>
                <w:lang w:val="fi-FI"/>
              </w:rPr>
              <w:t>84,3 %</w:t>
            </w:r>
          </w:p>
        </w:tc>
        <w:tc>
          <w:tcPr>
            <w:tcW w:w="992" w:type="dxa"/>
            <w:tcBorders>
              <w:top w:val="single" w:sz="4" w:space="0" w:color="auto"/>
              <w:bottom w:val="single" w:sz="4" w:space="0" w:color="auto"/>
            </w:tcBorders>
            <w:shd w:val="clear" w:color="auto" w:fill="auto"/>
            <w:noWrap/>
            <w:vAlign w:val="bottom"/>
          </w:tcPr>
          <w:p w14:paraId="2D278B76" w14:textId="77777777" w:rsidR="002034FE" w:rsidRPr="00CE4DF2" w:rsidRDefault="002034FE" w:rsidP="009C2C57">
            <w:pPr>
              <w:spacing w:after="0"/>
              <w:jc w:val="center"/>
              <w:rPr>
                <w:noProof/>
                <w:sz w:val="16"/>
                <w:lang w:val="fi-FI"/>
              </w:rPr>
            </w:pPr>
            <w:r w:rsidRPr="00CE4DF2">
              <w:rPr>
                <w:noProof/>
                <w:sz w:val="16"/>
                <w:lang w:val="fi-FI"/>
              </w:rPr>
              <w:t>14 989</w:t>
            </w:r>
          </w:p>
        </w:tc>
        <w:tc>
          <w:tcPr>
            <w:tcW w:w="1378" w:type="dxa"/>
            <w:tcBorders>
              <w:top w:val="single" w:sz="4" w:space="0" w:color="auto"/>
              <w:left w:val="nil"/>
              <w:bottom w:val="single" w:sz="4" w:space="0" w:color="auto"/>
              <w:right w:val="single" w:sz="4" w:space="0" w:color="auto"/>
            </w:tcBorders>
            <w:shd w:val="clear" w:color="auto" w:fill="auto"/>
            <w:noWrap/>
          </w:tcPr>
          <w:p w14:paraId="611E0B73" w14:textId="77777777" w:rsidR="002034FE" w:rsidRPr="00CE4DF2" w:rsidRDefault="002034FE" w:rsidP="009C2C57">
            <w:pPr>
              <w:spacing w:after="0"/>
              <w:jc w:val="center"/>
              <w:rPr>
                <w:noProof/>
                <w:sz w:val="16"/>
                <w:lang w:val="fi-FI"/>
              </w:rPr>
            </w:pPr>
            <w:r w:rsidRPr="00CE4DF2">
              <w:rPr>
                <w:noProof/>
                <w:sz w:val="16"/>
                <w:lang w:val="fi-FI"/>
              </w:rPr>
              <w:t>92,1 %</w:t>
            </w:r>
          </w:p>
        </w:tc>
      </w:tr>
      <w:tr w:rsidR="002034FE" w:rsidRPr="00CE4DF2" w14:paraId="51C4A562" w14:textId="77777777" w:rsidTr="0037157F">
        <w:trPr>
          <w:trHeight w:val="246"/>
        </w:trPr>
        <w:tc>
          <w:tcPr>
            <w:tcW w:w="1526" w:type="dxa"/>
            <w:tcBorders>
              <w:top w:val="single" w:sz="4" w:space="0" w:color="auto"/>
              <w:bottom w:val="single" w:sz="4" w:space="0" w:color="auto"/>
            </w:tcBorders>
            <w:shd w:val="clear" w:color="auto" w:fill="auto"/>
            <w:noWrap/>
            <w:vAlign w:val="bottom"/>
          </w:tcPr>
          <w:p w14:paraId="14E4E986" w14:textId="3F947B3F" w:rsidR="002034FE" w:rsidRPr="00CE4DF2" w:rsidRDefault="00BB268B" w:rsidP="00425E8D">
            <w:pPr>
              <w:spacing w:after="0"/>
              <w:jc w:val="right"/>
              <w:rPr>
                <w:i/>
                <w:noProof/>
                <w:sz w:val="16"/>
                <w:lang w:val="fi-FI"/>
              </w:rPr>
            </w:pPr>
            <w:r w:rsidRPr="00CE4DF2">
              <w:rPr>
                <w:i/>
                <w:noProof/>
                <w:sz w:val="16"/>
                <w:lang w:val="fi-FI"/>
              </w:rPr>
              <w:t>Osallistumispohjaa laajentavat maat</w:t>
            </w:r>
          </w:p>
        </w:tc>
        <w:tc>
          <w:tcPr>
            <w:tcW w:w="1417" w:type="dxa"/>
            <w:tcBorders>
              <w:top w:val="single" w:sz="4" w:space="0" w:color="auto"/>
              <w:bottom w:val="single" w:sz="4" w:space="0" w:color="auto"/>
            </w:tcBorders>
            <w:shd w:val="clear" w:color="auto" w:fill="auto"/>
            <w:noWrap/>
            <w:vAlign w:val="bottom"/>
          </w:tcPr>
          <w:p w14:paraId="2CDF7446" w14:textId="195BFC26" w:rsidR="002034FE" w:rsidRPr="00CE4DF2" w:rsidRDefault="00BB268B" w:rsidP="00EF6C97">
            <w:pPr>
              <w:spacing w:after="0"/>
              <w:jc w:val="right"/>
              <w:rPr>
                <w:i/>
                <w:noProof/>
                <w:sz w:val="16"/>
                <w:lang w:val="fi-FI"/>
              </w:rPr>
            </w:pPr>
            <w:r w:rsidRPr="00CE4DF2">
              <w:rPr>
                <w:i/>
                <w:noProof/>
                <w:sz w:val="16"/>
                <w:lang w:val="fi-FI"/>
              </w:rPr>
              <w:t>38 583</w:t>
            </w:r>
          </w:p>
        </w:tc>
        <w:tc>
          <w:tcPr>
            <w:tcW w:w="1276" w:type="dxa"/>
            <w:tcBorders>
              <w:top w:val="single" w:sz="4" w:space="0" w:color="auto"/>
              <w:bottom w:val="single" w:sz="4" w:space="0" w:color="auto"/>
            </w:tcBorders>
            <w:shd w:val="clear" w:color="auto" w:fill="auto"/>
            <w:noWrap/>
            <w:vAlign w:val="bottom"/>
          </w:tcPr>
          <w:p w14:paraId="137C7CEC" w14:textId="21D8F259" w:rsidR="002034FE" w:rsidRPr="00CE4DF2" w:rsidRDefault="00BB268B" w:rsidP="00EF6C97">
            <w:pPr>
              <w:spacing w:after="0"/>
              <w:jc w:val="right"/>
              <w:rPr>
                <w:i/>
                <w:noProof/>
                <w:sz w:val="16"/>
                <w:lang w:val="fi-FI"/>
              </w:rPr>
            </w:pPr>
            <w:r w:rsidRPr="00CE4DF2">
              <w:rPr>
                <w:i/>
                <w:noProof/>
                <w:sz w:val="16"/>
                <w:lang w:val="fi-FI"/>
              </w:rPr>
              <w:t>18,8 %</w:t>
            </w:r>
          </w:p>
        </w:tc>
        <w:tc>
          <w:tcPr>
            <w:tcW w:w="1134" w:type="dxa"/>
            <w:tcBorders>
              <w:top w:val="single" w:sz="4" w:space="0" w:color="auto"/>
              <w:bottom w:val="single" w:sz="4" w:space="0" w:color="auto"/>
            </w:tcBorders>
            <w:vAlign w:val="bottom"/>
          </w:tcPr>
          <w:p w14:paraId="29D114E5" w14:textId="1A39BD15" w:rsidR="002034FE" w:rsidRPr="00CE4DF2" w:rsidRDefault="00BB268B" w:rsidP="00EF6C97">
            <w:pPr>
              <w:spacing w:after="0"/>
              <w:jc w:val="right"/>
              <w:rPr>
                <w:i/>
                <w:noProof/>
                <w:sz w:val="16"/>
                <w:lang w:val="fi-FI"/>
              </w:rPr>
            </w:pPr>
            <w:r w:rsidRPr="00CE4DF2">
              <w:rPr>
                <w:i/>
                <w:noProof/>
                <w:sz w:val="16"/>
                <w:lang w:val="fi-FI"/>
              </w:rPr>
              <w:t>19,9 %</w:t>
            </w:r>
          </w:p>
        </w:tc>
        <w:tc>
          <w:tcPr>
            <w:tcW w:w="992" w:type="dxa"/>
            <w:tcBorders>
              <w:top w:val="single" w:sz="4" w:space="0" w:color="auto"/>
              <w:bottom w:val="single" w:sz="4" w:space="0" w:color="auto"/>
            </w:tcBorders>
            <w:shd w:val="clear" w:color="auto" w:fill="auto"/>
            <w:noWrap/>
            <w:vAlign w:val="bottom"/>
          </w:tcPr>
          <w:p w14:paraId="551B60A5" w14:textId="49D52FD0" w:rsidR="002034FE" w:rsidRPr="00CE4DF2" w:rsidRDefault="00BB268B" w:rsidP="00EF6C97">
            <w:pPr>
              <w:spacing w:after="0"/>
              <w:jc w:val="right"/>
              <w:rPr>
                <w:i/>
                <w:noProof/>
                <w:sz w:val="16"/>
                <w:lang w:val="fi-FI"/>
              </w:rPr>
            </w:pPr>
            <w:r w:rsidRPr="00CE4DF2">
              <w:rPr>
                <w:i/>
                <w:noProof/>
                <w:sz w:val="16"/>
                <w:lang w:val="fi-FI"/>
              </w:rPr>
              <w:t>6 876</w:t>
            </w:r>
          </w:p>
        </w:tc>
        <w:tc>
          <w:tcPr>
            <w:tcW w:w="851" w:type="dxa"/>
            <w:tcBorders>
              <w:top w:val="single" w:sz="4" w:space="0" w:color="auto"/>
              <w:bottom w:val="single" w:sz="4" w:space="0" w:color="auto"/>
            </w:tcBorders>
            <w:shd w:val="clear" w:color="auto" w:fill="auto"/>
            <w:noWrap/>
            <w:vAlign w:val="bottom"/>
          </w:tcPr>
          <w:p w14:paraId="16577069" w14:textId="2BA20823" w:rsidR="002034FE" w:rsidRPr="00CE4DF2" w:rsidRDefault="00BB268B" w:rsidP="00EF6C97">
            <w:pPr>
              <w:spacing w:after="0"/>
              <w:jc w:val="right"/>
              <w:rPr>
                <w:i/>
                <w:noProof/>
                <w:sz w:val="16"/>
                <w:lang w:val="fi-FI"/>
              </w:rPr>
            </w:pPr>
            <w:r w:rsidRPr="00CE4DF2">
              <w:rPr>
                <w:i/>
                <w:noProof/>
                <w:sz w:val="16"/>
                <w:lang w:val="fi-FI"/>
              </w:rPr>
              <w:t>17,6 %</w:t>
            </w:r>
          </w:p>
        </w:tc>
        <w:tc>
          <w:tcPr>
            <w:tcW w:w="992" w:type="dxa"/>
            <w:tcBorders>
              <w:top w:val="single" w:sz="4" w:space="0" w:color="auto"/>
              <w:bottom w:val="single" w:sz="4" w:space="0" w:color="auto"/>
            </w:tcBorders>
            <w:shd w:val="clear" w:color="auto" w:fill="auto"/>
            <w:noWrap/>
            <w:vAlign w:val="bottom"/>
          </w:tcPr>
          <w:p w14:paraId="33803726" w14:textId="0AADE6EE" w:rsidR="002034FE" w:rsidRPr="00CE4DF2" w:rsidRDefault="00BB268B" w:rsidP="00EF6C97">
            <w:pPr>
              <w:spacing w:after="0"/>
              <w:jc w:val="right"/>
              <w:rPr>
                <w:i/>
                <w:noProof/>
                <w:sz w:val="16"/>
                <w:lang w:val="fi-FI"/>
              </w:rPr>
            </w:pPr>
            <w:r w:rsidRPr="00CE4DF2">
              <w:rPr>
                <w:i/>
                <w:noProof/>
                <w:sz w:val="16"/>
                <w:lang w:val="fi-FI"/>
              </w:rPr>
              <w:t>2 221</w:t>
            </w:r>
          </w:p>
        </w:tc>
        <w:tc>
          <w:tcPr>
            <w:tcW w:w="1378" w:type="dxa"/>
            <w:tcBorders>
              <w:top w:val="single" w:sz="4" w:space="0" w:color="auto"/>
              <w:left w:val="nil"/>
              <w:bottom w:val="single" w:sz="4" w:space="0" w:color="auto"/>
              <w:right w:val="single" w:sz="4" w:space="0" w:color="auto"/>
            </w:tcBorders>
            <w:shd w:val="clear" w:color="auto" w:fill="auto"/>
            <w:noWrap/>
          </w:tcPr>
          <w:p w14:paraId="58D07FD3" w14:textId="4AFB8E16" w:rsidR="002034FE" w:rsidRPr="00CE4DF2" w:rsidRDefault="00BB268B" w:rsidP="00EF6C97">
            <w:pPr>
              <w:spacing w:after="0"/>
              <w:jc w:val="right"/>
              <w:rPr>
                <w:i/>
                <w:noProof/>
                <w:sz w:val="16"/>
                <w:lang w:val="fi-FI"/>
              </w:rPr>
            </w:pPr>
            <w:r w:rsidRPr="00CE4DF2">
              <w:rPr>
                <w:i/>
                <w:noProof/>
                <w:sz w:val="16"/>
                <w:lang w:val="fi-FI"/>
              </w:rPr>
              <w:t>13,6 %</w:t>
            </w:r>
          </w:p>
        </w:tc>
      </w:tr>
      <w:tr w:rsidR="002034FE" w:rsidRPr="00CE4DF2" w14:paraId="15623F98" w14:textId="77777777" w:rsidTr="0037157F">
        <w:trPr>
          <w:trHeight w:val="246"/>
        </w:trPr>
        <w:tc>
          <w:tcPr>
            <w:tcW w:w="1526" w:type="dxa"/>
            <w:tcBorders>
              <w:top w:val="single" w:sz="4" w:space="0" w:color="auto"/>
              <w:bottom w:val="single" w:sz="4" w:space="0" w:color="auto"/>
            </w:tcBorders>
            <w:shd w:val="clear" w:color="auto" w:fill="auto"/>
            <w:noWrap/>
            <w:vAlign w:val="bottom"/>
          </w:tcPr>
          <w:p w14:paraId="00097161" w14:textId="651B0047" w:rsidR="002034FE" w:rsidRPr="00CE4DF2" w:rsidRDefault="00BB268B" w:rsidP="00EF6C97">
            <w:pPr>
              <w:spacing w:after="0"/>
              <w:jc w:val="right"/>
              <w:rPr>
                <w:i/>
                <w:noProof/>
                <w:sz w:val="16"/>
                <w:lang w:val="fi-FI"/>
              </w:rPr>
            </w:pPr>
            <w:r w:rsidRPr="00CE4DF2">
              <w:rPr>
                <w:i/>
                <w:noProof/>
                <w:sz w:val="16"/>
                <w:lang w:val="fi-FI"/>
              </w:rPr>
              <w:t>Muut jäsenvaltiot</w:t>
            </w:r>
          </w:p>
        </w:tc>
        <w:tc>
          <w:tcPr>
            <w:tcW w:w="1417" w:type="dxa"/>
            <w:tcBorders>
              <w:top w:val="single" w:sz="4" w:space="0" w:color="auto"/>
              <w:bottom w:val="single" w:sz="4" w:space="0" w:color="auto"/>
            </w:tcBorders>
            <w:shd w:val="clear" w:color="auto" w:fill="auto"/>
            <w:noWrap/>
            <w:vAlign w:val="bottom"/>
          </w:tcPr>
          <w:p w14:paraId="054F4260" w14:textId="01822AC2" w:rsidR="002034FE" w:rsidRPr="00CE4DF2" w:rsidRDefault="00BB268B" w:rsidP="00EF6C97">
            <w:pPr>
              <w:spacing w:after="0"/>
              <w:jc w:val="right"/>
              <w:rPr>
                <w:i/>
                <w:noProof/>
                <w:sz w:val="16"/>
                <w:lang w:val="fi-FI"/>
              </w:rPr>
            </w:pPr>
            <w:r w:rsidRPr="00CE4DF2">
              <w:rPr>
                <w:i/>
                <w:noProof/>
                <w:sz w:val="16"/>
                <w:lang w:val="fi-FI"/>
              </w:rPr>
              <w:t>129 276</w:t>
            </w:r>
          </w:p>
        </w:tc>
        <w:tc>
          <w:tcPr>
            <w:tcW w:w="1276" w:type="dxa"/>
            <w:tcBorders>
              <w:top w:val="single" w:sz="4" w:space="0" w:color="auto"/>
              <w:bottom w:val="single" w:sz="4" w:space="0" w:color="auto"/>
            </w:tcBorders>
            <w:shd w:val="clear" w:color="auto" w:fill="auto"/>
            <w:noWrap/>
            <w:vAlign w:val="bottom"/>
          </w:tcPr>
          <w:p w14:paraId="4CB20FD4" w14:textId="17651DF5" w:rsidR="002034FE" w:rsidRPr="00CE4DF2" w:rsidRDefault="00BB268B" w:rsidP="00EF6C97">
            <w:pPr>
              <w:spacing w:after="0"/>
              <w:jc w:val="right"/>
              <w:rPr>
                <w:i/>
                <w:noProof/>
                <w:sz w:val="16"/>
                <w:lang w:val="fi-FI"/>
              </w:rPr>
            </w:pPr>
            <w:r w:rsidRPr="00CE4DF2">
              <w:rPr>
                <w:i/>
                <w:noProof/>
                <w:sz w:val="16"/>
                <w:lang w:val="fi-FI"/>
              </w:rPr>
              <w:t>63,0 %</w:t>
            </w:r>
          </w:p>
        </w:tc>
        <w:tc>
          <w:tcPr>
            <w:tcW w:w="1134" w:type="dxa"/>
            <w:tcBorders>
              <w:top w:val="single" w:sz="4" w:space="0" w:color="auto"/>
              <w:bottom w:val="single" w:sz="4" w:space="0" w:color="auto"/>
            </w:tcBorders>
            <w:vAlign w:val="bottom"/>
          </w:tcPr>
          <w:p w14:paraId="66160CED" w14:textId="61F1E9C0" w:rsidR="002034FE" w:rsidRPr="00CE4DF2" w:rsidRDefault="00BB268B" w:rsidP="00EF6C97">
            <w:pPr>
              <w:spacing w:after="0"/>
              <w:jc w:val="right"/>
              <w:rPr>
                <w:i/>
                <w:noProof/>
                <w:sz w:val="16"/>
                <w:lang w:val="fi-FI"/>
              </w:rPr>
            </w:pPr>
            <w:r w:rsidRPr="00CE4DF2">
              <w:rPr>
                <w:i/>
                <w:noProof/>
                <w:sz w:val="16"/>
                <w:lang w:val="fi-FI"/>
              </w:rPr>
              <w:t>22,6 %</w:t>
            </w:r>
          </w:p>
        </w:tc>
        <w:tc>
          <w:tcPr>
            <w:tcW w:w="992" w:type="dxa"/>
            <w:tcBorders>
              <w:top w:val="single" w:sz="4" w:space="0" w:color="auto"/>
              <w:bottom w:val="single" w:sz="4" w:space="0" w:color="auto"/>
            </w:tcBorders>
            <w:shd w:val="clear" w:color="auto" w:fill="auto"/>
            <w:noWrap/>
            <w:vAlign w:val="bottom"/>
          </w:tcPr>
          <w:p w14:paraId="76FAD0B6" w14:textId="6322D8B6" w:rsidR="002034FE" w:rsidRPr="00CE4DF2" w:rsidRDefault="00BB268B" w:rsidP="00EF6C97">
            <w:pPr>
              <w:spacing w:after="0"/>
              <w:jc w:val="right"/>
              <w:rPr>
                <w:i/>
                <w:noProof/>
                <w:sz w:val="16"/>
                <w:lang w:val="fi-FI"/>
              </w:rPr>
            </w:pPr>
            <w:r w:rsidRPr="00CE4DF2">
              <w:rPr>
                <w:i/>
                <w:noProof/>
                <w:sz w:val="16"/>
                <w:lang w:val="fi-FI"/>
              </w:rPr>
              <w:t>26 078</w:t>
            </w:r>
          </w:p>
        </w:tc>
        <w:tc>
          <w:tcPr>
            <w:tcW w:w="851" w:type="dxa"/>
            <w:tcBorders>
              <w:top w:val="single" w:sz="4" w:space="0" w:color="auto"/>
              <w:bottom w:val="single" w:sz="4" w:space="0" w:color="auto"/>
            </w:tcBorders>
            <w:shd w:val="clear" w:color="auto" w:fill="auto"/>
            <w:noWrap/>
            <w:vAlign w:val="bottom"/>
          </w:tcPr>
          <w:p w14:paraId="0F25D68C" w14:textId="1DF93D98" w:rsidR="002034FE" w:rsidRPr="00CE4DF2" w:rsidRDefault="00BB268B" w:rsidP="00EF6C97">
            <w:pPr>
              <w:spacing w:after="0"/>
              <w:jc w:val="right"/>
              <w:rPr>
                <w:i/>
                <w:noProof/>
                <w:sz w:val="16"/>
                <w:lang w:val="fi-FI"/>
              </w:rPr>
            </w:pPr>
            <w:r w:rsidRPr="00CE4DF2">
              <w:rPr>
                <w:i/>
                <w:noProof/>
                <w:sz w:val="16"/>
                <w:lang w:val="fi-FI"/>
              </w:rPr>
              <w:t>66,7 %</w:t>
            </w:r>
          </w:p>
        </w:tc>
        <w:tc>
          <w:tcPr>
            <w:tcW w:w="992" w:type="dxa"/>
            <w:tcBorders>
              <w:top w:val="single" w:sz="4" w:space="0" w:color="auto"/>
              <w:bottom w:val="single" w:sz="4" w:space="0" w:color="auto"/>
            </w:tcBorders>
            <w:shd w:val="clear" w:color="auto" w:fill="auto"/>
            <w:noWrap/>
            <w:vAlign w:val="bottom"/>
          </w:tcPr>
          <w:p w14:paraId="39A47939" w14:textId="0DD62B27" w:rsidR="002034FE" w:rsidRPr="00CE4DF2" w:rsidRDefault="00BB268B" w:rsidP="00EF6C97">
            <w:pPr>
              <w:spacing w:after="0"/>
              <w:jc w:val="right"/>
              <w:rPr>
                <w:i/>
                <w:noProof/>
                <w:sz w:val="16"/>
                <w:lang w:val="fi-FI"/>
              </w:rPr>
            </w:pPr>
            <w:r w:rsidRPr="00CE4DF2">
              <w:rPr>
                <w:i/>
                <w:noProof/>
                <w:sz w:val="16"/>
                <w:lang w:val="fi-FI"/>
              </w:rPr>
              <w:t>12 768</w:t>
            </w:r>
          </w:p>
        </w:tc>
        <w:tc>
          <w:tcPr>
            <w:tcW w:w="1378" w:type="dxa"/>
            <w:tcBorders>
              <w:top w:val="single" w:sz="4" w:space="0" w:color="auto"/>
              <w:left w:val="nil"/>
              <w:bottom w:val="single" w:sz="4" w:space="0" w:color="auto"/>
              <w:right w:val="single" w:sz="4" w:space="0" w:color="auto"/>
            </w:tcBorders>
            <w:shd w:val="clear" w:color="auto" w:fill="auto"/>
            <w:noWrap/>
          </w:tcPr>
          <w:p w14:paraId="75CB5AAB" w14:textId="3CF1BD07" w:rsidR="002034FE" w:rsidRPr="00CE4DF2" w:rsidRDefault="002034FE" w:rsidP="00EF6C97">
            <w:pPr>
              <w:spacing w:after="0"/>
              <w:jc w:val="right"/>
              <w:rPr>
                <w:i/>
                <w:noProof/>
                <w:sz w:val="16"/>
                <w:lang w:val="fi-FI"/>
              </w:rPr>
            </w:pPr>
            <w:r w:rsidRPr="00CE4DF2">
              <w:rPr>
                <w:i/>
                <w:noProof/>
                <w:sz w:val="16"/>
                <w:lang w:val="fi-FI"/>
              </w:rPr>
              <w:t>78,4 %</w:t>
            </w:r>
          </w:p>
        </w:tc>
      </w:tr>
      <w:tr w:rsidR="002034FE" w:rsidRPr="00CE4DF2" w14:paraId="59D6565A" w14:textId="77777777" w:rsidTr="0037157F">
        <w:trPr>
          <w:trHeight w:val="246"/>
        </w:trPr>
        <w:tc>
          <w:tcPr>
            <w:tcW w:w="1526" w:type="dxa"/>
            <w:tcBorders>
              <w:top w:val="single" w:sz="4" w:space="0" w:color="auto"/>
              <w:bottom w:val="single" w:sz="4" w:space="0" w:color="auto"/>
            </w:tcBorders>
            <w:shd w:val="clear" w:color="auto" w:fill="auto"/>
            <w:noWrap/>
            <w:vAlign w:val="bottom"/>
          </w:tcPr>
          <w:p w14:paraId="752E6C3A" w14:textId="5E87A6C9" w:rsidR="002034FE" w:rsidRPr="00CE4DF2" w:rsidRDefault="000604D7" w:rsidP="000604D7">
            <w:pPr>
              <w:spacing w:after="0"/>
              <w:rPr>
                <w:noProof/>
                <w:sz w:val="16"/>
                <w:lang w:val="fi-FI"/>
              </w:rPr>
            </w:pPr>
            <w:r w:rsidRPr="00CE4DF2">
              <w:rPr>
                <w:noProof/>
                <w:sz w:val="16"/>
                <w:lang w:val="fi-FI"/>
              </w:rPr>
              <w:t>Assosioituneet maat</w:t>
            </w:r>
          </w:p>
        </w:tc>
        <w:tc>
          <w:tcPr>
            <w:tcW w:w="1417" w:type="dxa"/>
            <w:tcBorders>
              <w:top w:val="single" w:sz="4" w:space="0" w:color="auto"/>
              <w:bottom w:val="single" w:sz="4" w:space="0" w:color="auto"/>
            </w:tcBorders>
            <w:shd w:val="clear" w:color="auto" w:fill="auto"/>
            <w:noWrap/>
            <w:vAlign w:val="bottom"/>
          </w:tcPr>
          <w:p w14:paraId="10FAEE40" w14:textId="77777777" w:rsidR="002034FE" w:rsidRPr="00CE4DF2" w:rsidRDefault="002034FE" w:rsidP="009C2C57">
            <w:pPr>
              <w:spacing w:after="0"/>
              <w:jc w:val="center"/>
              <w:rPr>
                <w:noProof/>
                <w:sz w:val="16"/>
                <w:lang w:val="fi-FI"/>
              </w:rPr>
            </w:pPr>
            <w:r w:rsidRPr="00CE4DF2">
              <w:rPr>
                <w:noProof/>
                <w:sz w:val="16"/>
                <w:lang w:val="fi-FI"/>
              </w:rPr>
              <w:t>11 794</w:t>
            </w:r>
          </w:p>
        </w:tc>
        <w:tc>
          <w:tcPr>
            <w:tcW w:w="1276" w:type="dxa"/>
            <w:tcBorders>
              <w:top w:val="single" w:sz="4" w:space="0" w:color="auto"/>
              <w:bottom w:val="single" w:sz="4" w:space="0" w:color="auto"/>
            </w:tcBorders>
            <w:shd w:val="clear" w:color="auto" w:fill="auto"/>
            <w:noWrap/>
            <w:vAlign w:val="bottom"/>
          </w:tcPr>
          <w:p w14:paraId="0592C66D" w14:textId="77777777" w:rsidR="002034FE" w:rsidRPr="00CE4DF2" w:rsidRDefault="002034FE" w:rsidP="009C2C57">
            <w:pPr>
              <w:spacing w:after="0"/>
              <w:jc w:val="center"/>
              <w:rPr>
                <w:noProof/>
                <w:sz w:val="16"/>
                <w:lang w:val="fi-FI"/>
              </w:rPr>
            </w:pPr>
            <w:r w:rsidRPr="00CE4DF2">
              <w:rPr>
                <w:noProof/>
                <w:sz w:val="16"/>
                <w:lang w:val="fi-FI"/>
              </w:rPr>
              <w:t>5,7 %</w:t>
            </w:r>
          </w:p>
        </w:tc>
        <w:tc>
          <w:tcPr>
            <w:tcW w:w="1134" w:type="dxa"/>
            <w:tcBorders>
              <w:top w:val="single" w:sz="4" w:space="0" w:color="auto"/>
              <w:bottom w:val="single" w:sz="4" w:space="0" w:color="auto"/>
            </w:tcBorders>
            <w:vAlign w:val="bottom"/>
          </w:tcPr>
          <w:p w14:paraId="6AD2E769" w14:textId="77777777" w:rsidR="002034FE" w:rsidRPr="00CE4DF2" w:rsidRDefault="002034FE" w:rsidP="009C2C57">
            <w:pPr>
              <w:spacing w:after="0"/>
              <w:jc w:val="center"/>
              <w:rPr>
                <w:noProof/>
                <w:sz w:val="16"/>
                <w:lang w:val="fi-FI"/>
              </w:rPr>
            </w:pPr>
            <w:r w:rsidRPr="00CE4DF2">
              <w:rPr>
                <w:noProof/>
                <w:sz w:val="16"/>
                <w:lang w:val="fi-FI"/>
              </w:rPr>
              <w:t>19,6 %</w:t>
            </w:r>
          </w:p>
        </w:tc>
        <w:tc>
          <w:tcPr>
            <w:tcW w:w="992" w:type="dxa"/>
            <w:tcBorders>
              <w:top w:val="single" w:sz="4" w:space="0" w:color="auto"/>
              <w:bottom w:val="single" w:sz="4" w:space="0" w:color="auto"/>
            </w:tcBorders>
            <w:shd w:val="clear" w:color="auto" w:fill="auto"/>
            <w:noWrap/>
            <w:vAlign w:val="bottom"/>
          </w:tcPr>
          <w:p w14:paraId="3804A09B" w14:textId="4DBB7798" w:rsidR="002034FE" w:rsidRPr="00CE4DF2" w:rsidRDefault="002034FE" w:rsidP="009C2C57">
            <w:pPr>
              <w:spacing w:after="0"/>
              <w:jc w:val="center"/>
              <w:rPr>
                <w:noProof/>
                <w:sz w:val="16"/>
                <w:lang w:val="fi-FI"/>
              </w:rPr>
            </w:pPr>
            <w:r w:rsidRPr="00CE4DF2">
              <w:rPr>
                <w:noProof/>
                <w:sz w:val="16"/>
                <w:lang w:val="fi-FI"/>
              </w:rPr>
              <w:t>2 090</w:t>
            </w:r>
          </w:p>
        </w:tc>
        <w:tc>
          <w:tcPr>
            <w:tcW w:w="851" w:type="dxa"/>
            <w:tcBorders>
              <w:top w:val="single" w:sz="4" w:space="0" w:color="auto"/>
              <w:bottom w:val="single" w:sz="4" w:space="0" w:color="auto"/>
            </w:tcBorders>
            <w:shd w:val="clear" w:color="auto" w:fill="auto"/>
            <w:noWrap/>
            <w:vAlign w:val="bottom"/>
          </w:tcPr>
          <w:p w14:paraId="24921EB8" w14:textId="77777777" w:rsidR="002034FE" w:rsidRPr="00CE4DF2" w:rsidRDefault="002034FE" w:rsidP="009C2C57">
            <w:pPr>
              <w:spacing w:after="0"/>
              <w:jc w:val="center"/>
              <w:rPr>
                <w:noProof/>
                <w:sz w:val="16"/>
                <w:lang w:val="fi-FI"/>
              </w:rPr>
            </w:pPr>
            <w:r w:rsidRPr="00CE4DF2">
              <w:rPr>
                <w:noProof/>
                <w:sz w:val="16"/>
                <w:lang w:val="fi-FI"/>
              </w:rPr>
              <w:t>5,3 %</w:t>
            </w:r>
          </w:p>
        </w:tc>
        <w:tc>
          <w:tcPr>
            <w:tcW w:w="992" w:type="dxa"/>
            <w:tcBorders>
              <w:top w:val="single" w:sz="4" w:space="0" w:color="auto"/>
              <w:bottom w:val="single" w:sz="4" w:space="0" w:color="auto"/>
            </w:tcBorders>
            <w:shd w:val="clear" w:color="auto" w:fill="auto"/>
            <w:noWrap/>
            <w:vAlign w:val="bottom"/>
          </w:tcPr>
          <w:p w14:paraId="14B14C77" w14:textId="77777777" w:rsidR="002034FE" w:rsidRPr="00CE4DF2" w:rsidRDefault="002034FE" w:rsidP="009C2C57">
            <w:pPr>
              <w:spacing w:after="0"/>
              <w:jc w:val="center"/>
              <w:rPr>
                <w:noProof/>
                <w:sz w:val="16"/>
                <w:lang w:val="fi-FI"/>
              </w:rPr>
            </w:pPr>
            <w:r w:rsidRPr="00CE4DF2">
              <w:rPr>
                <w:noProof/>
                <w:sz w:val="16"/>
                <w:lang w:val="fi-FI"/>
              </w:rPr>
              <w:t>1 091</w:t>
            </w:r>
          </w:p>
        </w:tc>
        <w:tc>
          <w:tcPr>
            <w:tcW w:w="1378" w:type="dxa"/>
            <w:tcBorders>
              <w:top w:val="single" w:sz="4" w:space="0" w:color="auto"/>
              <w:left w:val="nil"/>
              <w:bottom w:val="single" w:sz="4" w:space="0" w:color="auto"/>
              <w:right w:val="single" w:sz="4" w:space="0" w:color="auto"/>
            </w:tcBorders>
            <w:shd w:val="clear" w:color="auto" w:fill="auto"/>
            <w:noWrap/>
          </w:tcPr>
          <w:p w14:paraId="70CF3FFA" w14:textId="77777777" w:rsidR="002034FE" w:rsidRPr="00CE4DF2" w:rsidRDefault="002034FE" w:rsidP="009C2C57">
            <w:pPr>
              <w:spacing w:after="0"/>
              <w:jc w:val="center"/>
              <w:rPr>
                <w:noProof/>
                <w:sz w:val="16"/>
                <w:lang w:val="fi-FI"/>
              </w:rPr>
            </w:pPr>
            <w:r w:rsidRPr="00CE4DF2">
              <w:rPr>
                <w:noProof/>
                <w:sz w:val="16"/>
                <w:lang w:val="fi-FI"/>
              </w:rPr>
              <w:t>6,7 %</w:t>
            </w:r>
          </w:p>
        </w:tc>
      </w:tr>
      <w:tr w:rsidR="002034FE" w:rsidRPr="00CE4DF2" w14:paraId="5DA581E8" w14:textId="77777777" w:rsidTr="0037157F">
        <w:trPr>
          <w:trHeight w:val="246"/>
        </w:trPr>
        <w:tc>
          <w:tcPr>
            <w:tcW w:w="1526" w:type="dxa"/>
            <w:tcBorders>
              <w:top w:val="single" w:sz="4" w:space="0" w:color="auto"/>
              <w:bottom w:val="single" w:sz="4" w:space="0" w:color="auto"/>
            </w:tcBorders>
            <w:shd w:val="clear" w:color="auto" w:fill="auto"/>
            <w:noWrap/>
            <w:vAlign w:val="bottom"/>
          </w:tcPr>
          <w:p w14:paraId="0EBB9057" w14:textId="3800345E" w:rsidR="002034FE" w:rsidRPr="00CE4DF2" w:rsidRDefault="0039008B" w:rsidP="00D61EA3">
            <w:pPr>
              <w:spacing w:after="0"/>
              <w:jc w:val="left"/>
              <w:rPr>
                <w:noProof/>
                <w:sz w:val="16"/>
                <w:lang w:val="fi-FI"/>
              </w:rPr>
            </w:pPr>
            <w:r w:rsidRPr="00CE4DF2">
              <w:rPr>
                <w:noProof/>
                <w:sz w:val="16"/>
                <w:lang w:val="fi-FI"/>
              </w:rPr>
              <w:t>Assosioitumattomat maat</w:t>
            </w:r>
          </w:p>
        </w:tc>
        <w:tc>
          <w:tcPr>
            <w:tcW w:w="1417" w:type="dxa"/>
            <w:tcBorders>
              <w:top w:val="single" w:sz="4" w:space="0" w:color="auto"/>
              <w:bottom w:val="single" w:sz="4" w:space="0" w:color="auto"/>
            </w:tcBorders>
            <w:shd w:val="clear" w:color="auto" w:fill="auto"/>
            <w:noWrap/>
            <w:vAlign w:val="bottom"/>
          </w:tcPr>
          <w:p w14:paraId="4C9D24AF" w14:textId="77777777" w:rsidR="002034FE" w:rsidRPr="00CE4DF2" w:rsidRDefault="002034FE" w:rsidP="009C2C57">
            <w:pPr>
              <w:spacing w:after="0"/>
              <w:jc w:val="center"/>
              <w:rPr>
                <w:noProof/>
                <w:sz w:val="16"/>
                <w:lang w:val="fi-FI"/>
              </w:rPr>
            </w:pPr>
            <w:r w:rsidRPr="00CE4DF2">
              <w:rPr>
                <w:noProof/>
                <w:sz w:val="16"/>
                <w:lang w:val="fi-FI"/>
              </w:rPr>
              <w:t>25 471</w:t>
            </w:r>
          </w:p>
        </w:tc>
        <w:tc>
          <w:tcPr>
            <w:tcW w:w="1276" w:type="dxa"/>
            <w:tcBorders>
              <w:top w:val="single" w:sz="4" w:space="0" w:color="auto"/>
              <w:bottom w:val="single" w:sz="4" w:space="0" w:color="auto"/>
            </w:tcBorders>
            <w:shd w:val="clear" w:color="auto" w:fill="auto"/>
            <w:noWrap/>
            <w:vAlign w:val="bottom"/>
          </w:tcPr>
          <w:p w14:paraId="43952790" w14:textId="77777777" w:rsidR="002034FE" w:rsidRPr="00CE4DF2" w:rsidRDefault="002034FE" w:rsidP="009C2C57">
            <w:pPr>
              <w:spacing w:after="0"/>
              <w:jc w:val="center"/>
              <w:rPr>
                <w:noProof/>
                <w:sz w:val="16"/>
                <w:lang w:val="fi-FI"/>
              </w:rPr>
            </w:pPr>
            <w:r w:rsidRPr="00CE4DF2">
              <w:rPr>
                <w:noProof/>
                <w:sz w:val="16"/>
                <w:lang w:val="fi-FI"/>
              </w:rPr>
              <w:t>12,5 %</w:t>
            </w:r>
          </w:p>
        </w:tc>
        <w:tc>
          <w:tcPr>
            <w:tcW w:w="1134" w:type="dxa"/>
            <w:tcBorders>
              <w:top w:val="single" w:sz="4" w:space="0" w:color="auto"/>
              <w:bottom w:val="single" w:sz="4" w:space="0" w:color="auto"/>
            </w:tcBorders>
            <w:vAlign w:val="bottom"/>
          </w:tcPr>
          <w:p w14:paraId="4C1B9EEC" w14:textId="77777777" w:rsidR="002034FE" w:rsidRPr="00CE4DF2" w:rsidRDefault="002034FE" w:rsidP="009C2C57">
            <w:pPr>
              <w:spacing w:after="0"/>
              <w:jc w:val="center"/>
              <w:rPr>
                <w:noProof/>
                <w:sz w:val="16"/>
                <w:lang w:val="fi-FI"/>
              </w:rPr>
            </w:pPr>
            <w:r w:rsidRPr="00CE4DF2">
              <w:rPr>
                <w:noProof/>
                <w:sz w:val="16"/>
                <w:lang w:val="fi-FI"/>
              </w:rPr>
              <w:t>21,2 %</w:t>
            </w:r>
          </w:p>
        </w:tc>
        <w:tc>
          <w:tcPr>
            <w:tcW w:w="992" w:type="dxa"/>
            <w:tcBorders>
              <w:top w:val="single" w:sz="4" w:space="0" w:color="auto"/>
              <w:bottom w:val="single" w:sz="4" w:space="0" w:color="auto"/>
            </w:tcBorders>
            <w:shd w:val="clear" w:color="auto" w:fill="auto"/>
            <w:noWrap/>
            <w:vAlign w:val="bottom"/>
          </w:tcPr>
          <w:p w14:paraId="5AAC94E1" w14:textId="531325E2" w:rsidR="002034FE" w:rsidRPr="00CE4DF2" w:rsidRDefault="002034FE" w:rsidP="009C2C57">
            <w:pPr>
              <w:spacing w:after="0"/>
              <w:jc w:val="center"/>
              <w:rPr>
                <w:noProof/>
                <w:sz w:val="16"/>
                <w:lang w:val="fi-FI"/>
              </w:rPr>
            </w:pPr>
            <w:r w:rsidRPr="00CE4DF2">
              <w:rPr>
                <w:noProof/>
                <w:sz w:val="16"/>
                <w:lang w:val="fi-FI"/>
              </w:rPr>
              <w:t>4 035</w:t>
            </w:r>
          </w:p>
        </w:tc>
        <w:tc>
          <w:tcPr>
            <w:tcW w:w="851" w:type="dxa"/>
            <w:tcBorders>
              <w:top w:val="single" w:sz="4" w:space="0" w:color="auto"/>
              <w:bottom w:val="single" w:sz="4" w:space="0" w:color="auto"/>
            </w:tcBorders>
            <w:shd w:val="clear" w:color="auto" w:fill="auto"/>
            <w:noWrap/>
            <w:vAlign w:val="bottom"/>
          </w:tcPr>
          <w:p w14:paraId="29D87114" w14:textId="77777777" w:rsidR="002034FE" w:rsidRPr="00CE4DF2" w:rsidRDefault="002034FE" w:rsidP="009C2C57">
            <w:pPr>
              <w:spacing w:after="0"/>
              <w:jc w:val="center"/>
              <w:rPr>
                <w:noProof/>
                <w:sz w:val="16"/>
                <w:lang w:val="fi-FI"/>
              </w:rPr>
            </w:pPr>
            <w:r w:rsidRPr="00CE4DF2">
              <w:rPr>
                <w:noProof/>
                <w:sz w:val="16"/>
                <w:lang w:val="fi-FI"/>
              </w:rPr>
              <w:t>10,3 %</w:t>
            </w:r>
          </w:p>
        </w:tc>
        <w:tc>
          <w:tcPr>
            <w:tcW w:w="992" w:type="dxa"/>
            <w:tcBorders>
              <w:top w:val="single" w:sz="4" w:space="0" w:color="auto"/>
              <w:bottom w:val="single" w:sz="4" w:space="0" w:color="auto"/>
            </w:tcBorders>
            <w:shd w:val="clear" w:color="auto" w:fill="auto"/>
            <w:noWrap/>
            <w:vAlign w:val="bottom"/>
          </w:tcPr>
          <w:p w14:paraId="6F76D0F9" w14:textId="77777777" w:rsidR="002034FE" w:rsidRPr="00CE4DF2" w:rsidRDefault="002034FE" w:rsidP="009C2C57">
            <w:pPr>
              <w:spacing w:after="0"/>
              <w:jc w:val="center"/>
              <w:rPr>
                <w:noProof/>
                <w:sz w:val="16"/>
                <w:lang w:val="fi-FI"/>
              </w:rPr>
            </w:pPr>
            <w:r w:rsidRPr="00CE4DF2">
              <w:rPr>
                <w:noProof/>
                <w:sz w:val="16"/>
                <w:lang w:val="fi-FI"/>
              </w:rPr>
              <w:t>200</w:t>
            </w:r>
          </w:p>
        </w:tc>
        <w:tc>
          <w:tcPr>
            <w:tcW w:w="1378" w:type="dxa"/>
            <w:tcBorders>
              <w:top w:val="single" w:sz="4" w:space="0" w:color="auto"/>
              <w:left w:val="nil"/>
              <w:bottom w:val="single" w:sz="4" w:space="0" w:color="auto"/>
              <w:right w:val="single" w:sz="4" w:space="0" w:color="auto"/>
            </w:tcBorders>
            <w:shd w:val="clear" w:color="auto" w:fill="auto"/>
            <w:noWrap/>
          </w:tcPr>
          <w:p w14:paraId="3C3BCFF3" w14:textId="77777777" w:rsidR="002034FE" w:rsidRPr="00CE4DF2" w:rsidRDefault="002034FE" w:rsidP="009C2C57">
            <w:pPr>
              <w:spacing w:after="0"/>
              <w:jc w:val="center"/>
              <w:rPr>
                <w:noProof/>
                <w:sz w:val="16"/>
                <w:lang w:val="fi-FI"/>
              </w:rPr>
            </w:pPr>
            <w:r w:rsidRPr="00CE4DF2">
              <w:rPr>
                <w:noProof/>
                <w:sz w:val="16"/>
                <w:lang w:val="fi-FI"/>
              </w:rPr>
              <w:t>1,2 %</w:t>
            </w:r>
          </w:p>
        </w:tc>
      </w:tr>
      <w:tr w:rsidR="002034FE" w:rsidRPr="00CE4DF2" w14:paraId="67F29936" w14:textId="77777777" w:rsidTr="0037157F">
        <w:trPr>
          <w:trHeight w:val="246"/>
        </w:trPr>
        <w:tc>
          <w:tcPr>
            <w:tcW w:w="1526" w:type="dxa"/>
            <w:tcBorders>
              <w:top w:val="single" w:sz="4" w:space="0" w:color="auto"/>
              <w:bottom w:val="single" w:sz="4" w:space="0" w:color="auto"/>
            </w:tcBorders>
            <w:shd w:val="clear" w:color="auto" w:fill="D9D9D9" w:themeFill="background1" w:themeFillShade="D9"/>
            <w:noWrap/>
            <w:vAlign w:val="bottom"/>
          </w:tcPr>
          <w:p w14:paraId="317578F3" w14:textId="77777777" w:rsidR="002034FE" w:rsidRPr="00CE4DF2" w:rsidRDefault="002034FE" w:rsidP="009C2C57">
            <w:pPr>
              <w:spacing w:after="0"/>
              <w:rPr>
                <w:b/>
                <w:i/>
                <w:noProof/>
                <w:sz w:val="16"/>
                <w:lang w:val="fi-FI"/>
              </w:rPr>
            </w:pPr>
            <w:r w:rsidRPr="00CE4DF2">
              <w:rPr>
                <w:b/>
                <w:i/>
                <w:noProof/>
                <w:sz w:val="16"/>
                <w:lang w:val="fi-FI"/>
              </w:rPr>
              <w:t>YHTEENSÄ</w:t>
            </w:r>
          </w:p>
        </w:tc>
        <w:tc>
          <w:tcPr>
            <w:tcW w:w="1417" w:type="dxa"/>
            <w:tcBorders>
              <w:top w:val="single" w:sz="4" w:space="0" w:color="auto"/>
              <w:bottom w:val="single" w:sz="4" w:space="0" w:color="auto"/>
            </w:tcBorders>
            <w:shd w:val="clear" w:color="auto" w:fill="D9D9D9" w:themeFill="background1" w:themeFillShade="D9"/>
            <w:noWrap/>
            <w:vAlign w:val="bottom"/>
          </w:tcPr>
          <w:p w14:paraId="02ADC9B0" w14:textId="77777777" w:rsidR="002034FE" w:rsidRPr="00CE4DF2" w:rsidRDefault="002034FE" w:rsidP="009C2C57">
            <w:pPr>
              <w:spacing w:after="0"/>
              <w:jc w:val="right"/>
              <w:rPr>
                <w:b/>
                <w:noProof/>
                <w:sz w:val="16"/>
                <w:lang w:val="fi-FI"/>
              </w:rPr>
            </w:pPr>
            <w:r w:rsidRPr="00CE4DF2">
              <w:rPr>
                <w:b/>
                <w:noProof/>
                <w:sz w:val="16"/>
                <w:lang w:val="fi-FI"/>
              </w:rPr>
              <w:t>205 124</w:t>
            </w:r>
          </w:p>
        </w:tc>
        <w:tc>
          <w:tcPr>
            <w:tcW w:w="1276" w:type="dxa"/>
            <w:tcBorders>
              <w:top w:val="single" w:sz="4" w:space="0" w:color="auto"/>
              <w:bottom w:val="single" w:sz="4" w:space="0" w:color="auto"/>
            </w:tcBorders>
            <w:shd w:val="clear" w:color="auto" w:fill="D9D9D9" w:themeFill="background1" w:themeFillShade="D9"/>
            <w:noWrap/>
            <w:vAlign w:val="bottom"/>
          </w:tcPr>
          <w:p w14:paraId="601F1C62" w14:textId="77777777" w:rsidR="002034FE" w:rsidRPr="00CE4DF2" w:rsidRDefault="002034FE" w:rsidP="009C2C57">
            <w:pPr>
              <w:spacing w:after="0"/>
              <w:jc w:val="center"/>
              <w:rPr>
                <w:b/>
                <w:noProof/>
                <w:sz w:val="16"/>
                <w:lang w:val="fi-FI"/>
              </w:rPr>
            </w:pPr>
            <w:r w:rsidRPr="00CE4DF2">
              <w:rPr>
                <w:b/>
                <w:noProof/>
                <w:sz w:val="16"/>
                <w:lang w:val="fi-FI"/>
              </w:rPr>
              <w:t>100 %</w:t>
            </w:r>
          </w:p>
        </w:tc>
        <w:tc>
          <w:tcPr>
            <w:tcW w:w="1134" w:type="dxa"/>
            <w:tcBorders>
              <w:top w:val="single" w:sz="4" w:space="0" w:color="auto"/>
              <w:bottom w:val="single" w:sz="4" w:space="0" w:color="auto"/>
            </w:tcBorders>
            <w:shd w:val="clear" w:color="auto" w:fill="D9D9D9" w:themeFill="background1" w:themeFillShade="D9"/>
          </w:tcPr>
          <w:p w14:paraId="2490C554" w14:textId="77777777" w:rsidR="002034FE" w:rsidRPr="00CE4DF2" w:rsidRDefault="002034FE" w:rsidP="009C2C57">
            <w:pPr>
              <w:spacing w:after="0"/>
              <w:jc w:val="right"/>
              <w:rPr>
                <w:b/>
                <w:noProof/>
                <w:sz w:val="16"/>
                <w:lang w:val="fi-FI"/>
              </w:rPr>
            </w:pPr>
            <w:r w:rsidRPr="00CE4DF2">
              <w:rPr>
                <w:b/>
                <w:noProof/>
                <w:sz w:val="16"/>
                <w:lang w:val="fi-FI"/>
              </w:rPr>
              <w:t xml:space="preserve">21,7 % </w:t>
            </w:r>
          </w:p>
        </w:tc>
        <w:tc>
          <w:tcPr>
            <w:tcW w:w="992" w:type="dxa"/>
            <w:tcBorders>
              <w:top w:val="single" w:sz="4" w:space="0" w:color="auto"/>
              <w:bottom w:val="single" w:sz="4" w:space="0" w:color="auto"/>
            </w:tcBorders>
            <w:shd w:val="clear" w:color="auto" w:fill="D9D9D9" w:themeFill="background1" w:themeFillShade="D9"/>
            <w:noWrap/>
            <w:vAlign w:val="bottom"/>
          </w:tcPr>
          <w:p w14:paraId="60EEFD4F" w14:textId="26985FA3" w:rsidR="002034FE" w:rsidRPr="00CE4DF2" w:rsidRDefault="002034FE" w:rsidP="009C2C57">
            <w:pPr>
              <w:spacing w:after="0"/>
              <w:jc w:val="right"/>
              <w:rPr>
                <w:b/>
                <w:noProof/>
                <w:sz w:val="16"/>
                <w:lang w:val="fi-FI"/>
              </w:rPr>
            </w:pPr>
            <w:r w:rsidRPr="00CE4DF2">
              <w:rPr>
                <w:b/>
                <w:noProof/>
                <w:sz w:val="16"/>
                <w:lang w:val="fi-FI"/>
              </w:rPr>
              <w:t>39 079</w:t>
            </w:r>
          </w:p>
        </w:tc>
        <w:tc>
          <w:tcPr>
            <w:tcW w:w="851" w:type="dxa"/>
            <w:tcBorders>
              <w:top w:val="single" w:sz="4" w:space="0" w:color="auto"/>
              <w:bottom w:val="single" w:sz="4" w:space="0" w:color="auto"/>
            </w:tcBorders>
            <w:shd w:val="clear" w:color="auto" w:fill="D9D9D9" w:themeFill="background1" w:themeFillShade="D9"/>
            <w:noWrap/>
            <w:vAlign w:val="bottom"/>
          </w:tcPr>
          <w:p w14:paraId="4B7898B7" w14:textId="77777777" w:rsidR="002034FE" w:rsidRPr="00CE4DF2" w:rsidRDefault="002034FE" w:rsidP="009C2C57">
            <w:pPr>
              <w:spacing w:after="0"/>
              <w:jc w:val="right"/>
              <w:rPr>
                <w:b/>
                <w:noProof/>
                <w:sz w:val="16"/>
                <w:lang w:val="fi-FI"/>
              </w:rPr>
            </w:pPr>
            <w:r w:rsidRPr="00CE4DF2">
              <w:rPr>
                <w:b/>
                <w:noProof/>
                <w:sz w:val="16"/>
                <w:lang w:val="fi-FI"/>
              </w:rPr>
              <w:t>100 %</w:t>
            </w:r>
          </w:p>
        </w:tc>
        <w:tc>
          <w:tcPr>
            <w:tcW w:w="992" w:type="dxa"/>
            <w:tcBorders>
              <w:top w:val="single" w:sz="4" w:space="0" w:color="auto"/>
              <w:bottom w:val="single" w:sz="4" w:space="0" w:color="auto"/>
            </w:tcBorders>
            <w:shd w:val="clear" w:color="auto" w:fill="D9D9D9" w:themeFill="background1" w:themeFillShade="D9"/>
            <w:noWrap/>
            <w:vAlign w:val="bottom"/>
          </w:tcPr>
          <w:p w14:paraId="6C87763A" w14:textId="77777777" w:rsidR="002034FE" w:rsidRPr="00CE4DF2" w:rsidRDefault="002034FE" w:rsidP="009C2C57">
            <w:pPr>
              <w:spacing w:after="0"/>
              <w:jc w:val="right"/>
              <w:rPr>
                <w:b/>
                <w:noProof/>
                <w:sz w:val="16"/>
                <w:lang w:val="fi-FI"/>
              </w:rPr>
            </w:pPr>
            <w:r w:rsidRPr="00CE4DF2">
              <w:rPr>
                <w:b/>
                <w:noProof/>
                <w:sz w:val="16"/>
                <w:lang w:val="fi-FI"/>
              </w:rPr>
              <w:t>16 279</w:t>
            </w:r>
          </w:p>
        </w:tc>
        <w:tc>
          <w:tcPr>
            <w:tcW w:w="1378" w:type="dxa"/>
            <w:tcBorders>
              <w:top w:val="single" w:sz="4" w:space="0" w:color="auto"/>
              <w:left w:val="nil"/>
              <w:bottom w:val="single" w:sz="4" w:space="0" w:color="auto"/>
              <w:right w:val="single" w:sz="4" w:space="0" w:color="auto"/>
            </w:tcBorders>
            <w:shd w:val="clear" w:color="auto" w:fill="D9D9D9" w:themeFill="background1" w:themeFillShade="D9"/>
            <w:noWrap/>
          </w:tcPr>
          <w:p w14:paraId="23CF6F6E" w14:textId="77777777" w:rsidR="002034FE" w:rsidRPr="00CE4DF2" w:rsidRDefault="002034FE" w:rsidP="009C2C57">
            <w:pPr>
              <w:spacing w:after="0"/>
              <w:rPr>
                <w:b/>
                <w:noProof/>
                <w:sz w:val="16"/>
                <w:lang w:val="fi-FI"/>
              </w:rPr>
            </w:pPr>
            <w:r w:rsidRPr="00CE4DF2">
              <w:rPr>
                <w:b/>
                <w:noProof/>
                <w:sz w:val="16"/>
                <w:lang w:val="fi-FI"/>
              </w:rPr>
              <w:t>100 %</w:t>
            </w:r>
          </w:p>
        </w:tc>
      </w:tr>
    </w:tbl>
    <w:p w14:paraId="60ECAD0B" w14:textId="33646F61" w:rsidR="002034FE" w:rsidRPr="00CE4DF2" w:rsidRDefault="00EF6C97" w:rsidP="002034FE">
      <w:pPr>
        <w:rPr>
          <w:noProof/>
          <w:lang w:val="fi-FI"/>
        </w:rPr>
      </w:pPr>
      <w:r w:rsidRPr="00CE4DF2">
        <w:rPr>
          <w:i/>
          <w:noProof/>
          <w:sz w:val="18"/>
          <w:lang w:val="fi-FI"/>
        </w:rPr>
        <w:t>Taulukko 2: Hakijoiden alkuperä</w:t>
      </w:r>
    </w:p>
    <w:p w14:paraId="1F7189AA" w14:textId="77777777" w:rsidR="0027449B" w:rsidRPr="00CE4DF2" w:rsidRDefault="0027449B" w:rsidP="00B359A4">
      <w:pPr>
        <w:rPr>
          <w:noProof/>
          <w:lang w:val="fi-FI"/>
        </w:rPr>
      </w:pPr>
    </w:p>
    <w:p w14:paraId="720E21E0" w14:textId="2B455F9B" w:rsidR="00B359A4" w:rsidRPr="00CE4DF2" w:rsidRDefault="002034FE" w:rsidP="00B359A4">
      <w:pPr>
        <w:rPr>
          <w:noProof/>
          <w:lang w:val="fi-FI"/>
        </w:rPr>
      </w:pPr>
      <w:r w:rsidRPr="00CE4DF2">
        <w:rPr>
          <w:noProof/>
          <w:lang w:val="fi-FI"/>
        </w:rPr>
        <w:t>Ensimmäisissä allekirjoitetuissa hankesopimuksissa on mukana yli</w:t>
      </w:r>
      <w:r w:rsidRPr="00CE4DF2">
        <w:rPr>
          <w:b/>
          <w:bCs/>
          <w:noProof/>
          <w:lang w:val="fi-FI"/>
        </w:rPr>
        <w:t xml:space="preserve"> 39 000 osallistujaa</w:t>
      </w:r>
      <w:r w:rsidRPr="00CE4DF2">
        <w:rPr>
          <w:noProof/>
          <w:lang w:val="fi-FI"/>
        </w:rPr>
        <w:t xml:space="preserve"> 142 maasta.</w:t>
      </w:r>
      <w:r w:rsidRPr="00CE4DF2">
        <w:rPr>
          <w:b/>
          <w:bCs/>
          <w:noProof/>
          <w:lang w:val="fi-FI"/>
        </w:rPr>
        <w:t xml:space="preserve"> Pieniä ja keskikokoisia yrityksiä (pk-yrityksiä) on 19 prosenttia</w:t>
      </w:r>
      <w:r w:rsidRPr="00CE4DF2">
        <w:rPr>
          <w:noProof/>
          <w:lang w:val="fi-FI"/>
        </w:rPr>
        <w:t xml:space="preserve">, ja 15,7 prosenttia osallistujista on EU:n ulkopuolisista maista. Eniten osallistujia on korkea-asteen koulutusorganisaatioista (32,7 %), yksityisen sektorin yhteisöistä (30,7 %) ja tutkimusorganisaatioista (22,6 %). Alustava analyysi osoittaa, että 35,6 prosenttia osallistujista on uusia hakijoita. </w:t>
      </w:r>
    </w:p>
    <w:p w14:paraId="4388AA43" w14:textId="331461CF" w:rsidR="00DE5326" w:rsidRPr="00CE4DF2" w:rsidRDefault="002034FE" w:rsidP="002034FE">
      <w:pPr>
        <w:rPr>
          <w:noProof/>
          <w:lang w:val="fi-FI"/>
        </w:rPr>
      </w:pPr>
      <w:r w:rsidRPr="00CE4DF2">
        <w:rPr>
          <w:noProof/>
          <w:lang w:val="fi-FI"/>
        </w:rPr>
        <w:t>Osallistumispohjaa laajentaville maille osoitettiin allekirjoitettujen avustussopimusten myötä yhteensä 2,2 miljardia euroa (13,6 %) Horisontti Eurooppa -ohjelman varoja. Muut jäsenvaltiot saivat 12,8 miljardia euroa, assosioituneet maat yli miljardi euroa ja assosioitumattomat maat 200 miljoonaa euroa. Pk-yritysten osuus oli 18 prosenttia kokonaisbudjetista (2,86 miljardia euroa).</w:t>
      </w:r>
    </w:p>
    <w:p w14:paraId="38D6AE09" w14:textId="13636DB8" w:rsidR="00A460F5" w:rsidRPr="00CE4DF2" w:rsidRDefault="00CF4D5B" w:rsidP="00A460F5">
      <w:pPr>
        <w:spacing w:after="0"/>
        <w:rPr>
          <w:b/>
          <w:noProof/>
          <w:lang w:val="fi-FI"/>
        </w:rPr>
      </w:pPr>
      <w:r w:rsidRPr="00CE4DF2">
        <w:rPr>
          <w:noProof/>
          <w:lang w:val="fi-FI"/>
        </w:rPr>
        <w:br w:type="page"/>
      </w:r>
      <w:r w:rsidRPr="00CE4DF2">
        <w:rPr>
          <w:b/>
          <w:noProof/>
          <w:lang w:val="fi-FI"/>
        </w:rPr>
        <w:t xml:space="preserve">Eurooppalaiset kumppanuudet </w:t>
      </w:r>
    </w:p>
    <w:p w14:paraId="1EDF70DE" w14:textId="26C2ECA7" w:rsidR="00A460F5" w:rsidRPr="00CE4DF2" w:rsidRDefault="00504B62" w:rsidP="00504B62">
      <w:pPr>
        <w:rPr>
          <w:i/>
          <w:noProof/>
          <w:sz w:val="20"/>
          <w:lang w:val="fi-FI"/>
        </w:rPr>
      </w:pPr>
      <w:r w:rsidRPr="00CE4DF2">
        <w:rPr>
          <w:i/>
          <w:noProof/>
          <w:sz w:val="20"/>
          <w:lang w:val="fi-FI"/>
        </w:rPr>
        <w:t xml:space="preserve">Lähde: </w:t>
      </w:r>
      <w:hyperlink r:id="rId97" w:history="1">
        <w:r w:rsidRPr="00CE4DF2">
          <w:rPr>
            <w:rStyle w:val="Hyperlink"/>
            <w:i/>
            <w:noProof/>
            <w:sz w:val="20"/>
            <w:lang w:val="fi-FI"/>
          </w:rPr>
          <w:t>Performance of European Partnerships -raportti</w:t>
        </w:r>
      </w:hyperlink>
    </w:p>
    <w:p w14:paraId="7CF9AB7E" w14:textId="74898BBA" w:rsidR="00A460F5" w:rsidRPr="00CE4DF2" w:rsidRDefault="00A460F5" w:rsidP="00A460F5">
      <w:pPr>
        <w:rPr>
          <w:noProof/>
          <w:lang w:val="fi-FI"/>
        </w:rPr>
      </w:pPr>
      <w:r w:rsidRPr="00CE4DF2">
        <w:rPr>
          <w:noProof/>
          <w:lang w:val="fi-FI"/>
        </w:rPr>
        <w:t xml:space="preserve">Ensimmäisen </w:t>
      </w:r>
      <w:hyperlink r:id="rId98" w:history="1">
        <w:r w:rsidRPr="00CE4DF2">
          <w:rPr>
            <w:rStyle w:val="Hyperlink"/>
            <w:noProof/>
            <w:lang w:val="fi-FI"/>
          </w:rPr>
          <w:t>vuosien 2021–2024 strategisen suunnitelman</w:t>
        </w:r>
      </w:hyperlink>
      <w:r w:rsidRPr="00CE4DF2">
        <w:rPr>
          <w:noProof/>
          <w:lang w:val="fi-FI"/>
        </w:rPr>
        <w:t xml:space="preserve"> puitteissa määritettiin 49 kumppanuutta, joista 37 oli käynnistetty vuoden 2022 toukokuuhun mennessä. </w:t>
      </w:r>
    </w:p>
    <w:p w14:paraId="1134FF7B" w14:textId="77777777" w:rsidR="00A460F5" w:rsidRPr="00CE4DF2" w:rsidRDefault="00A460F5" w:rsidP="00A460F5">
      <w:pPr>
        <w:jc w:val="center"/>
        <w:rPr>
          <w:noProof/>
          <w:lang w:val="fi-FI"/>
        </w:rPr>
      </w:pPr>
      <w:r w:rsidRPr="00CE4DF2">
        <w:rPr>
          <w:noProof/>
          <w:color w:val="2B579A"/>
          <w:shd w:val="clear" w:color="auto" w:fill="E6E6E6"/>
        </w:rPr>
        <w:drawing>
          <wp:inline distT="0" distB="0" distL="0" distR="0" wp14:anchorId="24962669" wp14:editId="2F4C609D">
            <wp:extent cx="5731510" cy="51136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5731510" cy="5113655"/>
                    </a:xfrm>
                    <a:prstGeom prst="rect">
                      <a:avLst/>
                    </a:prstGeom>
                  </pic:spPr>
                </pic:pic>
              </a:graphicData>
            </a:graphic>
          </wp:inline>
        </w:drawing>
      </w:r>
    </w:p>
    <w:p w14:paraId="3939CB28" w14:textId="0651E8AC" w:rsidR="00A460F5" w:rsidRPr="00CE4DF2" w:rsidRDefault="00A460F5" w:rsidP="00A460F5">
      <w:pPr>
        <w:jc w:val="left"/>
        <w:rPr>
          <w:i/>
          <w:noProof/>
          <w:sz w:val="18"/>
          <w:lang w:val="fi-FI"/>
        </w:rPr>
      </w:pPr>
      <w:r w:rsidRPr="00CE4DF2">
        <w:rPr>
          <w:i/>
          <w:noProof/>
          <w:sz w:val="18"/>
          <w:lang w:val="fi-FI"/>
        </w:rPr>
        <w:t>Kaavio 3: Eurooppalaiset kumppanuudet</w:t>
      </w:r>
    </w:p>
    <w:p w14:paraId="6C610020" w14:textId="77777777" w:rsidR="0027449B" w:rsidRPr="00CE4DF2" w:rsidRDefault="0027449B" w:rsidP="00A460F5">
      <w:pPr>
        <w:rPr>
          <w:noProof/>
          <w:lang w:val="fi-FI"/>
        </w:rPr>
      </w:pPr>
    </w:p>
    <w:p w14:paraId="79337D38" w14:textId="7A0EDDCC" w:rsidR="00A460F5" w:rsidRPr="00CE4DF2" w:rsidRDefault="0027449B" w:rsidP="00A460F5">
      <w:pPr>
        <w:rPr>
          <w:noProof/>
          <w:lang w:val="fi-FI"/>
        </w:rPr>
      </w:pPr>
      <w:r w:rsidRPr="00CE4DF2">
        <w:rPr>
          <w:noProof/>
          <w:lang w:val="fi-FI"/>
        </w:rPr>
        <w:br w:type="page"/>
        <w:t>Kumppanuuksia rahoitetaan arviolta 31,4 miljardin euron suuruisilla sitoumuksilla muilta kumppaneilta kuin EU:lta (9 miljardia jäsenvaltioilta ja assosioituneilta mailta ja 22,4 miljardia teollisuudelta) ja arviolta 23,8 miljardin euron suuruisella sitoumuksella Horisontti Eurooppa -ohjelmasta. Tämä on yhtä kuin 37,7 prosenttia Horisontti Eurooppa -ohjelman pilarin II budjetista, ja se jakaantuu seuraavasti:</w:t>
      </w:r>
    </w:p>
    <w:p w14:paraId="4757B651" w14:textId="1A45BA90" w:rsidR="00A460F5" w:rsidRPr="00CE4DF2" w:rsidRDefault="00CE4DF2" w:rsidP="00A460F5">
      <w:pPr>
        <w:rPr>
          <w:noProof/>
          <w:lang w:val="fi-FI"/>
        </w:rPr>
      </w:pPr>
      <w:r w:rsidRPr="00CE4DF2">
        <w:rPr>
          <w:noProof/>
        </w:rPr>
        <w:drawing>
          <wp:inline distT="0" distB="0" distL="0" distR="0" wp14:anchorId="60EE99DB" wp14:editId="7F7EF913">
            <wp:extent cx="5472430" cy="49361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472430" cy="4936133"/>
                    </a:xfrm>
                    <a:prstGeom prst="rect">
                      <a:avLst/>
                    </a:prstGeom>
                    <a:noFill/>
                    <a:ln>
                      <a:noFill/>
                    </a:ln>
                  </pic:spPr>
                </pic:pic>
              </a:graphicData>
            </a:graphic>
          </wp:inline>
        </w:drawing>
      </w:r>
    </w:p>
    <w:p w14:paraId="0AFA2DB3" w14:textId="0037966C" w:rsidR="00A460F5" w:rsidRPr="00CE4DF2" w:rsidRDefault="000C4DEC" w:rsidP="00A460F5">
      <w:pPr>
        <w:jc w:val="left"/>
        <w:rPr>
          <w:i/>
          <w:noProof/>
          <w:sz w:val="18"/>
          <w:lang w:val="fi-FI"/>
        </w:rPr>
      </w:pPr>
      <w:r w:rsidRPr="00CE4DF2">
        <w:rPr>
          <w:i/>
          <w:noProof/>
          <w:sz w:val="18"/>
          <w:lang w:val="fi-FI"/>
        </w:rPr>
        <w:t>Kaavio 4: Talousarviositoumukset toimintaklustereittain</w:t>
      </w:r>
    </w:p>
    <w:p w14:paraId="3AB7F190" w14:textId="77777777" w:rsidR="00A460F5" w:rsidRPr="00CE4DF2" w:rsidRDefault="00A460F5" w:rsidP="00A460F5">
      <w:pPr>
        <w:spacing w:after="0"/>
        <w:rPr>
          <w:b/>
          <w:noProof/>
          <w:lang w:val="fi-FI"/>
        </w:rPr>
      </w:pPr>
    </w:p>
    <w:p w14:paraId="4816EAF4" w14:textId="77777777" w:rsidR="0027449B" w:rsidRPr="00CE4DF2" w:rsidRDefault="0027449B" w:rsidP="00A460F5">
      <w:pPr>
        <w:spacing w:after="0"/>
        <w:rPr>
          <w:b/>
          <w:noProof/>
          <w:lang w:val="fi-FI"/>
        </w:rPr>
      </w:pPr>
    </w:p>
    <w:p w14:paraId="3DBAEA5E" w14:textId="2D87A6CE" w:rsidR="00A460F5" w:rsidRPr="00CE4DF2" w:rsidRDefault="00A460F5" w:rsidP="00A460F5">
      <w:pPr>
        <w:spacing w:after="0"/>
        <w:rPr>
          <w:b/>
          <w:noProof/>
          <w:lang w:val="fi-FI"/>
        </w:rPr>
      </w:pPr>
      <w:r w:rsidRPr="00CE4DF2">
        <w:rPr>
          <w:b/>
          <w:noProof/>
          <w:lang w:val="fi-FI"/>
        </w:rPr>
        <w:t>EU:n missiot</w:t>
      </w:r>
    </w:p>
    <w:p w14:paraId="46BDF5CF" w14:textId="1650579E" w:rsidR="00A460F5" w:rsidRPr="00CE4DF2" w:rsidRDefault="00A460F5" w:rsidP="00A460F5">
      <w:pPr>
        <w:rPr>
          <w:i/>
          <w:noProof/>
          <w:sz w:val="18"/>
          <w:lang w:val="fi-FI"/>
        </w:rPr>
      </w:pPr>
      <w:r w:rsidRPr="00CE4DF2">
        <w:rPr>
          <w:i/>
          <w:noProof/>
          <w:sz w:val="18"/>
          <w:lang w:val="fi-FI"/>
        </w:rPr>
        <w:t>Lähde: Horizon Dashboard 30.12.2022.</w:t>
      </w:r>
    </w:p>
    <w:p w14:paraId="008BE1FE" w14:textId="11CF4808" w:rsidR="00A460F5" w:rsidRPr="00CE4DF2" w:rsidRDefault="00A460F5" w:rsidP="00A460F5">
      <w:pPr>
        <w:rPr>
          <w:noProof/>
          <w:lang w:val="fi-FI"/>
        </w:rPr>
      </w:pPr>
      <w:r w:rsidRPr="00CE4DF2">
        <w:rPr>
          <w:noProof/>
          <w:lang w:val="fi-FI"/>
        </w:rPr>
        <w:t xml:space="preserve">Vuoden 2022 loppuun mennessä oli käynnistetty, päätetty ja arvioitu kokonaan 25 </w:t>
      </w:r>
      <w:hyperlink r:id="rId101" w:history="1">
        <w:r w:rsidRPr="00CE4DF2">
          <w:rPr>
            <w:rStyle w:val="Hyperlink"/>
            <w:noProof/>
            <w:lang w:val="fi-FI"/>
          </w:rPr>
          <w:t>Horisontti Eurooppa -ohjelman missioihin</w:t>
        </w:r>
      </w:hyperlink>
      <w:r w:rsidRPr="00CE4DF2">
        <w:rPr>
          <w:noProof/>
          <w:lang w:val="fi-FI"/>
        </w:rPr>
        <w:t xml:space="preserve"> liittyvää ehdotuspyyntöä. Niihin oli saatu 8 167 tukikelpoista tutkimus- ja innovointiehdotusta, joista rahoitettavaksi valittiin 137. Niissä haetun EU-rahoituksen määrä oli yhteensä 1 046 miljoonaa euroa.</w:t>
      </w:r>
    </w:p>
    <w:p w14:paraId="11696DF2" w14:textId="2341E7BD" w:rsidR="00A460F5" w:rsidRPr="00CE4DF2" w:rsidRDefault="0027449B" w:rsidP="00A460F5">
      <w:pPr>
        <w:rPr>
          <w:noProof/>
          <w:lang w:val="fi-FI"/>
        </w:rPr>
      </w:pPr>
      <w:r w:rsidRPr="00CE4DF2">
        <w:rPr>
          <w:noProof/>
          <w:lang w:val="fi-FI"/>
        </w:rPr>
        <w:br w:type="page"/>
        <w:t>Yhteensä 71 avustussopimusta oli jo allekirjoitettu, ja niissä oli 1 525 osallistujaa. Yhteensä 567 miljoonan euron rahoitus oli jaettu</w:t>
      </w:r>
      <w:r w:rsidRPr="00CE4DF2">
        <w:rPr>
          <w:rStyle w:val="FootnoteReference"/>
          <w:noProof/>
          <w:lang w:val="fi-FI"/>
        </w:rPr>
        <w:footnoteReference w:id="7"/>
      </w:r>
      <w:r w:rsidRPr="00CE4DF2">
        <w:rPr>
          <w:noProof/>
          <w:lang w:val="fi-FI"/>
        </w:rPr>
        <w:t xml:space="preserve"> viiden mission kesken seuraavasti: </w:t>
      </w:r>
    </w:p>
    <w:p w14:paraId="14AB97E3" w14:textId="410F3F4B" w:rsidR="00A460F5" w:rsidRPr="00CE4DF2" w:rsidRDefault="00CE4DF2" w:rsidP="00A460F5">
      <w:pPr>
        <w:spacing w:after="0"/>
        <w:jc w:val="center"/>
        <w:rPr>
          <w:noProof/>
          <w:lang w:val="fi-FI"/>
        </w:rPr>
      </w:pPr>
      <w:r w:rsidRPr="00CE4DF2">
        <w:rPr>
          <w:noProof/>
        </w:rPr>
        <w:drawing>
          <wp:inline distT="0" distB="0" distL="0" distR="0" wp14:anchorId="1BD5F921" wp14:editId="159875CB">
            <wp:extent cx="5472430" cy="39817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72430" cy="3981703"/>
                    </a:xfrm>
                    <a:prstGeom prst="rect">
                      <a:avLst/>
                    </a:prstGeom>
                    <a:noFill/>
                    <a:ln>
                      <a:noFill/>
                    </a:ln>
                  </pic:spPr>
                </pic:pic>
              </a:graphicData>
            </a:graphic>
          </wp:inline>
        </w:drawing>
      </w:r>
    </w:p>
    <w:p w14:paraId="15EE9C92" w14:textId="36907261" w:rsidR="00A460F5" w:rsidRPr="00CE4DF2" w:rsidRDefault="00A460F5" w:rsidP="00A460F5">
      <w:pPr>
        <w:jc w:val="left"/>
        <w:rPr>
          <w:i/>
          <w:noProof/>
          <w:sz w:val="18"/>
          <w:lang w:val="fi-FI"/>
        </w:rPr>
      </w:pPr>
      <w:r w:rsidRPr="00CE4DF2">
        <w:rPr>
          <w:i/>
          <w:noProof/>
          <w:sz w:val="18"/>
          <w:lang w:val="fi-FI"/>
        </w:rPr>
        <w:t>Kaavio 5: Allekirjoitetut avustussopimukset, osallistuminen ja EU:n rahoitusosuus missioittain</w:t>
      </w:r>
    </w:p>
    <w:p w14:paraId="2A80FFC2" w14:textId="77777777" w:rsidR="000E11E0" w:rsidRPr="00CE4DF2" w:rsidRDefault="000E11E0" w:rsidP="00A460F5">
      <w:pPr>
        <w:rPr>
          <w:b/>
          <w:noProof/>
          <w:lang w:val="fi-FI"/>
        </w:rPr>
      </w:pPr>
    </w:p>
    <w:p w14:paraId="7DF9589A" w14:textId="25FA4585" w:rsidR="00A460F5" w:rsidRPr="00CE4DF2" w:rsidRDefault="00A460F5" w:rsidP="00A460F5">
      <w:pPr>
        <w:rPr>
          <w:b/>
          <w:noProof/>
          <w:lang w:val="fi-FI"/>
        </w:rPr>
      </w:pPr>
      <w:r w:rsidRPr="00CE4DF2">
        <w:rPr>
          <w:b/>
          <w:noProof/>
          <w:lang w:val="fi-FI"/>
        </w:rPr>
        <w:t xml:space="preserve">Euroopan innovaatio- ja teknologiainstituutti (EIT) </w:t>
      </w:r>
    </w:p>
    <w:p w14:paraId="61C9000C" w14:textId="508585F1" w:rsidR="00A460F5" w:rsidRPr="00CE4DF2" w:rsidRDefault="00A460F5" w:rsidP="00A460F5">
      <w:pPr>
        <w:rPr>
          <w:noProof/>
          <w:lang w:val="fi-FI"/>
        </w:rPr>
      </w:pPr>
      <w:r w:rsidRPr="00CE4DF2">
        <w:rPr>
          <w:noProof/>
          <w:lang w:val="fi-FI"/>
        </w:rPr>
        <w:t>Vuosina 2021–2022</w:t>
      </w:r>
      <w:r w:rsidRPr="00CE4DF2">
        <w:rPr>
          <w:rStyle w:val="FootnoteReference"/>
          <w:noProof/>
          <w:lang w:val="fi-FI"/>
        </w:rPr>
        <w:footnoteReference w:id="8"/>
      </w:r>
      <w:r w:rsidRPr="00CE4DF2">
        <w:rPr>
          <w:noProof/>
          <w:lang w:val="fi-FI"/>
        </w:rPr>
        <w:t>:</w:t>
      </w:r>
    </w:p>
    <w:p w14:paraId="7713A466" w14:textId="77777777" w:rsidR="00A460F5" w:rsidRPr="00CE4DF2" w:rsidRDefault="003E37A2" w:rsidP="00A460F5">
      <w:pPr>
        <w:pStyle w:val="ListParagraph"/>
        <w:numPr>
          <w:ilvl w:val="0"/>
          <w:numId w:val="43"/>
        </w:numPr>
        <w:jc w:val="both"/>
        <w:rPr>
          <w:rFonts w:ascii="Times New Roman" w:hAnsi="Times New Roman"/>
          <w:noProof/>
          <w:sz w:val="24"/>
          <w:lang w:val="fi-FI"/>
        </w:rPr>
      </w:pPr>
      <w:hyperlink r:id="rId103" w:history="1">
        <w:r w:rsidR="00A460F5" w:rsidRPr="00CE4DF2">
          <w:rPr>
            <w:rStyle w:val="Hyperlink"/>
            <w:rFonts w:ascii="Times New Roman" w:hAnsi="Times New Roman"/>
            <w:noProof/>
            <w:sz w:val="24"/>
            <w:lang w:val="fi-FI"/>
          </w:rPr>
          <w:t>Euroopan innovaatio- ja teknologiainstituutin</w:t>
        </w:r>
      </w:hyperlink>
      <w:r w:rsidR="00A460F5" w:rsidRPr="00CE4DF2">
        <w:rPr>
          <w:noProof/>
          <w:lang w:val="fi-FI"/>
        </w:rPr>
        <w:t xml:space="preserve"> (</w:t>
      </w:r>
      <w:r w:rsidR="00A460F5" w:rsidRPr="00CE4DF2">
        <w:rPr>
          <w:rFonts w:ascii="Times New Roman" w:hAnsi="Times New Roman"/>
          <w:noProof/>
          <w:sz w:val="24"/>
          <w:lang w:val="fi-FI"/>
        </w:rPr>
        <w:t>EIT) laatumerkin saaneista maisteri- ja tohtoriohjelmista valmistui 2 320 ihmistä;</w:t>
      </w:r>
    </w:p>
    <w:p w14:paraId="4796C74E" w14:textId="2692EA8B" w:rsidR="00A460F5" w:rsidRPr="00CE4DF2" w:rsidRDefault="00A460F5" w:rsidP="00A460F5">
      <w:pPr>
        <w:pStyle w:val="ListParagraph"/>
        <w:numPr>
          <w:ilvl w:val="0"/>
          <w:numId w:val="43"/>
        </w:numPr>
        <w:jc w:val="both"/>
        <w:rPr>
          <w:rFonts w:ascii="Times New Roman" w:hAnsi="Times New Roman"/>
          <w:noProof/>
          <w:sz w:val="24"/>
          <w:lang w:val="fi-FI"/>
        </w:rPr>
      </w:pPr>
      <w:r w:rsidRPr="00CE4DF2">
        <w:rPr>
          <w:rFonts w:ascii="Times New Roman" w:hAnsi="Times New Roman"/>
          <w:noProof/>
          <w:sz w:val="24"/>
          <w:lang w:val="fi-FI"/>
        </w:rPr>
        <w:t>EIT-ohjelmien opiskelijat perustivat 76 start-up-yritystä ja EIT:n innovointihankkeiden tuloksena perustettiin 203 start-up-yritystä;</w:t>
      </w:r>
    </w:p>
    <w:p w14:paraId="7E68C4B0" w14:textId="77777777" w:rsidR="00A460F5" w:rsidRPr="00CE4DF2" w:rsidRDefault="00A460F5" w:rsidP="00A460F5">
      <w:pPr>
        <w:pStyle w:val="ListParagraph"/>
        <w:numPr>
          <w:ilvl w:val="0"/>
          <w:numId w:val="43"/>
        </w:numPr>
        <w:jc w:val="both"/>
        <w:rPr>
          <w:noProof/>
          <w:lang w:val="fi-FI"/>
        </w:rPr>
      </w:pPr>
      <w:r w:rsidRPr="00CE4DF2">
        <w:rPr>
          <w:rFonts w:ascii="Times New Roman" w:hAnsi="Times New Roman"/>
          <w:noProof/>
          <w:sz w:val="24"/>
          <w:lang w:val="fi-FI"/>
        </w:rPr>
        <w:t xml:space="preserve">EIT:n </w:t>
      </w:r>
      <w:hyperlink r:id="rId104" w:history="1">
        <w:r w:rsidRPr="00CE4DF2">
          <w:rPr>
            <w:rStyle w:val="Hyperlink"/>
            <w:rFonts w:ascii="Times New Roman" w:hAnsi="Times New Roman"/>
            <w:noProof/>
            <w:sz w:val="24"/>
            <w:lang w:val="fi-FI"/>
          </w:rPr>
          <w:t>osaamis- ja innovaatioyhteisöistä</w:t>
        </w:r>
      </w:hyperlink>
      <w:r w:rsidRPr="00CE4DF2">
        <w:rPr>
          <w:rFonts w:ascii="Times New Roman" w:hAnsi="Times New Roman"/>
          <w:noProof/>
          <w:sz w:val="24"/>
          <w:lang w:val="fi-FI"/>
        </w:rPr>
        <w:t xml:space="preserve"> sai tukea 2 425 start-up-yritystä;</w:t>
      </w:r>
    </w:p>
    <w:p w14:paraId="144E8D79" w14:textId="6CF7159A" w:rsidR="00A460F5" w:rsidRPr="00CE4DF2" w:rsidRDefault="00A460F5" w:rsidP="00A460F5">
      <w:pPr>
        <w:pStyle w:val="ListParagraph"/>
        <w:numPr>
          <w:ilvl w:val="0"/>
          <w:numId w:val="43"/>
        </w:numPr>
        <w:jc w:val="both"/>
        <w:rPr>
          <w:noProof/>
          <w:lang w:val="fi-FI"/>
        </w:rPr>
      </w:pPr>
      <w:r w:rsidRPr="00CE4DF2">
        <w:rPr>
          <w:rFonts w:ascii="Times New Roman" w:hAnsi="Times New Roman"/>
          <w:noProof/>
          <w:sz w:val="24"/>
          <w:lang w:val="fi-FI"/>
        </w:rPr>
        <w:t>EIT:n osaamis- ja innovaatioyhteisöt saattoivat markkinoille 607 innovatiivista tuotetta tai palvelua.</w:t>
      </w:r>
    </w:p>
    <w:p w14:paraId="6C59353D" w14:textId="77777777" w:rsidR="00E5709D" w:rsidRPr="00CE4DF2" w:rsidRDefault="00E5709D" w:rsidP="002034FE">
      <w:pPr>
        <w:rPr>
          <w:b/>
          <w:noProof/>
          <w:lang w:val="fi-FI"/>
        </w:rPr>
      </w:pPr>
    </w:p>
    <w:p w14:paraId="036D754E" w14:textId="1F9F116D" w:rsidR="002034FE" w:rsidRPr="00CE4DF2" w:rsidRDefault="005E6ABF" w:rsidP="002034FE">
      <w:pPr>
        <w:rPr>
          <w:b/>
          <w:noProof/>
          <w:lang w:val="fi-FI"/>
        </w:rPr>
      </w:pPr>
      <w:r w:rsidRPr="00CE4DF2">
        <w:rPr>
          <w:b/>
          <w:noProof/>
          <w:lang w:val="fi-FI"/>
        </w:rPr>
        <w:t>3.3. Perusteellinen analyysi: Horisontti Eurooppa -puiteohjelman Monitoring Flash -tutkimukset ja muut tutkimukset</w:t>
      </w:r>
    </w:p>
    <w:p w14:paraId="1939E291" w14:textId="77777777" w:rsidR="002034FE" w:rsidRPr="00CE4DF2" w:rsidRDefault="002034FE" w:rsidP="002034FE">
      <w:pPr>
        <w:rPr>
          <w:b/>
          <w:noProof/>
          <w:lang w:val="fi-FI"/>
        </w:rPr>
      </w:pPr>
      <w:r w:rsidRPr="00CE4DF2">
        <w:rPr>
          <w:b/>
          <w:noProof/>
          <w:lang w:val="fi-FI"/>
        </w:rPr>
        <w:t>EU:n tutkimus- ja innovointiohjelmien uudet tulokkaat</w:t>
      </w:r>
    </w:p>
    <w:p w14:paraId="3D265B78" w14:textId="727A75E6" w:rsidR="002034FE" w:rsidRPr="00CE4DF2" w:rsidRDefault="002034FE" w:rsidP="002034FE">
      <w:pPr>
        <w:rPr>
          <w:b/>
          <w:noProof/>
          <w:lang w:val="fi-FI"/>
        </w:rPr>
      </w:pPr>
      <w:r w:rsidRPr="00CE4DF2">
        <w:rPr>
          <w:noProof/>
          <w:lang w:val="fi-FI"/>
        </w:rPr>
        <w:t xml:space="preserve">Uudessa Monitoring Flash -tutkimuksessa tarkastellaan </w:t>
      </w:r>
      <w:hyperlink r:id="rId105" w:history="1">
        <w:r w:rsidRPr="00CE4DF2">
          <w:rPr>
            <w:rStyle w:val="Hyperlink"/>
            <w:noProof/>
            <w:lang w:val="fi-FI"/>
          </w:rPr>
          <w:t>EU:n tutkimus- ja innovointiohjelmien uusia tulokkaita</w:t>
        </w:r>
      </w:hyperlink>
      <w:r w:rsidRPr="00CE4DF2">
        <w:rPr>
          <w:noProof/>
          <w:lang w:val="fi-FI"/>
        </w:rPr>
        <w:t xml:space="preserve">. Horisontti 2020 -ohjelmaan osallistumista koskeva, enimmäkseen takautuva tarkastelu osoittaa, että 69,2 prosenttia ohjelmaan hyväksytyistä hakijoista ei osallistunut edelliseen (seitsemänteen) puiteohjelmaan. Uudet tulokkaat saivat rahoitusta 12,9 miljardia euroa, josta noin puolet osoitettiin pk-yrityksille (6,1 miljardia euroa). Ensimmäiset Horisontti Eurooppa -ohjelman uusia tulokkaita koskevat luvut ovat samansuuntaisia. </w:t>
      </w:r>
      <w:r w:rsidRPr="00CE4DF2">
        <w:rPr>
          <w:noProof/>
          <w:lang w:val="fi-FI"/>
        </w:rPr>
        <w:br w:type="page"/>
      </w:r>
      <w:r w:rsidRPr="00CE4DF2">
        <w:rPr>
          <w:b/>
          <w:noProof/>
          <w:lang w:val="fi-FI"/>
        </w:rPr>
        <w:t>Arviointitutkimusten tämänhetkinen tilanne</w:t>
      </w:r>
    </w:p>
    <w:p w14:paraId="038FCD95" w14:textId="3E0C7FE6" w:rsidR="002034FE" w:rsidRPr="00CE4DF2" w:rsidRDefault="002034FE" w:rsidP="002034FE">
      <w:pPr>
        <w:rPr>
          <w:noProof/>
          <w:lang w:val="fi-FI"/>
        </w:rPr>
      </w:pPr>
      <w:r w:rsidRPr="00CE4DF2">
        <w:rPr>
          <w:noProof/>
          <w:lang w:val="fi-FI"/>
        </w:rPr>
        <w:t xml:space="preserve">Osana Horisontti 2020 -ohjelman jälkiarviointia on tekeillä muutamia arviointitutkimuksia, ja Horisontti Eurooppa -puiteohjelman väliarvioinnin valmistelut on aloitettu. Vuonna 2022 komissio julkaisi arviointitutkimuksen nimeltä </w:t>
      </w:r>
      <w:hyperlink r:id="rId106" w:history="1">
        <w:r w:rsidRPr="00CE4DF2">
          <w:rPr>
            <w:rStyle w:val="Hyperlink"/>
            <w:noProof/>
            <w:lang w:val="fi-FI"/>
          </w:rPr>
          <w:t>Evaluation study on the European Innovation Council (EIC) pilot</w:t>
        </w:r>
      </w:hyperlink>
      <w:r w:rsidRPr="00CE4DF2">
        <w:rPr>
          <w:noProof/>
          <w:lang w:val="fi-FI"/>
        </w:rPr>
        <w:t xml:space="preserve"> ja aloitti laajan julkisen kuulemisen, joka koskee EU:n vuosien 2014–2027 tutkimus- ja innovointiohjelmien historiaa, nykyhetkeä ja tulevaisuutta.</w:t>
      </w:r>
    </w:p>
    <w:p w14:paraId="4B5A9410" w14:textId="77777777" w:rsidR="00027AD3" w:rsidRPr="00CE4DF2" w:rsidRDefault="00027AD3" w:rsidP="002034FE">
      <w:pPr>
        <w:rPr>
          <w:b/>
          <w:noProof/>
          <w:lang w:val="fi-FI"/>
        </w:rPr>
      </w:pPr>
    </w:p>
    <w:p w14:paraId="1561B260" w14:textId="5DCB34B3" w:rsidR="002034FE" w:rsidRPr="00CE4DF2" w:rsidRDefault="0097412B" w:rsidP="002034FE">
      <w:pPr>
        <w:rPr>
          <w:b/>
          <w:noProof/>
          <w:lang w:val="fi-FI"/>
        </w:rPr>
      </w:pPr>
      <w:r w:rsidRPr="00CE4DF2">
        <w:rPr>
          <w:b/>
          <w:noProof/>
          <w:lang w:val="fi-FI"/>
        </w:rPr>
        <w:t>3.4. Horisontti 2020 -ohjelma</w:t>
      </w:r>
    </w:p>
    <w:p w14:paraId="05F03D4E" w14:textId="314B025A" w:rsidR="002034FE" w:rsidRPr="00CE4DF2" w:rsidRDefault="002034FE" w:rsidP="002034FE">
      <w:pPr>
        <w:rPr>
          <w:noProof/>
          <w:lang w:val="fi-FI"/>
        </w:rPr>
      </w:pPr>
      <w:r w:rsidRPr="00CE4DF2">
        <w:rPr>
          <w:noProof/>
          <w:lang w:val="fi-FI"/>
        </w:rPr>
        <w:t xml:space="preserve">Horisontti 2020 -ohjelmassa allekirjoitettiin yhteensä 35 426 avustussopimusta, joihin liittyvien talousarviomäärärahojen kokonaismäärä oli 68,32 miljardia euroa. Suurimman osuuden saivat yhteiskunnallisten haasteiden pilariin kuuluvat hankkeet (38,6 %), ja seuraavaksi suurimmat osuudet saivat huipputason tieteen pilari (36,6 %) ja teollisuuden johtoaseman pilari (20,2 %). </w:t>
      </w:r>
    </w:p>
    <w:p w14:paraId="6C6C97F9" w14:textId="33A5EC4E" w:rsidR="002034FE" w:rsidRPr="00CE4DF2" w:rsidRDefault="002034FE" w:rsidP="002034FE">
      <w:pPr>
        <w:rPr>
          <w:noProof/>
          <w:lang w:val="fi-FI"/>
        </w:rPr>
      </w:pPr>
      <w:r w:rsidRPr="00CE4DF2">
        <w:rPr>
          <w:noProof/>
          <w:lang w:val="fi-FI"/>
        </w:rPr>
        <w:t>Yhteensä 41 575 organisaatiota sai tukea Horisontti 2020 -ohjelmasta. Korkea-asteen koulutusorganisaatiot saivat 39,5 prosenttia (26,9 miljardia euroa) määrärahoista. Seuraavaksi eniten saivat yksityisen sektorin yhteisöt (28,2 % eli 19,3 miljardia euroa) ja tutkimusorganisaatiot (25 % eli 17 miljardia euroa).</w:t>
      </w:r>
      <w:r w:rsidR="00FB2D65">
        <w:rPr>
          <w:noProof/>
          <w:lang w:val="fi-FI"/>
        </w:rPr>
        <w:t xml:space="preserve"> </w:t>
      </w:r>
    </w:p>
    <w:p w14:paraId="1D0F25F8" w14:textId="3DE89C5D" w:rsidR="002034FE" w:rsidRPr="00CE4DF2" w:rsidRDefault="00ED019C" w:rsidP="002034FE">
      <w:pPr>
        <w:rPr>
          <w:noProof/>
          <w:lang w:val="fi-FI"/>
        </w:rPr>
      </w:pPr>
      <w:r w:rsidRPr="00CE4DF2">
        <w:rPr>
          <w:noProof/>
          <w:lang w:val="fi-FI"/>
        </w:rPr>
        <w:t>Vuoden 2022 lopussa 41 prosenttia Horisontti 2020 -ohjelmasta rahoitetuista hankkeista oli vielä kesken. Hankkeissa on tehty 197 000 vertaisarvioitua julkaisua ja noin 3 200 patenttihakemusta ja saatu 2 300 patenttia.</w:t>
      </w:r>
    </w:p>
    <w:p w14:paraId="56D9D859" w14:textId="77777777" w:rsidR="00E10C1C" w:rsidRPr="00CE4DF2" w:rsidRDefault="00E10C1C" w:rsidP="00860BAE">
      <w:pPr>
        <w:pStyle w:val="ManualHeading2"/>
        <w:rPr>
          <w:noProof/>
          <w:lang w:val="fi-FI"/>
        </w:rPr>
      </w:pPr>
    </w:p>
    <w:p w14:paraId="3E65A744" w14:textId="3B50BAA9" w:rsidR="00517B47" w:rsidRPr="00CE4DF2" w:rsidRDefault="00860BAE" w:rsidP="000E11E0">
      <w:pPr>
        <w:pStyle w:val="ManualHeading2"/>
        <w:rPr>
          <w:noProof/>
          <w:lang w:val="fi-FI"/>
        </w:rPr>
      </w:pPr>
      <w:r w:rsidRPr="00CE4DF2">
        <w:rPr>
          <w:noProof/>
          <w:lang w:val="fi-FI"/>
        </w:rPr>
        <w:t>3.5.</w:t>
      </w:r>
      <w:r w:rsidRPr="00CE4DF2">
        <w:rPr>
          <w:noProof/>
          <w:lang w:val="fi-FI"/>
        </w:rPr>
        <w:tab/>
        <w:t>Tulosten levittäminen ja hyödyntäminen</w:t>
      </w:r>
    </w:p>
    <w:p w14:paraId="39EC648D" w14:textId="4BE48BF2" w:rsidR="005A1ED5" w:rsidRPr="00CE4DF2" w:rsidRDefault="0097412B">
      <w:pPr>
        <w:rPr>
          <w:noProof/>
          <w:lang w:val="fi-FI"/>
        </w:rPr>
      </w:pPr>
      <w:r w:rsidRPr="00CE4DF2">
        <w:rPr>
          <w:noProof/>
          <w:lang w:val="fi-FI"/>
        </w:rPr>
        <w:t xml:space="preserve">Syyskuussa 2022 pidettyjen </w:t>
      </w:r>
      <w:hyperlink r:id="rId107" w:history="1">
        <w:r w:rsidRPr="00CE4DF2">
          <w:rPr>
            <w:rStyle w:val="Hyperlink"/>
            <w:noProof/>
            <w:lang w:val="fi-FI"/>
          </w:rPr>
          <w:t>tutkimus- ja innovaatiopäivien</w:t>
        </w:r>
      </w:hyperlink>
      <w:r w:rsidRPr="00CE4DF2">
        <w:rPr>
          <w:noProof/>
          <w:lang w:val="fi-FI"/>
        </w:rPr>
        <w:t xml:space="preserve"> aikana edistettiin tiedon levittämistä Horisontti Eurooppa -ohjelman tuloksista lukuisilla toimilla. </w:t>
      </w:r>
    </w:p>
    <w:p w14:paraId="5CCEA67B" w14:textId="4872126B" w:rsidR="00517B47" w:rsidRPr="00CE4DF2" w:rsidRDefault="002E2FB6">
      <w:pPr>
        <w:rPr>
          <w:noProof/>
          <w:lang w:val="fi-FI"/>
        </w:rPr>
      </w:pPr>
      <w:r w:rsidRPr="00CE4DF2">
        <w:rPr>
          <w:noProof/>
          <w:lang w:val="fi-FI"/>
        </w:rPr>
        <w:t xml:space="preserve">Asianmukaisilla tiedonlevityksen välineillä, joita ovat </w:t>
      </w:r>
      <w:hyperlink r:id="rId108" w:history="1">
        <w:r w:rsidRPr="00CE4DF2">
          <w:rPr>
            <w:rStyle w:val="Hyperlink"/>
            <w:noProof/>
            <w:lang w:val="fi-FI"/>
          </w:rPr>
          <w:t>Horizon Results Platform -tulosfoorumi</w:t>
        </w:r>
      </w:hyperlink>
      <w:r w:rsidRPr="00CE4DF2">
        <w:rPr>
          <w:rStyle w:val="Hyperlink"/>
          <w:noProof/>
          <w:lang w:val="fi-FI"/>
        </w:rPr>
        <w:t>,</w:t>
      </w:r>
      <w:r w:rsidRPr="00CE4DF2">
        <w:rPr>
          <w:noProof/>
          <w:lang w:val="fi-FI"/>
        </w:rPr>
        <w:t xml:space="preserve"> </w:t>
      </w:r>
      <w:hyperlink r:id="rId109" w:history="1">
        <w:r w:rsidRPr="00CE4DF2">
          <w:rPr>
            <w:rStyle w:val="Hyperlink"/>
            <w:noProof/>
            <w:lang w:val="fi-FI"/>
          </w:rPr>
          <w:t>Horizon Results Booster -palvelu</w:t>
        </w:r>
      </w:hyperlink>
      <w:r w:rsidRPr="00CE4DF2">
        <w:rPr>
          <w:rStyle w:val="Hyperlink"/>
          <w:noProof/>
          <w:lang w:val="fi-FI"/>
        </w:rPr>
        <w:t xml:space="preserve">, </w:t>
      </w:r>
      <w:hyperlink r:id="rId110" w:history="1">
        <w:r w:rsidRPr="00CE4DF2">
          <w:rPr>
            <w:rStyle w:val="Hyperlink"/>
            <w:noProof/>
            <w:lang w:val="fi-FI"/>
          </w:rPr>
          <w:t>CORDIS</w:t>
        </w:r>
      </w:hyperlink>
      <w:r w:rsidRPr="00CE4DF2">
        <w:rPr>
          <w:rStyle w:val="Hyperlink"/>
          <w:noProof/>
          <w:lang w:val="fi-FI"/>
        </w:rPr>
        <w:t xml:space="preserve">, </w:t>
      </w:r>
      <w:hyperlink r:id="rId111" w:history="1">
        <w:r w:rsidRPr="00CE4DF2">
          <w:rPr>
            <w:rStyle w:val="Hyperlink"/>
            <w:noProof/>
            <w:lang w:val="fi-FI"/>
          </w:rPr>
          <w:t>Horizon Dashboard -sivusto</w:t>
        </w:r>
      </w:hyperlink>
      <w:r w:rsidRPr="00CE4DF2">
        <w:rPr>
          <w:rStyle w:val="Hyperlink"/>
          <w:noProof/>
          <w:lang w:val="fi-FI"/>
        </w:rPr>
        <w:t xml:space="preserve">, </w:t>
      </w:r>
      <w:hyperlink r:id="rId112" w:history="1">
        <w:r w:rsidRPr="00CE4DF2">
          <w:rPr>
            <w:rStyle w:val="Hyperlink"/>
            <w:noProof/>
            <w:lang w:val="fi-FI"/>
          </w:rPr>
          <w:t>eurooppalaista tutkimus- ja innovaatiotietoa koskeva politiikka-aloite</w:t>
        </w:r>
      </w:hyperlink>
      <w:r w:rsidRPr="00CE4DF2">
        <w:rPr>
          <w:rStyle w:val="Hyperlink"/>
          <w:noProof/>
          <w:lang w:val="fi-FI"/>
        </w:rPr>
        <w:t xml:space="preserve">, </w:t>
      </w:r>
      <w:hyperlink r:id="rId113" w:history="1">
        <w:r w:rsidRPr="00CE4DF2">
          <w:rPr>
            <w:rStyle w:val="Hyperlink"/>
            <w:noProof/>
            <w:lang w:val="fi-FI"/>
          </w:rPr>
          <w:t>EU:n innovointitutka</w:t>
        </w:r>
      </w:hyperlink>
      <w:r w:rsidRPr="00CE4DF2">
        <w:rPr>
          <w:noProof/>
          <w:lang w:val="fi-FI"/>
        </w:rPr>
        <w:t xml:space="preserve"> ja </w:t>
      </w:r>
      <w:hyperlink r:id="rId114" w:history="1">
        <w:r w:rsidRPr="00CE4DF2">
          <w:rPr>
            <w:rStyle w:val="Hyperlink"/>
            <w:noProof/>
            <w:lang w:val="fi-FI"/>
          </w:rPr>
          <w:t>Horisontti 2020 -ohjelman ja Interreg-ohjelman välisten synergioiden kartoitustyökalu</w:t>
        </w:r>
      </w:hyperlink>
      <w:r w:rsidRPr="00CE4DF2">
        <w:rPr>
          <w:noProof/>
          <w:lang w:val="fi-FI"/>
        </w:rPr>
        <w:t>, jatkettiin puiteohjelmista saatujen hyödynnettävissä olevien tulosten levittämistä ja asetettiin saataville runsaasti tietoa EU:n ja kansallisella tutkimus- ja innovaatiorahoituksella saaduista innovatiivisista tuloksista.</w:t>
      </w:r>
    </w:p>
    <w:p w14:paraId="069ACB7C" w14:textId="5AC4B7D2" w:rsidR="00517B47" w:rsidRPr="00CE4DF2" w:rsidRDefault="003E37A2" w:rsidP="005E6ABF">
      <w:pPr>
        <w:pStyle w:val="ListBullet2"/>
        <w:numPr>
          <w:ilvl w:val="0"/>
          <w:numId w:val="0"/>
        </w:numPr>
        <w:spacing w:before="120" w:after="120"/>
        <w:rPr>
          <w:noProof/>
          <w:lang w:val="fi-FI"/>
        </w:rPr>
      </w:pPr>
      <w:hyperlink r:id="rId115" w:history="1">
        <w:r w:rsidR="002D1FFC" w:rsidRPr="00CE4DF2">
          <w:rPr>
            <w:rStyle w:val="Hyperlink"/>
            <w:noProof/>
            <w:lang w:val="fi-FI"/>
          </w:rPr>
          <w:t>Horisontti Eurooppa -ohjelman tulosten levittämistä ja hyödyntämistä koskevan strategian</w:t>
        </w:r>
      </w:hyperlink>
      <w:r w:rsidR="002D1FFC" w:rsidRPr="00CE4DF2">
        <w:rPr>
          <w:noProof/>
          <w:lang w:val="fi-FI"/>
        </w:rPr>
        <w:t xml:space="preserve"> mukaisesti komissio on ottanut käyttöön toimintasuunnitelman vuosiksi 2021–2022. Siinä keskitytään antamaan sisäistä ohjeistusta, tarjoamaan tukipalveluja tuensaajille, parantamaan verkostoitumista ja synergioita sekä kartoittamaan ja hyödyntämään tuloksia.</w:t>
      </w:r>
    </w:p>
    <w:p w14:paraId="2232F20C" w14:textId="489A7C03" w:rsidR="00205DF3" w:rsidRPr="00CE4DF2" w:rsidRDefault="00205DF3" w:rsidP="005E6ABF">
      <w:pPr>
        <w:pStyle w:val="ListBullet2"/>
        <w:numPr>
          <w:ilvl w:val="0"/>
          <w:numId w:val="0"/>
        </w:numPr>
        <w:spacing w:before="120" w:after="120"/>
        <w:rPr>
          <w:noProof/>
          <w:lang w:val="fi-FI"/>
        </w:rPr>
      </w:pPr>
      <w:r w:rsidRPr="00CE4DF2">
        <w:rPr>
          <w:noProof/>
          <w:lang w:val="fi-FI"/>
        </w:rPr>
        <w:t xml:space="preserve">Vuonna 2022 aloitettiin </w:t>
      </w:r>
      <w:hyperlink r:id="rId116" w:history="1">
        <w:r w:rsidRPr="00CE4DF2">
          <w:rPr>
            <w:rStyle w:val="Hyperlink"/>
            <w:noProof/>
            <w:lang w:val="fi-FI"/>
          </w:rPr>
          <w:t>Horizon Standardisation Booster -palvelu</w:t>
        </w:r>
      </w:hyperlink>
      <w:r w:rsidRPr="00CE4DF2">
        <w:rPr>
          <w:noProof/>
          <w:lang w:val="fi-FI"/>
        </w:rPr>
        <w:t xml:space="preserve">, jonka tavoitteena on edistää eurooppalaista standardointia koskevaa vuoropuhelua Horisontti Eurooppa -hankkeiden ja kyseeseen tulevien standardointiorganisaatioiden välillä ja vahvistaa EU:n vaikutusta kansainväliseen standardointiin. </w:t>
      </w:r>
    </w:p>
    <w:p w14:paraId="03F5CF9E" w14:textId="317E1EB7" w:rsidR="00517B47" w:rsidRPr="00CE4DF2" w:rsidRDefault="003F5B91" w:rsidP="005E6ABF">
      <w:pPr>
        <w:pStyle w:val="ListBullet2"/>
        <w:numPr>
          <w:ilvl w:val="0"/>
          <w:numId w:val="0"/>
        </w:numPr>
        <w:spacing w:before="120" w:after="120"/>
        <w:rPr>
          <w:noProof/>
          <w:lang w:val="fi-FI"/>
        </w:rPr>
      </w:pPr>
      <w:r w:rsidRPr="00CE4DF2">
        <w:rPr>
          <w:noProof/>
          <w:lang w:val="fi-FI"/>
        </w:rPr>
        <w:t>Jäljempänä on muutamia esimerkkejä toimista, joilla pyritään edistämään puiteohjelmista saatujen tulosten levittämistä ja käyttöä temaattisilla aloilla:</w:t>
      </w:r>
    </w:p>
    <w:p w14:paraId="11C458EF" w14:textId="68933FD8" w:rsidR="00305BF4" w:rsidRPr="00CE4DF2" w:rsidRDefault="00897F2A" w:rsidP="005E6ABF">
      <w:pPr>
        <w:pStyle w:val="ListBullet2"/>
        <w:numPr>
          <w:ilvl w:val="0"/>
          <w:numId w:val="28"/>
        </w:numPr>
        <w:tabs>
          <w:tab w:val="clear" w:pos="1485"/>
          <w:tab w:val="num" w:pos="851"/>
        </w:tabs>
        <w:spacing w:before="120" w:after="120"/>
        <w:ind w:left="851" w:hanging="425"/>
        <w:rPr>
          <w:noProof/>
          <w:lang w:val="fi-FI"/>
        </w:rPr>
      </w:pPr>
      <w:r w:rsidRPr="00CE4DF2">
        <w:rPr>
          <w:noProof/>
          <w:lang w:val="fi-FI"/>
        </w:rPr>
        <w:t xml:space="preserve">Komissio jakoi </w:t>
      </w:r>
      <w:hyperlink r:id="rId117" w:history="1">
        <w:r w:rsidRPr="00CE4DF2">
          <w:rPr>
            <w:rStyle w:val="Hyperlink"/>
            <w:noProof/>
            <w:lang w:val="fi-FI"/>
          </w:rPr>
          <w:t>vuoden 2022 Security Innovation Award -palkinnon</w:t>
        </w:r>
      </w:hyperlink>
      <w:r w:rsidRPr="00CE4DF2">
        <w:rPr>
          <w:noProof/>
          <w:lang w:val="fi-FI"/>
        </w:rPr>
        <w:t>, jolla palkitaan hyviä esimerkkejä turvallisuustutkimuksen käytöstä.</w:t>
      </w:r>
    </w:p>
    <w:p w14:paraId="34947A5A" w14:textId="15C9E377" w:rsidR="00305BF4" w:rsidRPr="00CE4DF2" w:rsidRDefault="00305BF4" w:rsidP="005E6ABF">
      <w:pPr>
        <w:pStyle w:val="ListBullet2"/>
        <w:numPr>
          <w:ilvl w:val="0"/>
          <w:numId w:val="28"/>
        </w:numPr>
        <w:tabs>
          <w:tab w:val="clear" w:pos="1485"/>
          <w:tab w:val="num" w:pos="851"/>
        </w:tabs>
        <w:spacing w:before="120" w:after="120"/>
        <w:ind w:left="851" w:hanging="425"/>
        <w:rPr>
          <w:noProof/>
          <w:lang w:val="fi-FI"/>
        </w:rPr>
      </w:pPr>
      <w:r w:rsidRPr="00CE4DF2">
        <w:rPr>
          <w:noProof/>
          <w:lang w:val="fi-FI"/>
        </w:rPr>
        <w:t xml:space="preserve">Hiljattain perustettu </w:t>
      </w:r>
      <w:hyperlink r:id="rId118" w:history="1">
        <w:r w:rsidRPr="00CE4DF2">
          <w:rPr>
            <w:rStyle w:val="Hyperlink"/>
            <w:noProof/>
            <w:lang w:val="fi-FI"/>
          </w:rPr>
          <w:t>turvallisuuteen liittyvän eurooppalaisen tutkimuksen ja innovoinnin yhteisö</w:t>
        </w:r>
      </w:hyperlink>
      <w:r w:rsidRPr="00CE4DF2">
        <w:rPr>
          <w:noProof/>
          <w:lang w:val="fi-FI"/>
        </w:rPr>
        <w:t xml:space="preserve"> promotoi nykyisistä ja jo päättyneistä hankkeista saatuja tuloksia.</w:t>
      </w:r>
    </w:p>
    <w:p w14:paraId="79FCFDBD" w14:textId="4D26D041" w:rsidR="005E16E7" w:rsidRPr="00CE4DF2" w:rsidRDefault="003E37A2" w:rsidP="005E6ABF">
      <w:pPr>
        <w:pStyle w:val="ListBullet2"/>
        <w:numPr>
          <w:ilvl w:val="0"/>
          <w:numId w:val="28"/>
        </w:numPr>
        <w:tabs>
          <w:tab w:val="clear" w:pos="1485"/>
          <w:tab w:val="num" w:pos="851"/>
        </w:tabs>
        <w:spacing w:before="120" w:after="120"/>
        <w:ind w:left="851" w:hanging="425"/>
        <w:rPr>
          <w:noProof/>
          <w:lang w:val="fi-FI"/>
        </w:rPr>
      </w:pPr>
      <w:hyperlink r:id="rId119" w:history="1">
        <w:r w:rsidR="005A1B77" w:rsidRPr="00CE4DF2">
          <w:rPr>
            <w:rStyle w:val="Hyperlink"/>
            <w:noProof/>
            <w:lang w:val="fi-FI"/>
          </w:rPr>
          <w:t>EIP-AGRI</w:t>
        </w:r>
      </w:hyperlink>
      <w:r w:rsidR="005A1B77" w:rsidRPr="00CE4DF2">
        <w:rPr>
          <w:noProof/>
          <w:lang w:val="fi-FI"/>
        </w:rPr>
        <w:t xml:space="preserve"> edistää tutkimuksesta ja innovoinnista saatujen tulosten hyödyntämistä maatalouspolitiikan alan tuensaajien keskuudessa ja varmistaa, että tulokset tulevat maanviljelijöiden, metsänhoitajien ja maaseudun toimijoiden saataville.</w:t>
      </w:r>
    </w:p>
    <w:p w14:paraId="4FEE6CC4" w14:textId="05B881CC" w:rsidR="00B10DAD" w:rsidRPr="00CE4DF2" w:rsidRDefault="003E37A2" w:rsidP="005E6ABF">
      <w:pPr>
        <w:pStyle w:val="ListBullet2"/>
        <w:numPr>
          <w:ilvl w:val="0"/>
          <w:numId w:val="28"/>
        </w:numPr>
        <w:tabs>
          <w:tab w:val="clear" w:pos="1485"/>
          <w:tab w:val="num" w:pos="851"/>
        </w:tabs>
        <w:spacing w:before="120" w:after="120"/>
        <w:ind w:left="851" w:hanging="425"/>
        <w:rPr>
          <w:noProof/>
          <w:u w:val="single"/>
          <w:lang w:val="fi-FI"/>
        </w:rPr>
      </w:pPr>
      <w:hyperlink r:id="rId120" w:history="1">
        <w:r w:rsidR="00143DB3" w:rsidRPr="00CE4DF2">
          <w:rPr>
            <w:rStyle w:val="Hyperlink"/>
            <w:noProof/>
            <w:lang w:val="fi-FI"/>
          </w:rPr>
          <w:t>Blue Invest -aloitteella</w:t>
        </w:r>
      </w:hyperlink>
      <w:r w:rsidR="00143DB3" w:rsidRPr="00CE4DF2">
        <w:rPr>
          <w:noProof/>
          <w:lang w:val="fi-FI"/>
        </w:rPr>
        <w:t xml:space="preserve"> tarjottiin tukea ja investointimahdollisuuksia useille meritalouden startup-yrityksille ja pk-yrityksille, joista monet olivat kehittäneet palveluja ja tuotteita aiemmissa puiteohjelmissa.</w:t>
      </w:r>
    </w:p>
    <w:p w14:paraId="1B9A623E" w14:textId="70D895C6" w:rsidR="000E11E0" w:rsidRPr="00CE4DF2" w:rsidRDefault="003E37A2" w:rsidP="005E6ABF">
      <w:pPr>
        <w:pStyle w:val="ListBullet2"/>
        <w:numPr>
          <w:ilvl w:val="0"/>
          <w:numId w:val="28"/>
        </w:numPr>
        <w:tabs>
          <w:tab w:val="clear" w:pos="1485"/>
          <w:tab w:val="num" w:pos="851"/>
        </w:tabs>
        <w:spacing w:before="120" w:after="120"/>
        <w:ind w:left="851" w:hanging="425"/>
        <w:rPr>
          <w:noProof/>
          <w:u w:val="single"/>
          <w:lang w:val="fi-FI"/>
        </w:rPr>
      </w:pPr>
      <w:hyperlink r:id="rId121" w:history="1">
        <w:r w:rsidR="005A1B77" w:rsidRPr="00CE4DF2">
          <w:rPr>
            <w:rStyle w:val="Hyperlink"/>
            <w:noProof/>
            <w:lang w:val="fi-FI"/>
          </w:rPr>
          <w:t>CORDIS</w:t>
        </w:r>
      </w:hyperlink>
      <w:r w:rsidR="005A1B77" w:rsidRPr="00CE4DF2">
        <w:rPr>
          <w:noProof/>
          <w:lang w:val="fi-FI"/>
        </w:rPr>
        <w:t xml:space="preserve"> levitti EU:n rahoittamien tutkimus- ja innovointihankkeiden tuloksia, liitti niihin pysyviä tunnisteita ja luokitteli niitä tieteenalojen mukaan.</w:t>
      </w:r>
      <w:r w:rsidR="005A1B77" w:rsidRPr="00CE4DF2">
        <w:rPr>
          <w:noProof/>
          <w:color w:val="000000" w:themeColor="text1"/>
          <w:lang w:val="fi-FI"/>
        </w:rPr>
        <w:t xml:space="preserve"> </w:t>
      </w:r>
    </w:p>
    <w:p w14:paraId="3FF6CEEE" w14:textId="77777777" w:rsidR="005E6ABF" w:rsidRPr="00CE4DF2" w:rsidRDefault="005E6ABF" w:rsidP="005E6ABF">
      <w:pPr>
        <w:pStyle w:val="ListBullet2"/>
        <w:numPr>
          <w:ilvl w:val="0"/>
          <w:numId w:val="0"/>
        </w:numPr>
        <w:spacing w:before="120" w:after="120"/>
        <w:rPr>
          <w:noProof/>
          <w:u w:val="single"/>
          <w:lang w:val="fi-FI"/>
        </w:rPr>
      </w:pPr>
    </w:p>
    <w:p w14:paraId="6B080A53" w14:textId="11704882" w:rsidR="00517B47" w:rsidRPr="00CE4DF2" w:rsidRDefault="00860BAE">
      <w:pPr>
        <w:pStyle w:val="ManualHeading2"/>
        <w:rPr>
          <w:noProof/>
          <w:lang w:val="fi-FI"/>
        </w:rPr>
      </w:pPr>
      <w:r w:rsidRPr="00CE4DF2">
        <w:rPr>
          <w:noProof/>
          <w:lang w:val="fi-FI"/>
        </w:rPr>
        <w:t>3.6.</w:t>
      </w:r>
      <w:r w:rsidRPr="00CE4DF2">
        <w:rPr>
          <w:noProof/>
          <w:lang w:val="fi-FI"/>
        </w:rPr>
        <w:tab/>
        <w:t>Euratom-ohjelman 2021–2025 täytäntöönpano ja seuranta</w:t>
      </w:r>
    </w:p>
    <w:p w14:paraId="2E80FEF3" w14:textId="59D1885D" w:rsidR="00517B47" w:rsidRPr="00CE4DF2" w:rsidRDefault="00517B47" w:rsidP="005E6ABF">
      <w:pPr>
        <w:numPr>
          <w:ilvl w:val="0"/>
          <w:numId w:val="41"/>
        </w:numPr>
        <w:rPr>
          <w:b/>
          <w:noProof/>
          <w:lang w:val="fi-FI"/>
        </w:rPr>
      </w:pPr>
      <w:r w:rsidRPr="00CE4DF2">
        <w:rPr>
          <w:b/>
          <w:noProof/>
          <w:lang w:val="fi-FI"/>
        </w:rPr>
        <w:t>Yhteisen tutkimuskeskuksen toteuttamat ydinalan suorat toimet</w:t>
      </w:r>
    </w:p>
    <w:p w14:paraId="4200C8B2" w14:textId="1B557651" w:rsidR="00CB4E03" w:rsidRPr="00CE4DF2" w:rsidRDefault="00F75FA8" w:rsidP="000E11E0">
      <w:pPr>
        <w:rPr>
          <w:noProof/>
          <w:lang w:val="fi-FI"/>
        </w:rPr>
      </w:pPr>
      <w:r w:rsidRPr="00CE4DF2">
        <w:rPr>
          <w:noProof/>
          <w:lang w:val="fi-FI"/>
        </w:rPr>
        <w:t>Yhteinen tutkimuskeskus toteutti Euratom-ohjelman nojalla suoria toimia ja osoitti käytettävissä olevia resursseja seuraavan arvioidun jakauman mukaisesti</w:t>
      </w:r>
      <w:r w:rsidRPr="00CE4DF2">
        <w:rPr>
          <w:rStyle w:val="FootnoteReference"/>
          <w:noProof/>
          <w:lang w:val="fi-FI"/>
        </w:rPr>
        <w:footnoteReference w:id="9"/>
      </w:r>
      <w:r w:rsidRPr="00CE4DF2">
        <w:rPr>
          <w:noProof/>
          <w:lang w:val="fi-FI"/>
        </w:rPr>
        <w:t>:</w:t>
      </w:r>
    </w:p>
    <w:p w14:paraId="6A335867" w14:textId="32414483" w:rsidR="00D9079E" w:rsidRPr="00CE4DF2" w:rsidRDefault="00F75FA8" w:rsidP="005E6ABF">
      <w:pPr>
        <w:numPr>
          <w:ilvl w:val="0"/>
          <w:numId w:val="69"/>
        </w:numPr>
        <w:rPr>
          <w:noProof/>
          <w:lang w:val="fi-FI"/>
        </w:rPr>
      </w:pPr>
      <w:r w:rsidRPr="00CE4DF2">
        <w:rPr>
          <w:noProof/>
          <w:lang w:val="fi-FI"/>
        </w:rPr>
        <w:t xml:space="preserve">20 prosenttia ydinreaktorien ja polttoaineiden turvallisuuteen liittyviin toimiin; </w:t>
      </w:r>
    </w:p>
    <w:p w14:paraId="799466BD" w14:textId="0EEB941F" w:rsidR="00D9079E" w:rsidRPr="00CE4DF2" w:rsidRDefault="00F75FA8" w:rsidP="005E6ABF">
      <w:pPr>
        <w:numPr>
          <w:ilvl w:val="0"/>
          <w:numId w:val="69"/>
        </w:numPr>
        <w:rPr>
          <w:noProof/>
          <w:lang w:val="fi-FI"/>
        </w:rPr>
      </w:pPr>
      <w:r w:rsidRPr="00CE4DF2">
        <w:rPr>
          <w:noProof/>
          <w:lang w:val="fi-FI"/>
        </w:rPr>
        <w:t xml:space="preserve">10 prosenttia radioaktiivisen jätteen ja käytetyn polttoaineen käsittelyyn liittyviin toimiin; </w:t>
      </w:r>
    </w:p>
    <w:p w14:paraId="677E0BD8" w14:textId="77777777" w:rsidR="00D9079E" w:rsidRPr="00CE4DF2" w:rsidRDefault="00F75FA8" w:rsidP="005E6ABF">
      <w:pPr>
        <w:numPr>
          <w:ilvl w:val="0"/>
          <w:numId w:val="69"/>
        </w:numPr>
        <w:rPr>
          <w:noProof/>
          <w:lang w:val="fi-FI"/>
        </w:rPr>
      </w:pPr>
      <w:r w:rsidRPr="00CE4DF2">
        <w:rPr>
          <w:noProof/>
          <w:lang w:val="fi-FI"/>
        </w:rPr>
        <w:t xml:space="preserve">32 prosenttia ydinmateriaalivalvontaan ja turva- ja varmuusjärjestelyihin liittyviin toimiin; </w:t>
      </w:r>
    </w:p>
    <w:p w14:paraId="584BB35E" w14:textId="77777777" w:rsidR="00D9079E" w:rsidRPr="00CE4DF2" w:rsidRDefault="00F75FA8" w:rsidP="005E6ABF">
      <w:pPr>
        <w:numPr>
          <w:ilvl w:val="0"/>
          <w:numId w:val="69"/>
        </w:numPr>
        <w:rPr>
          <w:noProof/>
          <w:lang w:val="fi-FI"/>
        </w:rPr>
      </w:pPr>
      <w:r w:rsidRPr="00CE4DF2">
        <w:rPr>
          <w:noProof/>
          <w:lang w:val="fi-FI"/>
        </w:rPr>
        <w:t xml:space="preserve">10 prosenttia ydinalan vertailumateriaaleihin ja dataan liittyviin toimiin; </w:t>
      </w:r>
    </w:p>
    <w:p w14:paraId="1412D8FD" w14:textId="5532EA82" w:rsidR="00D9079E" w:rsidRPr="00CE4DF2" w:rsidRDefault="00F75FA8" w:rsidP="005E6ABF">
      <w:pPr>
        <w:numPr>
          <w:ilvl w:val="0"/>
          <w:numId w:val="69"/>
        </w:numPr>
        <w:rPr>
          <w:noProof/>
          <w:lang w:val="fi-FI"/>
        </w:rPr>
      </w:pPr>
      <w:r w:rsidRPr="00CE4DF2">
        <w:rPr>
          <w:noProof/>
          <w:lang w:val="fi-FI"/>
        </w:rPr>
        <w:t>9 prosenttia muita kuin voimantuottoon liittyviä sovelluksia ja säteilysuojelua koskeviin toimiin;</w:t>
      </w:r>
    </w:p>
    <w:p w14:paraId="2C5EAB09" w14:textId="3D1A37A8" w:rsidR="00B40968" w:rsidRPr="00CE4DF2" w:rsidRDefault="00D9079E" w:rsidP="005E6ABF">
      <w:pPr>
        <w:numPr>
          <w:ilvl w:val="0"/>
          <w:numId w:val="69"/>
        </w:numPr>
        <w:rPr>
          <w:noProof/>
          <w:lang w:val="fi-FI"/>
        </w:rPr>
      </w:pPr>
      <w:r w:rsidRPr="00CE4DF2">
        <w:rPr>
          <w:noProof/>
          <w:lang w:val="fi-FI"/>
        </w:rPr>
        <w:t xml:space="preserve">11 prosenttia toimiin, jotka liittyvät Euratom-ohjelman tavoitteeseen ylläpitää osaamista EU:ssa; </w:t>
      </w:r>
    </w:p>
    <w:p w14:paraId="2EDAE3B2" w14:textId="47981772" w:rsidR="00F75FA8" w:rsidRPr="00CE4DF2" w:rsidRDefault="00F75FA8" w:rsidP="005E6ABF">
      <w:pPr>
        <w:numPr>
          <w:ilvl w:val="0"/>
          <w:numId w:val="69"/>
        </w:numPr>
        <w:rPr>
          <w:noProof/>
          <w:lang w:val="fi-FI"/>
        </w:rPr>
      </w:pPr>
      <w:r w:rsidRPr="00CE4DF2">
        <w:rPr>
          <w:noProof/>
          <w:lang w:val="fi-FI"/>
        </w:rPr>
        <w:t>8 prosenttia suoran tuen antamiseen EU:n toimintapolitiikoille.</w:t>
      </w:r>
    </w:p>
    <w:p w14:paraId="1E5DFC75" w14:textId="08E4124F" w:rsidR="00F75FA8" w:rsidRPr="00CE4DF2" w:rsidRDefault="00C15722" w:rsidP="000E11E0">
      <w:pPr>
        <w:rPr>
          <w:noProof/>
          <w:lang w:val="fi-FI"/>
        </w:rPr>
      </w:pPr>
      <w:r w:rsidRPr="00CE4DF2">
        <w:rPr>
          <w:noProof/>
          <w:lang w:val="fi-FI"/>
        </w:rPr>
        <w:t>Yhteinen tutkimuskeskus antoi ulkopuolisille käyttäjille pääsyn tiloihinsa, ja vuonna 2022 käynnistetyssä ehdotuspyynnössä kehotetaan ukrainalaisia tutkijoita osallistumaan ohjelmaan.</w:t>
      </w:r>
    </w:p>
    <w:p w14:paraId="4857AFF9" w14:textId="1932D7AB" w:rsidR="00F75FA8" w:rsidRPr="00CE4DF2" w:rsidRDefault="00F75FA8">
      <w:pPr>
        <w:rPr>
          <w:noProof/>
          <w:lang w:val="fi-FI"/>
        </w:rPr>
      </w:pPr>
      <w:r w:rsidRPr="00CE4DF2">
        <w:rPr>
          <w:noProof/>
          <w:lang w:val="fi-FI"/>
        </w:rPr>
        <w:t xml:space="preserve">Yhteinen tutkimuskeskus osallistui 18:aan (ydinjärjestelmien turvallisuuteen liittyvään) hankkeeseen viimeisimmällä Euratom-ohjelman epäsuoria toimia koskeneella ehdotuspyyntökierroksella. </w:t>
      </w:r>
    </w:p>
    <w:p w14:paraId="404A6AE6" w14:textId="77777777" w:rsidR="000E11E0" w:rsidRPr="00CE4DF2" w:rsidRDefault="000E11E0" w:rsidP="00F75FA8">
      <w:pPr>
        <w:rPr>
          <w:noProof/>
          <w:lang w:val="fi-FI"/>
        </w:rPr>
      </w:pPr>
    </w:p>
    <w:p w14:paraId="2FCA2D7E" w14:textId="4CA5F55C" w:rsidR="00A330F6" w:rsidRPr="00CE4DF2" w:rsidRDefault="00A330F6" w:rsidP="00B52386">
      <w:pPr>
        <w:numPr>
          <w:ilvl w:val="0"/>
          <w:numId w:val="41"/>
        </w:numPr>
        <w:rPr>
          <w:b/>
          <w:noProof/>
          <w:lang w:val="fi-FI"/>
        </w:rPr>
      </w:pPr>
      <w:r w:rsidRPr="00CE4DF2">
        <w:rPr>
          <w:b/>
          <w:noProof/>
          <w:lang w:val="fi-FI"/>
        </w:rPr>
        <w:t>Euratomin tutkimus- ja koulutusohjelman epäsuorat toimet (avustukset)</w:t>
      </w:r>
    </w:p>
    <w:p w14:paraId="27BF31D9" w14:textId="09843E44" w:rsidR="00D763C2" w:rsidRPr="00CE4DF2" w:rsidRDefault="004502D0" w:rsidP="000E11E0">
      <w:pPr>
        <w:rPr>
          <w:noProof/>
          <w:lang w:val="fi-FI"/>
        </w:rPr>
      </w:pPr>
      <w:r w:rsidRPr="00CE4DF2">
        <w:rPr>
          <w:noProof/>
          <w:lang w:val="fi-FI"/>
        </w:rPr>
        <w:t xml:space="preserve">Vuonna 2022 komissio myönsi 28 avustusta, joiden määrä oli yhteensä 117 miljoonaa euroa, tutkimushankkeisiin, joiden aiheita olivat ydinturvallisuus, säteilysuojaus ja ydinteknologioiden muut kuin voimantuottoon liittyvät sovellukset. Maaliskuussa 2022 komission jäsen Mariya Gabriel kutsui koolle </w:t>
      </w:r>
      <w:hyperlink r:id="rId122" w:history="1">
        <w:r w:rsidRPr="00CE4DF2">
          <w:rPr>
            <w:rStyle w:val="Hyperlink"/>
            <w:noProof/>
            <w:lang w:val="fi-FI"/>
          </w:rPr>
          <w:t>ydinalan toisen korkean tason pyöreän pöydän kokouksen</w:t>
        </w:r>
      </w:hyperlink>
      <w:r w:rsidRPr="00CE4DF2">
        <w:rPr>
          <w:noProof/>
          <w:lang w:val="fi-FI"/>
        </w:rPr>
        <w:t xml:space="preserve"> keskustelemaan pieniä modulaarisia reaktoreita ja ydinteknologioita hyödyntäviä lääketieteellisiä sovelluksia koskevasta tulevaisuuden tutkimuksesta.</w:t>
      </w:r>
    </w:p>
    <w:p w14:paraId="0D6EFB20" w14:textId="77777777" w:rsidR="00E052ED" w:rsidRPr="00CE4DF2" w:rsidRDefault="00E052ED" w:rsidP="000E11E0">
      <w:pPr>
        <w:rPr>
          <w:noProof/>
          <w:lang w:val="fi-FI"/>
        </w:rPr>
      </w:pPr>
    </w:p>
    <w:p w14:paraId="1CA05B21" w14:textId="42A7DE1C" w:rsidR="00517B47" w:rsidRPr="00CE4DF2" w:rsidRDefault="00860BAE" w:rsidP="005E6ABF">
      <w:pPr>
        <w:pStyle w:val="ManualHeading1"/>
        <w:spacing w:before="120"/>
        <w:rPr>
          <w:noProof/>
          <w:lang w:val="fi-FI"/>
        </w:rPr>
      </w:pPr>
      <w:r w:rsidRPr="00CE4DF2">
        <w:rPr>
          <w:noProof/>
          <w:lang w:val="fi-FI"/>
        </w:rPr>
        <w:t>4.</w:t>
      </w:r>
      <w:r w:rsidRPr="00CE4DF2">
        <w:rPr>
          <w:noProof/>
          <w:lang w:val="fi-FI"/>
        </w:rPr>
        <w:tab/>
        <w:t>Näkymät vuodelle 2023</w:t>
      </w:r>
    </w:p>
    <w:p w14:paraId="793001FF" w14:textId="77904C2C" w:rsidR="003E3A0A" w:rsidRPr="00CE4DF2" w:rsidRDefault="005B6C07" w:rsidP="000E11E0">
      <w:pPr>
        <w:rPr>
          <w:noProof/>
          <w:lang w:val="fi-FI"/>
        </w:rPr>
      </w:pPr>
      <w:r w:rsidRPr="00CE4DF2">
        <w:rPr>
          <w:noProof/>
          <w:lang w:val="fi-FI"/>
        </w:rPr>
        <w:t>Vuonna 2023 laaditaan Horisontti Eurooppa -puiteohjelman seuraava strateginen suunnitelma vuosiksi 2025–2027. Suunnitelma on määrä hyväksyä vuoden 2024 ensimmäisellä neljänneksellä. Suunnitelmassa määritetään tutkimuksen ja innovoinnin painopisteet Horisontti Eurooppa -puiteohjelman ohjelmakauden toiselle kaudelle.</w:t>
      </w:r>
    </w:p>
    <w:p w14:paraId="2016A4C9" w14:textId="299770CF" w:rsidR="00812BC5" w:rsidRPr="00CE4DF2" w:rsidRDefault="002A7644">
      <w:pPr>
        <w:rPr>
          <w:noProof/>
          <w:lang w:val="fi-FI"/>
        </w:rPr>
      </w:pPr>
      <w:r w:rsidRPr="00CE4DF2">
        <w:rPr>
          <w:noProof/>
          <w:lang w:val="fi-FI"/>
        </w:rPr>
        <w:t xml:space="preserve">Komissio tukee jatkossakin REpowerEU-suunnitelman täytäntöönpanoa ja vauhdittaa edelleen työtä Euroopan vihreän kehityksen ohjelman tavoitteiden saavuttamiseksi EU:n tutkimus- ja innovointitoimien avulla. </w:t>
      </w:r>
    </w:p>
    <w:p w14:paraId="69680DE2" w14:textId="79733815" w:rsidR="00D0037D" w:rsidRPr="00CE4DF2" w:rsidRDefault="00D0037D">
      <w:pPr>
        <w:rPr>
          <w:noProof/>
          <w:lang w:val="fi-FI"/>
        </w:rPr>
      </w:pPr>
      <w:r w:rsidRPr="00CE4DF2">
        <w:rPr>
          <w:noProof/>
          <w:lang w:val="fi-FI"/>
        </w:rPr>
        <w:t>Komissio tiedottaa Horisontti Eurooppa -puiteohjelmasta muun muassa</w:t>
      </w:r>
    </w:p>
    <w:p w14:paraId="586BD295" w14:textId="4CEDC41C" w:rsidR="0006365C" w:rsidRPr="00CE4DF2" w:rsidRDefault="00A05DCA">
      <w:pPr>
        <w:numPr>
          <w:ilvl w:val="0"/>
          <w:numId w:val="44"/>
        </w:numPr>
        <w:rPr>
          <w:noProof/>
          <w:lang w:val="fi-FI"/>
        </w:rPr>
      </w:pPr>
      <w:r w:rsidRPr="00CE4DF2">
        <w:rPr>
          <w:noProof/>
          <w:lang w:val="fi-FI"/>
        </w:rPr>
        <w:t xml:space="preserve">kertomalla </w:t>
      </w:r>
      <w:hyperlink r:id="rId123" w:history="1">
        <w:r w:rsidRPr="00CE4DF2">
          <w:rPr>
            <w:rStyle w:val="Hyperlink"/>
            <w:noProof/>
            <w:lang w:val="fi-FI"/>
          </w:rPr>
          <w:t>julkisen kuulemisen</w:t>
        </w:r>
      </w:hyperlink>
      <w:r w:rsidRPr="00CE4DF2">
        <w:rPr>
          <w:noProof/>
          <w:lang w:val="fi-FI"/>
        </w:rPr>
        <w:t xml:space="preserve"> tuloksista ja vuosien 2025–2027 strategisen suunnitelman laatimisen etenemisestä;</w:t>
      </w:r>
    </w:p>
    <w:p w14:paraId="494C9A09" w14:textId="40D024CC" w:rsidR="0006365C" w:rsidRPr="00CE4DF2" w:rsidRDefault="00A05DCA">
      <w:pPr>
        <w:numPr>
          <w:ilvl w:val="0"/>
          <w:numId w:val="44"/>
        </w:numPr>
        <w:rPr>
          <w:noProof/>
          <w:lang w:val="fi-FI"/>
        </w:rPr>
      </w:pPr>
      <w:r w:rsidRPr="00CE4DF2">
        <w:rPr>
          <w:noProof/>
          <w:lang w:val="fi-FI"/>
        </w:rPr>
        <w:t>tekemällä tunnetuksi EU:n missioita ja kumppanuuksia;</w:t>
      </w:r>
    </w:p>
    <w:p w14:paraId="1ABE3991" w14:textId="51B8C91A" w:rsidR="0006365C" w:rsidRPr="00CE4DF2" w:rsidRDefault="0006365C">
      <w:pPr>
        <w:numPr>
          <w:ilvl w:val="0"/>
          <w:numId w:val="44"/>
        </w:numPr>
        <w:rPr>
          <w:noProof/>
          <w:lang w:val="fi-FI"/>
        </w:rPr>
      </w:pPr>
      <w:r w:rsidRPr="00CE4DF2">
        <w:rPr>
          <w:noProof/>
          <w:lang w:val="fi-FI"/>
        </w:rPr>
        <w:t xml:space="preserve">edistämällä kansalaisten osallistumista viestintäaloitteilla, kuten </w:t>
      </w:r>
      <w:hyperlink r:id="rId124" w:history="1">
        <w:r w:rsidRPr="00CE4DF2">
          <w:rPr>
            <w:rStyle w:val="Hyperlink"/>
            <w:noProof/>
            <w:lang w:val="fi-FI"/>
          </w:rPr>
          <w:t>nuorten tutkijoiden EU-kilpailulla</w:t>
        </w:r>
      </w:hyperlink>
      <w:r w:rsidR="0033156C">
        <w:rPr>
          <w:noProof/>
          <w:lang w:val="fi-FI"/>
        </w:rPr>
        <w:t>, joka järjestetää</w:t>
      </w:r>
      <w:r w:rsidR="008B2654">
        <w:rPr>
          <w:noProof/>
          <w:lang w:val="fi-FI"/>
        </w:rPr>
        <w:t>n jo 34. kerran (syyskuussa 2023</w:t>
      </w:r>
      <w:r w:rsidRPr="00CE4DF2">
        <w:rPr>
          <w:noProof/>
          <w:lang w:val="fi-FI"/>
        </w:rPr>
        <w:t xml:space="preserve"> Brysselissä);</w:t>
      </w:r>
    </w:p>
    <w:p w14:paraId="53AF35CE" w14:textId="49316371" w:rsidR="00094173" w:rsidRPr="00CE4DF2" w:rsidRDefault="000A1007" w:rsidP="000E11E0">
      <w:pPr>
        <w:numPr>
          <w:ilvl w:val="0"/>
          <w:numId w:val="44"/>
        </w:numPr>
        <w:rPr>
          <w:noProof/>
          <w:lang w:val="fi-FI"/>
        </w:rPr>
      </w:pPr>
      <w:r w:rsidRPr="00CE4DF2">
        <w:rPr>
          <w:noProof/>
          <w:lang w:val="fi-FI"/>
        </w:rPr>
        <w:t>käynnistämällä julkisen keskustelun tutkimuksen ja innovoinnin tulevaisuudesta Euroopassa T&amp;I-päivillä, jotka järjestetään lokakuun 2023 lopussa.</w:t>
      </w:r>
    </w:p>
    <w:sectPr w:rsidR="00094173" w:rsidRPr="00CE4DF2">
      <w:headerReference w:type="even" r:id="rId125"/>
      <w:headerReference w:type="default" r:id="rId126"/>
      <w:footerReference w:type="even" r:id="rId127"/>
      <w:footerReference w:type="default" r:id="rId128"/>
      <w:headerReference w:type="first" r:id="rId129"/>
      <w:footerReference w:type="first" r:id="rId13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3A2B" w14:textId="77777777" w:rsidR="00D5156F" w:rsidRDefault="00D5156F" w:rsidP="00517B47">
      <w:pPr>
        <w:spacing w:before="0" w:after="0"/>
      </w:pPr>
      <w:r>
        <w:separator/>
      </w:r>
    </w:p>
  </w:endnote>
  <w:endnote w:type="continuationSeparator" w:id="0">
    <w:p w14:paraId="47286250" w14:textId="77777777" w:rsidR="00D5156F" w:rsidRDefault="00D5156F" w:rsidP="00517B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mp;quo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5CC9" w14:textId="7C36E171" w:rsidR="00606563" w:rsidRPr="003E37A2" w:rsidRDefault="00606563" w:rsidP="003E3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366D" w14:textId="0A95AF06" w:rsidR="00606563" w:rsidRPr="003E37A2" w:rsidRDefault="003E37A2" w:rsidP="003E37A2">
    <w:pPr>
      <w:pStyle w:val="FooterCoverPage"/>
      <w:rPr>
        <w:rFonts w:ascii="Arial" w:hAnsi="Arial" w:cs="Arial"/>
        <w:b/>
        <w:sz w:val="48"/>
      </w:rPr>
    </w:pPr>
    <w:r w:rsidRPr="003E37A2">
      <w:rPr>
        <w:rFonts w:ascii="Arial" w:hAnsi="Arial" w:cs="Arial"/>
        <w:b/>
        <w:sz w:val="48"/>
      </w:rPr>
      <w:t>FI</w:t>
    </w:r>
    <w:r w:rsidRPr="003E37A2">
      <w:rPr>
        <w:rFonts w:ascii="Arial" w:hAnsi="Arial" w:cs="Arial"/>
        <w:b/>
        <w:sz w:val="48"/>
      </w:rPr>
      <w:tab/>
    </w:r>
    <w:r w:rsidRPr="003E37A2">
      <w:rPr>
        <w:rFonts w:ascii="Arial" w:hAnsi="Arial" w:cs="Arial"/>
        <w:b/>
        <w:sz w:val="48"/>
      </w:rPr>
      <w:tab/>
    </w:r>
    <w:r w:rsidRPr="003E37A2">
      <w:tab/>
    </w:r>
    <w:r w:rsidRPr="003E37A2">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670D" w14:textId="77777777" w:rsidR="003E37A2" w:rsidRPr="003E37A2" w:rsidRDefault="003E37A2" w:rsidP="003E37A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A33A" w14:textId="77777777" w:rsidR="00D5156F" w:rsidRDefault="00D5156F">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3DCA" w14:textId="0A567D8E" w:rsidR="00D5156F" w:rsidRDefault="00D5156F">
    <w:pPr>
      <w:pStyle w:val="FooterLine"/>
      <w:jc w:val="center"/>
    </w:pPr>
    <w:r>
      <w:fldChar w:fldCharType="begin"/>
    </w:r>
    <w:r>
      <w:instrText>PAGE   \* MERGEFORMAT</w:instrText>
    </w:r>
    <w:r>
      <w:fldChar w:fldCharType="separate"/>
    </w:r>
    <w:r w:rsidR="003E37A2">
      <w:rPr>
        <w:noProof/>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E219" w14:textId="77777777" w:rsidR="00D5156F" w:rsidRDefault="00D5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43CE" w14:textId="77777777" w:rsidR="00D5156F" w:rsidRDefault="00D5156F" w:rsidP="00517B47">
      <w:pPr>
        <w:spacing w:before="0" w:after="0"/>
      </w:pPr>
      <w:r>
        <w:separator/>
      </w:r>
    </w:p>
  </w:footnote>
  <w:footnote w:type="continuationSeparator" w:id="0">
    <w:p w14:paraId="6FFD2C58" w14:textId="77777777" w:rsidR="00D5156F" w:rsidRDefault="00D5156F" w:rsidP="00517B47">
      <w:pPr>
        <w:spacing w:before="0" w:after="0"/>
      </w:pPr>
      <w:r>
        <w:continuationSeparator/>
      </w:r>
    </w:p>
  </w:footnote>
  <w:footnote w:id="1">
    <w:p w14:paraId="3C501CFD" w14:textId="70CA801F" w:rsidR="00D5156F" w:rsidRPr="00CE4DF2" w:rsidRDefault="00D5156F">
      <w:pPr>
        <w:pStyle w:val="FootnoteText"/>
        <w:rPr>
          <w:lang w:val="fi-FI"/>
        </w:rPr>
      </w:pPr>
      <w:r>
        <w:rPr>
          <w:rStyle w:val="FootnoteReference"/>
        </w:rPr>
        <w:footnoteRef/>
      </w:r>
      <w:r w:rsidRPr="00CE4DF2">
        <w:rPr>
          <w:lang w:val="fi-FI"/>
        </w:rPr>
        <w:t xml:space="preserve"> Ks. myös </w:t>
      </w:r>
      <w:hyperlink r:id="rId1" w:history="1">
        <w:r w:rsidRPr="00CE4DF2">
          <w:rPr>
            <w:rStyle w:val="Hyperlink"/>
            <w:lang w:val="fi-FI"/>
          </w:rPr>
          <w:t>NEUVOSTON ASETUS (EU) N:o 833/2014</w:t>
        </w:r>
      </w:hyperlink>
      <w:r w:rsidRPr="00CE4DF2">
        <w:rPr>
          <w:lang w:val="fi-FI"/>
        </w:rPr>
        <w:t>.</w:t>
      </w:r>
    </w:p>
  </w:footnote>
  <w:footnote w:id="2">
    <w:p w14:paraId="423BDA2F" w14:textId="183EE161" w:rsidR="00D5156F" w:rsidRPr="00CE4DF2" w:rsidRDefault="00D5156F" w:rsidP="0060607D">
      <w:pPr>
        <w:pStyle w:val="FootnoteText"/>
        <w:rPr>
          <w:lang w:val="fi-FI"/>
        </w:rPr>
      </w:pPr>
      <w:r>
        <w:rPr>
          <w:rStyle w:val="FootnoteReference"/>
        </w:rPr>
        <w:footnoteRef/>
      </w:r>
      <w:r w:rsidRPr="00CE4DF2">
        <w:rPr>
          <w:lang w:val="fi-FI"/>
        </w:rPr>
        <w:t xml:space="preserve"> </w:t>
      </w:r>
      <w:r w:rsidRPr="00CE4DF2">
        <w:rPr>
          <w:sz w:val="16"/>
          <w:lang w:val="fi-FI"/>
        </w:rPr>
        <w:t>EIC:n vuoden 2022 työohjelmassa esitetty EIC:n budjetti.</w:t>
      </w:r>
    </w:p>
  </w:footnote>
  <w:footnote w:id="3">
    <w:p w14:paraId="451CE43E" w14:textId="73EB68F3" w:rsidR="00D5156F" w:rsidRPr="00CE4DF2" w:rsidRDefault="00D5156F" w:rsidP="00346244">
      <w:pPr>
        <w:pStyle w:val="FootnoteText"/>
        <w:ind w:left="210" w:hanging="210"/>
        <w:rPr>
          <w:lang w:val="fi-FI"/>
        </w:rPr>
      </w:pPr>
      <w:r>
        <w:rPr>
          <w:rStyle w:val="FootnoteReference"/>
        </w:rPr>
        <w:footnoteRef/>
      </w:r>
      <w:r w:rsidRPr="00CE4DF2">
        <w:rPr>
          <w:sz w:val="16"/>
          <w:lang w:val="fi-FI"/>
        </w:rPr>
        <w:t xml:space="preserve"> Lähde: Komission alustavat tiedot, jotka koskevat vuosia 2021 ja 2022.</w:t>
      </w:r>
    </w:p>
  </w:footnote>
  <w:footnote w:id="4">
    <w:p w14:paraId="6A584674" w14:textId="18FFC2BF" w:rsidR="00D5156F" w:rsidRPr="00CE4DF2" w:rsidRDefault="00D5156F" w:rsidP="00E6025B">
      <w:pPr>
        <w:rPr>
          <w:sz w:val="16"/>
          <w:lang w:val="fi-FI"/>
        </w:rPr>
      </w:pPr>
      <w:r>
        <w:rPr>
          <w:rStyle w:val="FootnoteReference"/>
          <w:sz w:val="20"/>
        </w:rPr>
        <w:footnoteRef/>
      </w:r>
      <w:r w:rsidRPr="00CE4DF2">
        <w:rPr>
          <w:rStyle w:val="FootnoteReference"/>
          <w:sz w:val="20"/>
          <w:lang w:val="fi-FI"/>
        </w:rPr>
        <w:t xml:space="preserve"> </w:t>
      </w:r>
      <w:r w:rsidRPr="00CE4DF2">
        <w:rPr>
          <w:sz w:val="16"/>
          <w:lang w:val="fi-FI"/>
        </w:rPr>
        <w:t xml:space="preserve">Ehdotusten hyväksymisaste tarkoittaa valittujen tukikelpoisten ehdotusten prosenttiosuutta kaikista tukikelpoisista ehdotuksista. </w:t>
      </w:r>
    </w:p>
  </w:footnote>
  <w:footnote w:id="5">
    <w:p w14:paraId="746AD5E6" w14:textId="038C6A92" w:rsidR="00D5156F" w:rsidRPr="00CE4DF2" w:rsidRDefault="00D5156F" w:rsidP="002034FE">
      <w:pPr>
        <w:rPr>
          <w:sz w:val="16"/>
          <w:lang w:val="fi-FI"/>
        </w:rPr>
      </w:pPr>
      <w:r>
        <w:rPr>
          <w:rStyle w:val="FootnoteReference"/>
          <w:sz w:val="20"/>
        </w:rPr>
        <w:footnoteRef/>
      </w:r>
      <w:r w:rsidRPr="00CE4DF2">
        <w:rPr>
          <w:sz w:val="16"/>
          <w:lang w:val="fi-FI"/>
        </w:rPr>
        <w:t>Horisontti 2020 -ohjelmasta myönnetyn avustuksen keskimääräinen suuruus, lukuun ottamatta pk-yrityksille kohdennetun välineen vaiheen 1 pieniä 50 000 euron avustuksia (4 234 kpl), jotka olisivat vääristäneet kokonaissummaa. Jos nämä avustukset lasketaan mukaan, avustuksen keskimääräinen suuruus pienenee 1,9 miljoonaan euroon.</w:t>
      </w:r>
    </w:p>
  </w:footnote>
  <w:footnote w:id="6">
    <w:p w14:paraId="723CF00B" w14:textId="7F10E56F" w:rsidR="00D5156F" w:rsidRPr="00CE4DF2" w:rsidRDefault="00D5156F" w:rsidP="00E02E75">
      <w:pPr>
        <w:rPr>
          <w:sz w:val="16"/>
          <w:lang w:val="fi-FI"/>
        </w:rPr>
      </w:pPr>
      <w:r>
        <w:rPr>
          <w:rStyle w:val="FootnoteReference"/>
          <w:sz w:val="20"/>
        </w:rPr>
        <w:footnoteRef/>
      </w:r>
      <w:r w:rsidRPr="00CE4DF2">
        <w:rPr>
          <w:rStyle w:val="FootnoteReference"/>
          <w:sz w:val="20"/>
          <w:lang w:val="fi-FI"/>
        </w:rPr>
        <w:t xml:space="preserve"> </w:t>
      </w:r>
      <w:r w:rsidRPr="00CE4DF2">
        <w:rPr>
          <w:sz w:val="16"/>
          <w:lang w:val="fi-FI"/>
        </w:rPr>
        <w:t xml:space="preserve">Brexitin jälkeen Yhdistynyt kuningaskunta ei ole enää jäsenvaltio vaan kolmas maa, jonka osallistujiin sovelletaan siirtymäjärjestelyjä. </w:t>
      </w:r>
    </w:p>
  </w:footnote>
  <w:footnote w:id="7">
    <w:p w14:paraId="7C850129" w14:textId="7CB28CBA" w:rsidR="00D5156F" w:rsidRPr="00F319B2" w:rsidRDefault="00D5156F" w:rsidP="00A460F5">
      <w:pPr>
        <w:rPr>
          <w:sz w:val="18"/>
          <w:szCs w:val="18"/>
          <w:lang w:val="fi-FI"/>
        </w:rPr>
      </w:pPr>
      <w:r w:rsidRPr="00F319B2">
        <w:rPr>
          <w:rStyle w:val="FootnoteReference"/>
          <w:color w:val="44546A" w:themeColor="text2"/>
          <w:sz w:val="18"/>
          <w:szCs w:val="18"/>
        </w:rPr>
        <w:footnoteRef/>
      </w:r>
      <w:r w:rsidRPr="00F319B2">
        <w:rPr>
          <w:sz w:val="18"/>
          <w:szCs w:val="18"/>
          <w:lang w:val="fi-FI"/>
        </w:rPr>
        <w:t xml:space="preserve"> Monialaisia hankkeita tai yhteishankkeita koskevat luvut on jaettu tasan niiden missioiden välillä, joihin hankkeet kuuluvat. Tämän vuoksi hankkeita koskevia lukuja ei ole pyöristetty.</w:t>
      </w:r>
    </w:p>
  </w:footnote>
  <w:footnote w:id="8">
    <w:p w14:paraId="158A8DA4" w14:textId="700CD05D" w:rsidR="00D5156F" w:rsidRPr="00CE4DF2" w:rsidRDefault="00D5156F" w:rsidP="00A460F5">
      <w:pPr>
        <w:rPr>
          <w:sz w:val="18"/>
          <w:lang w:val="fi-FI"/>
        </w:rPr>
      </w:pPr>
      <w:r>
        <w:rPr>
          <w:rStyle w:val="FootnoteReference"/>
          <w:sz w:val="18"/>
        </w:rPr>
        <w:footnoteRef/>
      </w:r>
      <w:r w:rsidRPr="00CE4DF2">
        <w:rPr>
          <w:sz w:val="18"/>
          <w:lang w:val="fi-FI"/>
        </w:rPr>
        <w:t xml:space="preserve"> Tavoitteena olevat saavutukset. </w:t>
      </w:r>
    </w:p>
  </w:footnote>
  <w:footnote w:id="9">
    <w:p w14:paraId="38A8D45F" w14:textId="1BB461F3" w:rsidR="00D5156F" w:rsidRPr="00CE4DF2" w:rsidRDefault="00D5156F">
      <w:pPr>
        <w:pStyle w:val="FootnoteText"/>
        <w:rPr>
          <w:lang w:val="fi-FI"/>
        </w:rPr>
      </w:pPr>
      <w:r>
        <w:rPr>
          <w:rStyle w:val="FootnoteReference"/>
        </w:rPr>
        <w:footnoteRef/>
      </w:r>
      <w:r w:rsidRPr="00CE4DF2">
        <w:rPr>
          <w:lang w:val="fi-FI"/>
        </w:rPr>
        <w:t xml:space="preserve"> Lähde: </w:t>
      </w:r>
      <w:hyperlink r:id="rId2" w:history="1">
        <w:r w:rsidRPr="00CE4DF2">
          <w:rPr>
            <w:rStyle w:val="Hyperlink"/>
            <w:lang w:val="fi-FI"/>
          </w:rPr>
          <w:t>Yhteisen tutkimuskeskuksen toiminta-ajatus ja työohjelma</w:t>
        </w:r>
      </w:hyperlink>
      <w:r w:rsidRPr="00CE4DF2">
        <w:rPr>
          <w:lang w:val="fi-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7DB8" w14:textId="77777777" w:rsidR="003E37A2" w:rsidRPr="003E37A2" w:rsidRDefault="003E37A2" w:rsidP="003E3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B5C2" w14:textId="77777777" w:rsidR="003E37A2" w:rsidRPr="003E37A2" w:rsidRDefault="003E37A2" w:rsidP="003E37A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8EEF" w14:textId="77777777" w:rsidR="003E37A2" w:rsidRPr="003E37A2" w:rsidRDefault="003E37A2" w:rsidP="003E37A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C3F6" w14:textId="77777777" w:rsidR="00D5156F" w:rsidRDefault="00D515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AE1" w14:textId="77777777" w:rsidR="00D5156F" w:rsidRDefault="00D515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B3F9" w14:textId="77777777" w:rsidR="00D5156F" w:rsidRDefault="00D5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06263A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1553D7"/>
    <w:multiLevelType w:val="hybridMultilevel"/>
    <w:tmpl w:val="51965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7444DB9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D216538"/>
    <w:multiLevelType w:val="multilevel"/>
    <w:tmpl w:val="26BC6770"/>
    <w:lvl w:ilvl="0">
      <w:start w:val="1"/>
      <w:numFmt w:val="decimal"/>
      <w:pStyle w:val="HeaderSensitivityRight"/>
      <w:lvlText w:val="%1."/>
      <w:lvlJc w:val="left"/>
      <w:pPr>
        <w:ind w:left="502" w:hanging="360"/>
      </w:pPr>
      <w:rPr>
        <w:rFonts w:hint="default"/>
        <w:b/>
        <w:i w:val="0"/>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AA5326"/>
    <w:multiLevelType w:val="hybridMultilevel"/>
    <w:tmpl w:val="5BE6E7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FB7115"/>
    <w:multiLevelType w:val="multilevel"/>
    <w:tmpl w:val="0C2C547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00C4D5A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0B8345"/>
    <w:multiLevelType w:val="multilevel"/>
    <w:tmpl w:val="6540B2EA"/>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3384B12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3EA2C5D"/>
    <w:multiLevelType w:val="hybridMultilevel"/>
    <w:tmpl w:val="B01C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470FC"/>
    <w:multiLevelType w:val="hybridMultilevel"/>
    <w:tmpl w:val="BF7A4B64"/>
    <w:lvl w:ilvl="0" w:tplc="9A088A22">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D0A16"/>
    <w:multiLevelType w:val="multilevel"/>
    <w:tmpl w:val="FE12A71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72F0AC5"/>
    <w:multiLevelType w:val="multilevel"/>
    <w:tmpl w:val="BFF4A5B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94E7930"/>
    <w:multiLevelType w:val="hybridMultilevel"/>
    <w:tmpl w:val="9B20A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B624F"/>
    <w:multiLevelType w:val="multilevel"/>
    <w:tmpl w:val="41A01D0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2C8DFDF8"/>
    <w:multiLevelType w:val="multilevel"/>
    <w:tmpl w:val="23806158"/>
    <w:name w:val="ListBullet2Numbering"/>
    <w:lvl w:ilvl="0">
      <w:start w:val="1"/>
      <w:numFmt w:val="bullet"/>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E3"/>
    <w:multiLevelType w:val="multilevel"/>
    <w:tmpl w:val="336E49A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F4"/>
    <w:multiLevelType w:val="multilevel"/>
    <w:tmpl w:val="E3D4FD1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13E4FAF"/>
    <w:multiLevelType w:val="hybridMultilevel"/>
    <w:tmpl w:val="48FA1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58B5955"/>
    <w:multiLevelType w:val="hybridMultilevel"/>
    <w:tmpl w:val="F28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24F1E"/>
    <w:multiLevelType w:val="multilevel"/>
    <w:tmpl w:val="95C4F95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7CB1E1C"/>
    <w:multiLevelType w:val="multilevel"/>
    <w:tmpl w:val="4972EC5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9A24130"/>
    <w:multiLevelType w:val="hybridMultilevel"/>
    <w:tmpl w:val="A862571E"/>
    <w:lvl w:ilvl="0" w:tplc="066CE1D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3A7730C4"/>
    <w:multiLevelType w:val="multilevel"/>
    <w:tmpl w:val="E1AE5C2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8" w15:restartNumberingAfterBreak="0">
    <w:nsid w:val="429E662A"/>
    <w:multiLevelType w:val="multilevel"/>
    <w:tmpl w:val="83D2923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36C5701"/>
    <w:multiLevelType w:val="hybridMultilevel"/>
    <w:tmpl w:val="211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22849"/>
    <w:multiLevelType w:val="hybridMultilevel"/>
    <w:tmpl w:val="7236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15:restartNumberingAfterBreak="0">
    <w:nsid w:val="4D9D5169"/>
    <w:multiLevelType w:val="hybridMultilevel"/>
    <w:tmpl w:val="DF160B5C"/>
    <w:lvl w:ilvl="0" w:tplc="43FEBF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1A63DF"/>
    <w:multiLevelType w:val="multilevel"/>
    <w:tmpl w:val="3A08B00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4E1A982C"/>
    <w:multiLevelType w:val="multilevel"/>
    <w:tmpl w:val="64A8E49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5072619B"/>
    <w:multiLevelType w:val="multilevel"/>
    <w:tmpl w:val="BD52A63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15:restartNumberingAfterBreak="0">
    <w:nsid w:val="50729B52"/>
    <w:multiLevelType w:val="multilevel"/>
    <w:tmpl w:val="06C8663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53DA16BC"/>
    <w:multiLevelType w:val="hybridMultilevel"/>
    <w:tmpl w:val="D0A0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40"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43" w15:restartNumberingAfterBreak="0">
    <w:nsid w:val="6977472E"/>
    <w:multiLevelType w:val="multilevel"/>
    <w:tmpl w:val="B03699F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6BBF4FDC"/>
    <w:multiLevelType w:val="hybridMultilevel"/>
    <w:tmpl w:val="D40A0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BC1C5C"/>
    <w:multiLevelType w:val="hybridMultilevel"/>
    <w:tmpl w:val="61BE0DD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1DC5302"/>
    <w:multiLevelType w:val="hybridMultilevel"/>
    <w:tmpl w:val="8ABA6808"/>
    <w:lvl w:ilvl="0" w:tplc="E098E76A">
      <w:start w:val="2023"/>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244716A"/>
    <w:multiLevelType w:val="hybridMultilevel"/>
    <w:tmpl w:val="8F9A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E13FFE"/>
    <w:multiLevelType w:val="hybridMultilevel"/>
    <w:tmpl w:val="5C50F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5C26F71"/>
    <w:multiLevelType w:val="multilevel"/>
    <w:tmpl w:val="A4B6689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3" w15:restartNumberingAfterBreak="0">
    <w:nsid w:val="7C65145E"/>
    <w:multiLevelType w:val="multilevel"/>
    <w:tmpl w:val="F60CB52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5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8"/>
  </w:num>
  <w:num w:numId="2">
    <w:abstractNumId w:val="15"/>
  </w:num>
  <w:num w:numId="3">
    <w:abstractNumId w:val="41"/>
  </w:num>
  <w:num w:numId="4">
    <w:abstractNumId w:val="40"/>
  </w:num>
  <w:num w:numId="5">
    <w:abstractNumId w:val="31"/>
  </w:num>
  <w:num w:numId="6">
    <w:abstractNumId w:val="44"/>
  </w:num>
  <w:num w:numId="7">
    <w:abstractNumId w:val="51"/>
  </w:num>
  <w:num w:numId="8">
    <w:abstractNumId w:val="47"/>
  </w:num>
  <w:num w:numId="9">
    <w:abstractNumId w:val="52"/>
  </w:num>
  <w:num w:numId="10">
    <w:abstractNumId w:val="26"/>
  </w:num>
  <w:num w:numId="11">
    <w:abstractNumId w:val="24"/>
  </w:num>
  <w:num w:numId="12">
    <w:abstractNumId w:val="42"/>
  </w:num>
  <w:num w:numId="13">
    <w:abstractNumId w:val="27"/>
  </w:num>
  <w:num w:numId="14">
    <w:abstractNumId w:val="39"/>
  </w:num>
  <w:num w:numId="15">
    <w:abstractNumId w:val="3"/>
  </w:num>
  <w:num w:numId="16">
    <w:abstractNumId w:val="2"/>
  </w:num>
  <w:num w:numId="17">
    <w:abstractNumId w:val="21"/>
  </w:num>
  <w:num w:numId="18">
    <w:abstractNumId w:val="14"/>
  </w:num>
  <w:num w:numId="19">
    <w:abstractNumId w:val="22"/>
  </w:num>
  <w:num w:numId="20">
    <w:abstractNumId w:val="35"/>
  </w:num>
  <w:num w:numId="21">
    <w:abstractNumId w:val="43"/>
  </w:num>
  <w:num w:numId="22">
    <w:abstractNumId w:val="5"/>
  </w:num>
  <w:num w:numId="23">
    <w:abstractNumId w:val="12"/>
  </w:num>
  <w:num w:numId="24">
    <w:abstractNumId w:val="28"/>
  </w:num>
  <w:num w:numId="25">
    <w:abstractNumId w:val="6"/>
  </w:num>
  <w:num w:numId="26">
    <w:abstractNumId w:val="8"/>
  </w:num>
  <w:num w:numId="27">
    <w:abstractNumId w:val="11"/>
  </w:num>
  <w:num w:numId="28">
    <w:abstractNumId w:val="16"/>
  </w:num>
  <w:num w:numId="29">
    <w:abstractNumId w:val="25"/>
  </w:num>
  <w:num w:numId="30">
    <w:abstractNumId w:val="34"/>
  </w:num>
  <w:num w:numId="31">
    <w:abstractNumId w:val="53"/>
  </w:num>
  <w:num w:numId="32">
    <w:abstractNumId w:val="17"/>
  </w:num>
  <w:num w:numId="33">
    <w:abstractNumId w:val="18"/>
  </w:num>
  <w:num w:numId="34">
    <w:abstractNumId w:val="54"/>
  </w:num>
  <w:num w:numId="35">
    <w:abstractNumId w:val="33"/>
  </w:num>
  <w:num w:numId="36">
    <w:abstractNumId w:val="36"/>
  </w:num>
  <w:num w:numId="37">
    <w:abstractNumId w:val="7"/>
  </w:num>
  <w:num w:numId="38">
    <w:abstractNumId w:val="0"/>
  </w:num>
  <w:num w:numId="39">
    <w:abstractNumId w:val="0"/>
  </w:num>
  <w:num w:numId="40">
    <w:abstractNumId w:val="32"/>
  </w:num>
  <w:num w:numId="41">
    <w:abstractNumId w:val="13"/>
  </w:num>
  <w:num w:numId="42">
    <w:abstractNumId w:val="51"/>
  </w:num>
  <w:num w:numId="43">
    <w:abstractNumId w:val="46"/>
  </w:num>
  <w:num w:numId="44">
    <w:abstractNumId w:val="20"/>
  </w:num>
  <w:num w:numId="45">
    <w:abstractNumId w:val="0"/>
  </w:num>
  <w:num w:numId="46">
    <w:abstractNumId w:val="0"/>
  </w:num>
  <w:num w:numId="47">
    <w:abstractNumId w:val="19"/>
  </w:num>
  <w:num w:numId="48">
    <w:abstractNumId w:val="19"/>
  </w:num>
  <w:num w:numId="49">
    <w:abstractNumId w:val="0"/>
  </w:num>
  <w:num w:numId="50">
    <w:abstractNumId w:val="4"/>
  </w:num>
  <w:num w:numId="51">
    <w:abstractNumId w:val="1"/>
  </w:num>
  <w:num w:numId="52">
    <w:abstractNumId w:val="50"/>
  </w:num>
  <w:num w:numId="53">
    <w:abstractNumId w:val="0"/>
  </w:num>
  <w:num w:numId="54">
    <w:abstractNumId w:val="45"/>
  </w:num>
  <w:num w:numId="55">
    <w:abstractNumId w:val="29"/>
  </w:num>
  <w:num w:numId="56">
    <w:abstractNumId w:val="30"/>
  </w:num>
  <w:num w:numId="57">
    <w:abstractNumId w:val="23"/>
  </w:num>
  <w:num w:numId="58">
    <w:abstractNumId w:val="9"/>
  </w:num>
  <w:num w:numId="59">
    <w:abstractNumId w:val="0"/>
  </w:num>
  <w:num w:numId="60">
    <w:abstractNumId w:val="10"/>
  </w:num>
  <w:num w:numId="61">
    <w:abstractNumId w:val="48"/>
  </w:num>
  <w:num w:numId="62">
    <w:abstractNumId w:val="0"/>
  </w:num>
  <w:num w:numId="63">
    <w:abstractNumId w:val="0"/>
  </w:num>
  <w:num w:numId="64">
    <w:abstractNumId w:val="49"/>
  </w:num>
  <w:num w:numId="65">
    <w:abstractNumId w:val="0"/>
  </w:num>
  <w:num w:numId="66">
    <w:abstractNumId w:val="51"/>
  </w:num>
  <w:num w:numId="67">
    <w:abstractNumId w:val="0"/>
  </w:num>
  <w:num w:numId="68">
    <w:abstractNumId w:val="0"/>
  </w:num>
  <w:num w:numId="69">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i-FI" w:vendorID="64" w:dllVersion="6" w:nlCheck="1" w:checkStyle="0"/>
  <w:activeWritingStyle w:appName="MSWord" w:lang="fi-FI"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EDCDCE70-DD4A-41DE-B935-F387F9969D83"/>
    <w:docVar w:name="LW_COVERPAGE_TYPE" w:val="1"/>
    <w:docVar w:name="LW_CROSSREFERENCE" w:val="&lt;UNUSED&gt;"/>
    <w:docVar w:name="LW_DocType" w:val="NORMAL"/>
    <w:docVar w:name="LW_EMISSION" w:val="31.5.2023"/>
    <w:docVar w:name="LW_EMISSION_ISODATE" w:val="2023-05-31"/>
    <w:docVar w:name="LW_EMISSION_LOCATION" w:val="BRX"/>
    <w:docVar w:name="LW_EMISSION_PREFIX" w:val="Bryssel "/>
    <w:docVar w:name="LW_EMISSION_SUFFIX" w:val=" "/>
    <w:docVar w:name="LW_ID_DOCTYPE_NONLW" w:val="CP-006"/>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3)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Vuosikertomus Euroopan unionin toiminnasta tutkimuksen ja teknologian kehittämisen alalla sekä Horisontti Eurooppa -puiteohjelman ja Horisontti 2020 -puiteohjelman seurannasta vuonna 2022&lt;/FMT&gt;"/>
    <w:docVar w:name="LW_TYPE.DOC.CP" w:val="KOMISSION KERTOMUS EUROOPAN PARLAMENTILLE JA NEUVOSTOLLE"/>
    <w:docVar w:name="LwApiVersions" w:val="LW4CoDe 1.23.2.0; LW 8.0, Build 20211117"/>
  </w:docVars>
  <w:rsids>
    <w:rsidRoot w:val="005643CD"/>
    <w:rsid w:val="0000246E"/>
    <w:rsid w:val="00002A93"/>
    <w:rsid w:val="00006097"/>
    <w:rsid w:val="00013228"/>
    <w:rsid w:val="000144BD"/>
    <w:rsid w:val="00014C37"/>
    <w:rsid w:val="00022F6B"/>
    <w:rsid w:val="00027AD3"/>
    <w:rsid w:val="000304D3"/>
    <w:rsid w:val="00034ABA"/>
    <w:rsid w:val="0004796E"/>
    <w:rsid w:val="000507F1"/>
    <w:rsid w:val="00052EC8"/>
    <w:rsid w:val="000577BA"/>
    <w:rsid w:val="000604D7"/>
    <w:rsid w:val="00062901"/>
    <w:rsid w:val="0006365C"/>
    <w:rsid w:val="000639C5"/>
    <w:rsid w:val="00063CC2"/>
    <w:rsid w:val="00064B1B"/>
    <w:rsid w:val="00065220"/>
    <w:rsid w:val="00067083"/>
    <w:rsid w:val="00067CD8"/>
    <w:rsid w:val="000702AD"/>
    <w:rsid w:val="0007181E"/>
    <w:rsid w:val="00074E6B"/>
    <w:rsid w:val="00075455"/>
    <w:rsid w:val="00077E02"/>
    <w:rsid w:val="000804A7"/>
    <w:rsid w:val="000814CC"/>
    <w:rsid w:val="00084CA6"/>
    <w:rsid w:val="00090049"/>
    <w:rsid w:val="00094173"/>
    <w:rsid w:val="000A1007"/>
    <w:rsid w:val="000A2A81"/>
    <w:rsid w:val="000A3B64"/>
    <w:rsid w:val="000A4066"/>
    <w:rsid w:val="000B060B"/>
    <w:rsid w:val="000B26FE"/>
    <w:rsid w:val="000B424B"/>
    <w:rsid w:val="000C3892"/>
    <w:rsid w:val="000C4DEC"/>
    <w:rsid w:val="000C7093"/>
    <w:rsid w:val="000D26C5"/>
    <w:rsid w:val="000E06BE"/>
    <w:rsid w:val="000E11E0"/>
    <w:rsid w:val="000E2914"/>
    <w:rsid w:val="000E6755"/>
    <w:rsid w:val="000F1588"/>
    <w:rsid w:val="000F1C6A"/>
    <w:rsid w:val="000F7213"/>
    <w:rsid w:val="001009F2"/>
    <w:rsid w:val="00101CD1"/>
    <w:rsid w:val="00106ED5"/>
    <w:rsid w:val="001128EF"/>
    <w:rsid w:val="00113055"/>
    <w:rsid w:val="00115969"/>
    <w:rsid w:val="001272ED"/>
    <w:rsid w:val="001347CE"/>
    <w:rsid w:val="00134941"/>
    <w:rsid w:val="00136190"/>
    <w:rsid w:val="00136406"/>
    <w:rsid w:val="0013676B"/>
    <w:rsid w:val="00143DB3"/>
    <w:rsid w:val="001460B0"/>
    <w:rsid w:val="00152D82"/>
    <w:rsid w:val="00154F4D"/>
    <w:rsid w:val="00162403"/>
    <w:rsid w:val="001643F8"/>
    <w:rsid w:val="00174144"/>
    <w:rsid w:val="00175067"/>
    <w:rsid w:val="00176FD4"/>
    <w:rsid w:val="00182569"/>
    <w:rsid w:val="001830A9"/>
    <w:rsid w:val="00183A36"/>
    <w:rsid w:val="00185FE7"/>
    <w:rsid w:val="00194509"/>
    <w:rsid w:val="00196F0F"/>
    <w:rsid w:val="00197768"/>
    <w:rsid w:val="001A0292"/>
    <w:rsid w:val="001A3729"/>
    <w:rsid w:val="001A673E"/>
    <w:rsid w:val="001A70FC"/>
    <w:rsid w:val="001A748F"/>
    <w:rsid w:val="001B1982"/>
    <w:rsid w:val="001B1C78"/>
    <w:rsid w:val="001B28AB"/>
    <w:rsid w:val="001C2824"/>
    <w:rsid w:val="001C56CD"/>
    <w:rsid w:val="001D3773"/>
    <w:rsid w:val="001E2915"/>
    <w:rsid w:val="001E6C47"/>
    <w:rsid w:val="001F141E"/>
    <w:rsid w:val="001F4C5C"/>
    <w:rsid w:val="001F61E4"/>
    <w:rsid w:val="00202F77"/>
    <w:rsid w:val="002034FE"/>
    <w:rsid w:val="002046A3"/>
    <w:rsid w:val="00205DF3"/>
    <w:rsid w:val="0021325B"/>
    <w:rsid w:val="00221B9A"/>
    <w:rsid w:val="00226B95"/>
    <w:rsid w:val="00231603"/>
    <w:rsid w:val="0023279B"/>
    <w:rsid w:val="00235F75"/>
    <w:rsid w:val="00235FB7"/>
    <w:rsid w:val="00237155"/>
    <w:rsid w:val="002420D6"/>
    <w:rsid w:val="00243417"/>
    <w:rsid w:val="00244238"/>
    <w:rsid w:val="002448E2"/>
    <w:rsid w:val="00247323"/>
    <w:rsid w:val="0025638C"/>
    <w:rsid w:val="00262224"/>
    <w:rsid w:val="00262BEE"/>
    <w:rsid w:val="002670E5"/>
    <w:rsid w:val="00267484"/>
    <w:rsid w:val="0027319D"/>
    <w:rsid w:val="0027322B"/>
    <w:rsid w:val="0027449B"/>
    <w:rsid w:val="00277779"/>
    <w:rsid w:val="002816B5"/>
    <w:rsid w:val="002846F7"/>
    <w:rsid w:val="0028486E"/>
    <w:rsid w:val="0028533C"/>
    <w:rsid w:val="00285ABB"/>
    <w:rsid w:val="00286903"/>
    <w:rsid w:val="00290C78"/>
    <w:rsid w:val="0029162C"/>
    <w:rsid w:val="002921EC"/>
    <w:rsid w:val="0029267F"/>
    <w:rsid w:val="00293150"/>
    <w:rsid w:val="00295AE7"/>
    <w:rsid w:val="002A1385"/>
    <w:rsid w:val="002A51A1"/>
    <w:rsid w:val="002A7644"/>
    <w:rsid w:val="002B1DAF"/>
    <w:rsid w:val="002B2990"/>
    <w:rsid w:val="002B6135"/>
    <w:rsid w:val="002C31BE"/>
    <w:rsid w:val="002C713E"/>
    <w:rsid w:val="002D0824"/>
    <w:rsid w:val="002D1FFC"/>
    <w:rsid w:val="002D5F93"/>
    <w:rsid w:val="002D61AB"/>
    <w:rsid w:val="002E2FB6"/>
    <w:rsid w:val="002E4B10"/>
    <w:rsid w:val="002E5019"/>
    <w:rsid w:val="002F08FE"/>
    <w:rsid w:val="002F5BB8"/>
    <w:rsid w:val="00302B35"/>
    <w:rsid w:val="00303BF0"/>
    <w:rsid w:val="00305BF4"/>
    <w:rsid w:val="00305F01"/>
    <w:rsid w:val="00306900"/>
    <w:rsid w:val="00310F07"/>
    <w:rsid w:val="00311756"/>
    <w:rsid w:val="00314574"/>
    <w:rsid w:val="00322158"/>
    <w:rsid w:val="00323B75"/>
    <w:rsid w:val="00323ECE"/>
    <w:rsid w:val="0033156C"/>
    <w:rsid w:val="00331A05"/>
    <w:rsid w:val="0033695E"/>
    <w:rsid w:val="00346244"/>
    <w:rsid w:val="00361442"/>
    <w:rsid w:val="00361759"/>
    <w:rsid w:val="00361ED8"/>
    <w:rsid w:val="003710C0"/>
    <w:rsid w:val="0037157F"/>
    <w:rsid w:val="0037185D"/>
    <w:rsid w:val="00374EE5"/>
    <w:rsid w:val="0037576C"/>
    <w:rsid w:val="00384433"/>
    <w:rsid w:val="003868CF"/>
    <w:rsid w:val="0039008B"/>
    <w:rsid w:val="003914AE"/>
    <w:rsid w:val="00391EEF"/>
    <w:rsid w:val="003920D3"/>
    <w:rsid w:val="00396E57"/>
    <w:rsid w:val="003A4BD1"/>
    <w:rsid w:val="003A7524"/>
    <w:rsid w:val="003B38EA"/>
    <w:rsid w:val="003B6B04"/>
    <w:rsid w:val="003D1EF5"/>
    <w:rsid w:val="003D7DDA"/>
    <w:rsid w:val="003E0351"/>
    <w:rsid w:val="003E37A2"/>
    <w:rsid w:val="003E3A0A"/>
    <w:rsid w:val="003E60E0"/>
    <w:rsid w:val="003F1C7A"/>
    <w:rsid w:val="003F4241"/>
    <w:rsid w:val="003F5B91"/>
    <w:rsid w:val="00404E29"/>
    <w:rsid w:val="004104B3"/>
    <w:rsid w:val="00410F37"/>
    <w:rsid w:val="00415527"/>
    <w:rsid w:val="00420B96"/>
    <w:rsid w:val="00425E8D"/>
    <w:rsid w:val="004302BB"/>
    <w:rsid w:val="00430D08"/>
    <w:rsid w:val="004310FF"/>
    <w:rsid w:val="0043210F"/>
    <w:rsid w:val="004354AC"/>
    <w:rsid w:val="0043568B"/>
    <w:rsid w:val="00440C41"/>
    <w:rsid w:val="00450192"/>
    <w:rsid w:val="004502D0"/>
    <w:rsid w:val="00451E97"/>
    <w:rsid w:val="004522DB"/>
    <w:rsid w:val="00452F7A"/>
    <w:rsid w:val="00454070"/>
    <w:rsid w:val="0045749C"/>
    <w:rsid w:val="00463C4F"/>
    <w:rsid w:val="00465FD2"/>
    <w:rsid w:val="004704C5"/>
    <w:rsid w:val="004707F9"/>
    <w:rsid w:val="0047244E"/>
    <w:rsid w:val="00475C32"/>
    <w:rsid w:val="00481163"/>
    <w:rsid w:val="0048125A"/>
    <w:rsid w:val="0048471A"/>
    <w:rsid w:val="00485B26"/>
    <w:rsid w:val="004918C2"/>
    <w:rsid w:val="00492D3E"/>
    <w:rsid w:val="0049308C"/>
    <w:rsid w:val="0049533D"/>
    <w:rsid w:val="004A30E4"/>
    <w:rsid w:val="004A311A"/>
    <w:rsid w:val="004A4C6F"/>
    <w:rsid w:val="004A6461"/>
    <w:rsid w:val="004B7267"/>
    <w:rsid w:val="004B7731"/>
    <w:rsid w:val="004B7BA7"/>
    <w:rsid w:val="004B7F8E"/>
    <w:rsid w:val="004C0063"/>
    <w:rsid w:val="004C64DE"/>
    <w:rsid w:val="004C6C94"/>
    <w:rsid w:val="004D428B"/>
    <w:rsid w:val="004D6531"/>
    <w:rsid w:val="004D7598"/>
    <w:rsid w:val="004D79ED"/>
    <w:rsid w:val="004E1B3F"/>
    <w:rsid w:val="004E2862"/>
    <w:rsid w:val="004E2A1A"/>
    <w:rsid w:val="004E67AB"/>
    <w:rsid w:val="004F0FEB"/>
    <w:rsid w:val="004F7EB2"/>
    <w:rsid w:val="00500C61"/>
    <w:rsid w:val="0050133A"/>
    <w:rsid w:val="00504B62"/>
    <w:rsid w:val="00505F8B"/>
    <w:rsid w:val="00517B47"/>
    <w:rsid w:val="00520191"/>
    <w:rsid w:val="00520B43"/>
    <w:rsid w:val="005220F4"/>
    <w:rsid w:val="00524CB7"/>
    <w:rsid w:val="005300D7"/>
    <w:rsid w:val="00532C4D"/>
    <w:rsid w:val="005455E0"/>
    <w:rsid w:val="005524C8"/>
    <w:rsid w:val="00556560"/>
    <w:rsid w:val="00557C57"/>
    <w:rsid w:val="005643CD"/>
    <w:rsid w:val="005670AB"/>
    <w:rsid w:val="00567E89"/>
    <w:rsid w:val="00573F52"/>
    <w:rsid w:val="005745C7"/>
    <w:rsid w:val="0057589F"/>
    <w:rsid w:val="005773E9"/>
    <w:rsid w:val="005802ED"/>
    <w:rsid w:val="005815D1"/>
    <w:rsid w:val="00582962"/>
    <w:rsid w:val="0058297F"/>
    <w:rsid w:val="00584168"/>
    <w:rsid w:val="005852B6"/>
    <w:rsid w:val="00590F07"/>
    <w:rsid w:val="00591DAD"/>
    <w:rsid w:val="005A14AD"/>
    <w:rsid w:val="005A1B77"/>
    <w:rsid w:val="005A1ED5"/>
    <w:rsid w:val="005A386F"/>
    <w:rsid w:val="005A6EF8"/>
    <w:rsid w:val="005B005B"/>
    <w:rsid w:val="005B0CF2"/>
    <w:rsid w:val="005B6C07"/>
    <w:rsid w:val="005C1027"/>
    <w:rsid w:val="005C4A94"/>
    <w:rsid w:val="005C7770"/>
    <w:rsid w:val="005D4158"/>
    <w:rsid w:val="005D5620"/>
    <w:rsid w:val="005E1350"/>
    <w:rsid w:val="005E16E7"/>
    <w:rsid w:val="005E3407"/>
    <w:rsid w:val="005E5DC3"/>
    <w:rsid w:val="005E6ABF"/>
    <w:rsid w:val="005E6BF2"/>
    <w:rsid w:val="005E6FBF"/>
    <w:rsid w:val="005E72B2"/>
    <w:rsid w:val="005F0FC9"/>
    <w:rsid w:val="005F2A1A"/>
    <w:rsid w:val="005F59D6"/>
    <w:rsid w:val="0060607D"/>
    <w:rsid w:val="00606563"/>
    <w:rsid w:val="0061087F"/>
    <w:rsid w:val="00610FBF"/>
    <w:rsid w:val="00612B2F"/>
    <w:rsid w:val="00617C19"/>
    <w:rsid w:val="0062291D"/>
    <w:rsid w:val="006246C6"/>
    <w:rsid w:val="00631117"/>
    <w:rsid w:val="0063229B"/>
    <w:rsid w:val="0063247F"/>
    <w:rsid w:val="00635AED"/>
    <w:rsid w:val="00640A76"/>
    <w:rsid w:val="00647429"/>
    <w:rsid w:val="006509FA"/>
    <w:rsid w:val="006525C8"/>
    <w:rsid w:val="00653A1D"/>
    <w:rsid w:val="00654C23"/>
    <w:rsid w:val="00656874"/>
    <w:rsid w:val="00660914"/>
    <w:rsid w:val="006615A4"/>
    <w:rsid w:val="006618DF"/>
    <w:rsid w:val="006634C8"/>
    <w:rsid w:val="0067050D"/>
    <w:rsid w:val="00672F7B"/>
    <w:rsid w:val="0067508F"/>
    <w:rsid w:val="006800EF"/>
    <w:rsid w:val="0068151D"/>
    <w:rsid w:val="00681B8A"/>
    <w:rsid w:val="00682FA0"/>
    <w:rsid w:val="00692BF1"/>
    <w:rsid w:val="00696BD2"/>
    <w:rsid w:val="006A2108"/>
    <w:rsid w:val="006A317B"/>
    <w:rsid w:val="006A3A45"/>
    <w:rsid w:val="006A51AE"/>
    <w:rsid w:val="006A72E0"/>
    <w:rsid w:val="006B11AD"/>
    <w:rsid w:val="006B5022"/>
    <w:rsid w:val="006C0A20"/>
    <w:rsid w:val="006C3EE6"/>
    <w:rsid w:val="006C5884"/>
    <w:rsid w:val="006C7DAC"/>
    <w:rsid w:val="006D0D2B"/>
    <w:rsid w:val="006D110F"/>
    <w:rsid w:val="006D1176"/>
    <w:rsid w:val="006D5C67"/>
    <w:rsid w:val="006E204C"/>
    <w:rsid w:val="006E47D4"/>
    <w:rsid w:val="006E6A3D"/>
    <w:rsid w:val="006E6E1F"/>
    <w:rsid w:val="006E7E53"/>
    <w:rsid w:val="006F0E6B"/>
    <w:rsid w:val="007029F3"/>
    <w:rsid w:val="00705C41"/>
    <w:rsid w:val="007065CE"/>
    <w:rsid w:val="00707F77"/>
    <w:rsid w:val="0071027F"/>
    <w:rsid w:val="00713791"/>
    <w:rsid w:val="0071535D"/>
    <w:rsid w:val="00715A59"/>
    <w:rsid w:val="00720243"/>
    <w:rsid w:val="00721F17"/>
    <w:rsid w:val="00723295"/>
    <w:rsid w:val="00725865"/>
    <w:rsid w:val="00726B10"/>
    <w:rsid w:val="007350D6"/>
    <w:rsid w:val="007370F1"/>
    <w:rsid w:val="007375EF"/>
    <w:rsid w:val="0074040C"/>
    <w:rsid w:val="00742D3E"/>
    <w:rsid w:val="00743E8C"/>
    <w:rsid w:val="007448E8"/>
    <w:rsid w:val="007464A6"/>
    <w:rsid w:val="0074775E"/>
    <w:rsid w:val="007600C2"/>
    <w:rsid w:val="007601C9"/>
    <w:rsid w:val="0076251D"/>
    <w:rsid w:val="00762E42"/>
    <w:rsid w:val="00764222"/>
    <w:rsid w:val="007673AA"/>
    <w:rsid w:val="0077404C"/>
    <w:rsid w:val="00774426"/>
    <w:rsid w:val="007823B1"/>
    <w:rsid w:val="00787D5D"/>
    <w:rsid w:val="007968A0"/>
    <w:rsid w:val="00796C6B"/>
    <w:rsid w:val="007A14F0"/>
    <w:rsid w:val="007B5DC2"/>
    <w:rsid w:val="007B6391"/>
    <w:rsid w:val="007B6544"/>
    <w:rsid w:val="007C10B7"/>
    <w:rsid w:val="007C33F5"/>
    <w:rsid w:val="007C4513"/>
    <w:rsid w:val="007C5244"/>
    <w:rsid w:val="007C527B"/>
    <w:rsid w:val="007C660A"/>
    <w:rsid w:val="007D6EE5"/>
    <w:rsid w:val="007E0A1E"/>
    <w:rsid w:val="007E3A2F"/>
    <w:rsid w:val="007E6B18"/>
    <w:rsid w:val="007E7F62"/>
    <w:rsid w:val="007F09E0"/>
    <w:rsid w:val="007F6F90"/>
    <w:rsid w:val="00801B65"/>
    <w:rsid w:val="00801BB4"/>
    <w:rsid w:val="008034DB"/>
    <w:rsid w:val="00807F90"/>
    <w:rsid w:val="0081153E"/>
    <w:rsid w:val="00812BC5"/>
    <w:rsid w:val="00812ECC"/>
    <w:rsid w:val="0081571C"/>
    <w:rsid w:val="008176F3"/>
    <w:rsid w:val="00822224"/>
    <w:rsid w:val="00823628"/>
    <w:rsid w:val="00826F77"/>
    <w:rsid w:val="008305D4"/>
    <w:rsid w:val="0083317E"/>
    <w:rsid w:val="00834A00"/>
    <w:rsid w:val="0083798C"/>
    <w:rsid w:val="00841837"/>
    <w:rsid w:val="00842B3E"/>
    <w:rsid w:val="008437C9"/>
    <w:rsid w:val="008451EF"/>
    <w:rsid w:val="00845BAA"/>
    <w:rsid w:val="00852219"/>
    <w:rsid w:val="00855179"/>
    <w:rsid w:val="00855D91"/>
    <w:rsid w:val="00856580"/>
    <w:rsid w:val="00860BAE"/>
    <w:rsid w:val="00862A32"/>
    <w:rsid w:val="008674E8"/>
    <w:rsid w:val="00867584"/>
    <w:rsid w:val="00871672"/>
    <w:rsid w:val="008728DD"/>
    <w:rsid w:val="008757A6"/>
    <w:rsid w:val="00880687"/>
    <w:rsid w:val="0088091C"/>
    <w:rsid w:val="00882783"/>
    <w:rsid w:val="00884ABA"/>
    <w:rsid w:val="00884C0A"/>
    <w:rsid w:val="00886DA9"/>
    <w:rsid w:val="00891A1F"/>
    <w:rsid w:val="00893005"/>
    <w:rsid w:val="00897F2A"/>
    <w:rsid w:val="008A1574"/>
    <w:rsid w:val="008A19EC"/>
    <w:rsid w:val="008A4DC7"/>
    <w:rsid w:val="008A7F48"/>
    <w:rsid w:val="008B219A"/>
    <w:rsid w:val="008B2654"/>
    <w:rsid w:val="008B3D0A"/>
    <w:rsid w:val="008B527B"/>
    <w:rsid w:val="008C0619"/>
    <w:rsid w:val="008C0F1D"/>
    <w:rsid w:val="008C165B"/>
    <w:rsid w:val="008C4A0A"/>
    <w:rsid w:val="008C5E71"/>
    <w:rsid w:val="008D382F"/>
    <w:rsid w:val="008D3B6D"/>
    <w:rsid w:val="008D5362"/>
    <w:rsid w:val="008D60F2"/>
    <w:rsid w:val="008E3D8A"/>
    <w:rsid w:val="008E5203"/>
    <w:rsid w:val="008E7BB0"/>
    <w:rsid w:val="008F42B4"/>
    <w:rsid w:val="008F594B"/>
    <w:rsid w:val="008F6630"/>
    <w:rsid w:val="009026AA"/>
    <w:rsid w:val="009029B9"/>
    <w:rsid w:val="0090303F"/>
    <w:rsid w:val="00904FB1"/>
    <w:rsid w:val="00910582"/>
    <w:rsid w:val="00910997"/>
    <w:rsid w:val="00911B14"/>
    <w:rsid w:val="00916267"/>
    <w:rsid w:val="00921E89"/>
    <w:rsid w:val="00924857"/>
    <w:rsid w:val="009250BE"/>
    <w:rsid w:val="0093220A"/>
    <w:rsid w:val="00933024"/>
    <w:rsid w:val="00936C7F"/>
    <w:rsid w:val="00941F0D"/>
    <w:rsid w:val="00943B94"/>
    <w:rsid w:val="009472A4"/>
    <w:rsid w:val="00950047"/>
    <w:rsid w:val="0096064C"/>
    <w:rsid w:val="00961A79"/>
    <w:rsid w:val="0096444F"/>
    <w:rsid w:val="00970BFE"/>
    <w:rsid w:val="0097412B"/>
    <w:rsid w:val="0097463F"/>
    <w:rsid w:val="00976B67"/>
    <w:rsid w:val="00977F41"/>
    <w:rsid w:val="009814F4"/>
    <w:rsid w:val="00990762"/>
    <w:rsid w:val="00990C69"/>
    <w:rsid w:val="00993F9D"/>
    <w:rsid w:val="00995E28"/>
    <w:rsid w:val="0099755A"/>
    <w:rsid w:val="009C0695"/>
    <w:rsid w:val="009C22CA"/>
    <w:rsid w:val="009C2C57"/>
    <w:rsid w:val="009C691C"/>
    <w:rsid w:val="009D7D53"/>
    <w:rsid w:val="009E439D"/>
    <w:rsid w:val="009E5061"/>
    <w:rsid w:val="009F79A8"/>
    <w:rsid w:val="00A05DCA"/>
    <w:rsid w:val="00A13473"/>
    <w:rsid w:val="00A153F6"/>
    <w:rsid w:val="00A25A6E"/>
    <w:rsid w:val="00A26014"/>
    <w:rsid w:val="00A26D5E"/>
    <w:rsid w:val="00A330F6"/>
    <w:rsid w:val="00A460F5"/>
    <w:rsid w:val="00A476E6"/>
    <w:rsid w:val="00A51ADD"/>
    <w:rsid w:val="00A53ACC"/>
    <w:rsid w:val="00A55498"/>
    <w:rsid w:val="00A5587D"/>
    <w:rsid w:val="00A6122C"/>
    <w:rsid w:val="00A613E0"/>
    <w:rsid w:val="00A73A10"/>
    <w:rsid w:val="00A74725"/>
    <w:rsid w:val="00A82093"/>
    <w:rsid w:val="00A859BA"/>
    <w:rsid w:val="00A876E7"/>
    <w:rsid w:val="00A87D50"/>
    <w:rsid w:val="00A9115E"/>
    <w:rsid w:val="00A91D9E"/>
    <w:rsid w:val="00A926B7"/>
    <w:rsid w:val="00A95FA9"/>
    <w:rsid w:val="00AA0A45"/>
    <w:rsid w:val="00AA6B6E"/>
    <w:rsid w:val="00AB198B"/>
    <w:rsid w:val="00AB6C3A"/>
    <w:rsid w:val="00AB6E66"/>
    <w:rsid w:val="00AC1C17"/>
    <w:rsid w:val="00AC2FA2"/>
    <w:rsid w:val="00AC3840"/>
    <w:rsid w:val="00AC5BC2"/>
    <w:rsid w:val="00AD0155"/>
    <w:rsid w:val="00AD1828"/>
    <w:rsid w:val="00AD1925"/>
    <w:rsid w:val="00AD3611"/>
    <w:rsid w:val="00AD3F4B"/>
    <w:rsid w:val="00AD75B5"/>
    <w:rsid w:val="00AE443E"/>
    <w:rsid w:val="00AE7BF1"/>
    <w:rsid w:val="00AF0C0A"/>
    <w:rsid w:val="00AF1805"/>
    <w:rsid w:val="00AF2893"/>
    <w:rsid w:val="00AF37E2"/>
    <w:rsid w:val="00B001E1"/>
    <w:rsid w:val="00B02199"/>
    <w:rsid w:val="00B076E1"/>
    <w:rsid w:val="00B10DAD"/>
    <w:rsid w:val="00B1269C"/>
    <w:rsid w:val="00B12B2A"/>
    <w:rsid w:val="00B16572"/>
    <w:rsid w:val="00B20F33"/>
    <w:rsid w:val="00B23401"/>
    <w:rsid w:val="00B2459C"/>
    <w:rsid w:val="00B35022"/>
    <w:rsid w:val="00B359A4"/>
    <w:rsid w:val="00B40968"/>
    <w:rsid w:val="00B45937"/>
    <w:rsid w:val="00B464A6"/>
    <w:rsid w:val="00B52292"/>
    <w:rsid w:val="00B52386"/>
    <w:rsid w:val="00B52B32"/>
    <w:rsid w:val="00B53C13"/>
    <w:rsid w:val="00B61443"/>
    <w:rsid w:val="00B617DE"/>
    <w:rsid w:val="00B71518"/>
    <w:rsid w:val="00B71969"/>
    <w:rsid w:val="00B7211A"/>
    <w:rsid w:val="00B752BA"/>
    <w:rsid w:val="00B82BBB"/>
    <w:rsid w:val="00B8739A"/>
    <w:rsid w:val="00B87BAF"/>
    <w:rsid w:val="00B940D4"/>
    <w:rsid w:val="00B960F9"/>
    <w:rsid w:val="00BA167A"/>
    <w:rsid w:val="00BA4075"/>
    <w:rsid w:val="00BA7838"/>
    <w:rsid w:val="00BB268B"/>
    <w:rsid w:val="00BB5574"/>
    <w:rsid w:val="00BB6FB9"/>
    <w:rsid w:val="00BC2EC6"/>
    <w:rsid w:val="00BC6223"/>
    <w:rsid w:val="00BC6713"/>
    <w:rsid w:val="00BC7BD8"/>
    <w:rsid w:val="00BC7D65"/>
    <w:rsid w:val="00BD0DDB"/>
    <w:rsid w:val="00BD0F12"/>
    <w:rsid w:val="00BD2CD2"/>
    <w:rsid w:val="00BE2284"/>
    <w:rsid w:val="00BE59C1"/>
    <w:rsid w:val="00C0216A"/>
    <w:rsid w:val="00C11868"/>
    <w:rsid w:val="00C15722"/>
    <w:rsid w:val="00C1756B"/>
    <w:rsid w:val="00C17F46"/>
    <w:rsid w:val="00C21C5E"/>
    <w:rsid w:val="00C2219E"/>
    <w:rsid w:val="00C23C42"/>
    <w:rsid w:val="00C25019"/>
    <w:rsid w:val="00C26BC4"/>
    <w:rsid w:val="00C305B8"/>
    <w:rsid w:val="00C3580A"/>
    <w:rsid w:val="00C37C0D"/>
    <w:rsid w:val="00C4158A"/>
    <w:rsid w:val="00C41BCF"/>
    <w:rsid w:val="00C44C90"/>
    <w:rsid w:val="00C463EF"/>
    <w:rsid w:val="00C47DC2"/>
    <w:rsid w:val="00C52678"/>
    <w:rsid w:val="00C54C68"/>
    <w:rsid w:val="00C55212"/>
    <w:rsid w:val="00C56DFA"/>
    <w:rsid w:val="00C57499"/>
    <w:rsid w:val="00C639C3"/>
    <w:rsid w:val="00C70552"/>
    <w:rsid w:val="00C715AF"/>
    <w:rsid w:val="00C72B2A"/>
    <w:rsid w:val="00C73297"/>
    <w:rsid w:val="00C74D4A"/>
    <w:rsid w:val="00C76158"/>
    <w:rsid w:val="00C801B1"/>
    <w:rsid w:val="00C95B64"/>
    <w:rsid w:val="00C95CC5"/>
    <w:rsid w:val="00C965FB"/>
    <w:rsid w:val="00C97F88"/>
    <w:rsid w:val="00CA05D9"/>
    <w:rsid w:val="00CA1776"/>
    <w:rsid w:val="00CA402F"/>
    <w:rsid w:val="00CB18DC"/>
    <w:rsid w:val="00CB4E03"/>
    <w:rsid w:val="00CB65CF"/>
    <w:rsid w:val="00CC2045"/>
    <w:rsid w:val="00CC307B"/>
    <w:rsid w:val="00CC4FD0"/>
    <w:rsid w:val="00CC512D"/>
    <w:rsid w:val="00CD185C"/>
    <w:rsid w:val="00CD713C"/>
    <w:rsid w:val="00CD7440"/>
    <w:rsid w:val="00CE4DF2"/>
    <w:rsid w:val="00CF3238"/>
    <w:rsid w:val="00CF4D5B"/>
    <w:rsid w:val="00D0037D"/>
    <w:rsid w:val="00D006C5"/>
    <w:rsid w:val="00D02F3E"/>
    <w:rsid w:val="00D06C02"/>
    <w:rsid w:val="00D07B86"/>
    <w:rsid w:val="00D10439"/>
    <w:rsid w:val="00D12BEF"/>
    <w:rsid w:val="00D15F36"/>
    <w:rsid w:val="00D2157D"/>
    <w:rsid w:val="00D2393C"/>
    <w:rsid w:val="00D250A1"/>
    <w:rsid w:val="00D32D30"/>
    <w:rsid w:val="00D33205"/>
    <w:rsid w:val="00D34D5C"/>
    <w:rsid w:val="00D36891"/>
    <w:rsid w:val="00D46A1A"/>
    <w:rsid w:val="00D508C4"/>
    <w:rsid w:val="00D5156F"/>
    <w:rsid w:val="00D51F20"/>
    <w:rsid w:val="00D55BBD"/>
    <w:rsid w:val="00D565EA"/>
    <w:rsid w:val="00D57557"/>
    <w:rsid w:val="00D61EA3"/>
    <w:rsid w:val="00D6666D"/>
    <w:rsid w:val="00D66D8F"/>
    <w:rsid w:val="00D706F4"/>
    <w:rsid w:val="00D733A1"/>
    <w:rsid w:val="00D74F5C"/>
    <w:rsid w:val="00D763C2"/>
    <w:rsid w:val="00D77028"/>
    <w:rsid w:val="00D8180B"/>
    <w:rsid w:val="00D9079E"/>
    <w:rsid w:val="00D91B74"/>
    <w:rsid w:val="00D92B26"/>
    <w:rsid w:val="00D93AD6"/>
    <w:rsid w:val="00D94426"/>
    <w:rsid w:val="00D95958"/>
    <w:rsid w:val="00DA2DF1"/>
    <w:rsid w:val="00DA3C4B"/>
    <w:rsid w:val="00DB60D4"/>
    <w:rsid w:val="00DB7349"/>
    <w:rsid w:val="00DB73C3"/>
    <w:rsid w:val="00DC1F02"/>
    <w:rsid w:val="00DD0A72"/>
    <w:rsid w:val="00DD10A4"/>
    <w:rsid w:val="00DD10EF"/>
    <w:rsid w:val="00DD5993"/>
    <w:rsid w:val="00DD60BD"/>
    <w:rsid w:val="00DE4111"/>
    <w:rsid w:val="00DE5326"/>
    <w:rsid w:val="00DF6BC3"/>
    <w:rsid w:val="00E02E75"/>
    <w:rsid w:val="00E052ED"/>
    <w:rsid w:val="00E060C3"/>
    <w:rsid w:val="00E10013"/>
    <w:rsid w:val="00E104F0"/>
    <w:rsid w:val="00E10C1C"/>
    <w:rsid w:val="00E1158F"/>
    <w:rsid w:val="00E1239B"/>
    <w:rsid w:val="00E14B4D"/>
    <w:rsid w:val="00E15387"/>
    <w:rsid w:val="00E20DCE"/>
    <w:rsid w:val="00E21F01"/>
    <w:rsid w:val="00E33C78"/>
    <w:rsid w:val="00E35197"/>
    <w:rsid w:val="00E3521A"/>
    <w:rsid w:val="00E35513"/>
    <w:rsid w:val="00E370C3"/>
    <w:rsid w:val="00E378A2"/>
    <w:rsid w:val="00E4692B"/>
    <w:rsid w:val="00E46F11"/>
    <w:rsid w:val="00E5475D"/>
    <w:rsid w:val="00E5709D"/>
    <w:rsid w:val="00E6025B"/>
    <w:rsid w:val="00E603AA"/>
    <w:rsid w:val="00E62058"/>
    <w:rsid w:val="00E62CDC"/>
    <w:rsid w:val="00E744B1"/>
    <w:rsid w:val="00E757BC"/>
    <w:rsid w:val="00E76E1F"/>
    <w:rsid w:val="00E90215"/>
    <w:rsid w:val="00E916B7"/>
    <w:rsid w:val="00E9323F"/>
    <w:rsid w:val="00E94987"/>
    <w:rsid w:val="00E97D4A"/>
    <w:rsid w:val="00EA04B0"/>
    <w:rsid w:val="00EA2DBA"/>
    <w:rsid w:val="00EA649E"/>
    <w:rsid w:val="00EB025F"/>
    <w:rsid w:val="00EB0D8F"/>
    <w:rsid w:val="00EB1895"/>
    <w:rsid w:val="00EB34A7"/>
    <w:rsid w:val="00EB5F8D"/>
    <w:rsid w:val="00EB7BAE"/>
    <w:rsid w:val="00EC3F21"/>
    <w:rsid w:val="00ED019C"/>
    <w:rsid w:val="00ED27A3"/>
    <w:rsid w:val="00ED4D9B"/>
    <w:rsid w:val="00ED6D5C"/>
    <w:rsid w:val="00EE0B6D"/>
    <w:rsid w:val="00EE1F9E"/>
    <w:rsid w:val="00EE2AD9"/>
    <w:rsid w:val="00EE7FD1"/>
    <w:rsid w:val="00EF5191"/>
    <w:rsid w:val="00EF6C89"/>
    <w:rsid w:val="00EF6C97"/>
    <w:rsid w:val="00F0043A"/>
    <w:rsid w:val="00F027D7"/>
    <w:rsid w:val="00F07221"/>
    <w:rsid w:val="00F109A5"/>
    <w:rsid w:val="00F12F63"/>
    <w:rsid w:val="00F21700"/>
    <w:rsid w:val="00F26BE7"/>
    <w:rsid w:val="00F319B2"/>
    <w:rsid w:val="00F33242"/>
    <w:rsid w:val="00F37223"/>
    <w:rsid w:val="00F37660"/>
    <w:rsid w:val="00F4007D"/>
    <w:rsid w:val="00F47FE5"/>
    <w:rsid w:val="00F539C2"/>
    <w:rsid w:val="00F624A5"/>
    <w:rsid w:val="00F65B7A"/>
    <w:rsid w:val="00F676CC"/>
    <w:rsid w:val="00F67960"/>
    <w:rsid w:val="00F75CE8"/>
    <w:rsid w:val="00F75FA8"/>
    <w:rsid w:val="00F760BB"/>
    <w:rsid w:val="00F8210D"/>
    <w:rsid w:val="00F83F8B"/>
    <w:rsid w:val="00F86463"/>
    <w:rsid w:val="00F90866"/>
    <w:rsid w:val="00F90A1A"/>
    <w:rsid w:val="00F94992"/>
    <w:rsid w:val="00F94AE8"/>
    <w:rsid w:val="00F955FB"/>
    <w:rsid w:val="00F95CD7"/>
    <w:rsid w:val="00F9662B"/>
    <w:rsid w:val="00FA14D2"/>
    <w:rsid w:val="00FB097D"/>
    <w:rsid w:val="00FB2D56"/>
    <w:rsid w:val="00FB2D65"/>
    <w:rsid w:val="00FB494D"/>
    <w:rsid w:val="00FB6BDC"/>
    <w:rsid w:val="00FC3612"/>
    <w:rsid w:val="00FD6A22"/>
    <w:rsid w:val="00FE0A8A"/>
    <w:rsid w:val="00FE11B7"/>
    <w:rsid w:val="00FE1482"/>
    <w:rsid w:val="00FE53C2"/>
    <w:rsid w:val="00FF0B7A"/>
    <w:rsid w:val="00FF1940"/>
    <w:rsid w:val="00FF29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4062847"/>
  <w15:chartTrackingRefBased/>
  <w15:docId w15:val="{31A10656-B2A2-47CA-A259-24725B85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2"/>
    <w:lsdException w:name="footer" w:uiPriority="2"/>
    <w:lsdException w:name="caption" w:semiHidden="1" w:unhideWhenUsed="1" w:qFormat="1"/>
    <w:lsdException w:name="footnote reference" w:uiPriority="99" w:qFormat="1"/>
    <w:lsdException w:name="annotation reference" w:uiPriority="99"/>
    <w:lsdException w:name="macro" w:uiPriority="1" w:qFormat="1"/>
    <w:lsdException w:name="List Bullet" w:uiPriority="1"/>
    <w:lsdException w:name="List Number" w:uiPriority="1"/>
    <w:lsdException w:name="List Bullet 2" w:uiPriority="1"/>
    <w:lsdException w:name="List Bullet 3" w:uiPriority="1"/>
    <w:lsdException w:name="List Bullet 4" w:uiPriority="1"/>
    <w:lsdException w:name="List Number 2" w:uiPriority="1"/>
    <w:lsdException w:name="List Number 3" w:uiPriority="1"/>
    <w:lsdException w:name="List Number 4" w:uiPriority="1"/>
    <w:lsdException w:name="Title" w:uiPriority="1" w:qFormat="1"/>
    <w:lsdException w:name="Signature" w:uiPriority="2"/>
    <w:lsdException w:name="Subtitle" w:qFormat="1"/>
    <w:lsdException w:name="Date" w:uiPriority="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AB"/>
    <w:pPr>
      <w:spacing w:before="120" w:after="120"/>
      <w:jc w:val="both"/>
    </w:pPr>
    <w:rPr>
      <w:sz w:val="24"/>
    </w:rPr>
  </w:style>
  <w:style w:type="paragraph" w:styleId="Heading1">
    <w:name w:val="heading 1"/>
    <w:basedOn w:val="Normal"/>
    <w:next w:val="Normal"/>
    <w:uiPriority w:val="1"/>
    <w:qFormat/>
    <w:rsid w:val="005643CD"/>
    <w:pPr>
      <w:keepNext/>
      <w:numPr>
        <w:numId w:val="7"/>
      </w:numPr>
      <w:spacing w:before="360"/>
      <w:outlineLvl w:val="0"/>
    </w:pPr>
    <w:rPr>
      <w:b/>
      <w:smallCaps/>
    </w:rPr>
  </w:style>
  <w:style w:type="paragraph" w:styleId="Heading2">
    <w:name w:val="heading 2"/>
    <w:basedOn w:val="Normal"/>
    <w:next w:val="Normal"/>
    <w:uiPriority w:val="1"/>
    <w:qFormat/>
    <w:rsid w:val="005643CD"/>
    <w:pPr>
      <w:keepNext/>
      <w:numPr>
        <w:ilvl w:val="1"/>
        <w:numId w:val="7"/>
      </w:numPr>
      <w:outlineLvl w:val="1"/>
    </w:pPr>
    <w:rPr>
      <w:b/>
    </w:rPr>
  </w:style>
  <w:style w:type="paragraph" w:styleId="Heading3">
    <w:name w:val="heading 3"/>
    <w:basedOn w:val="Normal"/>
    <w:next w:val="Normal"/>
    <w:uiPriority w:val="1"/>
    <w:qFormat/>
    <w:rsid w:val="005643CD"/>
    <w:pPr>
      <w:keepNext/>
      <w:numPr>
        <w:ilvl w:val="2"/>
        <w:numId w:val="7"/>
      </w:numPr>
      <w:outlineLvl w:val="2"/>
    </w:pPr>
    <w:rPr>
      <w:i/>
    </w:rPr>
  </w:style>
  <w:style w:type="paragraph" w:styleId="Heading4">
    <w:name w:val="heading 4"/>
    <w:basedOn w:val="Normal"/>
    <w:next w:val="Normal"/>
    <w:uiPriority w:val="1"/>
    <w:qFormat/>
    <w:rsid w:val="005643CD"/>
    <w:pPr>
      <w:keepNext/>
      <w:numPr>
        <w:ilvl w:val="3"/>
        <w:numId w:val="7"/>
      </w:numPr>
      <w:outlineLvl w:val="3"/>
    </w:pPr>
  </w:style>
  <w:style w:type="paragraph" w:styleId="Heading5">
    <w:name w:val="heading 5"/>
    <w:basedOn w:val="Normal"/>
    <w:next w:val="Normal"/>
    <w:link w:val="Heading5Char"/>
    <w:semiHidden/>
    <w:rsid w:val="00517B47"/>
    <w:pPr>
      <w:keepNext/>
      <w:tabs>
        <w:tab w:val="num" w:pos="2880"/>
      </w:tabs>
      <w:spacing w:before="0" w:after="240"/>
      <w:ind w:left="3838" w:hanging="958"/>
      <w:outlineLvl w:val="4"/>
    </w:pPr>
  </w:style>
  <w:style w:type="paragraph" w:styleId="Heading6">
    <w:name w:val="heading 6"/>
    <w:basedOn w:val="Normal"/>
    <w:next w:val="Normal"/>
    <w:link w:val="Heading6Char"/>
    <w:semiHidden/>
    <w:rsid w:val="00517B47"/>
    <w:pPr>
      <w:keepNext/>
      <w:tabs>
        <w:tab w:val="num" w:pos="2880"/>
      </w:tabs>
      <w:spacing w:before="0" w:after="240"/>
      <w:ind w:left="3838" w:hanging="958"/>
      <w:outlineLvl w:val="5"/>
    </w:pPr>
  </w:style>
  <w:style w:type="paragraph" w:styleId="Heading7">
    <w:name w:val="heading 7"/>
    <w:basedOn w:val="Normal"/>
    <w:next w:val="Normal"/>
    <w:link w:val="Heading7Char"/>
    <w:semiHidden/>
    <w:rsid w:val="00517B47"/>
    <w:pPr>
      <w:keepNext/>
      <w:tabs>
        <w:tab w:val="num" w:pos="2880"/>
      </w:tabs>
      <w:spacing w:before="0" w:after="240"/>
      <w:ind w:left="3838" w:hanging="958"/>
      <w:outlineLvl w:val="6"/>
    </w:pPr>
  </w:style>
  <w:style w:type="paragraph" w:styleId="Heading8">
    <w:name w:val="heading 8"/>
    <w:basedOn w:val="Normal"/>
    <w:next w:val="Normal"/>
    <w:link w:val="Heading8Char"/>
    <w:semiHidden/>
    <w:rsid w:val="00517B47"/>
    <w:pPr>
      <w:keepNext/>
      <w:tabs>
        <w:tab w:val="num" w:pos="2880"/>
      </w:tabs>
      <w:spacing w:before="0" w:after="240"/>
      <w:ind w:left="3838" w:hanging="958"/>
      <w:outlineLvl w:val="7"/>
    </w:pPr>
  </w:style>
  <w:style w:type="paragraph" w:styleId="Heading9">
    <w:name w:val="heading 9"/>
    <w:basedOn w:val="Normal"/>
    <w:next w:val="Normal"/>
    <w:link w:val="Heading9Char"/>
    <w:semiHidden/>
    <w:rsid w:val="00517B47"/>
    <w:pPr>
      <w:keepNext/>
      <w:tabs>
        <w:tab w:val="num" w:pos="2880"/>
      </w:tabs>
      <w:spacing w:before="0" w:after="240"/>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basedOn w:val="DefaultParagraphFont"/>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uiPriority w:val="1"/>
    <w:qFormat/>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basedOn w:val="DefaultParagraphFont"/>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uiPriority w:val="2"/>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FootnotesymbolChar"/>
    <w:uiPriority w:val="99"/>
    <w:qFormat/>
    <w:rsid w:val="005643CD"/>
    <w:rPr>
      <w:shd w:val="clear" w:color="auto" w:fill="auto"/>
      <w:vertAlign w:val="superscript"/>
    </w:rPr>
  </w:style>
  <w:style w:type="paragraph" w:styleId="FootnoteText">
    <w:name w:val="footnote text"/>
    <w:basedOn w:val="Normal"/>
    <w:uiPriority w:val="99"/>
    <w:qFormat/>
    <w:rsid w:val="005643CD"/>
    <w:pPr>
      <w:spacing w:before="0" w:after="0"/>
      <w:ind w:left="720" w:hanging="720"/>
    </w:pPr>
    <w:rPr>
      <w:sz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2"/>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basedOn w:val="DefaultParagraphFont"/>
    <w:rsid w:val="005643CD"/>
    <w:rPr>
      <w:color w:val="0000FF"/>
      <w:shd w:val="clear" w:color="auto" w:fill="auto"/>
    </w:rPr>
  </w:style>
  <w:style w:type="character" w:customStyle="1" w:styleId="Marker1">
    <w:name w:val="Marker1"/>
    <w:basedOn w:val="DefaultParagraphFont"/>
    <w:rsid w:val="005643CD"/>
    <w:rPr>
      <w:color w:val="008000"/>
      <w:shd w:val="clear" w:color="auto" w:fill="auto"/>
    </w:rPr>
  </w:style>
  <w:style w:type="character" w:customStyle="1" w:styleId="Marker2">
    <w:name w:val="Marker2"/>
    <w:basedOn w:val="DefaultParagraphFont"/>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uiPriority w:val="1"/>
    <w:qFormat/>
    <w:rsid w:val="005643CD"/>
    <w:pPr>
      <w:numPr>
        <w:numId w:val="8"/>
      </w:numPr>
    </w:pPr>
  </w:style>
  <w:style w:type="paragraph" w:customStyle="1" w:styleId="NumPar2">
    <w:name w:val="NumPar 2"/>
    <w:basedOn w:val="Normal"/>
    <w:next w:val="Normal"/>
    <w:uiPriority w:val="1"/>
    <w:qFormat/>
    <w:rsid w:val="005643CD"/>
    <w:pPr>
      <w:numPr>
        <w:ilvl w:val="1"/>
        <w:numId w:val="8"/>
      </w:numPr>
    </w:pPr>
  </w:style>
  <w:style w:type="paragraph" w:customStyle="1" w:styleId="NumPar3">
    <w:name w:val="NumPar 3"/>
    <w:basedOn w:val="Normal"/>
    <w:next w:val="Normal"/>
    <w:uiPriority w:val="1"/>
    <w:qFormat/>
    <w:rsid w:val="005643CD"/>
    <w:pPr>
      <w:numPr>
        <w:ilvl w:val="2"/>
        <w:numId w:val="8"/>
      </w:numPr>
    </w:pPr>
  </w:style>
  <w:style w:type="paragraph" w:customStyle="1" w:styleId="NumPar4">
    <w:name w:val="NumPar 4"/>
    <w:basedOn w:val="Normal"/>
    <w:next w:val="Normal"/>
    <w:uiPriority w:val="1"/>
    <w:qFormat/>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uiPriority w:val="1"/>
    <w:qFormat/>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uiPriority w:val="1"/>
    <w:qFormat/>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uiPriority w:val="1"/>
    <w:rsid w:val="005643CD"/>
    <w:pPr>
      <w:jc w:val="center"/>
    </w:pPr>
    <w:rPr>
      <w:b/>
    </w:rPr>
  </w:style>
  <w:style w:type="paragraph" w:customStyle="1" w:styleId="Text1">
    <w:name w:val="Text 1"/>
    <w:basedOn w:val="Normal"/>
    <w:uiPriority w:val="1"/>
    <w:qFormat/>
    <w:rsid w:val="005643CD"/>
    <w:pPr>
      <w:ind w:left="850"/>
    </w:pPr>
  </w:style>
  <w:style w:type="paragraph" w:customStyle="1" w:styleId="Text2">
    <w:name w:val="Text 2"/>
    <w:basedOn w:val="Normal"/>
    <w:uiPriority w:val="1"/>
    <w:qFormat/>
    <w:rsid w:val="005643CD"/>
    <w:pPr>
      <w:ind w:left="1417"/>
    </w:pPr>
  </w:style>
  <w:style w:type="paragraph" w:customStyle="1" w:styleId="Text3">
    <w:name w:val="Text 3"/>
    <w:basedOn w:val="Normal"/>
    <w:uiPriority w:val="1"/>
    <w:qFormat/>
    <w:rsid w:val="005643CD"/>
    <w:pPr>
      <w:ind w:left="1984"/>
    </w:pPr>
  </w:style>
  <w:style w:type="paragraph" w:customStyle="1" w:styleId="Text4">
    <w:name w:val="Text 4"/>
    <w:basedOn w:val="Normal"/>
    <w:uiPriority w:val="1"/>
    <w:qFormat/>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semiHidden/>
    <w:rsid w:val="005643CD"/>
    <w:pPr>
      <w:tabs>
        <w:tab w:val="right" w:leader="dot" w:pos="9071"/>
      </w:tabs>
      <w:spacing w:before="60"/>
      <w:ind w:left="850" w:hanging="850"/>
      <w:jc w:val="left"/>
    </w:pPr>
  </w:style>
  <w:style w:type="paragraph" w:styleId="TOC2">
    <w:name w:val="toc 2"/>
    <w:basedOn w:val="Normal"/>
    <w:next w:val="Normal"/>
    <w:semiHidden/>
    <w:rsid w:val="005643CD"/>
    <w:pPr>
      <w:tabs>
        <w:tab w:val="right" w:leader="dot" w:pos="9071"/>
      </w:tabs>
      <w:spacing w:before="60"/>
      <w:ind w:left="850" w:hanging="850"/>
      <w:jc w:val="left"/>
    </w:pPr>
  </w:style>
  <w:style w:type="paragraph" w:styleId="TOC3">
    <w:name w:val="toc 3"/>
    <w:basedOn w:val="Normal"/>
    <w:next w:val="Normal"/>
    <w:semiHidden/>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basedOn w:val="DefaultParagraphFont"/>
    <w:link w:val="Heading5"/>
    <w:semiHidden/>
    <w:rsid w:val="00517B47"/>
    <w:rPr>
      <w:sz w:val="24"/>
    </w:rPr>
  </w:style>
  <w:style w:type="character" w:customStyle="1" w:styleId="Heading6Char">
    <w:name w:val="Heading 6 Char"/>
    <w:basedOn w:val="DefaultParagraphFont"/>
    <w:link w:val="Heading6"/>
    <w:semiHidden/>
    <w:rsid w:val="00517B47"/>
    <w:rPr>
      <w:sz w:val="24"/>
    </w:rPr>
  </w:style>
  <w:style w:type="character" w:customStyle="1" w:styleId="Heading7Char">
    <w:name w:val="Heading 7 Char"/>
    <w:basedOn w:val="DefaultParagraphFont"/>
    <w:link w:val="Heading7"/>
    <w:semiHidden/>
    <w:rsid w:val="00517B47"/>
    <w:rPr>
      <w:sz w:val="24"/>
    </w:rPr>
  </w:style>
  <w:style w:type="character" w:customStyle="1" w:styleId="Heading8Char">
    <w:name w:val="Heading 8 Char"/>
    <w:basedOn w:val="DefaultParagraphFont"/>
    <w:link w:val="Heading8"/>
    <w:semiHidden/>
    <w:rsid w:val="00517B47"/>
    <w:rPr>
      <w:sz w:val="24"/>
    </w:rPr>
  </w:style>
  <w:style w:type="character" w:customStyle="1" w:styleId="Heading9Char">
    <w:name w:val="Heading 9 Char"/>
    <w:basedOn w:val="DefaultParagraphFont"/>
    <w:link w:val="Heading9"/>
    <w:semiHidden/>
    <w:rsid w:val="00517B47"/>
    <w:rPr>
      <w:sz w:val="24"/>
    </w:rPr>
  </w:style>
  <w:style w:type="paragraph" w:styleId="ListParagraph">
    <w:name w:val="List Paragraph"/>
    <w:basedOn w:val="Normal"/>
    <w:link w:val="ListParagraphChar"/>
    <w:uiPriority w:val="34"/>
    <w:qFormat/>
    <w:rsid w:val="00517B47"/>
    <w:pPr>
      <w:spacing w:before="0" w:after="160" w:line="259" w:lineRule="auto"/>
      <w:ind w:left="720"/>
      <w:contextualSpacing/>
      <w:jc w:val="left"/>
    </w:pPr>
    <w:rPr>
      <w:rFonts w:ascii="Calibri" w:eastAsia="Calibri" w:hAnsi="Calibri"/>
      <w:sz w:val="22"/>
    </w:rPr>
  </w:style>
  <w:style w:type="character" w:customStyle="1" w:styleId="FootnoteTextChar">
    <w:name w:val="Footnote Text Char"/>
    <w:uiPriority w:val="99"/>
    <w:rsid w:val="00517B47"/>
    <w:rPr>
      <w:sz w:val="20"/>
    </w:rPr>
  </w:style>
  <w:style w:type="character" w:styleId="Hyperlink">
    <w:name w:val="Hyperlink"/>
    <w:rsid w:val="00517B47"/>
    <w:rPr>
      <w:color w:val="0563C1"/>
      <w:u w:val="single"/>
    </w:rPr>
  </w:style>
  <w:style w:type="paragraph" w:styleId="BalloonText">
    <w:name w:val="Balloon Text"/>
    <w:basedOn w:val="Normal"/>
    <w:link w:val="BalloonTextChar"/>
    <w:rsid w:val="00517B47"/>
    <w:pPr>
      <w:spacing w:before="0" w:after="0"/>
      <w:jc w:val="left"/>
    </w:pPr>
    <w:rPr>
      <w:rFonts w:ascii="Segoe UI" w:eastAsia="Calibri" w:hAnsi="Segoe UI" w:cs="Segoe UI"/>
      <w:sz w:val="18"/>
    </w:rPr>
  </w:style>
  <w:style w:type="character" w:customStyle="1" w:styleId="BalloonTextChar">
    <w:name w:val="Balloon Text Char"/>
    <w:basedOn w:val="DefaultParagraphFont"/>
    <w:link w:val="BalloonText"/>
    <w:rsid w:val="00517B47"/>
    <w:rPr>
      <w:rFonts w:ascii="Segoe UI" w:eastAsia="Calibri" w:hAnsi="Segoe UI" w:cs="Segoe UI"/>
      <w:sz w:val="18"/>
    </w:rPr>
  </w:style>
  <w:style w:type="character" w:customStyle="1" w:styleId="FooterChar">
    <w:name w:val="Footer Char"/>
    <w:rsid w:val="00517B47"/>
    <w:rPr>
      <w:sz w:val="16"/>
    </w:rPr>
  </w:style>
  <w:style w:type="character" w:styleId="CommentReference">
    <w:name w:val="annotation reference"/>
    <w:uiPriority w:val="99"/>
    <w:rsid w:val="00517B47"/>
    <w:rPr>
      <w:sz w:val="16"/>
    </w:rPr>
  </w:style>
  <w:style w:type="paragraph" w:styleId="CommentText">
    <w:name w:val="annotation text"/>
    <w:basedOn w:val="Normal"/>
    <w:link w:val="CommentTextChar"/>
    <w:uiPriority w:val="99"/>
    <w:rsid w:val="00517B47"/>
    <w:pPr>
      <w:spacing w:before="0" w:after="160"/>
      <w:jc w:val="left"/>
    </w:pPr>
    <w:rPr>
      <w:rFonts w:ascii="Calibri" w:eastAsia="Calibri" w:hAnsi="Calibri"/>
      <w:sz w:val="20"/>
    </w:rPr>
  </w:style>
  <w:style w:type="character" w:customStyle="1" w:styleId="CommentTextChar">
    <w:name w:val="Comment Text Char"/>
    <w:basedOn w:val="DefaultParagraphFont"/>
    <w:link w:val="CommentText"/>
    <w:uiPriority w:val="99"/>
    <w:rsid w:val="00517B47"/>
    <w:rPr>
      <w:rFonts w:ascii="Calibri" w:eastAsia="Calibri" w:hAnsi="Calibri"/>
    </w:rPr>
  </w:style>
  <w:style w:type="paragraph" w:styleId="CommentSubject">
    <w:name w:val="annotation subject"/>
    <w:basedOn w:val="CommentText"/>
    <w:next w:val="CommentText"/>
    <w:link w:val="CommentSubjectChar"/>
    <w:rsid w:val="00517B47"/>
    <w:rPr>
      <w:b/>
    </w:rPr>
  </w:style>
  <w:style w:type="character" w:customStyle="1" w:styleId="CommentSubjectChar">
    <w:name w:val="Comment Subject Char"/>
    <w:basedOn w:val="CommentTextChar"/>
    <w:link w:val="CommentSubject"/>
    <w:rsid w:val="00517B47"/>
    <w:rPr>
      <w:rFonts w:ascii="Calibri" w:eastAsia="Calibri" w:hAnsi="Calibri"/>
      <w:b/>
    </w:rPr>
  </w:style>
  <w:style w:type="character" w:styleId="FollowedHyperlink">
    <w:name w:val="FollowedHyperlink"/>
    <w:rsid w:val="00517B47"/>
    <w:rPr>
      <w:color w:val="954F72"/>
      <w:u w:val="single"/>
    </w:rPr>
  </w:style>
  <w:style w:type="table" w:customStyle="1" w:styleId="TableGrid1">
    <w:name w:val="Table Grid1"/>
    <w:basedOn w:val="TableNormal"/>
    <w:next w:val="TableGrid"/>
    <w:rsid w:val="00517B4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rsid w:val="00517B47"/>
    <w:rPr>
      <w:rFonts w:ascii="Calibri" w:eastAsia="Calibri" w:hAnsi="Calibri"/>
      <w:sz w:val="22"/>
    </w:rPr>
  </w:style>
  <w:style w:type="character" w:styleId="Strong">
    <w:name w:val="Strong"/>
    <w:qFormat/>
    <w:rsid w:val="00517B47"/>
    <w:rPr>
      <w:b/>
    </w:rPr>
  </w:style>
  <w:style w:type="character" w:customStyle="1" w:styleId="Mention1">
    <w:name w:val="Mention1"/>
    <w:rsid w:val="00517B47"/>
    <w:rPr>
      <w:color w:val="2B579A"/>
      <w:shd w:val="clear" w:color="auto" w:fill="E6E6E6"/>
    </w:rPr>
  </w:style>
  <w:style w:type="character" w:customStyle="1" w:styleId="normaltextrun">
    <w:name w:val="normaltextrun"/>
    <w:basedOn w:val="DefaultParagraphFont"/>
    <w:rsid w:val="00517B47"/>
  </w:style>
  <w:style w:type="character" w:customStyle="1" w:styleId="Heading2Char">
    <w:name w:val="Heading 2 Char"/>
    <w:rsid w:val="00517B47"/>
    <w:rPr>
      <w:b/>
    </w:rPr>
  </w:style>
  <w:style w:type="paragraph" w:customStyle="1" w:styleId="FooterCoverPage">
    <w:name w:val="Footer Cover Page"/>
    <w:basedOn w:val="Normal"/>
    <w:link w:val="FooterCoverPageChar"/>
    <w:rsid w:val="00517B47"/>
    <w:pPr>
      <w:keepNext/>
      <w:tabs>
        <w:tab w:val="center" w:pos="4535"/>
        <w:tab w:val="right" w:pos="9071"/>
        <w:tab w:val="right" w:pos="9921"/>
      </w:tabs>
      <w:spacing w:before="360" w:after="0"/>
      <w:ind w:left="-850" w:right="-850" w:hanging="360"/>
      <w:jc w:val="left"/>
      <w:outlineLvl w:val="0"/>
    </w:pPr>
  </w:style>
  <w:style w:type="character" w:customStyle="1" w:styleId="ListParagraphChar">
    <w:name w:val="List Paragraph Char"/>
    <w:link w:val="ListParagraph"/>
    <w:uiPriority w:val="34"/>
    <w:rsid w:val="00517B47"/>
    <w:rPr>
      <w:rFonts w:ascii="Calibri" w:eastAsia="Calibri" w:hAnsi="Calibri"/>
      <w:sz w:val="22"/>
    </w:rPr>
  </w:style>
  <w:style w:type="character" w:customStyle="1" w:styleId="FooterCoverPageChar">
    <w:name w:val="Footer Cover Page Char"/>
    <w:link w:val="FooterCoverPage"/>
    <w:rsid w:val="00517B47"/>
    <w:rPr>
      <w:sz w:val="24"/>
    </w:rPr>
  </w:style>
  <w:style w:type="paragraph" w:customStyle="1" w:styleId="FooterSensitivity">
    <w:name w:val="Footer Sensitivity"/>
    <w:basedOn w:val="Normal"/>
    <w:link w:val="FooterSensitivityChar"/>
    <w:rsid w:val="00517B47"/>
    <w:pPr>
      <w:keepNext/>
      <w:pBdr>
        <w:top w:val="single" w:sz="4" w:space="1" w:color="auto"/>
        <w:left w:val="single" w:sz="4" w:space="4" w:color="auto"/>
        <w:bottom w:val="single" w:sz="4" w:space="1" w:color="auto"/>
        <w:right w:val="single" w:sz="4" w:space="4" w:color="auto"/>
      </w:pBdr>
      <w:spacing w:before="360" w:after="0"/>
      <w:ind w:left="113" w:right="113" w:hanging="360"/>
      <w:jc w:val="center"/>
      <w:outlineLvl w:val="0"/>
    </w:pPr>
    <w:rPr>
      <w:b/>
      <w:sz w:val="32"/>
    </w:rPr>
  </w:style>
  <w:style w:type="character" w:customStyle="1" w:styleId="FooterSensitivityChar">
    <w:name w:val="Footer Sensitivity Char"/>
    <w:link w:val="FooterSensitivity"/>
    <w:rsid w:val="00517B47"/>
    <w:rPr>
      <w:b/>
      <w:sz w:val="32"/>
    </w:rPr>
  </w:style>
  <w:style w:type="paragraph" w:customStyle="1" w:styleId="HeaderCoverPage">
    <w:name w:val="Header Cover Page"/>
    <w:basedOn w:val="Normal"/>
    <w:link w:val="HeaderCoverPageChar"/>
    <w:rsid w:val="00517B47"/>
    <w:pPr>
      <w:keepNext/>
      <w:tabs>
        <w:tab w:val="center" w:pos="4535"/>
        <w:tab w:val="right" w:pos="9071"/>
      </w:tabs>
      <w:spacing w:before="0"/>
      <w:ind w:hanging="360"/>
      <w:outlineLvl w:val="0"/>
    </w:pPr>
  </w:style>
  <w:style w:type="character" w:customStyle="1" w:styleId="HeaderCoverPageChar">
    <w:name w:val="Header Cover Page Char"/>
    <w:link w:val="HeaderCoverPage"/>
    <w:rsid w:val="00517B47"/>
    <w:rPr>
      <w:sz w:val="24"/>
    </w:rPr>
  </w:style>
  <w:style w:type="paragraph" w:customStyle="1" w:styleId="HeaderSensitivity">
    <w:name w:val="Header Sensitivity"/>
    <w:basedOn w:val="Normal"/>
    <w:link w:val="HeaderSensitivityChar"/>
    <w:rsid w:val="00517B47"/>
    <w:pPr>
      <w:keepNext/>
      <w:pBdr>
        <w:top w:val="single" w:sz="4" w:space="1" w:color="auto"/>
        <w:left w:val="single" w:sz="4" w:space="4" w:color="auto"/>
        <w:bottom w:val="single" w:sz="4" w:space="1" w:color="auto"/>
        <w:right w:val="single" w:sz="4" w:space="4" w:color="auto"/>
      </w:pBdr>
      <w:spacing w:before="0"/>
      <w:ind w:left="113" w:right="113" w:hanging="360"/>
      <w:jc w:val="center"/>
      <w:outlineLvl w:val="0"/>
    </w:pPr>
    <w:rPr>
      <w:b/>
      <w:sz w:val="32"/>
    </w:rPr>
  </w:style>
  <w:style w:type="character" w:customStyle="1" w:styleId="HeaderSensitivityChar">
    <w:name w:val="Header Sensitivity Char"/>
    <w:link w:val="HeaderSensitivity"/>
    <w:rsid w:val="00517B47"/>
    <w:rPr>
      <w:b/>
      <w:sz w:val="32"/>
    </w:rPr>
  </w:style>
  <w:style w:type="paragraph" w:customStyle="1" w:styleId="HeaderSensitivityRight">
    <w:name w:val="Header Sensitivity Right"/>
    <w:basedOn w:val="Normal"/>
    <w:link w:val="HeaderSensitivityRightChar"/>
    <w:rsid w:val="00517B47"/>
    <w:pPr>
      <w:keepNext/>
      <w:numPr>
        <w:numId w:val="15"/>
      </w:numPr>
      <w:spacing w:before="0"/>
      <w:ind w:left="0"/>
      <w:jc w:val="right"/>
      <w:outlineLvl w:val="0"/>
    </w:pPr>
    <w:rPr>
      <w:sz w:val="28"/>
    </w:rPr>
  </w:style>
  <w:style w:type="character" w:customStyle="1" w:styleId="HeaderSensitivityRightChar">
    <w:name w:val="Header Sensitivity Right Char"/>
    <w:link w:val="HeaderSensitivityRight"/>
    <w:rsid w:val="00517B47"/>
    <w:rPr>
      <w:sz w:val="28"/>
    </w:rPr>
  </w:style>
  <w:style w:type="character" w:customStyle="1" w:styleId="UnresolvedMention1">
    <w:name w:val="Unresolved Mention1"/>
    <w:locked/>
    <w:rsid w:val="00517B47"/>
    <w:rPr>
      <w:color w:val="605E5C"/>
      <w:shd w:val="clear" w:color="auto" w:fill="E1DFDD"/>
    </w:rPr>
  </w:style>
  <w:style w:type="character" w:customStyle="1" w:styleId="BodyPlaceholderText">
    <w:name w:val="BodyPlaceholderText"/>
    <w:basedOn w:val="PlaceholderText"/>
    <w:semiHidden/>
    <w:rsid w:val="00517B47"/>
    <w:rPr>
      <w:color w:val="3366CC"/>
    </w:rPr>
  </w:style>
  <w:style w:type="character" w:customStyle="1" w:styleId="CrossReference">
    <w:name w:val="Cross Reference"/>
    <w:basedOn w:val="DefaultParagraphFont"/>
    <w:uiPriority w:val="2"/>
    <w:rsid w:val="00517B47"/>
    <w:rPr>
      <w:i/>
    </w:rPr>
  </w:style>
  <w:style w:type="character" w:customStyle="1" w:styleId="InstructionBlue">
    <w:name w:val="InstructionBlue"/>
    <w:uiPriority w:val="1"/>
    <w:rsid w:val="00517B47"/>
    <w:rPr>
      <w:i/>
      <w:color w:val="3366CC"/>
    </w:rPr>
  </w:style>
  <w:style w:type="character" w:customStyle="1" w:styleId="InstructionPlaceholder">
    <w:name w:val="InstructionPlaceholder"/>
    <w:uiPriority w:val="1"/>
    <w:rsid w:val="00517B47"/>
    <w:rPr>
      <w:color w:val="CB3535"/>
    </w:rPr>
  </w:style>
  <w:style w:type="character" w:customStyle="1" w:styleId="InstructionRed">
    <w:name w:val="InstructionRed"/>
    <w:uiPriority w:val="1"/>
    <w:rsid w:val="00517B47"/>
    <w:rPr>
      <w:i/>
      <w:color w:val="CB3535"/>
    </w:rPr>
  </w:style>
  <w:style w:type="character" w:customStyle="1" w:styleId="MarkingLabel">
    <w:name w:val="MarkingLabel"/>
    <w:semiHidden/>
    <w:rsid w:val="00517B47"/>
    <w:rPr>
      <w:b/>
      <w:caps/>
      <w:sz w:val="28"/>
    </w:rPr>
  </w:style>
  <w:style w:type="character" w:customStyle="1" w:styleId="MarkingText">
    <w:name w:val="MarkingText"/>
    <w:semiHidden/>
    <w:rsid w:val="00517B47"/>
    <w:rPr>
      <w:i/>
      <w:sz w:val="28"/>
    </w:rPr>
  </w:style>
  <w:style w:type="character" w:styleId="PlaceholderText">
    <w:name w:val="Placeholder Text"/>
    <w:basedOn w:val="DefaultParagraphFont"/>
    <w:semiHidden/>
    <w:rsid w:val="00517B47"/>
    <w:rPr>
      <w:color w:val="288061"/>
    </w:rPr>
  </w:style>
  <w:style w:type="paragraph" w:customStyle="1" w:styleId="AfterTable">
    <w:name w:val="After Table"/>
    <w:semiHidden/>
    <w:rsid w:val="00517B47"/>
    <w:rPr>
      <w:sz w:val="4"/>
    </w:rPr>
  </w:style>
  <w:style w:type="paragraph" w:customStyle="1" w:styleId="AnnexTitle">
    <w:name w:val="AnnexTitle"/>
    <w:basedOn w:val="Normal"/>
    <w:next w:val="Normal"/>
    <w:uiPriority w:val="1"/>
    <w:qFormat/>
    <w:rsid w:val="00517B47"/>
    <w:pPr>
      <w:pageBreakBefore/>
      <w:numPr>
        <w:numId w:val="34"/>
      </w:numPr>
      <w:spacing w:before="0" w:after="480"/>
      <w:outlineLvl w:val="0"/>
    </w:pPr>
    <w:rPr>
      <w:b/>
      <w:sz w:val="32"/>
    </w:rPr>
  </w:style>
  <w:style w:type="paragraph" w:styleId="Caption">
    <w:name w:val="caption"/>
    <w:basedOn w:val="Normal"/>
    <w:next w:val="Normal"/>
    <w:semiHidden/>
    <w:rsid w:val="00517B47"/>
    <w:pPr>
      <w:spacing w:before="160" w:after="240"/>
    </w:pPr>
    <w:rPr>
      <w:i/>
      <w:sz w:val="22"/>
    </w:rPr>
  </w:style>
  <w:style w:type="paragraph" w:customStyle="1" w:styleId="ConfidentialUE">
    <w:name w:val="Confidential UE"/>
    <w:basedOn w:val="Normal"/>
    <w:semiHidden/>
    <w:rsid w:val="00517B47"/>
    <w:pPr>
      <w:spacing w:before="0" w:after="0"/>
      <w:jc w:val="center"/>
    </w:pPr>
    <w:rPr>
      <w:b/>
      <w:caps/>
      <w:sz w:val="32"/>
      <w:bdr w:val="single" w:sz="18" w:space="0" w:color="auto"/>
    </w:rPr>
  </w:style>
  <w:style w:type="paragraph" w:customStyle="1" w:styleId="Contact">
    <w:name w:val="Contact"/>
    <w:basedOn w:val="Normal"/>
    <w:uiPriority w:val="1"/>
    <w:rsid w:val="00517B47"/>
    <w:pPr>
      <w:spacing w:before="480" w:after="0"/>
      <w:ind w:left="567" w:hanging="567"/>
      <w:contextualSpacing/>
      <w:jc w:val="left"/>
    </w:pPr>
  </w:style>
  <w:style w:type="paragraph" w:customStyle="1" w:styleId="ContNum">
    <w:name w:val="ContNum"/>
    <w:basedOn w:val="Normal"/>
    <w:uiPriority w:val="1"/>
    <w:qFormat/>
    <w:rsid w:val="00517B47"/>
    <w:pPr>
      <w:numPr>
        <w:numId w:val="33"/>
      </w:numPr>
      <w:spacing w:before="0" w:after="240"/>
    </w:pPr>
  </w:style>
  <w:style w:type="paragraph" w:customStyle="1" w:styleId="ContNumLevel2">
    <w:name w:val="ContNum (Level 2)"/>
    <w:basedOn w:val="Normal"/>
    <w:uiPriority w:val="1"/>
    <w:rsid w:val="00517B47"/>
    <w:pPr>
      <w:numPr>
        <w:ilvl w:val="1"/>
        <w:numId w:val="33"/>
      </w:numPr>
      <w:spacing w:before="0" w:after="240"/>
    </w:pPr>
  </w:style>
  <w:style w:type="paragraph" w:customStyle="1" w:styleId="ContNumLevel3">
    <w:name w:val="ContNum (Level 3)"/>
    <w:basedOn w:val="Normal"/>
    <w:uiPriority w:val="1"/>
    <w:rsid w:val="00517B47"/>
    <w:pPr>
      <w:numPr>
        <w:ilvl w:val="2"/>
        <w:numId w:val="33"/>
      </w:numPr>
      <w:spacing w:before="0" w:after="240"/>
    </w:pPr>
  </w:style>
  <w:style w:type="paragraph" w:styleId="Date">
    <w:name w:val="Date"/>
    <w:basedOn w:val="Normal"/>
    <w:next w:val="References"/>
    <w:link w:val="DateChar"/>
    <w:uiPriority w:val="1"/>
    <w:rsid w:val="00517B47"/>
    <w:pPr>
      <w:spacing w:before="0" w:after="0"/>
      <w:ind w:left="5102" w:right="-567"/>
      <w:jc w:val="left"/>
    </w:pPr>
  </w:style>
  <w:style w:type="character" w:customStyle="1" w:styleId="DateChar">
    <w:name w:val="Date Char"/>
    <w:basedOn w:val="DefaultParagraphFont"/>
    <w:link w:val="Date"/>
    <w:uiPriority w:val="1"/>
    <w:rsid w:val="00517B47"/>
    <w:rPr>
      <w:sz w:val="24"/>
    </w:rPr>
  </w:style>
  <w:style w:type="paragraph" w:customStyle="1" w:styleId="Designator">
    <w:name w:val="Designator"/>
    <w:basedOn w:val="Normal"/>
    <w:semiHidden/>
    <w:rsid w:val="00517B47"/>
    <w:pPr>
      <w:spacing w:before="0" w:after="0"/>
      <w:jc w:val="center"/>
    </w:pPr>
    <w:rPr>
      <w:b/>
      <w:caps/>
      <w:sz w:val="32"/>
    </w:rPr>
  </w:style>
  <w:style w:type="paragraph" w:customStyle="1" w:styleId="DoubSign">
    <w:name w:val="DoubSign"/>
    <w:basedOn w:val="Normal"/>
    <w:uiPriority w:val="2"/>
    <w:rsid w:val="00517B47"/>
    <w:pPr>
      <w:spacing w:before="1200" w:after="0"/>
      <w:jc w:val="left"/>
    </w:pPr>
  </w:style>
  <w:style w:type="paragraph" w:customStyle="1" w:styleId="EmptyParagraph">
    <w:name w:val="Empty Paragraph"/>
    <w:basedOn w:val="Normal"/>
    <w:next w:val="Normal"/>
    <w:semiHidden/>
    <w:rsid w:val="00517B47"/>
    <w:pPr>
      <w:spacing w:before="240" w:after="240"/>
    </w:pPr>
  </w:style>
  <w:style w:type="paragraph" w:styleId="EndnoteText">
    <w:name w:val="endnote text"/>
    <w:basedOn w:val="Normal"/>
    <w:link w:val="EndnoteTextChar"/>
    <w:unhideWhenUsed/>
    <w:rsid w:val="00517B47"/>
    <w:pPr>
      <w:spacing w:before="0" w:after="240"/>
    </w:pPr>
    <w:rPr>
      <w:sz w:val="20"/>
    </w:rPr>
  </w:style>
  <w:style w:type="character" w:customStyle="1" w:styleId="EndnoteTextChar">
    <w:name w:val="Endnote Text Char"/>
    <w:basedOn w:val="DefaultParagraphFont"/>
    <w:link w:val="EndnoteText"/>
    <w:rsid w:val="00517B47"/>
  </w:style>
  <w:style w:type="paragraph" w:customStyle="1" w:styleId="FigureBody">
    <w:name w:val="Figure Body"/>
    <w:basedOn w:val="Normal"/>
    <w:next w:val="FigureSource"/>
    <w:uiPriority w:val="2"/>
    <w:rsid w:val="00517B47"/>
    <w:pPr>
      <w:keepNext/>
      <w:spacing w:before="0" w:after="40"/>
    </w:pPr>
  </w:style>
  <w:style w:type="paragraph" w:customStyle="1" w:styleId="FigureBody1">
    <w:name w:val="Figure Body 1"/>
    <w:basedOn w:val="Text1"/>
    <w:next w:val="FigureSource1"/>
    <w:uiPriority w:val="2"/>
    <w:rsid w:val="00517B47"/>
    <w:pPr>
      <w:keepNext/>
      <w:spacing w:before="0" w:after="40"/>
      <w:ind w:left="482"/>
    </w:pPr>
  </w:style>
  <w:style w:type="paragraph" w:customStyle="1" w:styleId="FigureBody2">
    <w:name w:val="Figure Body 2"/>
    <w:basedOn w:val="Text2"/>
    <w:next w:val="FigureSource2"/>
    <w:uiPriority w:val="2"/>
    <w:rsid w:val="00517B47"/>
    <w:pPr>
      <w:keepNext/>
      <w:spacing w:before="0" w:after="40"/>
      <w:ind w:left="1202"/>
    </w:pPr>
  </w:style>
  <w:style w:type="paragraph" w:customStyle="1" w:styleId="FigureBody3">
    <w:name w:val="Figure Body 3"/>
    <w:basedOn w:val="Text3"/>
    <w:next w:val="FigureSource3"/>
    <w:uiPriority w:val="2"/>
    <w:rsid w:val="00517B47"/>
    <w:pPr>
      <w:keepNext/>
      <w:spacing w:before="0" w:after="40"/>
      <w:ind w:left="1202"/>
    </w:pPr>
  </w:style>
  <w:style w:type="paragraph" w:customStyle="1" w:styleId="FigureBody4">
    <w:name w:val="Figure Body 4"/>
    <w:basedOn w:val="Text4"/>
    <w:next w:val="FigureSource4"/>
    <w:uiPriority w:val="2"/>
    <w:rsid w:val="00517B47"/>
    <w:pPr>
      <w:keepNext/>
      <w:spacing w:before="0" w:after="40"/>
      <w:ind w:left="1202"/>
    </w:pPr>
  </w:style>
  <w:style w:type="paragraph" w:customStyle="1" w:styleId="FigureSource">
    <w:name w:val="Figure Source"/>
    <w:basedOn w:val="Normal"/>
    <w:next w:val="Normal"/>
    <w:uiPriority w:val="2"/>
    <w:rsid w:val="00517B47"/>
    <w:pPr>
      <w:spacing w:before="0" w:after="240"/>
    </w:pPr>
    <w:rPr>
      <w:sz w:val="20"/>
    </w:rPr>
  </w:style>
  <w:style w:type="paragraph" w:customStyle="1" w:styleId="FigureSource1">
    <w:name w:val="Figure Source 1"/>
    <w:basedOn w:val="Text1"/>
    <w:next w:val="Text1"/>
    <w:uiPriority w:val="2"/>
    <w:rsid w:val="00517B47"/>
    <w:pPr>
      <w:spacing w:before="0" w:after="240"/>
      <w:ind w:left="482"/>
    </w:pPr>
    <w:rPr>
      <w:sz w:val="20"/>
    </w:rPr>
  </w:style>
  <w:style w:type="paragraph" w:customStyle="1" w:styleId="FigureSource2">
    <w:name w:val="Figure Source 2"/>
    <w:basedOn w:val="Text2"/>
    <w:next w:val="Text2"/>
    <w:uiPriority w:val="2"/>
    <w:rsid w:val="00517B47"/>
    <w:pPr>
      <w:spacing w:before="0" w:after="240"/>
      <w:ind w:left="1202"/>
    </w:pPr>
    <w:rPr>
      <w:sz w:val="20"/>
    </w:rPr>
  </w:style>
  <w:style w:type="paragraph" w:customStyle="1" w:styleId="FigureSource3">
    <w:name w:val="Figure Source 3"/>
    <w:basedOn w:val="Text3"/>
    <w:next w:val="Text3"/>
    <w:uiPriority w:val="2"/>
    <w:rsid w:val="00517B47"/>
    <w:pPr>
      <w:spacing w:before="0" w:after="240"/>
      <w:ind w:left="1202"/>
    </w:pPr>
    <w:rPr>
      <w:sz w:val="20"/>
    </w:rPr>
  </w:style>
  <w:style w:type="paragraph" w:customStyle="1" w:styleId="FigureSource4">
    <w:name w:val="Figure Source 4"/>
    <w:basedOn w:val="Text4"/>
    <w:next w:val="Text4"/>
    <w:uiPriority w:val="2"/>
    <w:rsid w:val="00517B47"/>
    <w:pPr>
      <w:spacing w:before="0" w:after="240"/>
      <w:ind w:left="1202"/>
    </w:pPr>
    <w:rPr>
      <w:sz w:val="20"/>
    </w:rPr>
  </w:style>
  <w:style w:type="paragraph" w:customStyle="1" w:styleId="FigureTitle">
    <w:name w:val="Figure Title"/>
    <w:basedOn w:val="Normal"/>
    <w:next w:val="FigureBody"/>
    <w:uiPriority w:val="2"/>
    <w:rsid w:val="00517B47"/>
    <w:pPr>
      <w:keepNext/>
      <w:spacing w:before="0"/>
    </w:pPr>
    <w:rPr>
      <w:b/>
      <w:i/>
    </w:rPr>
  </w:style>
  <w:style w:type="paragraph" w:customStyle="1" w:styleId="FigureTitle1">
    <w:name w:val="Figure Title 1"/>
    <w:basedOn w:val="Text1"/>
    <w:next w:val="FigureBody1"/>
    <w:uiPriority w:val="2"/>
    <w:rsid w:val="00517B47"/>
    <w:pPr>
      <w:keepNext/>
      <w:spacing w:before="0"/>
      <w:ind w:left="482"/>
    </w:pPr>
    <w:rPr>
      <w:b/>
      <w:i/>
    </w:rPr>
  </w:style>
  <w:style w:type="paragraph" w:customStyle="1" w:styleId="FigureTitle2">
    <w:name w:val="Figure Title 2"/>
    <w:basedOn w:val="Text2"/>
    <w:next w:val="FigureBody2"/>
    <w:uiPriority w:val="2"/>
    <w:rsid w:val="00517B47"/>
    <w:pPr>
      <w:keepNext/>
      <w:spacing w:before="0"/>
      <w:ind w:left="1202"/>
    </w:pPr>
    <w:rPr>
      <w:b/>
      <w:i/>
    </w:rPr>
  </w:style>
  <w:style w:type="paragraph" w:customStyle="1" w:styleId="FigureTitle3">
    <w:name w:val="Figure Title 3"/>
    <w:basedOn w:val="Text3"/>
    <w:next w:val="FigureBody3"/>
    <w:uiPriority w:val="2"/>
    <w:rsid w:val="00517B47"/>
    <w:pPr>
      <w:keepNext/>
      <w:spacing w:before="0"/>
      <w:ind w:left="1202"/>
    </w:pPr>
    <w:rPr>
      <w:b/>
      <w:i/>
    </w:rPr>
  </w:style>
  <w:style w:type="paragraph" w:customStyle="1" w:styleId="FigureTitle4">
    <w:name w:val="Figure Title 4"/>
    <w:basedOn w:val="Text4"/>
    <w:next w:val="FigureBody4"/>
    <w:uiPriority w:val="2"/>
    <w:rsid w:val="00517B47"/>
    <w:pPr>
      <w:keepNext/>
      <w:spacing w:before="0"/>
      <w:ind w:left="1202"/>
    </w:pPr>
    <w:rPr>
      <w:b/>
      <w:i/>
    </w:rPr>
  </w:style>
  <w:style w:type="paragraph" w:customStyle="1" w:styleId="FooterLine">
    <w:name w:val="Footer Line"/>
    <w:basedOn w:val="Footer"/>
    <w:next w:val="Footer"/>
    <w:uiPriority w:val="2"/>
    <w:rsid w:val="00517B47"/>
    <w:pPr>
      <w:tabs>
        <w:tab w:val="clear" w:pos="4535"/>
        <w:tab w:val="clear" w:pos="9071"/>
        <w:tab w:val="clear" w:pos="9921"/>
        <w:tab w:val="right" w:pos="8646"/>
      </w:tabs>
      <w:spacing w:before="120" w:line="264" w:lineRule="auto"/>
      <w:ind w:left="0" w:right="0"/>
      <w:jc w:val="both"/>
    </w:pPr>
    <w:rPr>
      <w:sz w:val="16"/>
    </w:rPr>
  </w:style>
  <w:style w:type="paragraph" w:customStyle="1" w:styleId="HistoryTable">
    <w:name w:val="HistoryTable"/>
    <w:basedOn w:val="Normal"/>
    <w:uiPriority w:val="2"/>
    <w:rsid w:val="00517B47"/>
    <w:pPr>
      <w:spacing w:before="60" w:after="60"/>
      <w:jc w:val="left"/>
    </w:pPr>
    <w:rPr>
      <w:sz w:val="20"/>
    </w:rPr>
  </w:style>
  <w:style w:type="paragraph" w:customStyle="1" w:styleId="HistTableHeading">
    <w:name w:val="HistTableHeading"/>
    <w:basedOn w:val="Normal"/>
    <w:next w:val="HistoryTable"/>
    <w:uiPriority w:val="2"/>
    <w:rsid w:val="00517B47"/>
    <w:pPr>
      <w:spacing w:before="240" w:after="240"/>
      <w:jc w:val="center"/>
    </w:pPr>
    <w:rPr>
      <w:rFonts w:ascii="Times New Roman Bold" w:hAnsi="Times New Roman Bold"/>
      <w:b/>
      <w:caps/>
    </w:rPr>
  </w:style>
  <w:style w:type="paragraph" w:customStyle="1" w:styleId="LegalNumPar">
    <w:name w:val="LegalNumPar"/>
    <w:basedOn w:val="Normal"/>
    <w:uiPriority w:val="1"/>
    <w:qFormat/>
    <w:rsid w:val="00517B47"/>
    <w:pPr>
      <w:numPr>
        <w:numId w:val="32"/>
      </w:numPr>
      <w:spacing w:before="0" w:after="240" w:line="360" w:lineRule="auto"/>
    </w:pPr>
  </w:style>
  <w:style w:type="paragraph" w:customStyle="1" w:styleId="LegalNumPar2">
    <w:name w:val="LegalNumPar2"/>
    <w:basedOn w:val="Normal"/>
    <w:uiPriority w:val="1"/>
    <w:rsid w:val="00517B47"/>
    <w:pPr>
      <w:numPr>
        <w:ilvl w:val="1"/>
        <w:numId w:val="32"/>
      </w:numPr>
      <w:spacing w:before="0" w:after="240" w:line="360" w:lineRule="auto"/>
    </w:pPr>
  </w:style>
  <w:style w:type="paragraph" w:customStyle="1" w:styleId="LegalNumPar3">
    <w:name w:val="LegalNumPar3"/>
    <w:basedOn w:val="Normal"/>
    <w:uiPriority w:val="1"/>
    <w:rsid w:val="00517B47"/>
    <w:pPr>
      <w:numPr>
        <w:ilvl w:val="2"/>
        <w:numId w:val="32"/>
      </w:numPr>
      <w:spacing w:before="0" w:after="240" w:line="360" w:lineRule="auto"/>
    </w:pPr>
  </w:style>
  <w:style w:type="paragraph" w:styleId="ListBullet">
    <w:name w:val="List Bullet"/>
    <w:basedOn w:val="Normal"/>
    <w:uiPriority w:val="1"/>
    <w:rsid w:val="00517B47"/>
    <w:pPr>
      <w:numPr>
        <w:numId w:val="30"/>
      </w:numPr>
      <w:spacing w:before="0" w:after="240"/>
    </w:pPr>
  </w:style>
  <w:style w:type="paragraph" w:customStyle="1" w:styleId="ListBulletLevel2">
    <w:name w:val="List Bullet (Level 2)"/>
    <w:basedOn w:val="Normal"/>
    <w:uiPriority w:val="1"/>
    <w:rsid w:val="00517B47"/>
    <w:pPr>
      <w:numPr>
        <w:ilvl w:val="1"/>
        <w:numId w:val="30"/>
      </w:numPr>
      <w:spacing w:before="0" w:after="240"/>
    </w:pPr>
  </w:style>
  <w:style w:type="paragraph" w:customStyle="1" w:styleId="ListBulletLevel3">
    <w:name w:val="List Bullet (Level 3)"/>
    <w:basedOn w:val="Normal"/>
    <w:uiPriority w:val="1"/>
    <w:semiHidden/>
    <w:unhideWhenUsed/>
    <w:rsid w:val="00517B47"/>
    <w:pPr>
      <w:numPr>
        <w:ilvl w:val="2"/>
        <w:numId w:val="30"/>
      </w:numPr>
      <w:spacing w:before="0" w:after="240"/>
    </w:pPr>
  </w:style>
  <w:style w:type="paragraph" w:customStyle="1" w:styleId="ListBulletLevel4">
    <w:name w:val="List Bullet (Level 4)"/>
    <w:basedOn w:val="Normal"/>
    <w:uiPriority w:val="1"/>
    <w:semiHidden/>
    <w:unhideWhenUsed/>
    <w:rsid w:val="00517B47"/>
    <w:pPr>
      <w:numPr>
        <w:ilvl w:val="3"/>
        <w:numId w:val="30"/>
      </w:numPr>
      <w:spacing w:before="0" w:after="240"/>
    </w:pPr>
  </w:style>
  <w:style w:type="paragraph" w:customStyle="1" w:styleId="ListBullet1">
    <w:name w:val="List Bullet 1"/>
    <w:basedOn w:val="Text1"/>
    <w:uiPriority w:val="1"/>
    <w:rsid w:val="00517B47"/>
    <w:pPr>
      <w:numPr>
        <w:numId w:val="29"/>
      </w:numPr>
      <w:spacing w:before="0" w:after="240"/>
    </w:pPr>
  </w:style>
  <w:style w:type="paragraph" w:customStyle="1" w:styleId="ListBullet1Level2">
    <w:name w:val="List Bullet 1 (Level 2)"/>
    <w:basedOn w:val="Text1"/>
    <w:uiPriority w:val="1"/>
    <w:rsid w:val="00517B47"/>
    <w:pPr>
      <w:numPr>
        <w:ilvl w:val="1"/>
        <w:numId w:val="29"/>
      </w:numPr>
      <w:spacing w:before="0" w:after="240"/>
    </w:pPr>
  </w:style>
  <w:style w:type="paragraph" w:customStyle="1" w:styleId="ListBullet1Level3">
    <w:name w:val="List Bullet 1 (Level 3)"/>
    <w:basedOn w:val="Text1"/>
    <w:uiPriority w:val="1"/>
    <w:semiHidden/>
    <w:unhideWhenUsed/>
    <w:rsid w:val="00517B47"/>
    <w:pPr>
      <w:numPr>
        <w:ilvl w:val="2"/>
        <w:numId w:val="29"/>
      </w:numPr>
      <w:spacing w:before="0" w:after="240"/>
    </w:pPr>
  </w:style>
  <w:style w:type="paragraph" w:customStyle="1" w:styleId="ListBullet1Level4">
    <w:name w:val="List Bullet 1 (Level 4)"/>
    <w:basedOn w:val="Text1"/>
    <w:uiPriority w:val="1"/>
    <w:semiHidden/>
    <w:unhideWhenUsed/>
    <w:rsid w:val="00517B47"/>
    <w:pPr>
      <w:numPr>
        <w:ilvl w:val="3"/>
        <w:numId w:val="29"/>
      </w:numPr>
      <w:spacing w:before="0" w:after="240"/>
    </w:pPr>
  </w:style>
  <w:style w:type="paragraph" w:styleId="ListBullet2">
    <w:name w:val="List Bullet 2"/>
    <w:basedOn w:val="Text2"/>
    <w:uiPriority w:val="1"/>
    <w:rsid w:val="00517B47"/>
    <w:pPr>
      <w:numPr>
        <w:numId w:val="38"/>
      </w:numPr>
      <w:spacing w:before="0" w:after="240"/>
    </w:pPr>
  </w:style>
  <w:style w:type="paragraph" w:customStyle="1" w:styleId="ListBullet2Level2">
    <w:name w:val="List Bullet 2 (Level 2)"/>
    <w:basedOn w:val="Text2"/>
    <w:uiPriority w:val="1"/>
    <w:rsid w:val="00517B47"/>
    <w:pPr>
      <w:numPr>
        <w:ilvl w:val="1"/>
        <w:numId w:val="28"/>
      </w:numPr>
      <w:spacing w:before="0" w:after="240"/>
    </w:pPr>
  </w:style>
  <w:style w:type="paragraph" w:customStyle="1" w:styleId="ListBullet2Level3">
    <w:name w:val="List Bullet 2 (Level 3)"/>
    <w:basedOn w:val="Text2"/>
    <w:uiPriority w:val="1"/>
    <w:semiHidden/>
    <w:unhideWhenUsed/>
    <w:rsid w:val="00517B47"/>
    <w:pPr>
      <w:numPr>
        <w:ilvl w:val="2"/>
        <w:numId w:val="28"/>
      </w:numPr>
      <w:spacing w:before="0" w:after="240"/>
    </w:pPr>
  </w:style>
  <w:style w:type="paragraph" w:customStyle="1" w:styleId="ListBullet2Level4">
    <w:name w:val="List Bullet 2 (Level 4)"/>
    <w:basedOn w:val="Text2"/>
    <w:uiPriority w:val="1"/>
    <w:semiHidden/>
    <w:unhideWhenUsed/>
    <w:rsid w:val="00517B47"/>
    <w:pPr>
      <w:numPr>
        <w:ilvl w:val="3"/>
        <w:numId w:val="28"/>
      </w:numPr>
      <w:spacing w:before="0" w:after="240"/>
    </w:pPr>
  </w:style>
  <w:style w:type="paragraph" w:styleId="ListBullet3">
    <w:name w:val="List Bullet 3"/>
    <w:basedOn w:val="Text3"/>
    <w:uiPriority w:val="1"/>
    <w:rsid w:val="00517B47"/>
    <w:pPr>
      <w:numPr>
        <w:numId w:val="27"/>
      </w:numPr>
      <w:spacing w:before="0" w:after="240"/>
    </w:pPr>
  </w:style>
  <w:style w:type="paragraph" w:customStyle="1" w:styleId="ListBullet3Level2">
    <w:name w:val="List Bullet 3 (Level 2)"/>
    <w:basedOn w:val="Text3"/>
    <w:uiPriority w:val="1"/>
    <w:rsid w:val="00517B47"/>
    <w:pPr>
      <w:numPr>
        <w:ilvl w:val="1"/>
        <w:numId w:val="27"/>
      </w:numPr>
      <w:spacing w:before="0" w:after="240"/>
    </w:pPr>
  </w:style>
  <w:style w:type="paragraph" w:customStyle="1" w:styleId="ListBullet3Level3">
    <w:name w:val="List Bullet 3 (Level 3)"/>
    <w:basedOn w:val="Text3"/>
    <w:uiPriority w:val="1"/>
    <w:semiHidden/>
    <w:unhideWhenUsed/>
    <w:rsid w:val="00517B47"/>
    <w:pPr>
      <w:numPr>
        <w:ilvl w:val="2"/>
        <w:numId w:val="27"/>
      </w:numPr>
      <w:spacing w:before="0" w:after="240"/>
    </w:pPr>
  </w:style>
  <w:style w:type="paragraph" w:customStyle="1" w:styleId="ListBullet3Level4">
    <w:name w:val="List Bullet 3 (Level 4)"/>
    <w:basedOn w:val="Text3"/>
    <w:uiPriority w:val="1"/>
    <w:semiHidden/>
    <w:unhideWhenUsed/>
    <w:rsid w:val="00517B47"/>
    <w:pPr>
      <w:numPr>
        <w:ilvl w:val="3"/>
        <w:numId w:val="27"/>
      </w:numPr>
      <w:spacing w:before="0" w:after="240"/>
    </w:pPr>
  </w:style>
  <w:style w:type="paragraph" w:styleId="ListBullet4">
    <w:name w:val="List Bullet 4"/>
    <w:basedOn w:val="Text4"/>
    <w:uiPriority w:val="1"/>
    <w:rsid w:val="00517B47"/>
    <w:pPr>
      <w:numPr>
        <w:numId w:val="26"/>
      </w:numPr>
      <w:spacing w:before="0" w:after="240"/>
    </w:pPr>
  </w:style>
  <w:style w:type="paragraph" w:customStyle="1" w:styleId="ListBullet4Level2">
    <w:name w:val="List Bullet 4 (Level 2)"/>
    <w:basedOn w:val="Text4"/>
    <w:uiPriority w:val="1"/>
    <w:rsid w:val="00517B47"/>
    <w:pPr>
      <w:numPr>
        <w:ilvl w:val="1"/>
        <w:numId w:val="26"/>
      </w:numPr>
      <w:spacing w:before="0" w:after="240"/>
    </w:pPr>
  </w:style>
  <w:style w:type="paragraph" w:customStyle="1" w:styleId="ListBullet4Level3">
    <w:name w:val="List Bullet 4 (Level 3)"/>
    <w:basedOn w:val="Text4"/>
    <w:uiPriority w:val="1"/>
    <w:semiHidden/>
    <w:unhideWhenUsed/>
    <w:rsid w:val="00517B47"/>
    <w:pPr>
      <w:numPr>
        <w:ilvl w:val="2"/>
        <w:numId w:val="26"/>
      </w:numPr>
      <w:spacing w:before="0" w:after="240"/>
    </w:pPr>
  </w:style>
  <w:style w:type="paragraph" w:customStyle="1" w:styleId="ListBullet4Level4">
    <w:name w:val="List Bullet 4 (Level 4)"/>
    <w:basedOn w:val="Text4"/>
    <w:uiPriority w:val="1"/>
    <w:semiHidden/>
    <w:unhideWhenUsed/>
    <w:rsid w:val="00517B47"/>
    <w:pPr>
      <w:numPr>
        <w:ilvl w:val="3"/>
        <w:numId w:val="26"/>
      </w:numPr>
      <w:spacing w:before="0" w:after="240"/>
    </w:pPr>
  </w:style>
  <w:style w:type="paragraph" w:customStyle="1" w:styleId="ListDash">
    <w:name w:val="List Dash"/>
    <w:basedOn w:val="Normal"/>
    <w:uiPriority w:val="1"/>
    <w:rsid w:val="00517B47"/>
    <w:pPr>
      <w:numPr>
        <w:numId w:val="20"/>
      </w:numPr>
      <w:spacing w:before="0" w:after="240"/>
    </w:pPr>
  </w:style>
  <w:style w:type="paragraph" w:customStyle="1" w:styleId="ListDashLevel2">
    <w:name w:val="List Dash (Level 2)"/>
    <w:basedOn w:val="Normal"/>
    <w:uiPriority w:val="1"/>
    <w:rsid w:val="00517B47"/>
    <w:pPr>
      <w:numPr>
        <w:ilvl w:val="1"/>
        <w:numId w:val="20"/>
      </w:numPr>
      <w:spacing w:before="0" w:after="240"/>
    </w:pPr>
  </w:style>
  <w:style w:type="paragraph" w:customStyle="1" w:styleId="ListDashLevel3">
    <w:name w:val="List Dash (Level 3)"/>
    <w:basedOn w:val="Normal"/>
    <w:uiPriority w:val="1"/>
    <w:semiHidden/>
    <w:unhideWhenUsed/>
    <w:rsid w:val="00517B47"/>
    <w:pPr>
      <w:numPr>
        <w:ilvl w:val="2"/>
        <w:numId w:val="20"/>
      </w:numPr>
      <w:spacing w:before="0" w:after="240"/>
    </w:pPr>
  </w:style>
  <w:style w:type="paragraph" w:customStyle="1" w:styleId="ListDashLevel4">
    <w:name w:val="List Dash (Level 4)"/>
    <w:basedOn w:val="Normal"/>
    <w:uiPriority w:val="1"/>
    <w:semiHidden/>
    <w:unhideWhenUsed/>
    <w:rsid w:val="00517B47"/>
    <w:pPr>
      <w:numPr>
        <w:ilvl w:val="3"/>
        <w:numId w:val="20"/>
      </w:numPr>
      <w:spacing w:before="0" w:after="240"/>
    </w:pPr>
  </w:style>
  <w:style w:type="paragraph" w:customStyle="1" w:styleId="ListDash1">
    <w:name w:val="List Dash 1"/>
    <w:basedOn w:val="Text1"/>
    <w:uiPriority w:val="1"/>
    <w:rsid w:val="00517B47"/>
    <w:pPr>
      <w:numPr>
        <w:numId w:val="19"/>
      </w:numPr>
      <w:spacing w:before="0" w:after="240"/>
    </w:pPr>
  </w:style>
  <w:style w:type="paragraph" w:customStyle="1" w:styleId="ListDash1Level2">
    <w:name w:val="List Dash 1 (Level 2)"/>
    <w:basedOn w:val="Text1"/>
    <w:uiPriority w:val="1"/>
    <w:rsid w:val="00517B47"/>
    <w:pPr>
      <w:numPr>
        <w:ilvl w:val="1"/>
        <w:numId w:val="19"/>
      </w:numPr>
      <w:spacing w:before="0" w:after="240"/>
    </w:pPr>
  </w:style>
  <w:style w:type="paragraph" w:customStyle="1" w:styleId="ListDash1Level3">
    <w:name w:val="List Dash 1 (Level 3)"/>
    <w:basedOn w:val="Text1"/>
    <w:uiPriority w:val="1"/>
    <w:semiHidden/>
    <w:unhideWhenUsed/>
    <w:rsid w:val="00517B47"/>
    <w:pPr>
      <w:numPr>
        <w:ilvl w:val="2"/>
        <w:numId w:val="19"/>
      </w:numPr>
      <w:spacing w:before="0" w:after="240"/>
    </w:pPr>
  </w:style>
  <w:style w:type="paragraph" w:customStyle="1" w:styleId="ListDash1Level4">
    <w:name w:val="List Dash 1 (Level 4)"/>
    <w:basedOn w:val="Text1"/>
    <w:uiPriority w:val="1"/>
    <w:semiHidden/>
    <w:unhideWhenUsed/>
    <w:rsid w:val="00517B47"/>
    <w:pPr>
      <w:numPr>
        <w:ilvl w:val="3"/>
        <w:numId w:val="19"/>
      </w:numPr>
      <w:spacing w:before="0" w:after="240"/>
    </w:pPr>
  </w:style>
  <w:style w:type="paragraph" w:customStyle="1" w:styleId="ListDash2">
    <w:name w:val="List Dash 2"/>
    <w:basedOn w:val="Text2"/>
    <w:uiPriority w:val="1"/>
    <w:rsid w:val="00517B47"/>
    <w:pPr>
      <w:numPr>
        <w:numId w:val="18"/>
      </w:numPr>
      <w:spacing w:before="0" w:after="240"/>
    </w:pPr>
  </w:style>
  <w:style w:type="paragraph" w:customStyle="1" w:styleId="ListDash2Level2">
    <w:name w:val="List Dash 2 (Level 2)"/>
    <w:basedOn w:val="Text2"/>
    <w:uiPriority w:val="1"/>
    <w:rsid w:val="00517B47"/>
    <w:pPr>
      <w:numPr>
        <w:ilvl w:val="1"/>
        <w:numId w:val="18"/>
      </w:numPr>
      <w:spacing w:before="0" w:after="240"/>
    </w:pPr>
  </w:style>
  <w:style w:type="paragraph" w:customStyle="1" w:styleId="ListDash2Level3">
    <w:name w:val="List Dash 2 (Level 3)"/>
    <w:basedOn w:val="Text2"/>
    <w:uiPriority w:val="1"/>
    <w:semiHidden/>
    <w:unhideWhenUsed/>
    <w:rsid w:val="00517B47"/>
    <w:pPr>
      <w:numPr>
        <w:ilvl w:val="2"/>
        <w:numId w:val="18"/>
      </w:numPr>
      <w:spacing w:before="0" w:after="240"/>
    </w:pPr>
  </w:style>
  <w:style w:type="paragraph" w:customStyle="1" w:styleId="ListDash2Level4">
    <w:name w:val="List Dash 2 (Level 4)"/>
    <w:basedOn w:val="Text2"/>
    <w:uiPriority w:val="1"/>
    <w:semiHidden/>
    <w:unhideWhenUsed/>
    <w:rsid w:val="00517B47"/>
    <w:pPr>
      <w:numPr>
        <w:ilvl w:val="3"/>
        <w:numId w:val="18"/>
      </w:numPr>
      <w:spacing w:before="0" w:after="240"/>
    </w:pPr>
  </w:style>
  <w:style w:type="paragraph" w:customStyle="1" w:styleId="ListDash3">
    <w:name w:val="List Dash 3"/>
    <w:basedOn w:val="Text3"/>
    <w:uiPriority w:val="1"/>
    <w:rsid w:val="00517B47"/>
    <w:pPr>
      <w:numPr>
        <w:numId w:val="17"/>
      </w:numPr>
      <w:spacing w:before="0" w:after="240"/>
    </w:pPr>
  </w:style>
  <w:style w:type="paragraph" w:customStyle="1" w:styleId="ListDash3Level2">
    <w:name w:val="List Dash 3 (Level 2)"/>
    <w:basedOn w:val="Text3"/>
    <w:uiPriority w:val="1"/>
    <w:rsid w:val="00517B47"/>
    <w:pPr>
      <w:numPr>
        <w:ilvl w:val="1"/>
        <w:numId w:val="17"/>
      </w:numPr>
      <w:spacing w:before="0" w:after="240"/>
    </w:pPr>
  </w:style>
  <w:style w:type="paragraph" w:customStyle="1" w:styleId="ListDash3Level3">
    <w:name w:val="List Dash 3 (Level 3)"/>
    <w:basedOn w:val="Text3"/>
    <w:uiPriority w:val="1"/>
    <w:semiHidden/>
    <w:unhideWhenUsed/>
    <w:rsid w:val="00517B47"/>
    <w:pPr>
      <w:numPr>
        <w:ilvl w:val="2"/>
        <w:numId w:val="17"/>
      </w:numPr>
      <w:spacing w:before="0" w:after="240"/>
    </w:pPr>
  </w:style>
  <w:style w:type="paragraph" w:customStyle="1" w:styleId="ListDash3Level4">
    <w:name w:val="List Dash 3 (Level 4)"/>
    <w:basedOn w:val="Text3"/>
    <w:uiPriority w:val="1"/>
    <w:semiHidden/>
    <w:unhideWhenUsed/>
    <w:rsid w:val="00517B47"/>
    <w:pPr>
      <w:numPr>
        <w:ilvl w:val="3"/>
        <w:numId w:val="17"/>
      </w:numPr>
      <w:spacing w:before="0" w:after="240"/>
    </w:pPr>
  </w:style>
  <w:style w:type="paragraph" w:customStyle="1" w:styleId="ListDash4">
    <w:name w:val="List Dash 4"/>
    <w:basedOn w:val="Text4"/>
    <w:uiPriority w:val="1"/>
    <w:rsid w:val="00517B47"/>
    <w:pPr>
      <w:numPr>
        <w:numId w:val="16"/>
      </w:numPr>
      <w:spacing w:before="0" w:after="240"/>
    </w:pPr>
  </w:style>
  <w:style w:type="paragraph" w:customStyle="1" w:styleId="ListDash4Level2">
    <w:name w:val="List Dash 4 (Level 2)"/>
    <w:basedOn w:val="Text4"/>
    <w:uiPriority w:val="1"/>
    <w:rsid w:val="00517B47"/>
    <w:pPr>
      <w:numPr>
        <w:ilvl w:val="1"/>
        <w:numId w:val="16"/>
      </w:numPr>
      <w:spacing w:before="0" w:after="240"/>
    </w:pPr>
  </w:style>
  <w:style w:type="paragraph" w:customStyle="1" w:styleId="ListDash4Level3">
    <w:name w:val="List Dash 4 (Level 3)"/>
    <w:basedOn w:val="Text4"/>
    <w:uiPriority w:val="1"/>
    <w:semiHidden/>
    <w:unhideWhenUsed/>
    <w:rsid w:val="00517B47"/>
    <w:pPr>
      <w:numPr>
        <w:ilvl w:val="2"/>
        <w:numId w:val="16"/>
      </w:numPr>
      <w:spacing w:before="0" w:after="240"/>
    </w:pPr>
  </w:style>
  <w:style w:type="paragraph" w:customStyle="1" w:styleId="ListDash4Level4">
    <w:name w:val="List Dash 4 (Level 4)"/>
    <w:basedOn w:val="Text4"/>
    <w:uiPriority w:val="1"/>
    <w:semiHidden/>
    <w:unhideWhenUsed/>
    <w:rsid w:val="00517B47"/>
    <w:pPr>
      <w:numPr>
        <w:ilvl w:val="3"/>
        <w:numId w:val="16"/>
      </w:numPr>
      <w:spacing w:before="0" w:after="240"/>
    </w:pPr>
  </w:style>
  <w:style w:type="paragraph" w:styleId="ListNumber">
    <w:name w:val="List Number"/>
    <w:basedOn w:val="Normal"/>
    <w:uiPriority w:val="1"/>
    <w:rsid w:val="00517B47"/>
    <w:pPr>
      <w:numPr>
        <w:numId w:val="25"/>
      </w:numPr>
      <w:spacing w:before="0" w:after="240"/>
    </w:pPr>
  </w:style>
  <w:style w:type="paragraph" w:customStyle="1" w:styleId="ListNumberLevel2">
    <w:name w:val="List Number (Level 2)"/>
    <w:basedOn w:val="Normal"/>
    <w:uiPriority w:val="1"/>
    <w:rsid w:val="00517B47"/>
    <w:pPr>
      <w:numPr>
        <w:ilvl w:val="1"/>
        <w:numId w:val="25"/>
      </w:numPr>
      <w:spacing w:before="0" w:after="240"/>
    </w:pPr>
  </w:style>
  <w:style w:type="paragraph" w:customStyle="1" w:styleId="ListNumberLevel3">
    <w:name w:val="List Number (Level 3)"/>
    <w:basedOn w:val="Normal"/>
    <w:uiPriority w:val="1"/>
    <w:semiHidden/>
    <w:unhideWhenUsed/>
    <w:rsid w:val="00517B47"/>
    <w:pPr>
      <w:numPr>
        <w:ilvl w:val="2"/>
        <w:numId w:val="25"/>
      </w:numPr>
      <w:spacing w:before="0" w:after="240"/>
    </w:pPr>
  </w:style>
  <w:style w:type="paragraph" w:customStyle="1" w:styleId="ListNumberLevel4">
    <w:name w:val="List Number (Level 4)"/>
    <w:basedOn w:val="Normal"/>
    <w:uiPriority w:val="1"/>
    <w:semiHidden/>
    <w:unhideWhenUsed/>
    <w:rsid w:val="00517B47"/>
    <w:pPr>
      <w:numPr>
        <w:ilvl w:val="3"/>
        <w:numId w:val="25"/>
      </w:numPr>
      <w:spacing w:before="0" w:after="240"/>
    </w:pPr>
  </w:style>
  <w:style w:type="paragraph" w:customStyle="1" w:styleId="ListNumber1">
    <w:name w:val="List Number 1"/>
    <w:basedOn w:val="Text1"/>
    <w:uiPriority w:val="1"/>
    <w:rsid w:val="00517B47"/>
    <w:pPr>
      <w:numPr>
        <w:numId w:val="24"/>
      </w:numPr>
      <w:spacing w:before="0" w:after="240"/>
    </w:pPr>
  </w:style>
  <w:style w:type="paragraph" w:customStyle="1" w:styleId="ListNumber1Level2">
    <w:name w:val="List Number 1 (Level 2)"/>
    <w:basedOn w:val="Text1"/>
    <w:uiPriority w:val="1"/>
    <w:rsid w:val="00517B47"/>
    <w:pPr>
      <w:numPr>
        <w:ilvl w:val="1"/>
        <w:numId w:val="24"/>
      </w:numPr>
      <w:spacing w:before="0" w:after="240"/>
    </w:pPr>
  </w:style>
  <w:style w:type="paragraph" w:customStyle="1" w:styleId="ListNumber1Level3">
    <w:name w:val="List Number 1 (Level 3)"/>
    <w:basedOn w:val="Text1"/>
    <w:uiPriority w:val="1"/>
    <w:semiHidden/>
    <w:unhideWhenUsed/>
    <w:rsid w:val="00517B47"/>
    <w:pPr>
      <w:numPr>
        <w:ilvl w:val="2"/>
        <w:numId w:val="24"/>
      </w:numPr>
      <w:spacing w:before="0" w:after="240"/>
    </w:pPr>
  </w:style>
  <w:style w:type="paragraph" w:customStyle="1" w:styleId="ListNumber1Level4">
    <w:name w:val="List Number 1 (Level 4)"/>
    <w:basedOn w:val="Text1"/>
    <w:uiPriority w:val="1"/>
    <w:semiHidden/>
    <w:unhideWhenUsed/>
    <w:rsid w:val="00517B47"/>
    <w:pPr>
      <w:numPr>
        <w:ilvl w:val="3"/>
        <w:numId w:val="24"/>
      </w:numPr>
      <w:spacing w:before="0" w:after="240"/>
    </w:pPr>
  </w:style>
  <w:style w:type="paragraph" w:styleId="ListNumber2">
    <w:name w:val="List Number 2"/>
    <w:basedOn w:val="Text2"/>
    <w:uiPriority w:val="1"/>
    <w:rsid w:val="00517B47"/>
    <w:pPr>
      <w:numPr>
        <w:numId w:val="23"/>
      </w:numPr>
      <w:spacing w:before="0" w:after="240"/>
    </w:pPr>
  </w:style>
  <w:style w:type="paragraph" w:customStyle="1" w:styleId="ListNumber2Level2">
    <w:name w:val="List Number 2 (Level 2)"/>
    <w:basedOn w:val="Text2"/>
    <w:uiPriority w:val="1"/>
    <w:rsid w:val="00517B47"/>
    <w:pPr>
      <w:numPr>
        <w:ilvl w:val="1"/>
        <w:numId w:val="23"/>
      </w:numPr>
      <w:spacing w:before="0" w:after="240"/>
    </w:pPr>
  </w:style>
  <w:style w:type="paragraph" w:customStyle="1" w:styleId="ListNumber2Level3">
    <w:name w:val="List Number 2 (Level 3)"/>
    <w:basedOn w:val="Text2"/>
    <w:uiPriority w:val="1"/>
    <w:semiHidden/>
    <w:unhideWhenUsed/>
    <w:rsid w:val="00517B47"/>
    <w:pPr>
      <w:numPr>
        <w:ilvl w:val="2"/>
        <w:numId w:val="23"/>
      </w:numPr>
      <w:spacing w:before="0" w:after="240"/>
    </w:pPr>
  </w:style>
  <w:style w:type="paragraph" w:customStyle="1" w:styleId="ListNumber2Level4">
    <w:name w:val="List Number 2 (Level 4)"/>
    <w:basedOn w:val="Text2"/>
    <w:uiPriority w:val="1"/>
    <w:semiHidden/>
    <w:unhideWhenUsed/>
    <w:rsid w:val="00517B47"/>
    <w:pPr>
      <w:numPr>
        <w:ilvl w:val="3"/>
        <w:numId w:val="23"/>
      </w:numPr>
      <w:spacing w:before="0" w:after="240"/>
    </w:pPr>
  </w:style>
  <w:style w:type="paragraph" w:styleId="ListNumber3">
    <w:name w:val="List Number 3"/>
    <w:basedOn w:val="Text3"/>
    <w:uiPriority w:val="1"/>
    <w:rsid w:val="00517B47"/>
    <w:pPr>
      <w:numPr>
        <w:numId w:val="22"/>
      </w:numPr>
      <w:spacing w:before="0" w:after="240"/>
    </w:pPr>
  </w:style>
  <w:style w:type="paragraph" w:customStyle="1" w:styleId="ListNumber3Level2">
    <w:name w:val="List Number 3 (Level 2)"/>
    <w:basedOn w:val="Text3"/>
    <w:uiPriority w:val="1"/>
    <w:rsid w:val="00517B47"/>
    <w:pPr>
      <w:numPr>
        <w:ilvl w:val="1"/>
        <w:numId w:val="22"/>
      </w:numPr>
      <w:spacing w:before="0" w:after="240"/>
    </w:pPr>
  </w:style>
  <w:style w:type="paragraph" w:customStyle="1" w:styleId="ListNumber3Level3">
    <w:name w:val="List Number 3 (Level 3)"/>
    <w:basedOn w:val="Text3"/>
    <w:uiPriority w:val="1"/>
    <w:semiHidden/>
    <w:unhideWhenUsed/>
    <w:rsid w:val="00517B47"/>
    <w:pPr>
      <w:numPr>
        <w:ilvl w:val="2"/>
        <w:numId w:val="22"/>
      </w:numPr>
      <w:spacing w:before="0" w:after="240"/>
    </w:pPr>
  </w:style>
  <w:style w:type="paragraph" w:customStyle="1" w:styleId="ListNumber3Level4">
    <w:name w:val="List Number 3 (Level 4)"/>
    <w:basedOn w:val="Text3"/>
    <w:uiPriority w:val="1"/>
    <w:semiHidden/>
    <w:unhideWhenUsed/>
    <w:rsid w:val="00517B47"/>
    <w:pPr>
      <w:numPr>
        <w:ilvl w:val="3"/>
        <w:numId w:val="22"/>
      </w:numPr>
      <w:spacing w:before="0" w:after="240"/>
    </w:pPr>
  </w:style>
  <w:style w:type="paragraph" w:styleId="ListNumber4">
    <w:name w:val="List Number 4"/>
    <w:basedOn w:val="Text4"/>
    <w:uiPriority w:val="1"/>
    <w:rsid w:val="00517B47"/>
    <w:pPr>
      <w:numPr>
        <w:numId w:val="21"/>
      </w:numPr>
      <w:spacing w:before="0" w:after="240"/>
    </w:pPr>
  </w:style>
  <w:style w:type="paragraph" w:customStyle="1" w:styleId="ListNumber4Level2">
    <w:name w:val="List Number 4 (Level 2)"/>
    <w:basedOn w:val="Text4"/>
    <w:uiPriority w:val="1"/>
    <w:rsid w:val="00517B47"/>
    <w:pPr>
      <w:numPr>
        <w:ilvl w:val="1"/>
        <w:numId w:val="21"/>
      </w:numPr>
      <w:spacing w:before="0" w:after="240"/>
    </w:pPr>
  </w:style>
  <w:style w:type="paragraph" w:customStyle="1" w:styleId="ListNumber4Level3">
    <w:name w:val="List Number 4 (Level 3)"/>
    <w:basedOn w:val="Text4"/>
    <w:uiPriority w:val="1"/>
    <w:semiHidden/>
    <w:unhideWhenUsed/>
    <w:rsid w:val="00517B47"/>
    <w:pPr>
      <w:numPr>
        <w:ilvl w:val="2"/>
        <w:numId w:val="21"/>
      </w:numPr>
      <w:spacing w:before="0" w:after="240"/>
    </w:pPr>
  </w:style>
  <w:style w:type="paragraph" w:customStyle="1" w:styleId="ListNumber4Level4">
    <w:name w:val="List Number 4 (Level 4)"/>
    <w:basedOn w:val="Text4"/>
    <w:uiPriority w:val="1"/>
    <w:semiHidden/>
    <w:unhideWhenUsed/>
    <w:rsid w:val="00517B47"/>
    <w:pPr>
      <w:numPr>
        <w:ilvl w:val="3"/>
        <w:numId w:val="21"/>
      </w:numPr>
      <w:spacing w:before="0" w:after="240"/>
    </w:pPr>
  </w:style>
  <w:style w:type="paragraph" w:styleId="MacroText">
    <w:name w:val="macro"/>
    <w:basedOn w:val="Normal"/>
    <w:link w:val="MacroTextChar"/>
    <w:uiPriority w:val="1"/>
    <w:qFormat/>
    <w:rsid w:val="00517B47"/>
    <w:pPr>
      <w:tabs>
        <w:tab w:val="left" w:pos="482"/>
        <w:tab w:val="left" w:pos="958"/>
        <w:tab w:val="left" w:pos="1440"/>
        <w:tab w:val="left" w:pos="1922"/>
        <w:tab w:val="left" w:pos="2398"/>
        <w:tab w:val="left" w:pos="2880"/>
        <w:tab w:val="left" w:pos="3362"/>
        <w:tab w:val="left" w:pos="3838"/>
        <w:tab w:val="left" w:pos="4320"/>
      </w:tabs>
      <w:spacing w:before="0" w:after="240"/>
    </w:pPr>
    <w:rPr>
      <w:rFonts w:ascii="Courier New" w:hAnsi="Courier New"/>
      <w:sz w:val="22"/>
    </w:rPr>
  </w:style>
  <w:style w:type="character" w:customStyle="1" w:styleId="MacroTextChar">
    <w:name w:val="Macro Text Char"/>
    <w:basedOn w:val="DefaultParagraphFont"/>
    <w:link w:val="MacroText"/>
    <w:uiPriority w:val="1"/>
    <w:rsid w:val="00517B47"/>
    <w:rPr>
      <w:rFonts w:ascii="Courier New" w:hAnsi="Courier New"/>
      <w:sz w:val="22"/>
    </w:rPr>
  </w:style>
  <w:style w:type="paragraph" w:customStyle="1" w:styleId="Marking">
    <w:name w:val="Marking"/>
    <w:basedOn w:val="Normal"/>
    <w:semiHidden/>
    <w:rsid w:val="00517B47"/>
    <w:pPr>
      <w:spacing w:before="0" w:after="240"/>
      <w:ind w:left="5102" w:right="-567"/>
      <w:contextualSpacing/>
      <w:jc w:val="left"/>
    </w:pPr>
    <w:rPr>
      <w:sz w:val="28"/>
    </w:rPr>
  </w:style>
  <w:style w:type="paragraph" w:customStyle="1" w:styleId="References">
    <w:name w:val="References"/>
    <w:basedOn w:val="Normal"/>
    <w:uiPriority w:val="1"/>
    <w:rsid w:val="00517B47"/>
    <w:pPr>
      <w:spacing w:before="0" w:after="240"/>
      <w:ind w:left="5102" w:right="-567"/>
      <w:contextualSpacing/>
      <w:jc w:val="left"/>
    </w:pPr>
    <w:rPr>
      <w:sz w:val="20"/>
    </w:rPr>
  </w:style>
  <w:style w:type="paragraph" w:customStyle="1" w:styleId="Releasable">
    <w:name w:val="Releasable"/>
    <w:basedOn w:val="Normal"/>
    <w:semiHidden/>
    <w:rsid w:val="00517B47"/>
    <w:pPr>
      <w:spacing w:before="0" w:after="0"/>
      <w:jc w:val="center"/>
    </w:pPr>
    <w:rPr>
      <w:b/>
      <w:caps/>
      <w:sz w:val="32"/>
    </w:rPr>
  </w:style>
  <w:style w:type="paragraph" w:customStyle="1" w:styleId="RUE">
    <w:name w:val="RUE"/>
    <w:basedOn w:val="Normal"/>
    <w:semiHidden/>
    <w:rsid w:val="00517B47"/>
    <w:pPr>
      <w:spacing w:before="0" w:after="0"/>
      <w:jc w:val="center"/>
    </w:pPr>
    <w:rPr>
      <w:b/>
      <w:caps/>
      <w:sz w:val="32"/>
      <w:bdr w:val="single" w:sz="18" w:space="0" w:color="auto"/>
    </w:rPr>
  </w:style>
  <w:style w:type="paragraph" w:customStyle="1" w:styleId="SecretUE">
    <w:name w:val="Secret UE"/>
    <w:basedOn w:val="Normal"/>
    <w:semiHidden/>
    <w:rsid w:val="00517B47"/>
    <w:pPr>
      <w:spacing w:before="0" w:after="0"/>
      <w:jc w:val="center"/>
    </w:pPr>
    <w:rPr>
      <w:b/>
      <w:caps/>
      <w:color w:val="FF0000"/>
      <w:sz w:val="32"/>
      <w:bdr w:val="single" w:sz="18" w:space="0" w:color="FF0000"/>
    </w:rPr>
  </w:style>
  <w:style w:type="paragraph" w:styleId="Signature">
    <w:name w:val="Signature"/>
    <w:basedOn w:val="Normal"/>
    <w:link w:val="SignatureChar"/>
    <w:uiPriority w:val="2"/>
    <w:rsid w:val="00517B47"/>
    <w:pPr>
      <w:spacing w:before="1200" w:after="0"/>
      <w:ind w:left="5102"/>
      <w:jc w:val="center"/>
    </w:pPr>
  </w:style>
  <w:style w:type="character" w:customStyle="1" w:styleId="SignatureChar">
    <w:name w:val="Signature Char"/>
    <w:basedOn w:val="DefaultParagraphFont"/>
    <w:link w:val="Signature"/>
    <w:uiPriority w:val="2"/>
    <w:rsid w:val="00517B47"/>
    <w:rPr>
      <w:sz w:val="24"/>
    </w:rPr>
  </w:style>
  <w:style w:type="paragraph" w:customStyle="1" w:styleId="SignatureL">
    <w:name w:val="SignatureL"/>
    <w:basedOn w:val="Normal"/>
    <w:uiPriority w:val="2"/>
    <w:rsid w:val="00517B47"/>
    <w:pPr>
      <w:spacing w:before="1200" w:after="0"/>
      <w:jc w:val="left"/>
    </w:pPr>
  </w:style>
  <w:style w:type="paragraph" w:customStyle="1" w:styleId="SubTitle1">
    <w:name w:val="SubTitle 1"/>
    <w:basedOn w:val="Normal"/>
    <w:next w:val="SubTitle2"/>
    <w:uiPriority w:val="1"/>
    <w:qFormat/>
    <w:rsid w:val="00517B47"/>
    <w:pPr>
      <w:spacing w:before="0" w:after="240"/>
      <w:jc w:val="center"/>
    </w:pPr>
    <w:rPr>
      <w:b/>
      <w:sz w:val="40"/>
    </w:rPr>
  </w:style>
  <w:style w:type="paragraph" w:customStyle="1" w:styleId="SubTitle2">
    <w:name w:val="SubTitle 2"/>
    <w:basedOn w:val="Normal"/>
    <w:uiPriority w:val="1"/>
    <w:qFormat/>
    <w:rsid w:val="00517B47"/>
    <w:pPr>
      <w:spacing w:before="0" w:after="240"/>
      <w:jc w:val="center"/>
    </w:pPr>
    <w:rPr>
      <w:b/>
      <w:sz w:val="32"/>
    </w:rPr>
  </w:style>
  <w:style w:type="paragraph" w:customStyle="1" w:styleId="TableListBullet">
    <w:name w:val="Table List Bullet"/>
    <w:basedOn w:val="TableText"/>
    <w:uiPriority w:val="1"/>
    <w:rsid w:val="00517B47"/>
    <w:pPr>
      <w:numPr>
        <w:numId w:val="35"/>
      </w:numPr>
    </w:pPr>
  </w:style>
  <w:style w:type="paragraph" w:customStyle="1" w:styleId="TableListBulletLevel2">
    <w:name w:val="Table List Bullet (Level 2)"/>
    <w:basedOn w:val="TableText"/>
    <w:uiPriority w:val="1"/>
    <w:rsid w:val="00517B47"/>
    <w:pPr>
      <w:numPr>
        <w:ilvl w:val="1"/>
        <w:numId w:val="35"/>
      </w:numPr>
    </w:pPr>
  </w:style>
  <w:style w:type="paragraph" w:customStyle="1" w:styleId="TableListBulletLevel3">
    <w:name w:val="Table List Bullet (Level 3)"/>
    <w:basedOn w:val="TableText"/>
    <w:uiPriority w:val="1"/>
    <w:semiHidden/>
    <w:unhideWhenUsed/>
    <w:rsid w:val="00517B47"/>
    <w:pPr>
      <w:numPr>
        <w:ilvl w:val="2"/>
        <w:numId w:val="35"/>
      </w:numPr>
    </w:pPr>
  </w:style>
  <w:style w:type="paragraph" w:customStyle="1" w:styleId="TableListBulletLevel4">
    <w:name w:val="Table List Bullet (Level 4)"/>
    <w:basedOn w:val="TableText"/>
    <w:uiPriority w:val="1"/>
    <w:semiHidden/>
    <w:unhideWhenUsed/>
    <w:rsid w:val="00517B47"/>
    <w:pPr>
      <w:numPr>
        <w:ilvl w:val="3"/>
        <w:numId w:val="35"/>
      </w:numPr>
    </w:pPr>
  </w:style>
  <w:style w:type="paragraph" w:customStyle="1" w:styleId="TableListDash">
    <w:name w:val="Table List Dash"/>
    <w:basedOn w:val="TableText"/>
    <w:uiPriority w:val="1"/>
    <w:rsid w:val="00517B47"/>
    <w:pPr>
      <w:numPr>
        <w:numId w:val="36"/>
      </w:numPr>
    </w:pPr>
  </w:style>
  <w:style w:type="paragraph" w:customStyle="1" w:styleId="TableListDashLevel2">
    <w:name w:val="Table List Dash (Level 2)"/>
    <w:basedOn w:val="TableText"/>
    <w:uiPriority w:val="1"/>
    <w:rsid w:val="00517B47"/>
    <w:pPr>
      <w:numPr>
        <w:ilvl w:val="1"/>
        <w:numId w:val="36"/>
      </w:numPr>
    </w:pPr>
  </w:style>
  <w:style w:type="paragraph" w:customStyle="1" w:styleId="TableListDashLevel3">
    <w:name w:val="Table List Dash (Level 3)"/>
    <w:basedOn w:val="TableText"/>
    <w:uiPriority w:val="1"/>
    <w:semiHidden/>
    <w:unhideWhenUsed/>
    <w:rsid w:val="00517B47"/>
    <w:pPr>
      <w:numPr>
        <w:ilvl w:val="2"/>
        <w:numId w:val="36"/>
      </w:numPr>
    </w:pPr>
  </w:style>
  <w:style w:type="paragraph" w:customStyle="1" w:styleId="TableListDashLevel4">
    <w:name w:val="Table List Dash (Level 4)"/>
    <w:basedOn w:val="TableText"/>
    <w:uiPriority w:val="1"/>
    <w:semiHidden/>
    <w:unhideWhenUsed/>
    <w:rsid w:val="00517B47"/>
    <w:pPr>
      <w:numPr>
        <w:ilvl w:val="3"/>
        <w:numId w:val="36"/>
      </w:numPr>
    </w:pPr>
  </w:style>
  <w:style w:type="paragraph" w:customStyle="1" w:styleId="TableListNumber">
    <w:name w:val="Table List Number"/>
    <w:basedOn w:val="TableText"/>
    <w:uiPriority w:val="1"/>
    <w:rsid w:val="00517B47"/>
    <w:pPr>
      <w:numPr>
        <w:numId w:val="37"/>
      </w:numPr>
    </w:pPr>
  </w:style>
  <w:style w:type="paragraph" w:customStyle="1" w:styleId="TableListNumberLevel2">
    <w:name w:val="Table List Number (Level 2)"/>
    <w:basedOn w:val="TableText"/>
    <w:uiPriority w:val="1"/>
    <w:rsid w:val="00517B47"/>
    <w:pPr>
      <w:numPr>
        <w:ilvl w:val="1"/>
        <w:numId w:val="37"/>
      </w:numPr>
    </w:pPr>
  </w:style>
  <w:style w:type="paragraph" w:customStyle="1" w:styleId="TableListNumberLevel3">
    <w:name w:val="Table List Number (Level 3)"/>
    <w:basedOn w:val="TableText"/>
    <w:uiPriority w:val="1"/>
    <w:semiHidden/>
    <w:unhideWhenUsed/>
    <w:rsid w:val="00517B47"/>
    <w:pPr>
      <w:numPr>
        <w:ilvl w:val="2"/>
        <w:numId w:val="37"/>
      </w:numPr>
    </w:pPr>
  </w:style>
  <w:style w:type="paragraph" w:customStyle="1" w:styleId="TableListNumberLevel4">
    <w:name w:val="Table List Number (Level 4)"/>
    <w:basedOn w:val="TableText"/>
    <w:uiPriority w:val="1"/>
    <w:semiHidden/>
    <w:unhideWhenUsed/>
    <w:rsid w:val="00517B47"/>
    <w:pPr>
      <w:numPr>
        <w:ilvl w:val="3"/>
        <w:numId w:val="37"/>
      </w:numPr>
    </w:pPr>
  </w:style>
  <w:style w:type="paragraph" w:customStyle="1" w:styleId="TableSource">
    <w:name w:val="Table Source"/>
    <w:basedOn w:val="Normal"/>
    <w:next w:val="Normal"/>
    <w:semiHidden/>
    <w:unhideWhenUsed/>
    <w:rsid w:val="00517B47"/>
    <w:pPr>
      <w:spacing w:before="0" w:after="240"/>
    </w:pPr>
    <w:rPr>
      <w:sz w:val="20"/>
    </w:rPr>
  </w:style>
  <w:style w:type="paragraph" w:customStyle="1" w:styleId="TableSource1">
    <w:name w:val="Table Source 1"/>
    <w:basedOn w:val="Text1"/>
    <w:next w:val="Text1"/>
    <w:semiHidden/>
    <w:unhideWhenUsed/>
    <w:rsid w:val="00517B47"/>
    <w:pPr>
      <w:spacing w:before="0" w:after="240"/>
      <w:ind w:left="482"/>
    </w:pPr>
    <w:rPr>
      <w:sz w:val="20"/>
    </w:rPr>
  </w:style>
  <w:style w:type="paragraph" w:customStyle="1" w:styleId="TableSource2">
    <w:name w:val="Table Source 2"/>
    <w:basedOn w:val="Text2"/>
    <w:next w:val="Text2"/>
    <w:semiHidden/>
    <w:unhideWhenUsed/>
    <w:rsid w:val="00517B47"/>
    <w:pPr>
      <w:spacing w:before="0" w:after="240"/>
      <w:ind w:left="1202"/>
    </w:pPr>
    <w:rPr>
      <w:sz w:val="20"/>
    </w:rPr>
  </w:style>
  <w:style w:type="paragraph" w:customStyle="1" w:styleId="TableSource3">
    <w:name w:val="Table Source 3"/>
    <w:basedOn w:val="Text3"/>
    <w:next w:val="Text3"/>
    <w:semiHidden/>
    <w:unhideWhenUsed/>
    <w:rsid w:val="00517B47"/>
    <w:pPr>
      <w:spacing w:before="0" w:after="240"/>
      <w:ind w:left="1202"/>
    </w:pPr>
    <w:rPr>
      <w:sz w:val="20"/>
    </w:rPr>
  </w:style>
  <w:style w:type="paragraph" w:customStyle="1" w:styleId="TableSource4">
    <w:name w:val="Table Source 4"/>
    <w:basedOn w:val="Text4"/>
    <w:next w:val="Text4"/>
    <w:semiHidden/>
    <w:unhideWhenUsed/>
    <w:rsid w:val="00517B47"/>
    <w:pPr>
      <w:spacing w:before="0" w:after="240"/>
      <w:ind w:left="1202"/>
    </w:pPr>
    <w:rPr>
      <w:sz w:val="20"/>
    </w:rPr>
  </w:style>
  <w:style w:type="paragraph" w:customStyle="1" w:styleId="TableText">
    <w:name w:val="Table Text"/>
    <w:basedOn w:val="Normal"/>
    <w:uiPriority w:val="1"/>
    <w:qFormat/>
    <w:rsid w:val="00517B47"/>
    <w:pPr>
      <w:spacing w:before="60" w:after="60"/>
      <w:jc w:val="left"/>
    </w:pPr>
  </w:style>
  <w:style w:type="paragraph" w:customStyle="1" w:styleId="TableTitle1">
    <w:name w:val="Table Title 1"/>
    <w:basedOn w:val="Text1"/>
    <w:uiPriority w:val="1"/>
    <w:semiHidden/>
    <w:unhideWhenUsed/>
    <w:rsid w:val="00517B47"/>
    <w:pPr>
      <w:keepNext/>
      <w:spacing w:before="0"/>
      <w:ind w:left="482"/>
    </w:pPr>
    <w:rPr>
      <w:b/>
      <w:i/>
    </w:rPr>
  </w:style>
  <w:style w:type="paragraph" w:customStyle="1" w:styleId="TableTitle2">
    <w:name w:val="Table Title 2"/>
    <w:basedOn w:val="Text2"/>
    <w:uiPriority w:val="1"/>
    <w:semiHidden/>
    <w:unhideWhenUsed/>
    <w:rsid w:val="00517B47"/>
    <w:pPr>
      <w:keepNext/>
      <w:spacing w:before="0"/>
      <w:ind w:left="1202"/>
    </w:pPr>
    <w:rPr>
      <w:b/>
      <w:i/>
    </w:rPr>
  </w:style>
  <w:style w:type="paragraph" w:customStyle="1" w:styleId="TableTitle3">
    <w:name w:val="Table Title 3"/>
    <w:basedOn w:val="Text3"/>
    <w:uiPriority w:val="1"/>
    <w:semiHidden/>
    <w:unhideWhenUsed/>
    <w:rsid w:val="00517B47"/>
    <w:pPr>
      <w:keepNext/>
      <w:spacing w:before="0"/>
      <w:ind w:left="1202"/>
    </w:pPr>
    <w:rPr>
      <w:b/>
      <w:i/>
    </w:rPr>
  </w:style>
  <w:style w:type="paragraph" w:customStyle="1" w:styleId="TableTitle4">
    <w:name w:val="Table Title 4"/>
    <w:basedOn w:val="Text4"/>
    <w:uiPriority w:val="1"/>
    <w:semiHidden/>
    <w:unhideWhenUsed/>
    <w:rsid w:val="00517B47"/>
    <w:pPr>
      <w:keepNext/>
      <w:spacing w:before="0"/>
      <w:ind w:left="1202"/>
    </w:pPr>
    <w:rPr>
      <w:b/>
      <w:i/>
    </w:rPr>
  </w:style>
  <w:style w:type="paragraph" w:styleId="Title">
    <w:name w:val="Title"/>
    <w:basedOn w:val="Normal"/>
    <w:next w:val="SubTitle1"/>
    <w:link w:val="TitleChar"/>
    <w:uiPriority w:val="1"/>
    <w:qFormat/>
    <w:rsid w:val="00517B47"/>
    <w:pPr>
      <w:spacing w:before="0" w:after="480"/>
      <w:jc w:val="center"/>
    </w:pPr>
    <w:rPr>
      <w:b/>
      <w:kern w:val="28"/>
      <w:sz w:val="48"/>
    </w:rPr>
  </w:style>
  <w:style w:type="character" w:customStyle="1" w:styleId="TitleChar">
    <w:name w:val="Title Char"/>
    <w:basedOn w:val="DefaultParagraphFont"/>
    <w:link w:val="Title"/>
    <w:uiPriority w:val="1"/>
    <w:rsid w:val="00517B47"/>
    <w:rPr>
      <w:b/>
      <w:kern w:val="28"/>
      <w:sz w:val="48"/>
    </w:rPr>
  </w:style>
  <w:style w:type="paragraph" w:customStyle="1" w:styleId="TrsSecretUE">
    <w:name w:val="Très Secret UE"/>
    <w:basedOn w:val="Normal"/>
    <w:semiHidden/>
    <w:rsid w:val="00517B47"/>
    <w:pPr>
      <w:spacing w:before="0" w:after="0"/>
      <w:jc w:val="center"/>
    </w:pPr>
    <w:rPr>
      <w:b/>
      <w:caps/>
      <w:color w:val="FF0000"/>
      <w:sz w:val="32"/>
      <w:bdr w:val="single" w:sz="18" w:space="0" w:color="FF0000"/>
    </w:rPr>
  </w:style>
  <w:style w:type="paragraph" w:customStyle="1" w:styleId="ZCom">
    <w:name w:val="Z_Com"/>
    <w:basedOn w:val="Normal"/>
    <w:next w:val="Normal"/>
    <w:uiPriority w:val="2"/>
    <w:rsid w:val="00517B47"/>
    <w:pPr>
      <w:widowControl w:val="0"/>
      <w:spacing w:before="90" w:after="0"/>
      <w:ind w:right="85"/>
      <w:jc w:val="left"/>
    </w:pPr>
  </w:style>
  <w:style w:type="paragraph" w:customStyle="1" w:styleId="ZDGName">
    <w:name w:val="Z_DGName"/>
    <w:basedOn w:val="Normal"/>
    <w:uiPriority w:val="2"/>
    <w:rsid w:val="00517B47"/>
    <w:pPr>
      <w:widowControl w:val="0"/>
      <w:spacing w:before="0" w:after="0"/>
      <w:ind w:right="85"/>
      <w:jc w:val="left"/>
    </w:pPr>
    <w:rPr>
      <w:sz w:val="16"/>
    </w:rPr>
  </w:style>
  <w:style w:type="paragraph" w:customStyle="1" w:styleId="ZFlag">
    <w:name w:val="Z_Flag"/>
    <w:basedOn w:val="Normal"/>
    <w:next w:val="Normal"/>
    <w:uiPriority w:val="2"/>
    <w:rsid w:val="00517B47"/>
    <w:pPr>
      <w:widowControl w:val="0"/>
      <w:spacing w:before="0" w:after="0"/>
      <w:ind w:right="85"/>
    </w:pPr>
  </w:style>
  <w:style w:type="character" w:customStyle="1" w:styleId="HeaderChar">
    <w:name w:val="Header Char"/>
    <w:basedOn w:val="DefaultParagraphFont"/>
    <w:link w:val="Header"/>
    <w:uiPriority w:val="2"/>
    <w:rsid w:val="00517B47"/>
    <w:rPr>
      <w:sz w:val="24"/>
    </w:rPr>
  </w:style>
  <w:style w:type="table" w:customStyle="1" w:styleId="EurolookClassicBlue">
    <w:name w:val="Eurolook Classic Blue"/>
    <w:basedOn w:val="TableNormal"/>
    <w:rsid w:val="00517B47"/>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rsid w:val="00517B47"/>
    <w:pPr>
      <w:spacing w:after="240"/>
    </w:pPr>
    <w:rPr>
      <w:sz w:val="24"/>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rsid w:val="00517B47"/>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rsid w:val="00517B47"/>
    <w:pPr>
      <w:spacing w:after="240"/>
    </w:pPr>
    <w:rPr>
      <w:sz w:val="24"/>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rsid w:val="00517B47"/>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rsid w:val="00517B47"/>
    <w:pPr>
      <w:spacing w:after="240"/>
    </w:pPr>
    <w:rPr>
      <w:sz w:val="24"/>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rsid w:val="00517B47"/>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rsid w:val="00517B47"/>
    <w:pPr>
      <w:spacing w:after="240"/>
    </w:pPr>
    <w:rPr>
      <w:sz w:val="24"/>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rsid w:val="00517B47"/>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rsid w:val="00517B47"/>
    <w:pPr>
      <w:spacing w:after="240"/>
    </w:pPr>
    <w:rPr>
      <w:sz w:val="24"/>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rsid w:val="00517B47"/>
    <w:pPr>
      <w:spacing w:after="240"/>
    </w:pPr>
    <w:rPr>
      <w:sz w:val="24"/>
    </w:r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rsid w:val="00517B47"/>
    <w:pPr>
      <w:spacing w:after="240"/>
    </w:pPr>
    <w:rPr>
      <w:sz w:val="24"/>
    </w:r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rsid w:val="00517B47"/>
    <w:pPr>
      <w:spacing w:after="240"/>
    </w:pPr>
    <w:rPr>
      <w:sz w:val="24"/>
    </w:r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rsid w:val="00517B47"/>
    <w:pPr>
      <w:spacing w:after="240"/>
    </w:pPr>
    <w:rPr>
      <w:sz w:val="24"/>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rsid w:val="00517B47"/>
    <w:pPr>
      <w:spacing w:after="240"/>
    </w:pPr>
    <w:rPr>
      <w:sz w:val="24"/>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rsid w:val="00517B47"/>
    <w:pPr>
      <w:spacing w:after="240"/>
    </w:pPr>
    <w:rPr>
      <w:sz w:val="24"/>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rsid w:val="00517B47"/>
    <w:pPr>
      <w:spacing w:after="240"/>
    </w:pPr>
    <w:rPr>
      <w:sz w:val="24"/>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rsid w:val="00517B47"/>
    <w:pPr>
      <w:spacing w:after="240"/>
    </w:pPr>
    <w:rPr>
      <w:sz w:val="24"/>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rsid w:val="00517B47"/>
    <w:pPr>
      <w:spacing w:after="240"/>
    </w:pPr>
    <w:rPr>
      <w:sz w:val="24"/>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rsid w:val="00517B47"/>
    <w:pPr>
      <w:spacing w:after="240"/>
    </w:pPr>
    <w:rPr>
      <w:sz w:val="24"/>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rsid w:val="00517B47"/>
    <w:pPr>
      <w:spacing w:after="240"/>
    </w:pPr>
    <w:rPr>
      <w:sz w:val="24"/>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rsid w:val="00517B47"/>
    <w:pPr>
      <w:spacing w:after="240"/>
    </w:pPr>
    <w:rPr>
      <w:sz w:val="24"/>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rsid w:val="00517B47"/>
    <w:pPr>
      <w:spacing w:after="240"/>
    </w:pPr>
    <w:rPr>
      <w:sz w:val="24"/>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rsid w:val="00517B47"/>
    <w:pPr>
      <w:spacing w:after="240"/>
    </w:pPr>
    <w:rPr>
      <w:sz w:val="24"/>
    </w:r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rsid w:val="00517B47"/>
    <w:pPr>
      <w:spacing w:after="240"/>
    </w:pPr>
    <w:rPr>
      <w:sz w:val="24"/>
    </w:r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rsid w:val="00517B47"/>
    <w:pPr>
      <w:spacing w:after="240"/>
    </w:pPr>
    <w:rPr>
      <w:sz w:val="24"/>
    </w:r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rsid w:val="00517B47"/>
    <w:rPr>
      <w:sz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rsid w:val="00517B47"/>
    <w:tblPr>
      <w:tblInd w:w="482" w:type="dxa"/>
    </w:tblPr>
    <w:tblStylePr w:type="firstRow">
      <w:rPr>
        <w:b/>
      </w:rPr>
    </w:tblStylePr>
  </w:style>
  <w:style w:type="table" w:customStyle="1" w:styleId="EurolookTable2">
    <w:name w:val="Eurolook Table 2"/>
    <w:basedOn w:val="EurolookTable"/>
    <w:semiHidden/>
    <w:unhideWhenUsed/>
    <w:rsid w:val="00517B47"/>
    <w:tblPr>
      <w:tblInd w:w="1202" w:type="dxa"/>
    </w:tblPr>
    <w:tblStylePr w:type="firstRow">
      <w:rPr>
        <w:b/>
      </w:rPr>
    </w:tblStylePr>
  </w:style>
  <w:style w:type="table" w:customStyle="1" w:styleId="EurolookTable3">
    <w:name w:val="Eurolook Table 3"/>
    <w:basedOn w:val="EurolookTable"/>
    <w:semiHidden/>
    <w:unhideWhenUsed/>
    <w:rsid w:val="00517B47"/>
    <w:tblPr>
      <w:tblInd w:w="1202" w:type="dxa"/>
    </w:tblPr>
    <w:tblStylePr w:type="firstRow">
      <w:rPr>
        <w:b/>
      </w:rPr>
    </w:tblStylePr>
  </w:style>
  <w:style w:type="table" w:customStyle="1" w:styleId="EurolookTable4">
    <w:name w:val="Eurolook Table 4"/>
    <w:basedOn w:val="EurolookTable"/>
    <w:semiHidden/>
    <w:unhideWhenUsed/>
    <w:rsid w:val="00517B47"/>
    <w:tblPr>
      <w:tblInd w:w="1202" w:type="dxa"/>
    </w:tblPr>
    <w:tblStylePr w:type="firstRow">
      <w:rPr>
        <w:b/>
      </w:rPr>
    </w:tblStylePr>
  </w:style>
  <w:style w:type="table" w:customStyle="1" w:styleId="HelperTableBase">
    <w:name w:val="Helper Table Base"/>
    <w:semiHidden/>
    <w:rsid w:val="00517B47"/>
    <w:rPr>
      <w:sz w:val="24"/>
    </w:rPr>
    <w:tblPr>
      <w:tblInd w:w="0" w:type="dxa"/>
      <w:tblCellMar>
        <w:top w:w="0" w:type="dxa"/>
        <w:left w:w="0" w:type="dxa"/>
        <w:bottom w:w="0" w:type="dxa"/>
        <w:right w:w="0" w:type="dxa"/>
      </w:tblCellMar>
    </w:tblPr>
  </w:style>
  <w:style w:type="table" w:customStyle="1" w:styleId="SignatureTable">
    <w:name w:val="Signature Table"/>
    <w:basedOn w:val="HelperTableBase"/>
    <w:semiHidden/>
    <w:rsid w:val="00517B47"/>
    <w:tblPr>
      <w:tblCellMar>
        <w:left w:w="567" w:type="dxa"/>
      </w:tblCellMar>
    </w:tblPr>
  </w:style>
  <w:style w:type="table" w:styleId="TableGrid">
    <w:name w:val="Table Grid"/>
    <w:uiPriority w:val="39"/>
    <w:rsid w:val="00517B47"/>
    <w:rPr>
      <w:sz w:val="24"/>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rsid w:val="00517B47"/>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rsid w:val="00517B47"/>
    <w:rPr>
      <w:sz w:val="24"/>
    </w:rPr>
    <w:tblPr>
      <w:tblCellMar>
        <w:left w:w="0" w:type="dxa"/>
        <w:bottom w:w="340" w:type="dxa"/>
        <w:right w:w="0" w:type="dxa"/>
      </w:tblCellMar>
    </w:tblPr>
  </w:style>
  <w:style w:type="paragraph" w:customStyle="1" w:styleId="FootnotesymbolChar">
    <w:name w:val="Footnote symbol Char"/>
    <w:basedOn w:val="Normal"/>
    <w:link w:val="FootnoteReference"/>
    <w:uiPriority w:val="99"/>
    <w:rsid w:val="00A26014"/>
    <w:pPr>
      <w:spacing w:after="160" w:line="240" w:lineRule="exact"/>
    </w:pPr>
    <w:rPr>
      <w:sz w:val="20"/>
      <w:vertAlign w:val="superscript"/>
    </w:rPr>
  </w:style>
  <w:style w:type="character" w:customStyle="1" w:styleId="Mention2">
    <w:name w:val="Mention2"/>
    <w:basedOn w:val="DefaultParagraphFont"/>
    <w:uiPriority w:val="99"/>
    <w:unhideWhenUsed/>
    <w:rsid w:val="002034FE"/>
    <w:rPr>
      <w:color w:val="2B579A"/>
      <w:shd w:val="clear" w:color="auto" w:fill="E6E6E6"/>
    </w:rPr>
  </w:style>
  <w:style w:type="paragraph" w:styleId="NormalWeb">
    <w:name w:val="Normal (Web)"/>
    <w:basedOn w:val="Normal"/>
    <w:uiPriority w:val="99"/>
    <w:unhideWhenUsed/>
    <w:rsid w:val="007D6EE5"/>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6751">
      <w:bodyDiv w:val="1"/>
      <w:marLeft w:val="0"/>
      <w:marRight w:val="0"/>
      <w:marTop w:val="0"/>
      <w:marBottom w:val="0"/>
      <w:divBdr>
        <w:top w:val="none" w:sz="0" w:space="0" w:color="auto"/>
        <w:left w:val="none" w:sz="0" w:space="0" w:color="auto"/>
        <w:bottom w:val="none" w:sz="0" w:space="0" w:color="auto"/>
        <w:right w:val="none" w:sz="0" w:space="0" w:color="auto"/>
      </w:divBdr>
    </w:div>
    <w:div w:id="365761354">
      <w:bodyDiv w:val="1"/>
      <w:marLeft w:val="0"/>
      <w:marRight w:val="0"/>
      <w:marTop w:val="0"/>
      <w:marBottom w:val="0"/>
      <w:divBdr>
        <w:top w:val="none" w:sz="0" w:space="0" w:color="auto"/>
        <w:left w:val="none" w:sz="0" w:space="0" w:color="auto"/>
        <w:bottom w:val="none" w:sz="0" w:space="0" w:color="auto"/>
        <w:right w:val="none" w:sz="0" w:space="0" w:color="auto"/>
      </w:divBdr>
    </w:div>
    <w:div w:id="410851110">
      <w:bodyDiv w:val="1"/>
      <w:marLeft w:val="0"/>
      <w:marRight w:val="0"/>
      <w:marTop w:val="0"/>
      <w:marBottom w:val="0"/>
      <w:divBdr>
        <w:top w:val="none" w:sz="0" w:space="0" w:color="auto"/>
        <w:left w:val="none" w:sz="0" w:space="0" w:color="auto"/>
        <w:bottom w:val="none" w:sz="0" w:space="0" w:color="auto"/>
        <w:right w:val="none" w:sz="0" w:space="0" w:color="auto"/>
      </w:divBdr>
    </w:div>
    <w:div w:id="751854473">
      <w:bodyDiv w:val="1"/>
      <w:marLeft w:val="0"/>
      <w:marRight w:val="0"/>
      <w:marTop w:val="0"/>
      <w:marBottom w:val="0"/>
      <w:divBdr>
        <w:top w:val="none" w:sz="0" w:space="0" w:color="auto"/>
        <w:left w:val="none" w:sz="0" w:space="0" w:color="auto"/>
        <w:bottom w:val="none" w:sz="0" w:space="0" w:color="auto"/>
        <w:right w:val="none" w:sz="0" w:space="0" w:color="auto"/>
      </w:divBdr>
    </w:div>
    <w:div w:id="1109163124">
      <w:bodyDiv w:val="1"/>
      <w:marLeft w:val="0"/>
      <w:marRight w:val="0"/>
      <w:marTop w:val="0"/>
      <w:marBottom w:val="0"/>
      <w:divBdr>
        <w:top w:val="none" w:sz="0" w:space="0" w:color="auto"/>
        <w:left w:val="none" w:sz="0" w:space="0" w:color="auto"/>
        <w:bottom w:val="none" w:sz="0" w:space="0" w:color="auto"/>
        <w:right w:val="none" w:sz="0" w:space="0" w:color="auto"/>
      </w:divBdr>
      <w:divsChild>
        <w:div w:id="1345860763">
          <w:marLeft w:val="0"/>
          <w:marRight w:val="0"/>
          <w:marTop w:val="0"/>
          <w:marBottom w:val="0"/>
          <w:divBdr>
            <w:top w:val="none" w:sz="0" w:space="0" w:color="auto"/>
            <w:left w:val="none" w:sz="0" w:space="0" w:color="auto"/>
            <w:bottom w:val="none" w:sz="0" w:space="0" w:color="auto"/>
            <w:right w:val="none" w:sz="0" w:space="0" w:color="auto"/>
          </w:divBdr>
        </w:div>
      </w:divsChild>
    </w:div>
    <w:div w:id="1149906041">
      <w:bodyDiv w:val="1"/>
      <w:marLeft w:val="0"/>
      <w:marRight w:val="0"/>
      <w:marTop w:val="0"/>
      <w:marBottom w:val="0"/>
      <w:divBdr>
        <w:top w:val="none" w:sz="0" w:space="0" w:color="auto"/>
        <w:left w:val="none" w:sz="0" w:space="0" w:color="auto"/>
        <w:bottom w:val="none" w:sz="0" w:space="0" w:color="auto"/>
        <w:right w:val="none" w:sz="0" w:space="0" w:color="auto"/>
      </w:divBdr>
    </w:div>
    <w:div w:id="1172838927">
      <w:bodyDiv w:val="1"/>
      <w:marLeft w:val="0"/>
      <w:marRight w:val="0"/>
      <w:marTop w:val="0"/>
      <w:marBottom w:val="0"/>
      <w:divBdr>
        <w:top w:val="none" w:sz="0" w:space="0" w:color="auto"/>
        <w:left w:val="none" w:sz="0" w:space="0" w:color="auto"/>
        <w:bottom w:val="none" w:sz="0" w:space="0" w:color="auto"/>
        <w:right w:val="none" w:sz="0" w:space="0" w:color="auto"/>
      </w:divBdr>
    </w:div>
    <w:div w:id="1308704405">
      <w:bodyDiv w:val="1"/>
      <w:marLeft w:val="0"/>
      <w:marRight w:val="0"/>
      <w:marTop w:val="0"/>
      <w:marBottom w:val="0"/>
      <w:divBdr>
        <w:top w:val="none" w:sz="0" w:space="0" w:color="auto"/>
        <w:left w:val="none" w:sz="0" w:space="0" w:color="auto"/>
        <w:bottom w:val="none" w:sz="0" w:space="0" w:color="auto"/>
        <w:right w:val="none" w:sz="0" w:space="0" w:color="auto"/>
      </w:divBdr>
    </w:div>
    <w:div w:id="1403718167">
      <w:bodyDiv w:val="1"/>
      <w:marLeft w:val="0"/>
      <w:marRight w:val="0"/>
      <w:marTop w:val="0"/>
      <w:marBottom w:val="0"/>
      <w:divBdr>
        <w:top w:val="none" w:sz="0" w:space="0" w:color="auto"/>
        <w:left w:val="none" w:sz="0" w:space="0" w:color="auto"/>
        <w:bottom w:val="none" w:sz="0" w:space="0" w:color="auto"/>
        <w:right w:val="none" w:sz="0" w:space="0" w:color="auto"/>
      </w:divBdr>
    </w:div>
    <w:div w:id="1482313826">
      <w:bodyDiv w:val="1"/>
      <w:marLeft w:val="0"/>
      <w:marRight w:val="0"/>
      <w:marTop w:val="0"/>
      <w:marBottom w:val="0"/>
      <w:divBdr>
        <w:top w:val="none" w:sz="0" w:space="0" w:color="auto"/>
        <w:left w:val="none" w:sz="0" w:space="0" w:color="auto"/>
        <w:bottom w:val="none" w:sz="0" w:space="0" w:color="auto"/>
        <w:right w:val="none" w:sz="0" w:space="0" w:color="auto"/>
      </w:divBdr>
    </w:div>
    <w:div w:id="1544708212">
      <w:bodyDiv w:val="1"/>
      <w:marLeft w:val="0"/>
      <w:marRight w:val="0"/>
      <w:marTop w:val="0"/>
      <w:marBottom w:val="0"/>
      <w:divBdr>
        <w:top w:val="none" w:sz="0" w:space="0" w:color="auto"/>
        <w:left w:val="none" w:sz="0" w:space="0" w:color="auto"/>
        <w:bottom w:val="none" w:sz="0" w:space="0" w:color="auto"/>
        <w:right w:val="none" w:sz="0" w:space="0" w:color="auto"/>
      </w:divBdr>
    </w:div>
    <w:div w:id="1551109001">
      <w:bodyDiv w:val="1"/>
      <w:marLeft w:val="0"/>
      <w:marRight w:val="0"/>
      <w:marTop w:val="0"/>
      <w:marBottom w:val="0"/>
      <w:divBdr>
        <w:top w:val="none" w:sz="0" w:space="0" w:color="auto"/>
        <w:left w:val="none" w:sz="0" w:space="0" w:color="auto"/>
        <w:bottom w:val="none" w:sz="0" w:space="0" w:color="auto"/>
        <w:right w:val="none" w:sz="0" w:space="0" w:color="auto"/>
      </w:divBdr>
    </w:div>
    <w:div w:id="1583953757">
      <w:bodyDiv w:val="1"/>
      <w:marLeft w:val="0"/>
      <w:marRight w:val="0"/>
      <w:marTop w:val="0"/>
      <w:marBottom w:val="0"/>
      <w:divBdr>
        <w:top w:val="none" w:sz="0" w:space="0" w:color="auto"/>
        <w:left w:val="none" w:sz="0" w:space="0" w:color="auto"/>
        <w:bottom w:val="none" w:sz="0" w:space="0" w:color="auto"/>
        <w:right w:val="none" w:sz="0" w:space="0" w:color="auto"/>
      </w:divBdr>
    </w:div>
    <w:div w:id="1601599402">
      <w:bodyDiv w:val="1"/>
      <w:marLeft w:val="0"/>
      <w:marRight w:val="0"/>
      <w:marTop w:val="0"/>
      <w:marBottom w:val="0"/>
      <w:divBdr>
        <w:top w:val="none" w:sz="0" w:space="0" w:color="auto"/>
        <w:left w:val="none" w:sz="0" w:space="0" w:color="auto"/>
        <w:bottom w:val="none" w:sz="0" w:space="0" w:color="auto"/>
        <w:right w:val="none" w:sz="0" w:space="0" w:color="auto"/>
      </w:divBdr>
    </w:div>
    <w:div w:id="1635914574">
      <w:bodyDiv w:val="1"/>
      <w:marLeft w:val="0"/>
      <w:marRight w:val="0"/>
      <w:marTop w:val="0"/>
      <w:marBottom w:val="0"/>
      <w:divBdr>
        <w:top w:val="none" w:sz="0" w:space="0" w:color="auto"/>
        <w:left w:val="none" w:sz="0" w:space="0" w:color="auto"/>
        <w:bottom w:val="none" w:sz="0" w:space="0" w:color="auto"/>
        <w:right w:val="none" w:sz="0" w:space="0" w:color="auto"/>
      </w:divBdr>
    </w:div>
    <w:div w:id="1717659506">
      <w:bodyDiv w:val="1"/>
      <w:marLeft w:val="0"/>
      <w:marRight w:val="0"/>
      <w:marTop w:val="0"/>
      <w:marBottom w:val="0"/>
      <w:divBdr>
        <w:top w:val="none" w:sz="0" w:space="0" w:color="auto"/>
        <w:left w:val="none" w:sz="0" w:space="0" w:color="auto"/>
        <w:bottom w:val="none" w:sz="0" w:space="0" w:color="auto"/>
        <w:right w:val="none" w:sz="0" w:space="0" w:color="auto"/>
      </w:divBdr>
    </w:div>
    <w:div w:id="1735544575">
      <w:bodyDiv w:val="1"/>
      <w:marLeft w:val="0"/>
      <w:marRight w:val="0"/>
      <w:marTop w:val="0"/>
      <w:marBottom w:val="0"/>
      <w:divBdr>
        <w:top w:val="none" w:sz="0" w:space="0" w:color="auto"/>
        <w:left w:val="none" w:sz="0" w:space="0" w:color="auto"/>
        <w:bottom w:val="none" w:sz="0" w:space="0" w:color="auto"/>
        <w:right w:val="none" w:sz="0" w:space="0" w:color="auto"/>
      </w:divBdr>
    </w:div>
    <w:div w:id="1781561682">
      <w:bodyDiv w:val="1"/>
      <w:marLeft w:val="0"/>
      <w:marRight w:val="0"/>
      <w:marTop w:val="0"/>
      <w:marBottom w:val="0"/>
      <w:divBdr>
        <w:top w:val="none" w:sz="0" w:space="0" w:color="auto"/>
        <w:left w:val="none" w:sz="0" w:space="0" w:color="auto"/>
        <w:bottom w:val="none" w:sz="0" w:space="0" w:color="auto"/>
        <w:right w:val="none" w:sz="0" w:space="0" w:color="auto"/>
      </w:divBdr>
    </w:div>
    <w:div w:id="1829901609">
      <w:bodyDiv w:val="1"/>
      <w:marLeft w:val="0"/>
      <w:marRight w:val="0"/>
      <w:marTop w:val="0"/>
      <w:marBottom w:val="0"/>
      <w:divBdr>
        <w:top w:val="none" w:sz="0" w:space="0" w:color="auto"/>
        <w:left w:val="none" w:sz="0" w:space="0" w:color="auto"/>
        <w:bottom w:val="none" w:sz="0" w:space="0" w:color="auto"/>
        <w:right w:val="none" w:sz="0" w:space="0" w:color="auto"/>
      </w:divBdr>
    </w:div>
    <w:div w:id="1933970393">
      <w:bodyDiv w:val="1"/>
      <w:marLeft w:val="0"/>
      <w:marRight w:val="0"/>
      <w:marTop w:val="0"/>
      <w:marBottom w:val="0"/>
      <w:divBdr>
        <w:top w:val="none" w:sz="0" w:space="0" w:color="auto"/>
        <w:left w:val="none" w:sz="0" w:space="0" w:color="auto"/>
        <w:bottom w:val="none" w:sz="0" w:space="0" w:color="auto"/>
        <w:right w:val="none" w:sz="0" w:space="0" w:color="auto"/>
      </w:divBdr>
      <w:divsChild>
        <w:div w:id="1244488384">
          <w:marLeft w:val="0"/>
          <w:marRight w:val="0"/>
          <w:marTop w:val="0"/>
          <w:marBottom w:val="0"/>
          <w:divBdr>
            <w:top w:val="none" w:sz="0" w:space="0" w:color="auto"/>
            <w:left w:val="none" w:sz="0" w:space="0" w:color="auto"/>
            <w:bottom w:val="none" w:sz="0" w:space="0" w:color="auto"/>
            <w:right w:val="none" w:sz="0" w:space="0" w:color="auto"/>
          </w:divBdr>
          <w:divsChild>
            <w:div w:id="1909073157">
              <w:marLeft w:val="0"/>
              <w:marRight w:val="150"/>
              <w:marTop w:val="0"/>
              <w:marBottom w:val="75"/>
              <w:divBdr>
                <w:top w:val="none" w:sz="0" w:space="0" w:color="auto"/>
                <w:left w:val="none" w:sz="0" w:space="0" w:color="auto"/>
                <w:bottom w:val="none" w:sz="0" w:space="0" w:color="auto"/>
                <w:right w:val="none" w:sz="0" w:space="0" w:color="auto"/>
              </w:divBdr>
            </w:div>
          </w:divsChild>
        </w:div>
        <w:div w:id="540939859">
          <w:marLeft w:val="0"/>
          <w:marRight w:val="0"/>
          <w:marTop w:val="0"/>
          <w:marBottom w:val="0"/>
          <w:divBdr>
            <w:top w:val="none" w:sz="0" w:space="0" w:color="auto"/>
            <w:left w:val="none" w:sz="0" w:space="0" w:color="auto"/>
            <w:bottom w:val="none" w:sz="0" w:space="0" w:color="auto"/>
            <w:right w:val="none" w:sz="0" w:space="0" w:color="auto"/>
          </w:divBdr>
          <w:divsChild>
            <w:div w:id="20269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8723">
      <w:bodyDiv w:val="1"/>
      <w:marLeft w:val="0"/>
      <w:marRight w:val="0"/>
      <w:marTop w:val="0"/>
      <w:marBottom w:val="0"/>
      <w:divBdr>
        <w:top w:val="none" w:sz="0" w:space="0" w:color="auto"/>
        <w:left w:val="none" w:sz="0" w:space="0" w:color="auto"/>
        <w:bottom w:val="none" w:sz="0" w:space="0" w:color="auto"/>
        <w:right w:val="none" w:sz="0" w:space="0" w:color="auto"/>
      </w:divBdr>
    </w:div>
    <w:div w:id="2071532588">
      <w:bodyDiv w:val="1"/>
      <w:marLeft w:val="0"/>
      <w:marRight w:val="0"/>
      <w:marTop w:val="0"/>
      <w:marBottom w:val="0"/>
      <w:divBdr>
        <w:top w:val="none" w:sz="0" w:space="0" w:color="auto"/>
        <w:left w:val="none" w:sz="0" w:space="0" w:color="auto"/>
        <w:bottom w:val="none" w:sz="0" w:space="0" w:color="auto"/>
        <w:right w:val="none" w:sz="0" w:space="0" w:color="auto"/>
      </w:divBdr>
    </w:div>
    <w:div w:id="2094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mmission.europa.eu/publications/key-documents-repowereu_en" TargetMode="External"/><Relationship Id="rId117" Type="http://schemas.openxmlformats.org/officeDocument/2006/relationships/hyperlink" Target="https://home-affairs.ec.europa.eu/news/awards-innovative-projects-civil-security-presented-dg-home-2022-10-11_en" TargetMode="External"/><Relationship Id="rId21" Type="http://schemas.openxmlformats.org/officeDocument/2006/relationships/hyperlink" Target="http://www.sareurope.eu/msca4ukraine" TargetMode="External"/><Relationship Id="rId42" Type="http://schemas.openxmlformats.org/officeDocument/2006/relationships/hyperlink" Target="https://eur-lex.europa.eu/eli/dec/2022/2481/oj" TargetMode="External"/><Relationship Id="rId47" Type="http://schemas.openxmlformats.org/officeDocument/2006/relationships/hyperlink" Target="https://eur-lex.europa.eu/legal-content/FI/TXT/HTML/?uri=CELEX:52022PC0057" TargetMode="External"/><Relationship Id="rId63" Type="http://schemas.openxmlformats.org/officeDocument/2006/relationships/hyperlink" Target="https://research-and-innovation.ec.europa.eu/system/files/2021-11/ec_rtd_era-policy-agenda-2021.pdf" TargetMode="External"/><Relationship Id="rId68" Type="http://schemas.openxmlformats.org/officeDocument/2006/relationships/hyperlink" Target="https://www.europarl.europa.eu/doceo/document/TA-9-2022-0112_FI.html" TargetMode="External"/><Relationship Id="rId84" Type="http://schemas.openxmlformats.org/officeDocument/2006/relationships/hyperlink" Target="https://new-european-bauhaus.europa.eu/about/neb-lab_en" TargetMode="External"/><Relationship Id="rId89" Type="http://schemas.openxmlformats.org/officeDocument/2006/relationships/hyperlink" Target="https://research-and-innovation.ec.europa.eu/funding/funding-opportunities/funding-programmes-and-open-calls/horizon-europe/horizon-europe-work-programmes_en" TargetMode="External"/><Relationship Id="rId112" Type="http://schemas.openxmlformats.org/officeDocument/2006/relationships/hyperlink" Target="https://commission.europa.eu/strategy-and-policy/priorities-2019-2024/europe-fit-digital-age/european-data-strategy_fi" TargetMode="External"/><Relationship Id="rId16" Type="http://schemas.openxmlformats.org/officeDocument/2006/relationships/hyperlink" Target="https://eur-lex.europa.eu/eli/reg/2021/695/oj" TargetMode="External"/><Relationship Id="rId107" Type="http://schemas.openxmlformats.org/officeDocument/2006/relationships/hyperlink" Target="https://ec.europa.eu/research-and-innovation/en/events/upcoming-events/research-innovation-days" TargetMode="External"/><Relationship Id="rId11" Type="http://schemas.openxmlformats.org/officeDocument/2006/relationships/footer" Target="footer1.xml"/><Relationship Id="rId32" Type="http://schemas.openxmlformats.org/officeDocument/2006/relationships/hyperlink" Target="https://op.europa.eu/en/publication-detail/-/publication/9f04603f-534b-11ed-92ed-01aa75ed71a1/language-en/format-PDF/source-273210885" TargetMode="External"/><Relationship Id="rId37" Type="http://schemas.openxmlformats.org/officeDocument/2006/relationships/hyperlink" Target="https://environment.ec.europa.eu/publications/proposal-packaging-and-packaging-waste_en" TargetMode="External"/><Relationship Id="rId53" Type="http://schemas.openxmlformats.org/officeDocument/2006/relationships/hyperlink" Target="https://home-affairs.ec.europa.eu/networks/ceris-community-european-research-and-innovation-security_en" TargetMode="External"/><Relationship Id="rId58" Type="http://schemas.openxmlformats.org/officeDocument/2006/relationships/hyperlink" Target="https://health.ec.europa.eu/publications/covid-19-sustaining-eu-preparedness-and-response-looking-ahead-0_en" TargetMode="External"/><Relationship Id="rId74" Type="http://schemas.openxmlformats.org/officeDocument/2006/relationships/hyperlink" Target="https://www.state.gov/u-s-eu-trade-and-technology-council-ttc/" TargetMode="External"/><Relationship Id="rId79" Type="http://schemas.openxmlformats.org/officeDocument/2006/relationships/hyperlink" Target="https://food.ec.europa.eu/horizontal-topics/farm-fork-strategy/international-dimension/eu-lac_en" TargetMode="External"/><Relationship Id="rId102" Type="http://schemas.openxmlformats.org/officeDocument/2006/relationships/image" Target="media/image6.emf"/><Relationship Id="rId123" Type="http://schemas.openxmlformats.org/officeDocument/2006/relationships/hyperlink" Target="https://research-and-innovation.ec.europa.eu/news/all-research-and-innovation-news/results-public-consultation-future-eu-research-and-innovation-programmes-are-now-public-2023-04-19_en" TargetMode="External"/><Relationship Id="rId128" Type="http://schemas.openxmlformats.org/officeDocument/2006/relationships/footer" Target="footer5.xml"/><Relationship Id="rId5" Type="http://schemas.openxmlformats.org/officeDocument/2006/relationships/webSettings" Target="webSettings.xml"/><Relationship Id="rId90" Type="http://schemas.openxmlformats.org/officeDocument/2006/relationships/hyperlink" Target="https://ec.europa.eu/info/funding-tenders/opportunities/docs/2021-2027/common/guidance/list-3rd-country-participation_horizon-euratom_en.pdf" TargetMode="External"/><Relationship Id="rId95" Type="http://schemas.openxmlformats.org/officeDocument/2006/relationships/image" Target="media/image3.emf"/><Relationship Id="rId19" Type="http://schemas.openxmlformats.org/officeDocument/2006/relationships/hyperlink" Target="https://research-and-innovation.ec.europa.eu/strategy/strategy-2020-2024/europe-world/international-cooperation/russia_en" TargetMode="External"/><Relationship Id="rId14" Type="http://schemas.openxmlformats.org/officeDocument/2006/relationships/footer" Target="footer3.xml"/><Relationship Id="rId22" Type="http://schemas.openxmlformats.org/officeDocument/2006/relationships/hyperlink" Target="https://eic.ec.europa.eu/index_en" TargetMode="External"/><Relationship Id="rId27" Type="http://schemas.openxmlformats.org/officeDocument/2006/relationships/hyperlink" Target="https://eur-lex.europa.eu/legal-content/FI/TXT/?qid=1653034500503&amp;uri=COM%3A2022%3A221%3AFIN" TargetMode="External"/><Relationship Id="rId30" Type="http://schemas.openxmlformats.org/officeDocument/2006/relationships/hyperlink" Target="https://research-and-innovation.ec.europa.eu/system/files/2022-01/ec_rtd_swd-era-clean-hydrogen.pdf" TargetMode="External"/><Relationship Id="rId35" Type="http://schemas.openxmlformats.org/officeDocument/2006/relationships/hyperlink" Target="https://environment.ec.europa.eu/strategy/textiles-strategy_en" TargetMode="External"/><Relationship Id="rId43" Type="http://schemas.openxmlformats.org/officeDocument/2006/relationships/hyperlink" Target="https://ec.europa.eu/commission/presscorner/detail/fi/IP_22_3855" TargetMode="External"/><Relationship Id="rId48" Type="http://schemas.openxmlformats.org/officeDocument/2006/relationships/hyperlink" Target="https://research-and-innovation.ec.europa.eu/research-area/industrial-research-and-innovation/industry-50/award_en" TargetMode="External"/><Relationship Id="rId56" Type="http://schemas.openxmlformats.org/officeDocument/2006/relationships/hyperlink" Target="https://agriculture.ec.europa.eu/common-agricultural-policy/agri-food-supply-chain/ensuring-global-food-supply-and-food-security_en" TargetMode="External"/><Relationship Id="rId64" Type="http://schemas.openxmlformats.org/officeDocument/2006/relationships/hyperlink" Target="https://coara.eu/app/uploads/2022/09/2022_07_19_rra_agreement_final.pdf" TargetMode="External"/><Relationship Id="rId69" Type="http://schemas.openxmlformats.org/officeDocument/2006/relationships/hyperlink" Target="https://research-and-innovation.ec.europa.eu/system/files/2022-02/final_au-eu_ia_14_february.pdf" TargetMode="External"/><Relationship Id="rId77" Type="http://schemas.openxmlformats.org/officeDocument/2006/relationships/hyperlink" Target="https://food.ec.europa.eu/horizontal-topics/farm-fork-strategy/international-dimension/eu-canada-dialogue_en" TargetMode="External"/><Relationship Id="rId100" Type="http://schemas.openxmlformats.org/officeDocument/2006/relationships/image" Target="media/image5.emf"/><Relationship Id="rId105" Type="http://schemas.openxmlformats.org/officeDocument/2006/relationships/hyperlink" Target="https://op.europa.eu/en/publication-detail/-/publication/b6b49690-a376-11ed-b508-01aa75ed71a1/language-en/format-PDF/source-279944813" TargetMode="External"/><Relationship Id="rId113" Type="http://schemas.openxmlformats.org/officeDocument/2006/relationships/hyperlink" Target="https://www.innoradar.eu/" TargetMode="External"/><Relationship Id="rId118" Type="http://schemas.openxmlformats.org/officeDocument/2006/relationships/hyperlink" Target="https://home-affairs.ec.europa.eu/networks/ceris-community-european-research-and-innovation-security_en" TargetMode="External"/><Relationship Id="rId126" Type="http://schemas.openxmlformats.org/officeDocument/2006/relationships/header" Target="header5.xml"/><Relationship Id="rId8" Type="http://schemas.openxmlformats.org/officeDocument/2006/relationships/image" Target="media/image1.emf"/><Relationship Id="rId51" Type="http://schemas.openxmlformats.org/officeDocument/2006/relationships/hyperlink" Target="https://eur-lex.europa.eu/legal-content/FI/TXT/?uri=CELEX%3A32022L2557" TargetMode="External"/><Relationship Id="rId72" Type="http://schemas.openxmlformats.org/officeDocument/2006/relationships/hyperlink" Target="https://research-and-innovation.ec.europa.eu/news/all-research-and-innovation-news/eu-and-china-have-signed-administrative-arrangement-support-cooperation-2022-04-26_en" TargetMode="External"/><Relationship Id="rId80" Type="http://schemas.openxmlformats.org/officeDocument/2006/relationships/hyperlink" Target="https://www.mscadvocacy.eu/" TargetMode="External"/><Relationship Id="rId85" Type="http://schemas.openxmlformats.org/officeDocument/2006/relationships/hyperlink" Target="https://research-and-innovation.ec.europa.eu/funding/funding-opportunities/funding-programmes-and-open-calls/horizon-europe/horizon-europe-work-programmes_en" TargetMode="External"/><Relationship Id="rId93" Type="http://schemas.openxmlformats.org/officeDocument/2006/relationships/hyperlink" Target="https://www.europarl.europa.eu/RegData/etudes/BRIE/2020/646148/EPRS_BRI(2020)646148_EN.pdf" TargetMode="External"/><Relationship Id="rId98" Type="http://schemas.openxmlformats.org/officeDocument/2006/relationships/hyperlink" Target="https://research-and-innovation.ec.europa.eu/funding/funding-opportunities/funding-programmes-and-open-calls/horizon-europe/strategic-plan_en" TargetMode="External"/><Relationship Id="rId121" Type="http://schemas.openxmlformats.org/officeDocument/2006/relationships/hyperlink" Target="https://cordis.europa.e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ur-lex.europa.eu/eli/reg/2021/765/oj" TargetMode="External"/><Relationship Id="rId25" Type="http://schemas.openxmlformats.org/officeDocument/2006/relationships/hyperlink" Target="https://cordis.europa.eu/programme/id/HORIZON_HORIZON-EURATOM-2022-NRT-01-01" TargetMode="External"/><Relationship Id="rId33" Type="http://schemas.openxmlformats.org/officeDocument/2006/relationships/hyperlink" Target="https://eur-lex.europa.eu/legal-content/FI/TXT/PDF/?uri=CELEX:32022H2510&amp;from=FI" TargetMode="External"/><Relationship Id="rId38" Type="http://schemas.openxmlformats.org/officeDocument/2006/relationships/hyperlink" Target="https://environment.ec.europa.eu/publications/communication-eu-policy-framework-biobased-biodegradable-and-compostable-plastics_en" TargetMode="External"/><Relationship Id="rId46" Type="http://schemas.openxmlformats.org/officeDocument/2006/relationships/hyperlink" Target="https://commission.europa.eu/strategy-and-policy/priorities-2019-2024/europe-fit-digital-age/european-chips-act_fi" TargetMode="External"/><Relationship Id="rId59" Type="http://schemas.openxmlformats.org/officeDocument/2006/relationships/hyperlink" Target="https://health.ec.europa.eu/publications/covid-19-sustaining-eu-preparedness-and-response-looking-ahead-0_en" TargetMode="External"/><Relationship Id="rId67" Type="http://schemas.openxmlformats.org/officeDocument/2006/relationships/hyperlink" Target="https://ec.europa.eu/commission/presscorner/detail/fi/ip_21_2465" TargetMode="External"/><Relationship Id="rId103" Type="http://schemas.openxmlformats.org/officeDocument/2006/relationships/hyperlink" Target="https://eit.europa.eu/" TargetMode="External"/><Relationship Id="rId108" Type="http://schemas.openxmlformats.org/officeDocument/2006/relationships/hyperlink" Target="https://ec.europa.eu/info/funding-tenders/opportunities/portal/screen/opportunities/horizon-results-platform" TargetMode="External"/><Relationship Id="rId116" Type="http://schemas.openxmlformats.org/officeDocument/2006/relationships/hyperlink" Target="https://hsbooster.eu/" TargetMode="External"/><Relationship Id="rId124" Type="http://schemas.openxmlformats.org/officeDocument/2006/relationships/hyperlink" Target="https://research-and-innovation.ec.europa.eu/funding/funding-opportunities/eucys_en" TargetMode="External"/><Relationship Id="rId129" Type="http://schemas.openxmlformats.org/officeDocument/2006/relationships/header" Target="header6.xml"/><Relationship Id="rId20" Type="http://schemas.openxmlformats.org/officeDocument/2006/relationships/hyperlink" Target="https://euraxess.ec.europa.eu/ukraine" TargetMode="External"/><Relationship Id="rId41" Type="http://schemas.openxmlformats.org/officeDocument/2006/relationships/hyperlink" Target="https://data.consilium.europa.eu/doc/document/ST-9107-2022-INIT/fi/pdf" TargetMode="External"/><Relationship Id="rId54" Type="http://schemas.openxmlformats.org/officeDocument/2006/relationships/hyperlink" Target="https://home-affairs.ec.europa.eu/news/first-meeting-ceris-expert-group-takes-place-brussels-2023-02-14_en" TargetMode="External"/><Relationship Id="rId62" Type="http://schemas.openxmlformats.org/officeDocument/2006/relationships/hyperlink" Target="https://ec.europa.eu/transparency/expert-groups-register/screen/expert-groups/consult?lang=fi&amp;groupID=3833" TargetMode="External"/><Relationship Id="rId70" Type="http://schemas.openxmlformats.org/officeDocument/2006/relationships/hyperlink" Target="https://research-and-innovation.ec.europa.eu/news/all-research-and-innovation-news/1st-union-mediterranean-ministerial-meeting-research-and-innovation-2022-06-03_en" TargetMode="External"/><Relationship Id="rId75" Type="http://schemas.openxmlformats.org/officeDocument/2006/relationships/hyperlink" Target="https://research-and-innovation.ec.europa.eu/research-area/environment/climate-change-science/international-cooperation-ipcc_en" TargetMode="External"/><Relationship Id="rId83" Type="http://schemas.openxmlformats.org/officeDocument/2006/relationships/hyperlink" Target="https://new-european-bauhaus.europa.eu/index_en" TargetMode="External"/><Relationship Id="rId88" Type="http://schemas.openxmlformats.org/officeDocument/2006/relationships/hyperlink" Target="https://research-and-innovation.ec.europa.eu/funding/funding-opportunities/funding-programmes-and-open-calls/horizon-europe/strategic-plan_en" TargetMode="External"/><Relationship Id="rId91" Type="http://schemas.openxmlformats.org/officeDocument/2006/relationships/hyperlink" Target="https://erc.europa.eu/homepage" TargetMode="External"/><Relationship Id="rId96" Type="http://schemas.openxmlformats.org/officeDocument/2006/relationships/hyperlink" Target="https://rea.ec.europa.eu/horizon-europe-widening-who-should-apply_en" TargetMode="External"/><Relationship Id="rId111" Type="http://schemas.openxmlformats.org/officeDocument/2006/relationships/hyperlink" Target="https://ec.europa.eu/info/funding-tenders/opportunities/portal/screen/opportunities/horizon-dashboard"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eli/treaty/euratom_2012/oj" TargetMode="External"/><Relationship Id="rId23" Type="http://schemas.openxmlformats.org/officeDocument/2006/relationships/hyperlink" Target="https://commission.europa.eu/publications/key-documents-repowereu_en" TargetMode="External"/><Relationship Id="rId28" Type="http://schemas.openxmlformats.org/officeDocument/2006/relationships/hyperlink" Target="https://eur-lex.europa.eu/legal-content/FI/TXT/?qid=1666369684560&amp;uri=CELEX%3A52022DC0552" TargetMode="External"/><Relationship Id="rId36" Type="http://schemas.openxmlformats.org/officeDocument/2006/relationships/hyperlink" Target="https://ec.europa.eu/docsroom/documents/49315" TargetMode="External"/><Relationship Id="rId49" Type="http://schemas.openxmlformats.org/officeDocument/2006/relationships/hyperlink" Target="https://ec.europa.eu/commission/presscorner/detail/fi/ip_22_6238" TargetMode="External"/><Relationship Id="rId57" Type="http://schemas.openxmlformats.org/officeDocument/2006/relationships/hyperlink" Target="https://www.covid19dataportal.org/" TargetMode="External"/><Relationship Id="rId106" Type="http://schemas.openxmlformats.org/officeDocument/2006/relationships/hyperlink" Target="https://op.europa.eu/en/publication-detail/-/publication/5efbc2a4-f68a-11ec-b976-01aa75ed71a1/language-en/format-PDF/source-260379944" TargetMode="External"/><Relationship Id="rId114" Type="http://schemas.openxmlformats.org/officeDocument/2006/relationships/hyperlink" Target="https://webgate.ec.europa.eu/dashboard/sense/app/984fb9e1-b5ad-44ee-b380-c7da695cfd6e/sheet/371667d5-31a8-4cbb-b4ca-ece4bbcc02a8/state/analysis" TargetMode="External"/><Relationship Id="rId119" Type="http://schemas.openxmlformats.org/officeDocument/2006/relationships/hyperlink" Target="https://ec.europa.eu/eip/agriculture/en/node" TargetMode="External"/><Relationship Id="rId127" Type="http://schemas.openxmlformats.org/officeDocument/2006/relationships/footer" Target="footer4.xml"/><Relationship Id="rId10" Type="http://schemas.openxmlformats.org/officeDocument/2006/relationships/header" Target="header2.xml"/><Relationship Id="rId31" Type="http://schemas.openxmlformats.org/officeDocument/2006/relationships/hyperlink" Target="https://eur-lex.europa.eu/legal-content/FI/TXT/?uri=CELEX%3A52022DC0332" TargetMode="External"/><Relationship Id="rId44" Type="http://schemas.openxmlformats.org/officeDocument/2006/relationships/hyperlink" Target="https://op.europa.eu/en/publication-detail/-/publication/90f1ee85-ca88-11ec-b6f4-01aa75ed71a1/language-en" TargetMode="External"/><Relationship Id="rId52" Type="http://schemas.openxmlformats.org/officeDocument/2006/relationships/hyperlink" Target="https://commission.europa.eu/publications/fifth-progress-report-eu-security-union-strategy_en" TargetMode="External"/><Relationship Id="rId60" Type="http://schemas.openxmlformats.org/officeDocument/2006/relationships/hyperlink" Target="https://commission.europa.eu/business-economy-euro/economic-recovery/recovery-and-resilience-facility_fi" TargetMode="External"/><Relationship Id="rId65" Type="http://schemas.openxmlformats.org/officeDocument/2006/relationships/hyperlink" Target="https://eur-lex.europa.eu/legal-content/FI/TXT/?qid=1670573108748&amp;uri=CELEX%3A32022H2415" TargetMode="External"/><Relationship Id="rId73" Type="http://schemas.openxmlformats.org/officeDocument/2006/relationships/hyperlink" Target="https://research-and-innovation.ec.europa.eu/news/all-research-and-innovation-news/eu-us-joint-consultative-group-st-cooperation-meeting-2022-10-12_en" TargetMode="External"/><Relationship Id="rId78" Type="http://schemas.openxmlformats.org/officeDocument/2006/relationships/hyperlink" Target="https://agriculture.ec.europa.eu/international/international-cooperation/eu-us-collaboration_en" TargetMode="External"/><Relationship Id="rId81" Type="http://schemas.openxmlformats.org/officeDocument/2006/relationships/hyperlink" Target="https://commission.europa.eu/strategy-and-policy/strategic-planning/strategic-foresight/2022-strategic-foresight-report_fi" TargetMode="External"/><Relationship Id="rId86" Type="http://schemas.openxmlformats.org/officeDocument/2006/relationships/hyperlink" Target="https://research-and-innovation.ec.europa.eu/funding/funding-opportunities/funding-programmes-and-open-calls/horizon-europe/eu-missions-horizon-europe_en" TargetMode="External"/><Relationship Id="rId94" Type="http://schemas.openxmlformats.org/officeDocument/2006/relationships/image" Target="media/image2.emf"/><Relationship Id="rId99" Type="http://schemas.openxmlformats.org/officeDocument/2006/relationships/image" Target="media/image4.png"/><Relationship Id="rId101" Type="http://schemas.openxmlformats.org/officeDocument/2006/relationships/hyperlink" Target="https://home-affairs.ec.europa.eu/networks/ceris-community-european-research-and-innovation-security_en" TargetMode="External"/><Relationship Id="rId122" Type="http://schemas.openxmlformats.org/officeDocument/2006/relationships/hyperlink" Target="https://op.europa.eu/en/publication-detail/-/publication/cdfe7634-d7e9-11ec-a95f-01aa75ed71a1/language-en/format-PDF/source-search" TargetMode="External"/><Relationship Id="rId13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ur-lex.europa.eu/legal-content/FI/TXT/?uri=COM%3A2021%3A252%3AFIN" TargetMode="External"/><Relationship Id="rId39" Type="http://schemas.openxmlformats.org/officeDocument/2006/relationships/hyperlink" Target="https://oceans-and-fisheries.ec.europa.eu/publications/setting-course-sustainable-blue-planet-joint-communication-eus-international-ocean-governance-agenda_en" TargetMode="External"/><Relationship Id="rId109" Type="http://schemas.openxmlformats.org/officeDocument/2006/relationships/hyperlink" Target="https://www.horizonresultsbooster.eu" TargetMode="External"/><Relationship Id="rId34" Type="http://schemas.openxmlformats.org/officeDocument/2006/relationships/hyperlink" Target="https://commission.europa.eu/energy-climate-change-environment/standards-tools-and-labels/products-labelling-rules-and-requirements/sustainable-products/about-sustainable-products_fi" TargetMode="External"/><Relationship Id="rId50" Type="http://schemas.openxmlformats.org/officeDocument/2006/relationships/hyperlink" Target="https://op.europa.eu/en/publication-detail/-/publication/4ff58608-9866-11ed-b508-01aa75ed71a1/language-fi" TargetMode="External"/><Relationship Id="rId55" Type="http://schemas.openxmlformats.org/officeDocument/2006/relationships/hyperlink" Target="https://home-affairs.ec.europa.eu/networks/ceris-community-european-research-and-innovation-security/about-ceris_en" TargetMode="External"/><Relationship Id="rId76" Type="http://schemas.openxmlformats.org/officeDocument/2006/relationships/hyperlink" Target="https://op.europa.eu/en/publication-detail/-/publication/4846a018-cd83-11eb-ac72-01aa75ed71a1" TargetMode="External"/><Relationship Id="rId97" Type="http://schemas.openxmlformats.org/officeDocument/2006/relationships/hyperlink" Target="https://op.europa.eu/en/publication-detail/-/publication/a6cbe152-d19e-11ec-a95f-01aa75ed71a1/language-en/format-PDF/source-search" TargetMode="External"/><Relationship Id="rId104" Type="http://schemas.openxmlformats.org/officeDocument/2006/relationships/hyperlink" Target="https://eit.europa.eu/our-communities/eit-innovation-communities" TargetMode="External"/><Relationship Id="rId120" Type="http://schemas.openxmlformats.org/officeDocument/2006/relationships/hyperlink" Target="https://webgate.ec.europa.eu/maritimeforum/en/frontpage/1451" TargetMode="External"/><Relationship Id="rId125"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ufmsecretariat.org/wp-content/uploads/2022/06/UfM-Ministerial-Declaration-RI-EN-270622.pdf" TargetMode="External"/><Relationship Id="rId92" Type="http://schemas.openxmlformats.org/officeDocument/2006/relationships/hyperlink" Target="https://eic.ec.europa.eu/index_en" TargetMode="External"/><Relationship Id="rId2" Type="http://schemas.openxmlformats.org/officeDocument/2006/relationships/numbering" Target="numbering.xml"/><Relationship Id="rId29" Type="http://schemas.openxmlformats.org/officeDocument/2006/relationships/hyperlink" Target="https://eur-lex.europa.eu/legal-content/FI/TXT/?qid=1666595113558&amp;uri=CELEX%3A52022DC0547" TargetMode="External"/><Relationship Id="rId24" Type="http://schemas.openxmlformats.org/officeDocument/2006/relationships/hyperlink" Target="https://research-and-innovation.ec.europa.eu/funding/funding-opportunities/funding-programmes-and-open-calls/horizon-europe/euratom-research-and-training-programme_en" TargetMode="External"/><Relationship Id="rId40" Type="http://schemas.openxmlformats.org/officeDocument/2006/relationships/hyperlink" Target="https://eur-lex.europa.eu/legal-content/FI/TXT/?uri=COM%3A2022%3A592%3AFIN" TargetMode="External"/><Relationship Id="rId45" Type="http://schemas.openxmlformats.org/officeDocument/2006/relationships/hyperlink" Target="https://op.europa.eu/en/publication-detail/-/publication/06851eec-7f4d-11ed-9887-01aa75ed71a1/language-en/format-PDF/source-278157078" TargetMode="External"/><Relationship Id="rId66" Type="http://schemas.openxmlformats.org/officeDocument/2006/relationships/hyperlink" Target="https://eur-lex.europa.eu/legal-content/FI/TXT/?uri=uriserv%3AOJ.C_.2022.421.01.0007.01.ENG&amp;toc=OJ%3AC%3A2022%3A421%3ATOC." TargetMode="External"/><Relationship Id="rId87" Type="http://schemas.openxmlformats.org/officeDocument/2006/relationships/hyperlink" Target="https://ec.europa.eu/research-and-innovation/en/events/upcoming-events/research-innovation-days" TargetMode="External"/><Relationship Id="rId110" Type="http://schemas.openxmlformats.org/officeDocument/2006/relationships/hyperlink" Target="https://cordis.europa.eu/" TargetMode="External"/><Relationship Id="rId115" Type="http://schemas.openxmlformats.org/officeDocument/2006/relationships/hyperlink" Target="https://research-and-innovation.ec.europa.eu/strategy/dissemination-and-exploitation-research-results_en" TargetMode="External"/><Relationship Id="rId131" Type="http://schemas.openxmlformats.org/officeDocument/2006/relationships/fontTable" Target="fontTable.xml"/><Relationship Id="rId61" Type="http://schemas.openxmlformats.org/officeDocument/2006/relationships/hyperlink" Target="https://research-and-innovation.ec.europa.eu/strategy/support-policy-making/support-national-research-and-innovation-policy-making/enhanced-dialogue-eu-countries_en" TargetMode="External"/><Relationship Id="rId82" Type="http://schemas.openxmlformats.org/officeDocument/2006/relationships/hyperlink" Target="https://joint-research-centre.ec.europa.eu/jrc-news/new-blue-economy-observatory-monitor-and-promote-sustainability-our-ocean-related-activities-2022-05-19_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joint-research-centre.ec.europa.eu/system/files/2021-06/c_2021_3675_f1_annex_en_v3_p1_1190964.pdf" TargetMode="External"/><Relationship Id="rId1" Type="http://schemas.openxmlformats.org/officeDocument/2006/relationships/hyperlink" Target="https://eur-lex.europa.eu/legal-content/FI/TXT/?uri=CELEX%3A02014R0833-20230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7CE223-89E4-48F7-B39B-F87F1A36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5006</Words>
  <Characters>41002</Characters>
  <Application>Microsoft Office Word</Application>
  <DocSecurity>0</DocSecurity>
  <Lines>1079</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2023-04-25T08:32:00Z</dcterms:created>
  <dcterms:modified xsi:type="dcterms:W3CDTF">2023-05-23T14:59:00Z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2023-05-22T11:35:37Z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1d08fdfc-282b-477b-a189-174e68468abd</vt:lpwstr>
  </property>
  <property fmtid="{D5CDD505-2E9C-101B-9397-08002B2CF9AE}" pid="15" name="MSIP_Label_6bd9ddd1-4d20-43f6-abfa-fc3c07406f94_ContentBits">
    <vt:lpwstr>0</vt:lpwstr>
  </property>
</Properties>
</file>