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25840" w14:textId="1964684D" w:rsidR="006D5409" w:rsidRPr="00955A19" w:rsidRDefault="008D5B52" w:rsidP="008D5B52">
      <w:pPr>
        <w:pStyle w:val="Pagedecouverture"/>
        <w:rPr>
          <w:noProof/>
          <w:lang w:val="sk-SK"/>
        </w:rPr>
      </w:pPr>
      <w:bookmarkStart w:id="0" w:name="LW_BM_COVERPAGE"/>
      <w:r>
        <w:rPr>
          <w:noProof/>
          <w:lang w:val="sk-SK"/>
        </w:rPr>
        <w:pict w14:anchorId="2C599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E181495C-D4D0-4C39-B6F0-63B93EC73BD2" style="width:455.25pt;height:310.5pt">
            <v:imagedata r:id="rId11" o:title=""/>
          </v:shape>
        </w:pict>
      </w:r>
    </w:p>
    <w:bookmarkEnd w:id="0"/>
    <w:p w14:paraId="34E03072" w14:textId="77777777" w:rsidR="006D5409" w:rsidRPr="00955A19" w:rsidRDefault="006D5409" w:rsidP="006D5409">
      <w:pPr>
        <w:rPr>
          <w:noProof/>
          <w:lang w:val="sk-SK"/>
        </w:rPr>
        <w:sectPr w:rsidR="006D5409" w:rsidRPr="00955A19" w:rsidSect="008D5B5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tbl>
      <w:tblPr>
        <w:tblStyle w:val="TableLetterhead"/>
        <w:tblW w:w="9480" w:type="dxa"/>
        <w:tblLook w:val="04A0" w:firstRow="1" w:lastRow="0" w:firstColumn="1" w:lastColumn="0" w:noHBand="0" w:noVBand="1"/>
        <w:tblDescription w:val="Táto tabuľka obsahuje logo Európskej komisie v ľavom stĺpci a informácie o organizačnej jednotke podpisujúceho alebo autora v pravom stĺpci."/>
      </w:tblPr>
      <w:tblGrid>
        <w:gridCol w:w="2400"/>
        <w:gridCol w:w="7080"/>
      </w:tblGrid>
      <w:tr w:rsidR="00815A8F" w:rsidRPr="00955A19" w14:paraId="26FAA3E9" w14:textId="77777777" w:rsidTr="006D5409">
        <w:trPr>
          <w:trHeight w:val="1320"/>
        </w:trPr>
        <w:tc>
          <w:tcPr>
            <w:tcW w:w="2400" w:type="dxa"/>
          </w:tcPr>
          <w:p w14:paraId="17AF4ACD" w14:textId="77777777" w:rsidR="00815A8F" w:rsidRPr="00955A19" w:rsidRDefault="00815A8F">
            <w:pPr>
              <w:pStyle w:val="ZFlag"/>
              <w:rPr>
                <w:noProof/>
                <w:lang w:val="sk-SK"/>
              </w:rPr>
            </w:pPr>
            <w:bookmarkStart w:id="1" w:name="_GoBack"/>
            <w:bookmarkEnd w:id="1"/>
          </w:p>
        </w:tc>
        <w:tc>
          <w:tcPr>
            <w:tcW w:w="7080" w:type="dxa"/>
          </w:tcPr>
          <w:p w14:paraId="3AD56118" w14:textId="77777777" w:rsidR="00815A8F" w:rsidRPr="00955A19" w:rsidRDefault="00815A8F">
            <w:pPr>
              <w:pStyle w:val="ZDGName"/>
              <w:rPr>
                <w:b/>
                <w:noProof/>
                <w:lang w:val="sk-SK"/>
              </w:rPr>
            </w:pPr>
          </w:p>
        </w:tc>
      </w:tr>
    </w:tbl>
    <w:sdt>
      <w:sdtPr>
        <w:rPr>
          <w:rFonts w:ascii="Times New Roman" w:hAnsi="Times New Roman"/>
          <w:b w:val="0"/>
          <w:noProof/>
          <w:sz w:val="22"/>
          <w:lang w:val="sk-SK"/>
        </w:rPr>
        <w:alias w:val="Obsah"/>
        <w:tag w:val="eqT1QegFOKAi3zHpinqjV4"/>
        <w:id w:val="182716982"/>
      </w:sdtPr>
      <w:sdtEndPr/>
      <w:sdtContent>
        <w:p w14:paraId="786ED6B1" w14:textId="77777777" w:rsidR="00815A8F" w:rsidRPr="00955A19" w:rsidRDefault="008D5B52">
          <w:pPr>
            <w:pStyle w:val="TOCHeading"/>
            <w:rPr>
              <w:noProof/>
              <w:lang w:val="sk-SK"/>
            </w:rPr>
          </w:pPr>
          <w:sdt>
            <w:sdtPr>
              <w:rPr>
                <w:noProof/>
                <w:lang w:val="sk-SK"/>
              </w:rPr>
              <w:id w:val="-745805154"/>
              <w:dataBinding w:xpath="/Texts/TOCHeading" w:storeItemID="{4EF90DE6-88B6-4264-9629-4D8DFDFE87D2}"/>
              <w:text w:multiLine="1"/>
            </w:sdtPr>
            <w:sdtEndPr/>
            <w:sdtContent>
              <w:r w:rsidR="00F65C93" w:rsidRPr="00955A19">
                <w:rPr>
                  <w:noProof/>
                  <w:lang w:val="sk-SK"/>
                </w:rPr>
                <w:t>Obsah</w:t>
              </w:r>
            </w:sdtContent>
          </w:sdt>
        </w:p>
        <w:p w14:paraId="681F967F" w14:textId="14784AA0" w:rsidR="006E0740" w:rsidRPr="00955A19" w:rsidRDefault="00797A87">
          <w:pPr>
            <w:pStyle w:val="TOC1"/>
            <w:rPr>
              <w:rFonts w:asciiTheme="minorHAnsi" w:eastAsiaTheme="minorEastAsia" w:hAnsiTheme="minorHAnsi" w:cstheme="minorBidi"/>
              <w:b w:val="0"/>
              <w:noProof/>
              <w:sz w:val="22"/>
              <w:szCs w:val="22"/>
              <w:lang w:val="sk-SK"/>
            </w:rPr>
          </w:pPr>
          <w:r w:rsidRPr="00955A19">
            <w:rPr>
              <w:noProof/>
              <w:lang w:val="sk-SK"/>
            </w:rPr>
            <w:fldChar w:fldCharType="begin"/>
          </w:r>
          <w:r w:rsidRPr="00955A19">
            <w:rPr>
              <w:noProof/>
              <w:lang w:val="sk-SK"/>
            </w:rPr>
            <w:instrText>TOC \o "1-4" \h \z \t "ChapterTitle;5;PartTitle;5;SectionTitle;5;AnnexTitle;6" \* MERGEFORMAT</w:instrText>
          </w:r>
          <w:r w:rsidRPr="00955A19">
            <w:rPr>
              <w:noProof/>
              <w:lang w:val="sk-SK"/>
            </w:rPr>
            <w:fldChar w:fldCharType="separate"/>
          </w:r>
          <w:hyperlink w:anchor="_Toc136296241" w:history="1">
            <w:r w:rsidR="006E0740" w:rsidRPr="00955A19">
              <w:rPr>
                <w:rStyle w:val="Hyperlink"/>
                <w:noProof/>
                <w:lang w:val="sk-SK"/>
              </w:rPr>
              <w:t>ÚVOD</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_Toc136296241 \h </w:instrText>
            </w:r>
            <w:r w:rsidR="006E0740" w:rsidRPr="00955A19">
              <w:rPr>
                <w:noProof/>
                <w:webHidden/>
                <w:lang w:val="sk-SK"/>
              </w:rPr>
            </w:r>
            <w:r w:rsidR="006E0740" w:rsidRPr="00955A19">
              <w:rPr>
                <w:noProof/>
                <w:webHidden/>
                <w:lang w:val="sk-SK"/>
              </w:rPr>
              <w:fldChar w:fldCharType="separate"/>
            </w:r>
            <w:r w:rsidR="00955A19">
              <w:rPr>
                <w:noProof/>
                <w:webHidden/>
                <w:lang w:val="sk-SK"/>
              </w:rPr>
              <w:t>2</w:t>
            </w:r>
            <w:r w:rsidR="006E0740" w:rsidRPr="00955A19">
              <w:rPr>
                <w:noProof/>
                <w:webHidden/>
                <w:lang w:val="sk-SK"/>
              </w:rPr>
              <w:fldChar w:fldCharType="end"/>
            </w:r>
          </w:hyperlink>
        </w:p>
        <w:p w14:paraId="1EDD80CC" w14:textId="5A5F15FC" w:rsidR="006E0740" w:rsidRPr="00955A19" w:rsidRDefault="008D5B52">
          <w:pPr>
            <w:pStyle w:val="TOC1"/>
            <w:rPr>
              <w:rFonts w:asciiTheme="minorHAnsi" w:eastAsiaTheme="minorEastAsia" w:hAnsiTheme="minorHAnsi" w:cstheme="minorBidi"/>
              <w:b w:val="0"/>
              <w:noProof/>
              <w:sz w:val="22"/>
              <w:szCs w:val="22"/>
              <w:lang w:val="sk-SK"/>
            </w:rPr>
          </w:pPr>
          <w:hyperlink w:anchor="_Toc136296242" w:history="1">
            <w:r w:rsidR="006E0740" w:rsidRPr="00955A19">
              <w:rPr>
                <w:rStyle w:val="Hyperlink"/>
                <w:noProof/>
                <w:lang w:val="sk-SK"/>
              </w:rPr>
              <w:t>1.</w:t>
            </w:r>
            <w:r w:rsidR="006E0740" w:rsidRPr="00955A19">
              <w:rPr>
                <w:rFonts w:asciiTheme="minorHAnsi" w:eastAsiaTheme="minorEastAsia" w:hAnsiTheme="minorHAnsi" w:cstheme="minorBidi"/>
                <w:b w:val="0"/>
                <w:noProof/>
                <w:sz w:val="22"/>
                <w:szCs w:val="22"/>
                <w:lang w:val="sk-SK"/>
              </w:rPr>
              <w:tab/>
            </w:r>
            <w:r w:rsidR="006E0740" w:rsidRPr="00955A19">
              <w:rPr>
                <w:rStyle w:val="Hyperlink"/>
                <w:noProof/>
                <w:lang w:val="sk-SK"/>
              </w:rPr>
              <w:t>ODDIEL I</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_Toc136296242 \h </w:instrText>
            </w:r>
            <w:r w:rsidR="006E0740" w:rsidRPr="00955A19">
              <w:rPr>
                <w:noProof/>
                <w:webHidden/>
                <w:lang w:val="sk-SK"/>
              </w:rPr>
            </w:r>
            <w:r w:rsidR="006E0740" w:rsidRPr="00955A19">
              <w:rPr>
                <w:noProof/>
                <w:webHidden/>
                <w:lang w:val="sk-SK"/>
              </w:rPr>
              <w:fldChar w:fldCharType="separate"/>
            </w:r>
            <w:r w:rsidR="00955A19">
              <w:rPr>
                <w:noProof/>
                <w:webHidden/>
                <w:lang w:val="sk-SK"/>
              </w:rPr>
              <w:t>4</w:t>
            </w:r>
            <w:r w:rsidR="006E0740" w:rsidRPr="00955A19">
              <w:rPr>
                <w:noProof/>
                <w:webHidden/>
                <w:lang w:val="sk-SK"/>
              </w:rPr>
              <w:fldChar w:fldCharType="end"/>
            </w:r>
          </w:hyperlink>
        </w:p>
        <w:p w14:paraId="32A2D2D9" w14:textId="0C2F6683" w:rsidR="006E0740" w:rsidRPr="00955A19" w:rsidRDefault="008D5B52">
          <w:pPr>
            <w:pStyle w:val="TOC2"/>
            <w:rPr>
              <w:rFonts w:asciiTheme="minorHAnsi" w:eastAsiaTheme="minorEastAsia" w:hAnsiTheme="minorHAnsi" w:cstheme="minorBidi"/>
              <w:noProof/>
              <w:sz w:val="22"/>
              <w:szCs w:val="22"/>
              <w:lang w:val="sk-SK"/>
            </w:rPr>
          </w:pPr>
          <w:hyperlink w:anchor="_Toc136296243" w:history="1">
            <w:r w:rsidR="006E0740" w:rsidRPr="00955A19">
              <w:rPr>
                <w:rStyle w:val="Hyperlink"/>
                <w:noProof/>
                <w:lang w:val="sk-SK"/>
              </w:rPr>
              <w:t>1.1.</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Kľúčové míľniky</w:t>
            </w:r>
            <w:r w:rsidR="00955A19">
              <w:rPr>
                <w:rStyle w:val="Hyperlink"/>
                <w:noProof/>
                <w:lang w:val="sk-SK"/>
              </w:rPr>
              <w:t xml:space="preserve"> v </w:t>
            </w:r>
            <w:r w:rsidR="006E0740" w:rsidRPr="00955A19">
              <w:rPr>
                <w:rStyle w:val="Hyperlink"/>
                <w:noProof/>
                <w:lang w:val="sk-SK"/>
              </w:rPr>
              <w:t>roku 2022</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_Toc136296243 \h </w:instrText>
            </w:r>
            <w:r w:rsidR="006E0740" w:rsidRPr="00955A19">
              <w:rPr>
                <w:noProof/>
                <w:webHidden/>
                <w:lang w:val="sk-SK"/>
              </w:rPr>
            </w:r>
            <w:r w:rsidR="006E0740" w:rsidRPr="00955A19">
              <w:rPr>
                <w:noProof/>
                <w:webHidden/>
                <w:lang w:val="sk-SK"/>
              </w:rPr>
              <w:fldChar w:fldCharType="separate"/>
            </w:r>
            <w:r w:rsidR="00955A19">
              <w:rPr>
                <w:noProof/>
                <w:webHidden/>
                <w:lang w:val="sk-SK"/>
              </w:rPr>
              <w:t>4</w:t>
            </w:r>
            <w:r w:rsidR="006E0740" w:rsidRPr="00955A19">
              <w:rPr>
                <w:noProof/>
                <w:webHidden/>
                <w:lang w:val="sk-SK"/>
              </w:rPr>
              <w:fldChar w:fldCharType="end"/>
            </w:r>
          </w:hyperlink>
        </w:p>
        <w:p w14:paraId="2B7FA646" w14:textId="18A94FA1" w:rsidR="006E0740" w:rsidRPr="00955A19" w:rsidRDefault="008D5B52">
          <w:pPr>
            <w:pStyle w:val="TOC2"/>
            <w:rPr>
              <w:rFonts w:asciiTheme="minorHAnsi" w:eastAsiaTheme="minorEastAsia" w:hAnsiTheme="minorHAnsi" w:cstheme="minorBidi"/>
              <w:noProof/>
              <w:sz w:val="22"/>
              <w:szCs w:val="22"/>
              <w:lang w:val="sk-SK"/>
            </w:rPr>
          </w:pPr>
          <w:hyperlink w:anchor="_Toc136296244" w:history="1">
            <w:r w:rsidR="006E0740" w:rsidRPr="00955A19">
              <w:rPr>
                <w:rStyle w:val="Hyperlink"/>
                <w:noProof/>
                <w:lang w:val="sk-SK"/>
              </w:rPr>
              <w:t>1.2.</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Otvorenie nových zložiek</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_Toc136296244 \h </w:instrText>
            </w:r>
            <w:r w:rsidR="006E0740" w:rsidRPr="00955A19">
              <w:rPr>
                <w:noProof/>
                <w:webHidden/>
                <w:lang w:val="sk-SK"/>
              </w:rPr>
            </w:r>
            <w:r w:rsidR="006E0740" w:rsidRPr="00955A19">
              <w:rPr>
                <w:noProof/>
                <w:webHidden/>
                <w:lang w:val="sk-SK"/>
              </w:rPr>
              <w:fldChar w:fldCharType="separate"/>
            </w:r>
            <w:r w:rsidR="00955A19">
              <w:rPr>
                <w:noProof/>
                <w:webHidden/>
                <w:lang w:val="sk-SK"/>
              </w:rPr>
              <w:t>4</w:t>
            </w:r>
            <w:r w:rsidR="006E0740" w:rsidRPr="00955A19">
              <w:rPr>
                <w:noProof/>
                <w:webHidden/>
                <w:lang w:val="sk-SK"/>
              </w:rPr>
              <w:fldChar w:fldCharType="end"/>
            </w:r>
          </w:hyperlink>
        </w:p>
        <w:p w14:paraId="5B1AA44B" w14:textId="28BE17AE" w:rsidR="006E0740" w:rsidRPr="00955A19" w:rsidRDefault="008D5B52">
          <w:pPr>
            <w:pStyle w:val="TOC3"/>
            <w:rPr>
              <w:rFonts w:asciiTheme="minorHAnsi" w:eastAsiaTheme="minorEastAsia" w:hAnsiTheme="minorHAnsi" w:cstheme="minorBidi"/>
              <w:noProof/>
              <w:sz w:val="22"/>
              <w:szCs w:val="22"/>
              <w:lang w:val="sk-SK"/>
            </w:rPr>
          </w:pPr>
          <w:hyperlink w:anchor="_Toc136296245" w:history="1">
            <w:r w:rsidR="006E0740" w:rsidRPr="00955A19">
              <w:rPr>
                <w:rStyle w:val="Hyperlink"/>
                <w:noProof/>
                <w:lang w:val="sk-SK"/>
              </w:rPr>
              <w:t>1.2.1.</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Nové zložky</w:t>
            </w:r>
            <w:r w:rsidR="00955A19">
              <w:rPr>
                <w:rStyle w:val="Hyperlink"/>
                <w:noProof/>
                <w:lang w:val="sk-SK"/>
              </w:rPr>
              <w:t xml:space="preserve"> v </w:t>
            </w:r>
            <w:r w:rsidR="006E0740" w:rsidRPr="00955A19">
              <w:rPr>
                <w:rStyle w:val="Hyperlink"/>
                <w:noProof/>
                <w:lang w:val="sk-SK"/>
              </w:rPr>
              <w:t>rámci nariadenia</w:t>
            </w:r>
            <w:r w:rsidR="00955A19">
              <w:rPr>
                <w:rStyle w:val="Hyperlink"/>
                <w:noProof/>
                <w:lang w:val="sk-SK"/>
              </w:rPr>
              <w:t xml:space="preserve"> o </w:t>
            </w:r>
            <w:r w:rsidR="006E0740" w:rsidRPr="00955A19">
              <w:rPr>
                <w:rStyle w:val="Hyperlink"/>
                <w:noProof/>
                <w:lang w:val="sk-SK"/>
              </w:rPr>
              <w:t>Programe InvestEU</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_Toc136296245 \h </w:instrText>
            </w:r>
            <w:r w:rsidR="006E0740" w:rsidRPr="00955A19">
              <w:rPr>
                <w:noProof/>
                <w:webHidden/>
                <w:lang w:val="sk-SK"/>
              </w:rPr>
            </w:r>
            <w:r w:rsidR="006E0740" w:rsidRPr="00955A19">
              <w:rPr>
                <w:noProof/>
                <w:webHidden/>
                <w:lang w:val="sk-SK"/>
              </w:rPr>
              <w:fldChar w:fldCharType="separate"/>
            </w:r>
            <w:r w:rsidR="00955A19">
              <w:rPr>
                <w:noProof/>
                <w:webHidden/>
                <w:lang w:val="sk-SK"/>
              </w:rPr>
              <w:t>6</w:t>
            </w:r>
            <w:r w:rsidR="006E0740" w:rsidRPr="00955A19">
              <w:rPr>
                <w:noProof/>
                <w:webHidden/>
                <w:lang w:val="sk-SK"/>
              </w:rPr>
              <w:fldChar w:fldCharType="end"/>
            </w:r>
          </w:hyperlink>
        </w:p>
        <w:p w14:paraId="281DBB6C" w14:textId="79F57A68" w:rsidR="006E0740" w:rsidRPr="00955A19" w:rsidRDefault="008D5B52">
          <w:pPr>
            <w:pStyle w:val="TOC3"/>
            <w:rPr>
              <w:rFonts w:asciiTheme="minorHAnsi" w:eastAsiaTheme="minorEastAsia" w:hAnsiTheme="minorHAnsi" w:cstheme="minorBidi"/>
              <w:noProof/>
              <w:sz w:val="22"/>
              <w:szCs w:val="22"/>
              <w:lang w:val="sk-SK"/>
            </w:rPr>
          </w:pPr>
          <w:hyperlink w:anchor="_Toc136296246" w:history="1">
            <w:r w:rsidR="006E0740" w:rsidRPr="00955A19">
              <w:rPr>
                <w:rStyle w:val="Hyperlink"/>
                <w:noProof/>
                <w:lang w:val="sk-SK"/>
              </w:rPr>
              <w:t>1.2.2.</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Nové zložky</w:t>
            </w:r>
            <w:r w:rsidR="00955A19">
              <w:rPr>
                <w:rStyle w:val="Hyperlink"/>
                <w:noProof/>
                <w:lang w:val="sk-SK"/>
              </w:rPr>
              <w:t xml:space="preserve"> v </w:t>
            </w:r>
            <w:r w:rsidR="006E0740" w:rsidRPr="00955A19">
              <w:rPr>
                <w:rStyle w:val="Hyperlink"/>
                <w:noProof/>
                <w:lang w:val="sk-SK"/>
              </w:rPr>
              <w:t>rámci nariadenia</w:t>
            </w:r>
            <w:r w:rsidR="00955A19">
              <w:rPr>
                <w:rStyle w:val="Hyperlink"/>
                <w:noProof/>
                <w:lang w:val="sk-SK"/>
              </w:rPr>
              <w:t xml:space="preserve"> o </w:t>
            </w:r>
            <w:r w:rsidR="006E0740" w:rsidRPr="00955A19">
              <w:rPr>
                <w:rStyle w:val="Hyperlink"/>
                <w:noProof/>
                <w:lang w:val="sk-SK"/>
              </w:rPr>
              <w:t>NDICI</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_Toc136296246 \h </w:instrText>
            </w:r>
            <w:r w:rsidR="006E0740" w:rsidRPr="00955A19">
              <w:rPr>
                <w:noProof/>
                <w:webHidden/>
                <w:lang w:val="sk-SK"/>
              </w:rPr>
            </w:r>
            <w:r w:rsidR="006E0740" w:rsidRPr="00955A19">
              <w:rPr>
                <w:noProof/>
                <w:webHidden/>
                <w:lang w:val="sk-SK"/>
              </w:rPr>
              <w:fldChar w:fldCharType="separate"/>
            </w:r>
            <w:r w:rsidR="00955A19">
              <w:rPr>
                <w:noProof/>
                <w:webHidden/>
                <w:lang w:val="sk-SK"/>
              </w:rPr>
              <w:t>6</w:t>
            </w:r>
            <w:r w:rsidR="006E0740" w:rsidRPr="00955A19">
              <w:rPr>
                <w:noProof/>
                <w:webHidden/>
                <w:lang w:val="sk-SK"/>
              </w:rPr>
              <w:fldChar w:fldCharType="end"/>
            </w:r>
          </w:hyperlink>
        </w:p>
        <w:p w14:paraId="17ABE079" w14:textId="09614C32" w:rsidR="006E0740" w:rsidRPr="00955A19" w:rsidRDefault="008D5B52">
          <w:pPr>
            <w:pStyle w:val="TOC3"/>
            <w:rPr>
              <w:rFonts w:asciiTheme="minorHAnsi" w:eastAsiaTheme="minorEastAsia" w:hAnsiTheme="minorHAnsi" w:cstheme="minorBidi"/>
              <w:noProof/>
              <w:sz w:val="22"/>
              <w:szCs w:val="22"/>
              <w:lang w:val="sk-SK"/>
            </w:rPr>
          </w:pPr>
          <w:hyperlink w:anchor="_Toc136296247" w:history="1">
            <w:r w:rsidR="006E0740" w:rsidRPr="00955A19">
              <w:rPr>
                <w:rStyle w:val="Hyperlink"/>
                <w:noProof/>
                <w:lang w:val="sk-SK"/>
              </w:rPr>
              <w:t>1.2.3.</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Nové zložky pre expozície týkajúce sa Ukrajiny</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_Toc136296247 \h </w:instrText>
            </w:r>
            <w:r w:rsidR="006E0740" w:rsidRPr="00955A19">
              <w:rPr>
                <w:noProof/>
                <w:webHidden/>
                <w:lang w:val="sk-SK"/>
              </w:rPr>
            </w:r>
            <w:r w:rsidR="006E0740" w:rsidRPr="00955A19">
              <w:rPr>
                <w:noProof/>
                <w:webHidden/>
                <w:lang w:val="sk-SK"/>
              </w:rPr>
              <w:fldChar w:fldCharType="separate"/>
            </w:r>
            <w:r w:rsidR="00955A19">
              <w:rPr>
                <w:noProof/>
                <w:webHidden/>
                <w:lang w:val="sk-SK"/>
              </w:rPr>
              <w:t>7</w:t>
            </w:r>
            <w:r w:rsidR="006E0740" w:rsidRPr="00955A19">
              <w:rPr>
                <w:noProof/>
                <w:webHidden/>
                <w:lang w:val="sk-SK"/>
              </w:rPr>
              <w:fldChar w:fldCharType="end"/>
            </w:r>
          </w:hyperlink>
        </w:p>
        <w:p w14:paraId="37CF4B50" w14:textId="131132BA" w:rsidR="006E0740" w:rsidRPr="00955A19" w:rsidRDefault="008D5B52">
          <w:pPr>
            <w:pStyle w:val="TOC2"/>
            <w:rPr>
              <w:rFonts w:asciiTheme="minorHAnsi" w:eastAsiaTheme="minorEastAsia" w:hAnsiTheme="minorHAnsi" w:cstheme="minorBidi"/>
              <w:noProof/>
              <w:sz w:val="22"/>
              <w:szCs w:val="22"/>
              <w:lang w:val="sk-SK"/>
            </w:rPr>
          </w:pPr>
          <w:hyperlink w:anchor="_Toc136296248" w:history="1">
            <w:r w:rsidR="006E0740" w:rsidRPr="00955A19">
              <w:rPr>
                <w:rStyle w:val="Hyperlink"/>
                <w:noProof/>
                <w:lang w:val="sk-SK"/>
              </w:rPr>
              <w:t>1.3.</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Účtovná závierka SRF</w:t>
            </w:r>
            <w:r w:rsidR="00955A19">
              <w:rPr>
                <w:rStyle w:val="Hyperlink"/>
                <w:noProof/>
                <w:lang w:val="sk-SK"/>
              </w:rPr>
              <w:t xml:space="preserve"> k </w:t>
            </w:r>
            <w:r w:rsidR="006E0740" w:rsidRPr="00955A19">
              <w:rPr>
                <w:rStyle w:val="Hyperlink"/>
                <w:noProof/>
                <w:lang w:val="sk-SK"/>
              </w:rPr>
              <w:t>31. decembru 2022</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_Toc136296248 \h </w:instrText>
            </w:r>
            <w:r w:rsidR="006E0740" w:rsidRPr="00955A19">
              <w:rPr>
                <w:noProof/>
                <w:webHidden/>
                <w:lang w:val="sk-SK"/>
              </w:rPr>
            </w:r>
            <w:r w:rsidR="006E0740" w:rsidRPr="00955A19">
              <w:rPr>
                <w:noProof/>
                <w:webHidden/>
                <w:lang w:val="sk-SK"/>
              </w:rPr>
              <w:fldChar w:fldCharType="separate"/>
            </w:r>
            <w:r w:rsidR="00955A19">
              <w:rPr>
                <w:noProof/>
                <w:webHidden/>
                <w:lang w:val="sk-SK"/>
              </w:rPr>
              <w:t>7</w:t>
            </w:r>
            <w:r w:rsidR="006E0740" w:rsidRPr="00955A19">
              <w:rPr>
                <w:noProof/>
                <w:webHidden/>
                <w:lang w:val="sk-SK"/>
              </w:rPr>
              <w:fldChar w:fldCharType="end"/>
            </w:r>
          </w:hyperlink>
        </w:p>
        <w:p w14:paraId="26890F3C" w14:textId="7171FD9B" w:rsidR="006E0740" w:rsidRPr="00955A19" w:rsidRDefault="008D5B52">
          <w:pPr>
            <w:pStyle w:val="TOC2"/>
            <w:rPr>
              <w:rFonts w:asciiTheme="minorHAnsi" w:eastAsiaTheme="minorEastAsia" w:hAnsiTheme="minorHAnsi" w:cstheme="minorBidi"/>
              <w:noProof/>
              <w:sz w:val="22"/>
              <w:szCs w:val="22"/>
              <w:lang w:val="sk-SK"/>
            </w:rPr>
          </w:pPr>
          <w:hyperlink w:anchor="_Toc136296249" w:history="1">
            <w:r w:rsidR="006E0740" w:rsidRPr="00955A19">
              <w:rPr>
                <w:rStyle w:val="Hyperlink"/>
                <w:noProof/>
                <w:lang w:val="sk-SK"/>
              </w:rPr>
              <w:t>1.4.</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Výzvy na uplatnenie záruky</w:t>
            </w:r>
            <w:r w:rsidR="00955A19">
              <w:rPr>
                <w:rStyle w:val="Hyperlink"/>
                <w:noProof/>
                <w:lang w:val="sk-SK"/>
              </w:rPr>
              <w:t xml:space="preserve"> a </w:t>
            </w:r>
            <w:r w:rsidR="006E0740" w:rsidRPr="00955A19">
              <w:rPr>
                <w:rStyle w:val="Hyperlink"/>
                <w:noProof/>
                <w:lang w:val="sk-SK"/>
              </w:rPr>
              <w:t>žiadosti</w:t>
            </w:r>
            <w:r w:rsidR="00955A19">
              <w:rPr>
                <w:rStyle w:val="Hyperlink"/>
                <w:noProof/>
                <w:lang w:val="sk-SK"/>
              </w:rPr>
              <w:t xml:space="preserve"> o </w:t>
            </w:r>
            <w:r w:rsidR="006E0740" w:rsidRPr="00955A19">
              <w:rPr>
                <w:rStyle w:val="Hyperlink"/>
                <w:noProof/>
                <w:lang w:val="sk-SK"/>
              </w:rPr>
              <w:t>platbu</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_Toc136296249 \h </w:instrText>
            </w:r>
            <w:r w:rsidR="006E0740" w:rsidRPr="00955A19">
              <w:rPr>
                <w:noProof/>
                <w:webHidden/>
                <w:lang w:val="sk-SK"/>
              </w:rPr>
            </w:r>
            <w:r w:rsidR="006E0740" w:rsidRPr="00955A19">
              <w:rPr>
                <w:noProof/>
                <w:webHidden/>
                <w:lang w:val="sk-SK"/>
              </w:rPr>
              <w:fldChar w:fldCharType="separate"/>
            </w:r>
            <w:r w:rsidR="00955A19">
              <w:rPr>
                <w:noProof/>
                <w:webHidden/>
                <w:lang w:val="sk-SK"/>
              </w:rPr>
              <w:t>7</w:t>
            </w:r>
            <w:r w:rsidR="006E0740" w:rsidRPr="00955A19">
              <w:rPr>
                <w:noProof/>
                <w:webHidden/>
                <w:lang w:val="sk-SK"/>
              </w:rPr>
              <w:fldChar w:fldCharType="end"/>
            </w:r>
          </w:hyperlink>
        </w:p>
        <w:p w14:paraId="731A3C19" w14:textId="44628806" w:rsidR="006E0740" w:rsidRPr="00955A19" w:rsidRDefault="008D5B52">
          <w:pPr>
            <w:pStyle w:val="TOC2"/>
            <w:rPr>
              <w:rFonts w:asciiTheme="minorHAnsi" w:eastAsiaTheme="minorEastAsia" w:hAnsiTheme="minorHAnsi" w:cstheme="minorBidi"/>
              <w:noProof/>
              <w:sz w:val="22"/>
              <w:szCs w:val="22"/>
              <w:lang w:val="sk-SK"/>
            </w:rPr>
          </w:pPr>
          <w:hyperlink w:anchor="_Toc136296250" w:history="1">
            <w:r w:rsidR="006E0740" w:rsidRPr="00955A19">
              <w:rPr>
                <w:rStyle w:val="Hyperlink"/>
                <w:noProof/>
                <w:lang w:val="sk-SK"/>
              </w:rPr>
              <w:t>1.5.</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Efektívna miera tvorby rezerv</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_Toc136296250 \h </w:instrText>
            </w:r>
            <w:r w:rsidR="006E0740" w:rsidRPr="00955A19">
              <w:rPr>
                <w:noProof/>
                <w:webHidden/>
                <w:lang w:val="sk-SK"/>
              </w:rPr>
            </w:r>
            <w:r w:rsidR="006E0740" w:rsidRPr="00955A19">
              <w:rPr>
                <w:noProof/>
                <w:webHidden/>
                <w:lang w:val="sk-SK"/>
              </w:rPr>
              <w:fldChar w:fldCharType="separate"/>
            </w:r>
            <w:r w:rsidR="00955A19">
              <w:rPr>
                <w:noProof/>
                <w:webHidden/>
                <w:lang w:val="sk-SK"/>
              </w:rPr>
              <w:t>8</w:t>
            </w:r>
            <w:r w:rsidR="006E0740" w:rsidRPr="00955A19">
              <w:rPr>
                <w:noProof/>
                <w:webHidden/>
                <w:lang w:val="sk-SK"/>
              </w:rPr>
              <w:fldChar w:fldCharType="end"/>
            </w:r>
          </w:hyperlink>
        </w:p>
        <w:p w14:paraId="508079FA" w14:textId="0F3D78F5" w:rsidR="006E0740" w:rsidRPr="00955A19" w:rsidRDefault="008D5B52">
          <w:pPr>
            <w:pStyle w:val="TOC1"/>
            <w:rPr>
              <w:rFonts w:asciiTheme="minorHAnsi" w:eastAsiaTheme="minorEastAsia" w:hAnsiTheme="minorHAnsi" w:cstheme="minorBidi"/>
              <w:b w:val="0"/>
              <w:noProof/>
              <w:sz w:val="22"/>
              <w:szCs w:val="22"/>
              <w:lang w:val="sk-SK"/>
            </w:rPr>
          </w:pPr>
          <w:hyperlink w:anchor="_Toc136296251" w:history="1">
            <w:r w:rsidR="006E0740" w:rsidRPr="00955A19">
              <w:rPr>
                <w:rStyle w:val="Hyperlink"/>
                <w:noProof/>
                <w:lang w:val="sk-SK"/>
              </w:rPr>
              <w:t>2.</w:t>
            </w:r>
            <w:r w:rsidR="006E0740" w:rsidRPr="00955A19">
              <w:rPr>
                <w:rFonts w:asciiTheme="minorHAnsi" w:eastAsiaTheme="minorEastAsia" w:hAnsiTheme="minorHAnsi" w:cstheme="minorBidi"/>
                <w:b w:val="0"/>
                <w:noProof/>
                <w:sz w:val="22"/>
                <w:szCs w:val="22"/>
                <w:lang w:val="sk-SK"/>
              </w:rPr>
              <w:tab/>
            </w:r>
            <w:r w:rsidR="006E0740" w:rsidRPr="00955A19">
              <w:rPr>
                <w:rStyle w:val="Hyperlink"/>
                <w:noProof/>
                <w:lang w:val="sk-SK"/>
              </w:rPr>
              <w:t>ODDIEL II</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_Toc136296251 \h </w:instrText>
            </w:r>
            <w:r w:rsidR="006E0740" w:rsidRPr="00955A19">
              <w:rPr>
                <w:noProof/>
                <w:webHidden/>
                <w:lang w:val="sk-SK"/>
              </w:rPr>
            </w:r>
            <w:r w:rsidR="006E0740" w:rsidRPr="00955A19">
              <w:rPr>
                <w:noProof/>
                <w:webHidden/>
                <w:lang w:val="sk-SK"/>
              </w:rPr>
              <w:fldChar w:fldCharType="separate"/>
            </w:r>
            <w:r w:rsidR="00955A19">
              <w:rPr>
                <w:noProof/>
                <w:webHidden/>
                <w:lang w:val="sk-SK"/>
              </w:rPr>
              <w:t>9</w:t>
            </w:r>
            <w:r w:rsidR="006E0740" w:rsidRPr="00955A19">
              <w:rPr>
                <w:noProof/>
                <w:webHidden/>
                <w:lang w:val="sk-SK"/>
              </w:rPr>
              <w:fldChar w:fldCharType="end"/>
            </w:r>
          </w:hyperlink>
        </w:p>
        <w:p w14:paraId="6BD43F10" w14:textId="55E1052D" w:rsidR="006E0740" w:rsidRPr="00955A19" w:rsidRDefault="008D5B52">
          <w:pPr>
            <w:pStyle w:val="TOC2"/>
            <w:rPr>
              <w:rFonts w:asciiTheme="minorHAnsi" w:eastAsiaTheme="minorEastAsia" w:hAnsiTheme="minorHAnsi" w:cstheme="minorBidi"/>
              <w:noProof/>
              <w:sz w:val="22"/>
              <w:szCs w:val="22"/>
              <w:lang w:val="sk-SK"/>
            </w:rPr>
          </w:pPr>
          <w:hyperlink w:anchor="_Toc136296252" w:history="1">
            <w:r w:rsidR="006E0740" w:rsidRPr="00955A19">
              <w:rPr>
                <w:rStyle w:val="Hyperlink"/>
                <w:noProof/>
                <w:lang w:val="sk-SK"/>
              </w:rPr>
              <w:t>2.1.</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Investičná stratégia</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_Toc136296252 \h </w:instrText>
            </w:r>
            <w:r w:rsidR="006E0740" w:rsidRPr="00955A19">
              <w:rPr>
                <w:noProof/>
                <w:webHidden/>
                <w:lang w:val="sk-SK"/>
              </w:rPr>
            </w:r>
            <w:r w:rsidR="006E0740" w:rsidRPr="00955A19">
              <w:rPr>
                <w:noProof/>
                <w:webHidden/>
                <w:lang w:val="sk-SK"/>
              </w:rPr>
              <w:fldChar w:fldCharType="separate"/>
            </w:r>
            <w:r w:rsidR="00955A19">
              <w:rPr>
                <w:noProof/>
                <w:webHidden/>
                <w:lang w:val="sk-SK"/>
              </w:rPr>
              <w:t>9</w:t>
            </w:r>
            <w:r w:rsidR="006E0740" w:rsidRPr="00955A19">
              <w:rPr>
                <w:noProof/>
                <w:webHidden/>
                <w:lang w:val="sk-SK"/>
              </w:rPr>
              <w:fldChar w:fldCharType="end"/>
            </w:r>
          </w:hyperlink>
        </w:p>
        <w:p w14:paraId="48844172" w14:textId="704A9830" w:rsidR="006E0740" w:rsidRPr="00955A19" w:rsidRDefault="008D5B52">
          <w:pPr>
            <w:pStyle w:val="TOC2"/>
            <w:rPr>
              <w:rFonts w:asciiTheme="minorHAnsi" w:eastAsiaTheme="minorEastAsia" w:hAnsiTheme="minorHAnsi" w:cstheme="minorBidi"/>
              <w:noProof/>
              <w:sz w:val="22"/>
              <w:szCs w:val="22"/>
              <w:lang w:val="sk-SK"/>
            </w:rPr>
          </w:pPr>
          <w:hyperlink w:anchor="_Toc136296253" w:history="1">
            <w:r w:rsidR="006E0740" w:rsidRPr="00955A19">
              <w:rPr>
                <w:rStyle w:val="Hyperlink"/>
                <w:noProof/>
                <w:lang w:val="sk-SK"/>
              </w:rPr>
              <w:t>2.2.</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Zloženie</w:t>
            </w:r>
            <w:r w:rsidR="00955A19">
              <w:rPr>
                <w:rStyle w:val="Hyperlink"/>
                <w:noProof/>
                <w:lang w:val="sk-SK"/>
              </w:rPr>
              <w:t xml:space="preserve"> a </w:t>
            </w:r>
            <w:r w:rsidR="006E0740" w:rsidRPr="00955A19">
              <w:rPr>
                <w:rStyle w:val="Hyperlink"/>
                <w:noProof/>
                <w:lang w:val="sk-SK"/>
              </w:rPr>
              <w:t>kľúčové charakteristiky portfólia</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_Toc136296253 \h </w:instrText>
            </w:r>
            <w:r w:rsidR="006E0740" w:rsidRPr="00955A19">
              <w:rPr>
                <w:noProof/>
                <w:webHidden/>
                <w:lang w:val="sk-SK"/>
              </w:rPr>
            </w:r>
            <w:r w:rsidR="006E0740" w:rsidRPr="00955A19">
              <w:rPr>
                <w:noProof/>
                <w:webHidden/>
                <w:lang w:val="sk-SK"/>
              </w:rPr>
              <w:fldChar w:fldCharType="separate"/>
            </w:r>
            <w:r w:rsidR="00955A19">
              <w:rPr>
                <w:noProof/>
                <w:webHidden/>
                <w:lang w:val="sk-SK"/>
              </w:rPr>
              <w:t>9</w:t>
            </w:r>
            <w:r w:rsidR="006E0740" w:rsidRPr="00955A19">
              <w:rPr>
                <w:noProof/>
                <w:webHidden/>
                <w:lang w:val="sk-SK"/>
              </w:rPr>
              <w:fldChar w:fldCharType="end"/>
            </w:r>
          </w:hyperlink>
        </w:p>
        <w:p w14:paraId="14CF9D57" w14:textId="2C77C4CA" w:rsidR="006E0740" w:rsidRPr="00955A19" w:rsidRDefault="008D5B52">
          <w:pPr>
            <w:pStyle w:val="TOC2"/>
            <w:rPr>
              <w:rFonts w:asciiTheme="minorHAnsi" w:eastAsiaTheme="minorEastAsia" w:hAnsiTheme="minorHAnsi" w:cstheme="minorBidi"/>
              <w:noProof/>
              <w:sz w:val="22"/>
              <w:szCs w:val="22"/>
              <w:lang w:val="sk-SK"/>
            </w:rPr>
          </w:pPr>
          <w:hyperlink w:anchor="_Toc136296254" w:history="1">
            <w:r w:rsidR="006E0740" w:rsidRPr="00955A19">
              <w:rPr>
                <w:rStyle w:val="Hyperlink"/>
                <w:noProof/>
                <w:lang w:val="sk-SK"/>
              </w:rPr>
              <w:t>2.3.</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Environmentálna</w:t>
            </w:r>
            <w:r w:rsidR="00955A19">
              <w:rPr>
                <w:rStyle w:val="Hyperlink"/>
                <w:noProof/>
                <w:lang w:val="sk-SK"/>
              </w:rPr>
              <w:t xml:space="preserve"> a </w:t>
            </w:r>
            <w:r w:rsidR="006E0740" w:rsidRPr="00955A19">
              <w:rPr>
                <w:rStyle w:val="Hyperlink"/>
                <w:noProof/>
                <w:lang w:val="sk-SK"/>
              </w:rPr>
              <w:t>sociálna stopa</w:t>
            </w:r>
            <w:r w:rsidR="00955A19">
              <w:rPr>
                <w:rStyle w:val="Hyperlink"/>
                <w:noProof/>
                <w:lang w:val="sk-SK"/>
              </w:rPr>
              <w:t xml:space="preserve"> a </w:t>
            </w:r>
            <w:r w:rsidR="006E0740" w:rsidRPr="00955A19">
              <w:rPr>
                <w:rStyle w:val="Hyperlink"/>
                <w:noProof/>
                <w:lang w:val="sk-SK"/>
              </w:rPr>
              <w:t>stopa</w:t>
            </w:r>
            <w:r w:rsidR="00955A19">
              <w:rPr>
                <w:rStyle w:val="Hyperlink"/>
                <w:noProof/>
                <w:lang w:val="sk-SK"/>
              </w:rPr>
              <w:t xml:space="preserve"> v </w:t>
            </w:r>
            <w:r w:rsidR="006E0740" w:rsidRPr="00955A19">
              <w:rPr>
                <w:rStyle w:val="Hyperlink"/>
                <w:noProof/>
                <w:lang w:val="sk-SK"/>
              </w:rPr>
              <w:t>oblasti správy</w:t>
            </w:r>
            <w:r w:rsidR="00955A19">
              <w:rPr>
                <w:rStyle w:val="Hyperlink"/>
                <w:noProof/>
                <w:lang w:val="sk-SK"/>
              </w:rPr>
              <w:t xml:space="preserve"> a </w:t>
            </w:r>
            <w:r w:rsidR="006E0740" w:rsidRPr="00955A19">
              <w:rPr>
                <w:rStyle w:val="Hyperlink"/>
                <w:noProof/>
                <w:lang w:val="sk-SK"/>
              </w:rPr>
              <w:t>riadenia (ESG)</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_Toc136296254 \h </w:instrText>
            </w:r>
            <w:r w:rsidR="006E0740" w:rsidRPr="00955A19">
              <w:rPr>
                <w:noProof/>
                <w:webHidden/>
                <w:lang w:val="sk-SK"/>
              </w:rPr>
            </w:r>
            <w:r w:rsidR="006E0740" w:rsidRPr="00955A19">
              <w:rPr>
                <w:noProof/>
                <w:webHidden/>
                <w:lang w:val="sk-SK"/>
              </w:rPr>
              <w:fldChar w:fldCharType="separate"/>
            </w:r>
            <w:r w:rsidR="00955A19">
              <w:rPr>
                <w:noProof/>
                <w:webHidden/>
                <w:lang w:val="sk-SK"/>
              </w:rPr>
              <w:t>9</w:t>
            </w:r>
            <w:r w:rsidR="006E0740" w:rsidRPr="00955A19">
              <w:rPr>
                <w:noProof/>
                <w:webHidden/>
                <w:lang w:val="sk-SK"/>
              </w:rPr>
              <w:fldChar w:fldCharType="end"/>
            </w:r>
          </w:hyperlink>
        </w:p>
        <w:p w14:paraId="7BD3CDCC" w14:textId="205716CA" w:rsidR="006E0740" w:rsidRPr="00955A19" w:rsidRDefault="008D5B52">
          <w:pPr>
            <w:pStyle w:val="TOC2"/>
            <w:rPr>
              <w:rFonts w:asciiTheme="minorHAnsi" w:eastAsiaTheme="minorEastAsia" w:hAnsiTheme="minorHAnsi" w:cstheme="minorBidi"/>
              <w:noProof/>
              <w:sz w:val="22"/>
              <w:szCs w:val="22"/>
              <w:lang w:val="sk-SK"/>
            </w:rPr>
          </w:pPr>
          <w:hyperlink w:anchor="_Toc136296255" w:history="1">
            <w:r w:rsidR="006E0740" w:rsidRPr="00955A19">
              <w:rPr>
                <w:rStyle w:val="Hyperlink"/>
                <w:noProof/>
                <w:lang w:val="sk-SK"/>
              </w:rPr>
              <w:t>2.4.</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Výkonnosť SRF</w:t>
            </w:r>
            <w:r w:rsidR="00955A19">
              <w:rPr>
                <w:rStyle w:val="Hyperlink"/>
                <w:noProof/>
                <w:lang w:val="sk-SK"/>
              </w:rPr>
              <w:t xml:space="preserve"> v </w:t>
            </w:r>
            <w:r w:rsidR="006E0740" w:rsidRPr="00955A19">
              <w:rPr>
                <w:rStyle w:val="Hyperlink"/>
                <w:noProof/>
                <w:lang w:val="sk-SK"/>
              </w:rPr>
              <w:t>roku 2022</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_Toc136296255 \h </w:instrText>
            </w:r>
            <w:r w:rsidR="006E0740" w:rsidRPr="00955A19">
              <w:rPr>
                <w:noProof/>
                <w:webHidden/>
                <w:lang w:val="sk-SK"/>
              </w:rPr>
            </w:r>
            <w:r w:rsidR="006E0740" w:rsidRPr="00955A19">
              <w:rPr>
                <w:noProof/>
                <w:webHidden/>
                <w:lang w:val="sk-SK"/>
              </w:rPr>
              <w:fldChar w:fldCharType="separate"/>
            </w:r>
            <w:r w:rsidR="00955A19">
              <w:rPr>
                <w:noProof/>
                <w:webHidden/>
                <w:lang w:val="sk-SK"/>
              </w:rPr>
              <w:t>10</w:t>
            </w:r>
            <w:r w:rsidR="006E0740" w:rsidRPr="00955A19">
              <w:rPr>
                <w:noProof/>
                <w:webHidden/>
                <w:lang w:val="sk-SK"/>
              </w:rPr>
              <w:fldChar w:fldCharType="end"/>
            </w:r>
          </w:hyperlink>
        </w:p>
        <w:p w14:paraId="078AF7FC" w14:textId="420D6070" w:rsidR="006E0740" w:rsidRPr="00955A19" w:rsidRDefault="008D5B52">
          <w:pPr>
            <w:pStyle w:val="TOC1"/>
            <w:rPr>
              <w:rFonts w:asciiTheme="minorHAnsi" w:eastAsiaTheme="minorEastAsia" w:hAnsiTheme="minorHAnsi" w:cstheme="minorBidi"/>
              <w:b w:val="0"/>
              <w:noProof/>
              <w:sz w:val="22"/>
              <w:szCs w:val="22"/>
              <w:lang w:val="sk-SK"/>
            </w:rPr>
          </w:pPr>
          <w:hyperlink w:anchor="_Toc136296256" w:history="1">
            <w:r w:rsidR="006E0740" w:rsidRPr="00955A19">
              <w:rPr>
                <w:rStyle w:val="Hyperlink"/>
                <w:noProof/>
                <w:lang w:val="sk-SK"/>
              </w:rPr>
              <w:t>3.</w:t>
            </w:r>
            <w:r w:rsidR="006E0740" w:rsidRPr="00955A19">
              <w:rPr>
                <w:rFonts w:asciiTheme="minorHAnsi" w:eastAsiaTheme="minorEastAsia" w:hAnsiTheme="minorHAnsi" w:cstheme="minorBidi"/>
                <w:b w:val="0"/>
                <w:noProof/>
                <w:sz w:val="22"/>
                <w:szCs w:val="22"/>
                <w:lang w:val="sk-SK"/>
              </w:rPr>
              <w:tab/>
            </w:r>
            <w:r w:rsidR="006E0740" w:rsidRPr="00955A19">
              <w:rPr>
                <w:rStyle w:val="Hyperlink"/>
                <w:noProof/>
                <w:lang w:val="sk-SK"/>
              </w:rPr>
              <w:t>ODDIEL III</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_Toc136296256 \h </w:instrText>
            </w:r>
            <w:r w:rsidR="006E0740" w:rsidRPr="00955A19">
              <w:rPr>
                <w:noProof/>
                <w:webHidden/>
                <w:lang w:val="sk-SK"/>
              </w:rPr>
            </w:r>
            <w:r w:rsidR="006E0740" w:rsidRPr="00955A19">
              <w:rPr>
                <w:noProof/>
                <w:webHidden/>
                <w:lang w:val="sk-SK"/>
              </w:rPr>
              <w:fldChar w:fldCharType="separate"/>
            </w:r>
            <w:r w:rsidR="00955A19">
              <w:rPr>
                <w:noProof/>
                <w:webHidden/>
                <w:lang w:val="sk-SK"/>
              </w:rPr>
              <w:t>12</w:t>
            </w:r>
            <w:r w:rsidR="006E0740" w:rsidRPr="00955A19">
              <w:rPr>
                <w:noProof/>
                <w:webHidden/>
                <w:lang w:val="sk-SK"/>
              </w:rPr>
              <w:fldChar w:fldCharType="end"/>
            </w:r>
          </w:hyperlink>
        </w:p>
        <w:p w14:paraId="79582F2C" w14:textId="3607C8C8" w:rsidR="006E0740" w:rsidRPr="00955A19" w:rsidRDefault="008D5B52">
          <w:pPr>
            <w:pStyle w:val="TOC2"/>
            <w:rPr>
              <w:rFonts w:asciiTheme="minorHAnsi" w:eastAsiaTheme="minorEastAsia" w:hAnsiTheme="minorHAnsi" w:cstheme="minorBidi"/>
              <w:noProof/>
              <w:sz w:val="22"/>
              <w:szCs w:val="22"/>
              <w:lang w:val="sk-SK"/>
            </w:rPr>
          </w:pPr>
          <w:hyperlink w:anchor="_Toc136296257" w:history="1">
            <w:r w:rsidR="006E0740" w:rsidRPr="00955A19">
              <w:rPr>
                <w:rStyle w:val="Hyperlink"/>
                <w:noProof/>
                <w:lang w:val="sk-SK"/>
              </w:rPr>
              <w:t>3.1.</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Diverzifikácia investičných možností</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_Toc136296257 \h </w:instrText>
            </w:r>
            <w:r w:rsidR="006E0740" w:rsidRPr="00955A19">
              <w:rPr>
                <w:noProof/>
                <w:webHidden/>
                <w:lang w:val="sk-SK"/>
              </w:rPr>
            </w:r>
            <w:r w:rsidR="006E0740" w:rsidRPr="00955A19">
              <w:rPr>
                <w:noProof/>
                <w:webHidden/>
                <w:lang w:val="sk-SK"/>
              </w:rPr>
              <w:fldChar w:fldCharType="separate"/>
            </w:r>
            <w:r w:rsidR="00955A19">
              <w:rPr>
                <w:noProof/>
                <w:webHidden/>
                <w:lang w:val="sk-SK"/>
              </w:rPr>
              <w:t>12</w:t>
            </w:r>
            <w:r w:rsidR="006E0740" w:rsidRPr="00955A19">
              <w:rPr>
                <w:noProof/>
                <w:webHidden/>
                <w:lang w:val="sk-SK"/>
              </w:rPr>
              <w:fldChar w:fldCharType="end"/>
            </w:r>
          </w:hyperlink>
        </w:p>
        <w:p w14:paraId="4716A6C4" w14:textId="32570113" w:rsidR="006E0740" w:rsidRPr="00955A19" w:rsidRDefault="008D5B52">
          <w:pPr>
            <w:pStyle w:val="TOC2"/>
            <w:rPr>
              <w:rFonts w:asciiTheme="minorHAnsi" w:eastAsiaTheme="minorEastAsia" w:hAnsiTheme="minorHAnsi" w:cstheme="minorBidi"/>
              <w:noProof/>
              <w:sz w:val="22"/>
              <w:szCs w:val="22"/>
              <w:lang w:val="sk-SK"/>
            </w:rPr>
          </w:pPr>
          <w:hyperlink w:anchor="_Toc136296258" w:history="1">
            <w:r w:rsidR="006E0740" w:rsidRPr="00955A19">
              <w:rPr>
                <w:rStyle w:val="Hyperlink"/>
                <w:noProof/>
                <w:lang w:val="sk-SK"/>
              </w:rPr>
              <w:t>3.2.</w:t>
            </w:r>
            <w:r w:rsidR="006E0740" w:rsidRPr="00955A19">
              <w:rPr>
                <w:rFonts w:asciiTheme="minorHAnsi" w:eastAsiaTheme="minorEastAsia" w:hAnsiTheme="minorHAnsi" w:cstheme="minorBidi"/>
                <w:noProof/>
                <w:sz w:val="22"/>
                <w:szCs w:val="22"/>
                <w:lang w:val="sk-SK"/>
              </w:rPr>
              <w:tab/>
            </w:r>
            <w:r w:rsidR="006E0740" w:rsidRPr="00955A19">
              <w:rPr>
                <w:rStyle w:val="Hyperlink"/>
                <w:noProof/>
                <w:lang w:val="sk-SK"/>
              </w:rPr>
              <w:t>Posilnenie referenčnej hodnoty zameranej na ESG</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_Toc136296258 \h </w:instrText>
            </w:r>
            <w:r w:rsidR="006E0740" w:rsidRPr="00955A19">
              <w:rPr>
                <w:noProof/>
                <w:webHidden/>
                <w:lang w:val="sk-SK"/>
              </w:rPr>
            </w:r>
            <w:r w:rsidR="006E0740" w:rsidRPr="00955A19">
              <w:rPr>
                <w:noProof/>
                <w:webHidden/>
                <w:lang w:val="sk-SK"/>
              </w:rPr>
              <w:fldChar w:fldCharType="separate"/>
            </w:r>
            <w:r w:rsidR="00955A19">
              <w:rPr>
                <w:noProof/>
                <w:webHidden/>
                <w:lang w:val="sk-SK"/>
              </w:rPr>
              <w:t>12</w:t>
            </w:r>
            <w:r w:rsidR="006E0740" w:rsidRPr="00955A19">
              <w:rPr>
                <w:noProof/>
                <w:webHidden/>
                <w:lang w:val="sk-SK"/>
              </w:rPr>
              <w:fldChar w:fldCharType="end"/>
            </w:r>
          </w:hyperlink>
        </w:p>
        <w:p w14:paraId="4B0889BD" w14:textId="4A5AA36D" w:rsidR="006E0740" w:rsidRPr="00955A19" w:rsidRDefault="008D5B52">
          <w:pPr>
            <w:pStyle w:val="TOC1"/>
            <w:rPr>
              <w:rFonts w:asciiTheme="minorHAnsi" w:eastAsiaTheme="minorEastAsia" w:hAnsiTheme="minorHAnsi" w:cstheme="minorBidi"/>
              <w:b w:val="0"/>
              <w:noProof/>
              <w:sz w:val="22"/>
              <w:szCs w:val="22"/>
              <w:lang w:val="sk-SK"/>
            </w:rPr>
          </w:pPr>
          <w:hyperlink w:anchor="_Toc136296259" w:history="1">
            <w:r w:rsidR="006E0740" w:rsidRPr="00955A19">
              <w:rPr>
                <w:rStyle w:val="Hyperlink"/>
                <w:noProof/>
                <w:lang w:val="sk-SK"/>
              </w:rPr>
              <w:t>Závery</w:t>
            </w:r>
            <w:r w:rsidR="006E0740" w:rsidRPr="00955A19">
              <w:rPr>
                <w:noProof/>
                <w:webHidden/>
                <w:lang w:val="sk-SK"/>
              </w:rPr>
              <w:tab/>
            </w:r>
            <w:r w:rsidR="006E0740" w:rsidRPr="00955A19">
              <w:rPr>
                <w:noProof/>
                <w:webHidden/>
                <w:lang w:val="sk-SK"/>
              </w:rPr>
              <w:fldChar w:fldCharType="begin"/>
            </w:r>
            <w:r w:rsidR="006E0740" w:rsidRPr="00955A19">
              <w:rPr>
                <w:noProof/>
                <w:webHidden/>
                <w:lang w:val="sk-SK"/>
              </w:rPr>
              <w:instrText xml:space="preserve"> PAGEREF _Toc136296259 \h </w:instrText>
            </w:r>
            <w:r w:rsidR="006E0740" w:rsidRPr="00955A19">
              <w:rPr>
                <w:noProof/>
                <w:webHidden/>
                <w:lang w:val="sk-SK"/>
              </w:rPr>
            </w:r>
            <w:r w:rsidR="006E0740" w:rsidRPr="00955A19">
              <w:rPr>
                <w:noProof/>
                <w:webHidden/>
                <w:lang w:val="sk-SK"/>
              </w:rPr>
              <w:fldChar w:fldCharType="separate"/>
            </w:r>
            <w:r w:rsidR="00955A19">
              <w:rPr>
                <w:noProof/>
                <w:webHidden/>
                <w:lang w:val="sk-SK"/>
              </w:rPr>
              <w:t>13</w:t>
            </w:r>
            <w:r w:rsidR="006E0740" w:rsidRPr="00955A19">
              <w:rPr>
                <w:noProof/>
                <w:webHidden/>
                <w:lang w:val="sk-SK"/>
              </w:rPr>
              <w:fldChar w:fldCharType="end"/>
            </w:r>
          </w:hyperlink>
        </w:p>
        <w:p w14:paraId="396A8441" w14:textId="5A116369" w:rsidR="00815A8F" w:rsidRPr="00955A19" w:rsidRDefault="00797A87">
          <w:pPr>
            <w:rPr>
              <w:noProof/>
              <w:lang w:val="sk-SK"/>
            </w:rPr>
          </w:pPr>
          <w:r w:rsidRPr="00955A19">
            <w:rPr>
              <w:noProof/>
              <w:lang w:val="sk-SK"/>
            </w:rPr>
            <w:fldChar w:fldCharType="end"/>
          </w:r>
        </w:p>
        <w:p w14:paraId="466095A4" w14:textId="5DE055A6" w:rsidR="00815A8F" w:rsidRPr="00955A19" w:rsidRDefault="00797A87">
          <w:pPr>
            <w:rPr>
              <w:noProof/>
              <w:lang w:val="sk-SK"/>
            </w:rPr>
          </w:pPr>
          <w:r w:rsidRPr="00955A19">
            <w:rPr>
              <w:noProof/>
              <w:lang w:val="sk-SK"/>
            </w:rPr>
            <w:br w:type="page"/>
          </w:r>
        </w:p>
      </w:sdtContent>
    </w:sdt>
    <w:p w14:paraId="438AF015" w14:textId="5D81B85B" w:rsidR="00FE162C" w:rsidRPr="00955A19" w:rsidRDefault="00FE162C" w:rsidP="00027CE2">
      <w:pPr>
        <w:pStyle w:val="Heading1"/>
        <w:numPr>
          <w:ilvl w:val="0"/>
          <w:numId w:val="0"/>
        </w:numPr>
        <w:rPr>
          <w:noProof/>
          <w:lang w:val="sk-SK"/>
        </w:rPr>
      </w:pPr>
      <w:bookmarkStart w:id="2" w:name="_Toc136296241"/>
      <w:r w:rsidRPr="00955A19">
        <w:rPr>
          <w:noProof/>
          <w:lang w:val="sk-SK"/>
        </w:rPr>
        <w:t>ÚVOD</w:t>
      </w:r>
      <w:bookmarkEnd w:id="2"/>
    </w:p>
    <w:p w14:paraId="7B345596" w14:textId="7EFA70FC" w:rsidR="00FE162C" w:rsidRPr="00955A19" w:rsidRDefault="00990E71" w:rsidP="00FE162C">
      <w:pPr>
        <w:rPr>
          <w:noProof/>
          <w:lang w:val="sk-SK"/>
        </w:rPr>
      </w:pPr>
      <w:r w:rsidRPr="00955A19">
        <w:rPr>
          <w:noProof/>
          <w:lang w:val="sk-SK"/>
        </w:rPr>
        <w:t>Táto správa je druhou výročnou správou</w:t>
      </w:r>
      <w:r w:rsidR="00955A19">
        <w:rPr>
          <w:noProof/>
          <w:lang w:val="sk-SK"/>
        </w:rPr>
        <w:t xml:space="preserve"> o </w:t>
      </w:r>
      <w:r w:rsidRPr="00955A19">
        <w:rPr>
          <w:noProof/>
          <w:lang w:val="sk-SK"/>
        </w:rPr>
        <w:t>spoločnom rezervnom fonde (SRF)</w:t>
      </w:r>
      <w:r w:rsidRPr="00955A19">
        <w:rPr>
          <w:rStyle w:val="FootnoteReference"/>
          <w:noProof/>
          <w:lang w:val="sk-SK"/>
        </w:rPr>
        <w:footnoteReference w:id="1"/>
      </w:r>
      <w:r w:rsidRPr="00955A19">
        <w:rPr>
          <w:noProof/>
          <w:lang w:val="sk-SK"/>
        </w:rPr>
        <w:t xml:space="preserve"> za obdobie od 1</w:t>
      </w:r>
      <w:r w:rsidR="00955A19">
        <w:rPr>
          <w:noProof/>
          <w:lang w:val="sk-SK"/>
        </w:rPr>
        <w:t>. januára</w:t>
      </w:r>
      <w:r w:rsidRPr="00955A19">
        <w:rPr>
          <w:noProof/>
          <w:lang w:val="sk-SK"/>
        </w:rPr>
        <w:t xml:space="preserve"> 2022 do 31</w:t>
      </w:r>
      <w:r w:rsidR="00955A19">
        <w:rPr>
          <w:noProof/>
          <w:lang w:val="sk-SK"/>
        </w:rPr>
        <w:t>. decembra</w:t>
      </w:r>
      <w:r w:rsidRPr="00955A19">
        <w:rPr>
          <w:noProof/>
          <w:lang w:val="sk-SK"/>
        </w:rPr>
        <w:t xml:space="preserve"> 2022.</w:t>
      </w:r>
    </w:p>
    <w:p w14:paraId="21C442F8" w14:textId="5BB3DFA8" w:rsidR="00FE162C" w:rsidRPr="00955A19" w:rsidRDefault="001C71A0" w:rsidP="001C71A0">
      <w:pPr>
        <w:rPr>
          <w:noProof/>
          <w:lang w:val="sk-SK"/>
        </w:rPr>
      </w:pPr>
      <w:r w:rsidRPr="00955A19">
        <w:rPr>
          <w:noProof/>
          <w:lang w:val="sk-SK"/>
        </w:rPr>
        <w:t>SRF, kt</w:t>
      </w:r>
      <w:r w:rsidR="00CA5A25" w:rsidRPr="00955A19">
        <w:rPr>
          <w:noProof/>
          <w:lang w:val="sk-SK"/>
        </w:rPr>
        <w:t>orý bol zriadený podľa článku 2</w:t>
      </w:r>
      <w:r w:rsidRPr="00955A19">
        <w:rPr>
          <w:noProof/>
          <w:lang w:val="sk-SK"/>
        </w:rPr>
        <w:t>12 nariadenia</w:t>
      </w:r>
      <w:r w:rsidR="00955A19">
        <w:rPr>
          <w:noProof/>
          <w:lang w:val="sk-SK"/>
        </w:rPr>
        <w:t xml:space="preserve"> o </w:t>
      </w:r>
      <w:r w:rsidRPr="00955A19">
        <w:rPr>
          <w:noProof/>
          <w:lang w:val="sk-SK"/>
        </w:rPr>
        <w:t>rozpočtových pravidlách, je kapitálová rezerva,</w:t>
      </w:r>
      <w:r w:rsidR="00955A19">
        <w:rPr>
          <w:noProof/>
          <w:lang w:val="sk-SK"/>
        </w:rPr>
        <w:t xml:space="preserve"> z </w:t>
      </w:r>
      <w:r w:rsidRPr="00955A19">
        <w:rPr>
          <w:noProof/>
          <w:lang w:val="sk-SK"/>
        </w:rPr>
        <w:t>ktorej sa finančné prostriedky čerpajú na účely pokrytia požadovaných tokov</w:t>
      </w:r>
      <w:r w:rsidR="00955A19">
        <w:rPr>
          <w:noProof/>
          <w:lang w:val="sk-SK"/>
        </w:rPr>
        <w:t xml:space="preserve"> z </w:t>
      </w:r>
      <w:r w:rsidRPr="00955A19">
        <w:rPr>
          <w:noProof/>
          <w:lang w:val="sk-SK"/>
        </w:rPr>
        <w:t>fondu</w:t>
      </w:r>
      <w:r w:rsidR="00955A19">
        <w:rPr>
          <w:noProof/>
          <w:lang w:val="sk-SK"/>
        </w:rPr>
        <w:t xml:space="preserve"> a </w:t>
      </w:r>
      <w:r w:rsidRPr="00955A19">
        <w:rPr>
          <w:noProof/>
          <w:lang w:val="sk-SK"/>
        </w:rPr>
        <w:t>výziev na uplatnenie záruky vyplývajúcich</w:t>
      </w:r>
      <w:r w:rsidR="00955A19">
        <w:rPr>
          <w:noProof/>
          <w:lang w:val="sk-SK"/>
        </w:rPr>
        <w:t xml:space="preserve"> z </w:t>
      </w:r>
      <w:r w:rsidRPr="00955A19">
        <w:rPr>
          <w:noProof/>
          <w:lang w:val="sk-SK"/>
        </w:rPr>
        <w:t>podporovaných operácií. Slúži na vyrovnanie vplyvu jednotlivých výziev na rozpočet EÚ vo vzťahu</w:t>
      </w:r>
      <w:r w:rsidR="00955A19">
        <w:rPr>
          <w:noProof/>
          <w:lang w:val="sk-SK"/>
        </w:rPr>
        <w:t xml:space="preserve"> k </w:t>
      </w:r>
      <w:r w:rsidRPr="00955A19">
        <w:rPr>
          <w:noProof/>
          <w:lang w:val="sk-SK"/>
        </w:rPr>
        <w:t>stratám</w:t>
      </w:r>
      <w:r w:rsidR="00955A19">
        <w:rPr>
          <w:noProof/>
          <w:lang w:val="sk-SK"/>
        </w:rPr>
        <w:t xml:space="preserve"> v </w:t>
      </w:r>
      <w:r w:rsidRPr="00955A19">
        <w:rPr>
          <w:noProof/>
          <w:lang w:val="sk-SK"/>
        </w:rPr>
        <w:t>súvislosti</w:t>
      </w:r>
      <w:r w:rsidR="00955A19">
        <w:rPr>
          <w:noProof/>
          <w:lang w:val="sk-SK"/>
        </w:rPr>
        <w:t xml:space="preserve"> s </w:t>
      </w:r>
      <w:r w:rsidRPr="00955A19">
        <w:rPr>
          <w:noProof/>
          <w:lang w:val="sk-SK"/>
        </w:rPr>
        <w:t>operáciami podporovanými</w:t>
      </w:r>
      <w:r w:rsidR="00955A19">
        <w:rPr>
          <w:noProof/>
          <w:lang w:val="sk-SK"/>
        </w:rPr>
        <w:t xml:space="preserve"> z </w:t>
      </w:r>
      <w:r w:rsidRPr="00955A19">
        <w:rPr>
          <w:noProof/>
          <w:lang w:val="sk-SK"/>
        </w:rPr>
        <w:t>finančných nástrojov, rozpočtových záruk alebo finančnej pomoci pre tretie krajiny, ktoré sa zriadili rôznymi legislatívnymi nástrojmi EÚ. SRF sa spravuje tak, aby si počas investičného horizontu (deväť rokov) minimálne zachoval kapitál</w:t>
      </w:r>
      <w:r w:rsidRPr="00955A19">
        <w:rPr>
          <w:rStyle w:val="FootnoteReference"/>
          <w:noProof/>
          <w:lang w:val="sk-SK"/>
        </w:rPr>
        <w:footnoteReference w:id="2"/>
      </w:r>
      <w:r w:rsidRPr="00955A19">
        <w:rPr>
          <w:noProof/>
          <w:lang w:val="sk-SK"/>
        </w:rPr>
        <w:t>.</w:t>
      </w:r>
    </w:p>
    <w:p w14:paraId="4AF5A17C" w14:textId="7333D508" w:rsidR="00CA5A25" w:rsidRPr="00955A19" w:rsidRDefault="00FE162C" w:rsidP="00FE162C">
      <w:pPr>
        <w:rPr>
          <w:noProof/>
          <w:lang w:val="sk-SK"/>
        </w:rPr>
      </w:pPr>
      <w:r w:rsidRPr="00955A19">
        <w:rPr>
          <w:noProof/>
          <w:lang w:val="sk-SK"/>
        </w:rPr>
        <w:t>SRF začal fungovať</w:t>
      </w:r>
      <w:r w:rsidR="00955A19">
        <w:rPr>
          <w:noProof/>
          <w:lang w:val="sk-SK"/>
        </w:rPr>
        <w:t xml:space="preserve"> v </w:t>
      </w:r>
      <w:r w:rsidRPr="00955A19">
        <w:rPr>
          <w:noProof/>
          <w:lang w:val="sk-SK"/>
        </w:rPr>
        <w:t>januári 2021. Na konci roka 2022 jeho trhová hodnota predstavovala 14,39 miliardy EUR, čím sa stal najväčším portfóliom, ktoré Komisia priamo spravuje</w:t>
      </w:r>
      <w:r w:rsidR="00CA5A25" w:rsidRPr="00955A19">
        <w:rPr>
          <w:noProof/>
          <w:lang w:val="sk-SK"/>
        </w:rPr>
        <w:t>.</w:t>
      </w:r>
    </w:p>
    <w:p w14:paraId="0DBF5596" w14:textId="6B027D83" w:rsidR="00990E71" w:rsidRPr="00955A19" w:rsidRDefault="00FE162C" w:rsidP="00FE162C">
      <w:pPr>
        <w:rPr>
          <w:noProof/>
          <w:lang w:val="sk-SK"/>
        </w:rPr>
      </w:pPr>
      <w:r w:rsidRPr="00955A19">
        <w:rPr>
          <w:noProof/>
          <w:lang w:val="sk-SK"/>
        </w:rPr>
        <w:t>V tejto správe sa uvádza kľúčový vývoj týkajúci sa fungovania SRF</w:t>
      </w:r>
      <w:r w:rsidR="00955A19">
        <w:rPr>
          <w:noProof/>
          <w:lang w:val="sk-SK"/>
        </w:rPr>
        <w:t xml:space="preserve"> v </w:t>
      </w:r>
      <w:r w:rsidRPr="00955A19">
        <w:rPr>
          <w:noProof/>
          <w:lang w:val="sk-SK"/>
        </w:rPr>
        <w:t>roku 2022, ktorý bol poznačený prudkým rastom úrokových sadzieb</w:t>
      </w:r>
      <w:r w:rsidR="00955A19">
        <w:rPr>
          <w:noProof/>
          <w:lang w:val="sk-SK"/>
        </w:rPr>
        <w:t xml:space="preserve"> a </w:t>
      </w:r>
      <w:r w:rsidRPr="00955A19">
        <w:rPr>
          <w:noProof/>
          <w:lang w:val="sk-SK"/>
        </w:rPr>
        <w:t>útočnou vojnou proti Ukrajine, čo prehĺbilo inflačnú dynamiku</w:t>
      </w:r>
      <w:r w:rsidR="00955A19">
        <w:rPr>
          <w:noProof/>
          <w:lang w:val="sk-SK"/>
        </w:rPr>
        <w:t xml:space="preserve"> a </w:t>
      </w:r>
      <w:r w:rsidRPr="00955A19">
        <w:rPr>
          <w:noProof/>
          <w:lang w:val="sk-SK"/>
        </w:rPr>
        <w:t>výrazne ovplyvnilo ocenenie portfólií</w:t>
      </w:r>
      <w:r w:rsidR="00955A19">
        <w:rPr>
          <w:noProof/>
          <w:lang w:val="sk-SK"/>
        </w:rPr>
        <w:t xml:space="preserve"> s </w:t>
      </w:r>
      <w:r w:rsidRPr="00955A19">
        <w:rPr>
          <w:noProof/>
          <w:lang w:val="sk-SK"/>
        </w:rPr>
        <w:t>pevným výnosom</w:t>
      </w:r>
      <w:r w:rsidR="00955A19">
        <w:rPr>
          <w:noProof/>
          <w:lang w:val="sk-SK"/>
        </w:rPr>
        <w:t xml:space="preserve"> a </w:t>
      </w:r>
      <w:r w:rsidRPr="00955A19">
        <w:rPr>
          <w:noProof/>
          <w:lang w:val="sk-SK"/>
        </w:rPr>
        <w:t>zároveň poháňalo volatilitu trhu. Prezentujú sa</w:t>
      </w:r>
      <w:r w:rsidR="00955A19">
        <w:rPr>
          <w:noProof/>
          <w:lang w:val="sk-SK"/>
        </w:rPr>
        <w:t xml:space="preserve"> v </w:t>
      </w:r>
      <w:r w:rsidRPr="00955A19">
        <w:rPr>
          <w:noProof/>
          <w:lang w:val="sk-SK"/>
        </w:rPr>
        <w:t>nej finančné</w:t>
      </w:r>
      <w:r w:rsidR="00955A19">
        <w:rPr>
          <w:noProof/>
          <w:lang w:val="sk-SK"/>
        </w:rPr>
        <w:t xml:space="preserve"> a </w:t>
      </w:r>
      <w:r w:rsidRPr="00955A19">
        <w:rPr>
          <w:noProof/>
          <w:lang w:val="sk-SK"/>
        </w:rPr>
        <w:t>investičné charakteristiky fondu vzhľadom na prevládajúcu situáciu na trhu</w:t>
      </w:r>
      <w:r w:rsidR="00955A19">
        <w:rPr>
          <w:noProof/>
          <w:lang w:val="sk-SK"/>
        </w:rPr>
        <w:t xml:space="preserve"> a </w:t>
      </w:r>
      <w:r w:rsidRPr="00955A19">
        <w:rPr>
          <w:noProof/>
          <w:lang w:val="sk-SK"/>
        </w:rPr>
        <w:t>poskytujú sa aj aktualizované informácie</w:t>
      </w:r>
      <w:r w:rsidR="00955A19">
        <w:rPr>
          <w:noProof/>
          <w:lang w:val="sk-SK"/>
        </w:rPr>
        <w:t xml:space="preserve"> o </w:t>
      </w:r>
      <w:r w:rsidRPr="00955A19">
        <w:rPr>
          <w:noProof/>
          <w:lang w:val="sk-SK"/>
        </w:rPr>
        <w:t>opatreniach, ktoré Komisia prijala na zlepšenie jeho dlhodobejšej výkonnosti.</w:t>
      </w:r>
    </w:p>
    <w:p w14:paraId="00431D0F" w14:textId="04F0FAE2" w:rsidR="00FE162C" w:rsidRPr="00955A19" w:rsidRDefault="00990E71" w:rsidP="00FE162C">
      <w:pPr>
        <w:rPr>
          <w:noProof/>
          <w:lang w:val="sk-SK"/>
        </w:rPr>
      </w:pPr>
      <w:r w:rsidRPr="00955A19">
        <w:rPr>
          <w:noProof/>
          <w:lang w:val="sk-SK"/>
        </w:rPr>
        <w:t>Táto správa sa striktne zameriava na aspekty správy aktív. Podmienené záväzky sa budú rozoberať</w:t>
      </w:r>
      <w:r w:rsidR="00955A19">
        <w:rPr>
          <w:noProof/>
          <w:lang w:val="sk-SK"/>
        </w:rPr>
        <w:t xml:space="preserve"> v </w:t>
      </w:r>
      <w:r w:rsidRPr="00955A19">
        <w:rPr>
          <w:noProof/>
          <w:lang w:val="sk-SK"/>
        </w:rPr>
        <w:t>samostatnej správe podľa článku 250 nariadenia</w:t>
      </w:r>
      <w:r w:rsidR="00955A19">
        <w:rPr>
          <w:noProof/>
          <w:lang w:val="sk-SK"/>
        </w:rPr>
        <w:t xml:space="preserve"> o </w:t>
      </w:r>
      <w:r w:rsidRPr="00955A19">
        <w:rPr>
          <w:noProof/>
          <w:lang w:val="sk-SK"/>
        </w:rPr>
        <w:t>rozpočtových pravidlách.</w:t>
      </w:r>
    </w:p>
    <w:p w14:paraId="29BE84F5" w14:textId="77777777" w:rsidR="00ED39D8" w:rsidRPr="00955A19" w:rsidRDefault="00ED39D8">
      <w:pPr>
        <w:spacing w:after="0" w:line="240" w:lineRule="auto"/>
        <w:jc w:val="left"/>
        <w:rPr>
          <w:noProof/>
          <w:lang w:val="sk-SK"/>
        </w:rPr>
      </w:pPr>
      <w:r w:rsidRPr="00955A19">
        <w:rPr>
          <w:noProof/>
          <w:lang w:val="sk-SK"/>
        </w:rPr>
        <w:br w:type="page"/>
      </w:r>
    </w:p>
    <w:p w14:paraId="0CFF6531" w14:textId="77777777" w:rsidR="00ED39D8" w:rsidRPr="00955A19" w:rsidRDefault="00ED39D8" w:rsidP="00FE162C">
      <w:pPr>
        <w:rPr>
          <w:noProof/>
          <w:lang w:val="sk-SK"/>
        </w:rPr>
      </w:pPr>
    </w:p>
    <w:p w14:paraId="3CD9B92B" w14:textId="77777777" w:rsidR="00FE162C" w:rsidRPr="00955A19" w:rsidRDefault="00FE162C" w:rsidP="00FE162C">
      <w:pPr>
        <w:rPr>
          <w:b/>
          <w:noProof/>
          <w:lang w:val="sk-SK"/>
        </w:rPr>
      </w:pPr>
      <w:r w:rsidRPr="00955A19">
        <w:rPr>
          <w:b/>
          <w:noProof/>
          <w:lang w:val="sk-SK"/>
        </w:rPr>
        <w:t>Správu tvoria tri oddiely:</w:t>
      </w:r>
    </w:p>
    <w:p w14:paraId="07A176D6" w14:textId="6920C269" w:rsidR="00FE162C" w:rsidRPr="00955A19" w:rsidRDefault="00FE162C" w:rsidP="00FE162C">
      <w:pPr>
        <w:pStyle w:val="ListDash"/>
        <w:rPr>
          <w:noProof/>
          <w:lang w:val="sk-SK"/>
        </w:rPr>
      </w:pPr>
      <w:r w:rsidRPr="00955A19">
        <w:rPr>
          <w:noProof/>
          <w:lang w:val="sk-SK"/>
        </w:rPr>
        <w:t>V oddiele I sa prezentujú kľúčové udalosti týkajúce sa fungovania SRF</w:t>
      </w:r>
      <w:r w:rsidR="00955A19">
        <w:rPr>
          <w:noProof/>
          <w:lang w:val="sk-SK"/>
        </w:rPr>
        <w:t xml:space="preserve"> v </w:t>
      </w:r>
      <w:r w:rsidRPr="00955A19">
        <w:rPr>
          <w:noProof/>
          <w:lang w:val="sk-SK"/>
        </w:rPr>
        <w:t>roku 2022. Takisto sa</w:t>
      </w:r>
      <w:r w:rsidR="00955A19">
        <w:rPr>
          <w:noProof/>
          <w:lang w:val="sk-SK"/>
        </w:rPr>
        <w:t xml:space="preserve"> v </w:t>
      </w:r>
      <w:r w:rsidRPr="00955A19">
        <w:rPr>
          <w:noProof/>
          <w:lang w:val="sk-SK"/>
        </w:rPr>
        <w:t>ňom uvádza prehľad výziev na uplatnenie záruky</w:t>
      </w:r>
      <w:r w:rsidR="00955A19">
        <w:rPr>
          <w:noProof/>
          <w:lang w:val="sk-SK"/>
        </w:rPr>
        <w:t xml:space="preserve"> a </w:t>
      </w:r>
      <w:r w:rsidRPr="00955A19">
        <w:rPr>
          <w:noProof/>
          <w:lang w:val="sk-SK"/>
        </w:rPr>
        <w:t>transakcií, ako aj aktualizované informácie</w:t>
      </w:r>
      <w:r w:rsidR="00955A19">
        <w:rPr>
          <w:noProof/>
          <w:lang w:val="sk-SK"/>
        </w:rPr>
        <w:t xml:space="preserve"> o </w:t>
      </w:r>
      <w:r w:rsidRPr="00955A19">
        <w:rPr>
          <w:noProof/>
          <w:lang w:val="sk-SK"/>
        </w:rPr>
        <w:t>uplatňovanej efektívnej miere tvorby rezerv.</w:t>
      </w:r>
    </w:p>
    <w:p w14:paraId="5858A132" w14:textId="155B1BF2" w:rsidR="00FE162C" w:rsidRPr="00955A19" w:rsidRDefault="00FE162C" w:rsidP="00FE162C">
      <w:pPr>
        <w:pStyle w:val="ListDash"/>
        <w:rPr>
          <w:noProof/>
          <w:lang w:val="sk-SK"/>
        </w:rPr>
      </w:pPr>
      <w:r w:rsidRPr="00955A19">
        <w:rPr>
          <w:noProof/>
          <w:lang w:val="sk-SK"/>
        </w:rPr>
        <w:t>Oddiel II sa zameriava na zloženie, rizikový profil</w:t>
      </w:r>
      <w:r w:rsidR="00955A19">
        <w:rPr>
          <w:noProof/>
          <w:lang w:val="sk-SK"/>
        </w:rPr>
        <w:t xml:space="preserve"> a </w:t>
      </w:r>
      <w:r w:rsidRPr="00955A19">
        <w:rPr>
          <w:noProof/>
          <w:lang w:val="sk-SK"/>
        </w:rPr>
        <w:t>výkonnosť portfólia</w:t>
      </w:r>
      <w:r w:rsidR="00955A19">
        <w:rPr>
          <w:noProof/>
          <w:lang w:val="sk-SK"/>
        </w:rPr>
        <w:t xml:space="preserve"> v </w:t>
      </w:r>
      <w:r w:rsidRPr="00955A19">
        <w:rPr>
          <w:noProof/>
          <w:lang w:val="sk-SK"/>
        </w:rPr>
        <w:t>roku 2022, ktoré sa uvádzajú vo vzťahu</w:t>
      </w:r>
      <w:r w:rsidR="00955A19">
        <w:rPr>
          <w:noProof/>
          <w:lang w:val="sk-SK"/>
        </w:rPr>
        <w:t xml:space="preserve"> k </w:t>
      </w:r>
      <w:r w:rsidRPr="00955A19">
        <w:rPr>
          <w:noProof/>
          <w:lang w:val="sk-SK"/>
        </w:rPr>
        <w:t>referenčnej hodnote, ako aj jeho environmentálny</w:t>
      </w:r>
      <w:r w:rsidR="00955A19">
        <w:rPr>
          <w:noProof/>
          <w:lang w:val="sk-SK"/>
        </w:rPr>
        <w:t xml:space="preserve"> a </w:t>
      </w:r>
      <w:r w:rsidRPr="00955A19">
        <w:rPr>
          <w:noProof/>
          <w:lang w:val="sk-SK"/>
        </w:rPr>
        <w:t>sociálny profil</w:t>
      </w:r>
      <w:r w:rsidR="00955A19">
        <w:rPr>
          <w:noProof/>
          <w:lang w:val="sk-SK"/>
        </w:rPr>
        <w:t xml:space="preserve"> a </w:t>
      </w:r>
      <w:r w:rsidRPr="00955A19">
        <w:rPr>
          <w:noProof/>
          <w:lang w:val="sk-SK"/>
        </w:rPr>
        <w:t>profil</w:t>
      </w:r>
      <w:r w:rsidR="00955A19">
        <w:rPr>
          <w:noProof/>
          <w:lang w:val="sk-SK"/>
        </w:rPr>
        <w:t xml:space="preserve"> v </w:t>
      </w:r>
      <w:r w:rsidRPr="00955A19">
        <w:rPr>
          <w:noProof/>
          <w:lang w:val="sk-SK"/>
        </w:rPr>
        <w:t>oblasti správy</w:t>
      </w:r>
      <w:r w:rsidR="00955A19">
        <w:rPr>
          <w:noProof/>
          <w:lang w:val="sk-SK"/>
        </w:rPr>
        <w:t xml:space="preserve"> a </w:t>
      </w:r>
      <w:r w:rsidRPr="00955A19">
        <w:rPr>
          <w:noProof/>
          <w:lang w:val="sk-SK"/>
        </w:rPr>
        <w:t>riadenia (ESG). Navyše sa</w:t>
      </w:r>
      <w:r w:rsidR="00955A19">
        <w:rPr>
          <w:noProof/>
          <w:lang w:val="sk-SK"/>
        </w:rPr>
        <w:t xml:space="preserve"> v </w:t>
      </w:r>
      <w:r w:rsidRPr="00955A19">
        <w:rPr>
          <w:noProof/>
          <w:lang w:val="sk-SK"/>
        </w:rPr>
        <w:t>ňom opisuje trhové prostredie</w:t>
      </w:r>
      <w:r w:rsidR="00955A19">
        <w:rPr>
          <w:noProof/>
          <w:lang w:val="sk-SK"/>
        </w:rPr>
        <w:t xml:space="preserve"> a </w:t>
      </w:r>
      <w:r w:rsidRPr="00955A19">
        <w:rPr>
          <w:noProof/>
          <w:lang w:val="sk-SK"/>
        </w:rPr>
        <w:t>vývoj, ktoré ovplyvnili výkonnosť fondu</w:t>
      </w:r>
      <w:r w:rsidR="00955A19">
        <w:rPr>
          <w:noProof/>
          <w:lang w:val="sk-SK"/>
        </w:rPr>
        <w:t xml:space="preserve"> v </w:t>
      </w:r>
      <w:r w:rsidRPr="00955A19">
        <w:rPr>
          <w:noProof/>
          <w:lang w:val="sk-SK"/>
        </w:rPr>
        <w:t>roku 2022.</w:t>
      </w:r>
    </w:p>
    <w:p w14:paraId="5B2CD082" w14:textId="6442E75A" w:rsidR="00FE162C" w:rsidRPr="00955A19" w:rsidRDefault="00FE162C" w:rsidP="00FE162C">
      <w:pPr>
        <w:pStyle w:val="ListDash"/>
        <w:rPr>
          <w:noProof/>
          <w:lang w:val="sk-SK"/>
        </w:rPr>
      </w:pPr>
      <w:r w:rsidRPr="00955A19">
        <w:rPr>
          <w:noProof/>
          <w:lang w:val="sk-SK"/>
        </w:rPr>
        <w:t>V oddiele III sa uvádzajú výsledky opatrení, ktoré Komisia prijala na zabezpečenie ochrany hodnoty</w:t>
      </w:r>
      <w:r w:rsidR="00955A19">
        <w:rPr>
          <w:noProof/>
          <w:lang w:val="sk-SK"/>
        </w:rPr>
        <w:t xml:space="preserve"> a </w:t>
      </w:r>
      <w:r w:rsidRPr="00955A19">
        <w:rPr>
          <w:noProof/>
          <w:lang w:val="sk-SK"/>
        </w:rPr>
        <w:t>príležitostí na rast SRF</w:t>
      </w:r>
      <w:r w:rsidR="00955A19">
        <w:rPr>
          <w:noProof/>
          <w:lang w:val="sk-SK"/>
        </w:rPr>
        <w:t xml:space="preserve"> v </w:t>
      </w:r>
      <w:r w:rsidRPr="00955A19">
        <w:rPr>
          <w:noProof/>
          <w:lang w:val="sk-SK"/>
        </w:rPr>
        <w:t>dlhodobejšom horizonte: diverzifikované investičné možnosti</w:t>
      </w:r>
      <w:r w:rsidR="00955A19">
        <w:rPr>
          <w:noProof/>
          <w:lang w:val="sk-SK"/>
        </w:rPr>
        <w:t xml:space="preserve"> a </w:t>
      </w:r>
      <w:r w:rsidRPr="00955A19">
        <w:rPr>
          <w:noProof/>
          <w:lang w:val="sk-SK"/>
        </w:rPr>
        <w:t>posilnená referenčná hodnota zameraná na ESG.</w:t>
      </w:r>
    </w:p>
    <w:p w14:paraId="6147E0CB" w14:textId="77777777" w:rsidR="00ED39D8" w:rsidRPr="00955A19" w:rsidRDefault="00FE162C" w:rsidP="00ED39D8">
      <w:pPr>
        <w:spacing w:after="0" w:line="240" w:lineRule="auto"/>
        <w:jc w:val="left"/>
        <w:rPr>
          <w:noProof/>
          <w:lang w:val="sk-SK"/>
        </w:rPr>
      </w:pPr>
      <w:r w:rsidRPr="00955A19">
        <w:rPr>
          <w:noProof/>
          <w:lang w:val="sk-SK"/>
        </w:rPr>
        <w:br w:type="page"/>
      </w:r>
    </w:p>
    <w:p w14:paraId="1D87B639" w14:textId="77777777" w:rsidR="00ED39D8" w:rsidRPr="00955A19" w:rsidRDefault="00ED39D8" w:rsidP="00ED39D8">
      <w:pPr>
        <w:pStyle w:val="Heading1"/>
        <w:rPr>
          <w:noProof/>
          <w:lang w:val="sk-SK"/>
        </w:rPr>
      </w:pPr>
      <w:bookmarkStart w:id="3" w:name="_Toc136296242"/>
      <w:r w:rsidRPr="00955A19">
        <w:rPr>
          <w:noProof/>
          <w:lang w:val="sk-SK"/>
        </w:rPr>
        <w:t>ODDIEL I</w:t>
      </w:r>
      <w:bookmarkEnd w:id="3"/>
    </w:p>
    <w:p w14:paraId="7A666073" w14:textId="735C6A6B" w:rsidR="00FE162C" w:rsidRPr="00955A19" w:rsidRDefault="00FE162C" w:rsidP="008C557C">
      <w:pPr>
        <w:pStyle w:val="Heading2"/>
        <w:numPr>
          <w:ilvl w:val="1"/>
          <w:numId w:val="15"/>
        </w:numPr>
        <w:rPr>
          <w:noProof/>
          <w:lang w:val="sk-SK"/>
        </w:rPr>
      </w:pPr>
      <w:bookmarkStart w:id="4" w:name="_Toc97276835"/>
      <w:bookmarkStart w:id="5" w:name="_Toc136296243"/>
      <w:r w:rsidRPr="00955A19">
        <w:rPr>
          <w:noProof/>
          <w:lang w:val="sk-SK"/>
        </w:rPr>
        <w:t>Kľúčové míľniky</w:t>
      </w:r>
      <w:r w:rsidR="00955A19">
        <w:rPr>
          <w:noProof/>
          <w:lang w:val="sk-SK"/>
        </w:rPr>
        <w:t xml:space="preserve"> v </w:t>
      </w:r>
      <w:r w:rsidRPr="00955A19">
        <w:rPr>
          <w:noProof/>
          <w:lang w:val="sk-SK"/>
        </w:rPr>
        <w:t>roku 202</w:t>
      </w:r>
      <w:bookmarkEnd w:id="4"/>
      <w:r w:rsidRPr="00955A19">
        <w:rPr>
          <w:noProof/>
          <w:lang w:val="sk-SK"/>
        </w:rPr>
        <w:t>2</w:t>
      </w:r>
      <w:bookmarkEnd w:id="5"/>
    </w:p>
    <w:p w14:paraId="4200349E" w14:textId="528056D4" w:rsidR="00887D3E" w:rsidRPr="00955A19" w:rsidRDefault="002820F7" w:rsidP="00EE4EFA">
      <w:pPr>
        <w:rPr>
          <w:noProof/>
          <w:lang w:val="sk-SK"/>
        </w:rPr>
      </w:pPr>
      <w:r w:rsidRPr="00955A19">
        <w:rPr>
          <w:noProof/>
          <w:lang w:val="sk-SK"/>
        </w:rPr>
        <w:t>V roku 2022 SRF získal čisté príspevky vo výške 3,26 miliardy EUR. SRF fungoval rovnako ako</w:t>
      </w:r>
      <w:r w:rsidR="00955A19">
        <w:rPr>
          <w:noProof/>
          <w:lang w:val="sk-SK"/>
        </w:rPr>
        <w:t xml:space="preserve"> v </w:t>
      </w:r>
      <w:r w:rsidRPr="00955A19">
        <w:rPr>
          <w:noProof/>
          <w:lang w:val="sk-SK"/>
        </w:rPr>
        <w:t>roku 2021 bez prevádzkových incidentov</w:t>
      </w:r>
      <w:r w:rsidR="00955A19">
        <w:rPr>
          <w:noProof/>
          <w:lang w:val="sk-SK"/>
        </w:rPr>
        <w:t xml:space="preserve"> v </w:t>
      </w:r>
      <w:r w:rsidRPr="00955A19">
        <w:rPr>
          <w:noProof/>
          <w:lang w:val="sk-SK"/>
        </w:rPr>
        <w:t>súlade so stanovenými postupmi správy aktív</w:t>
      </w:r>
      <w:r w:rsidR="00955A19">
        <w:rPr>
          <w:noProof/>
          <w:lang w:val="sk-SK"/>
        </w:rPr>
        <w:t xml:space="preserve"> a v </w:t>
      </w:r>
      <w:r w:rsidRPr="00955A19">
        <w:rPr>
          <w:noProof/>
          <w:lang w:val="sk-SK"/>
        </w:rPr>
        <w:t>rámci príslušnej štruktúry riadenia</w:t>
      </w:r>
      <w:r w:rsidRPr="00955A19">
        <w:rPr>
          <w:rStyle w:val="FootnoteReference"/>
          <w:noProof/>
          <w:lang w:val="sk-SK"/>
        </w:rPr>
        <w:footnoteReference w:id="3"/>
      </w:r>
      <w:r w:rsidRPr="00955A19">
        <w:rPr>
          <w:noProof/>
          <w:lang w:val="sk-SK"/>
        </w:rPr>
        <w:t>.</w:t>
      </w:r>
    </w:p>
    <w:p w14:paraId="1CEF7BF3" w14:textId="5704A02A" w:rsidR="002C5174" w:rsidRPr="00955A19" w:rsidRDefault="00887D3E" w:rsidP="00EE4EFA">
      <w:pPr>
        <w:rPr>
          <w:noProof/>
          <w:lang w:val="sk-SK"/>
        </w:rPr>
      </w:pPr>
      <w:r w:rsidRPr="00955A19">
        <w:rPr>
          <w:noProof/>
          <w:lang w:val="sk-SK"/>
        </w:rPr>
        <w:t>Očakáva sa, že SRF počas obdobia 2023 – 2030 prijme</w:t>
      </w:r>
      <w:r w:rsidR="00955A19">
        <w:rPr>
          <w:noProof/>
          <w:lang w:val="sk-SK"/>
        </w:rPr>
        <w:t xml:space="preserve"> z </w:t>
      </w:r>
      <w:r w:rsidRPr="00955A19">
        <w:rPr>
          <w:noProof/>
          <w:lang w:val="sk-SK"/>
        </w:rPr>
        <w:t>prispievajúcich nástrojov dodatočné toky do fondu vo výške 23,17 miliardy EUR.</w:t>
      </w:r>
    </w:p>
    <w:p w14:paraId="2A72D7FE" w14:textId="47BE8D9A" w:rsidR="0016695A" w:rsidRPr="00955A19" w:rsidRDefault="0016695A" w:rsidP="0016695A">
      <w:pPr>
        <w:rPr>
          <w:noProof/>
          <w:lang w:val="sk-SK"/>
        </w:rPr>
      </w:pPr>
      <w:r w:rsidRPr="00955A19">
        <w:rPr>
          <w:noProof/>
          <w:lang w:val="sk-SK"/>
        </w:rPr>
        <w:t>K 31. decembru 2022 predstavovala hodnota čistých aktív</w:t>
      </w:r>
      <w:r w:rsidRPr="00955A19">
        <w:rPr>
          <w:rStyle w:val="FootnoteReference"/>
          <w:noProof/>
          <w:lang w:val="sk-SK"/>
        </w:rPr>
        <w:footnoteReference w:id="4"/>
      </w:r>
      <w:r w:rsidRPr="00955A19">
        <w:rPr>
          <w:noProof/>
          <w:lang w:val="sk-SK"/>
        </w:rPr>
        <w:t xml:space="preserve"> 14,39 miliardy EUR</w:t>
      </w:r>
      <w:r w:rsidR="00955A19">
        <w:rPr>
          <w:noProof/>
          <w:lang w:val="sk-SK"/>
        </w:rPr>
        <w:t xml:space="preserve"> v </w:t>
      </w:r>
      <w:r w:rsidRPr="00955A19">
        <w:rPr>
          <w:noProof/>
          <w:lang w:val="sk-SK"/>
        </w:rPr>
        <w:t>porovnaní</w:t>
      </w:r>
      <w:r w:rsidR="00955A19">
        <w:rPr>
          <w:noProof/>
          <w:lang w:val="sk-SK"/>
        </w:rPr>
        <w:t xml:space="preserve"> s </w:t>
      </w:r>
      <w:r w:rsidRPr="00955A19">
        <w:rPr>
          <w:noProof/>
          <w:lang w:val="sk-SK"/>
        </w:rPr>
        <w:t>12,31 miliardy EUR</w:t>
      </w:r>
      <w:r w:rsidR="00955A19">
        <w:rPr>
          <w:noProof/>
          <w:lang w:val="sk-SK"/>
        </w:rPr>
        <w:t xml:space="preserve"> k </w:t>
      </w:r>
      <w:r w:rsidRPr="00955A19">
        <w:rPr>
          <w:noProof/>
          <w:lang w:val="sk-SK"/>
        </w:rPr>
        <w:t>31. decembru 2021.</w:t>
      </w:r>
    </w:p>
    <w:p w14:paraId="12D50664" w14:textId="0A56DFC9" w:rsidR="002C5174" w:rsidRPr="00955A19" w:rsidRDefault="001869C5" w:rsidP="005D1D56">
      <w:pPr>
        <w:pStyle w:val="Heading2"/>
        <w:numPr>
          <w:ilvl w:val="1"/>
          <w:numId w:val="15"/>
        </w:numPr>
        <w:rPr>
          <w:noProof/>
          <w:lang w:val="sk-SK"/>
        </w:rPr>
      </w:pPr>
      <w:bookmarkStart w:id="6" w:name="_Toc136296244"/>
      <w:r w:rsidRPr="00955A19">
        <w:rPr>
          <w:noProof/>
          <w:lang w:val="sk-SK"/>
        </w:rPr>
        <w:t>Otvorenie nových zložiek</w:t>
      </w:r>
      <w:bookmarkEnd w:id="6"/>
    </w:p>
    <w:p w14:paraId="72233F8C" w14:textId="5530F411" w:rsidR="00CA5A25" w:rsidRPr="00955A19" w:rsidRDefault="002C5174" w:rsidP="00DE6B65">
      <w:pPr>
        <w:rPr>
          <w:noProof/>
          <w:lang w:val="sk-SK"/>
        </w:rPr>
      </w:pPr>
      <w:r w:rsidRPr="00955A19">
        <w:rPr>
          <w:noProof/>
          <w:lang w:val="sk-SK"/>
        </w:rPr>
        <w:t>Zdroje SRF sa účtujú</w:t>
      </w:r>
      <w:r w:rsidR="00955A19">
        <w:rPr>
          <w:noProof/>
          <w:lang w:val="sk-SK"/>
        </w:rPr>
        <w:t xml:space="preserve"> v </w:t>
      </w:r>
      <w:r w:rsidRPr="00955A19">
        <w:rPr>
          <w:noProof/>
          <w:lang w:val="sk-SK"/>
        </w:rPr>
        <w:t>zložkách na účely vysledovania súm, ktoré súvisia</w:t>
      </w:r>
      <w:r w:rsidR="00955A19">
        <w:rPr>
          <w:noProof/>
          <w:lang w:val="sk-SK"/>
        </w:rPr>
        <w:t xml:space="preserve"> s </w:t>
      </w:r>
      <w:r w:rsidRPr="00955A19">
        <w:rPr>
          <w:noProof/>
          <w:lang w:val="sk-SK"/>
        </w:rPr>
        <w:t>rôznymi prispievajúcimi nástrojmi</w:t>
      </w:r>
      <w:r w:rsidRPr="00955A19">
        <w:rPr>
          <w:rStyle w:val="FootnoteReference"/>
          <w:noProof/>
          <w:lang w:val="sk-SK"/>
        </w:rPr>
        <w:footnoteReference w:id="5"/>
      </w:r>
      <w:r w:rsidRPr="00955A19">
        <w:rPr>
          <w:noProof/>
          <w:lang w:val="sk-SK"/>
        </w:rPr>
        <w:t>. Je to potrebné na zabezpečenie toho, aby sa každému nástroju alokoval jeho podiel na zdrojoch, ako aj všetky výnosy, kladné alebo záporné, úmerné dlžným aktívam. Záväzky vyplývajúce</w:t>
      </w:r>
      <w:r w:rsidR="00955A19">
        <w:rPr>
          <w:noProof/>
          <w:lang w:val="sk-SK"/>
        </w:rPr>
        <w:t xml:space="preserve"> z </w:t>
      </w:r>
      <w:r w:rsidRPr="00955A19">
        <w:rPr>
          <w:noProof/>
          <w:lang w:val="sk-SK"/>
        </w:rPr>
        <w:t>rôznych politických nástrojov (záruky alebo poskytnuté úvery) sú</w:t>
      </w:r>
      <w:r w:rsidR="00955A19">
        <w:rPr>
          <w:noProof/>
          <w:lang w:val="sk-SK"/>
        </w:rPr>
        <w:t xml:space="preserve"> v </w:t>
      </w:r>
      <w:r w:rsidRPr="00955A19">
        <w:rPr>
          <w:noProof/>
          <w:lang w:val="sk-SK"/>
        </w:rPr>
        <w:t>plnej miere pripísané danej politike,</w:t>
      </w:r>
      <w:r w:rsidR="00955A19">
        <w:rPr>
          <w:noProof/>
          <w:lang w:val="sk-SK"/>
        </w:rPr>
        <w:t xml:space="preserve"> a </w:t>
      </w:r>
      <w:r w:rsidRPr="00955A19">
        <w:rPr>
          <w:noProof/>
          <w:lang w:val="sk-SK"/>
        </w:rPr>
        <w:t>preto si vyžadujú presné zúčtovanie</w:t>
      </w:r>
      <w:r w:rsidR="00955A19">
        <w:rPr>
          <w:noProof/>
          <w:lang w:val="sk-SK"/>
        </w:rPr>
        <w:t xml:space="preserve"> a </w:t>
      </w:r>
      <w:r w:rsidRPr="00955A19">
        <w:rPr>
          <w:noProof/>
          <w:lang w:val="sk-SK"/>
        </w:rPr>
        <w:t>vysledovanie aktív patriacich do rôznych politík. Rôzne finančné</w:t>
      </w:r>
      <w:r w:rsidR="00955A19">
        <w:rPr>
          <w:noProof/>
          <w:lang w:val="sk-SK"/>
        </w:rPr>
        <w:t xml:space="preserve"> a </w:t>
      </w:r>
      <w:r w:rsidRPr="00955A19">
        <w:rPr>
          <w:noProof/>
          <w:lang w:val="sk-SK"/>
        </w:rPr>
        <w:t>rizikové charakteristiky príslušných politických nástrojov okrem toho treba riadiť</w:t>
      </w:r>
      <w:r w:rsidR="00955A19">
        <w:rPr>
          <w:noProof/>
          <w:lang w:val="sk-SK"/>
        </w:rPr>
        <w:t xml:space="preserve"> a </w:t>
      </w:r>
      <w:r w:rsidRPr="00955A19">
        <w:rPr>
          <w:noProof/>
          <w:lang w:val="sk-SK"/>
        </w:rPr>
        <w:t>sledovať oddelene</w:t>
      </w:r>
      <w:r w:rsidR="00955A19">
        <w:rPr>
          <w:noProof/>
          <w:lang w:val="sk-SK"/>
        </w:rPr>
        <w:t xml:space="preserve"> v </w:t>
      </w:r>
      <w:r w:rsidRPr="00955A19">
        <w:rPr>
          <w:noProof/>
          <w:lang w:val="sk-SK"/>
        </w:rPr>
        <w:t>rámci špecializovaných zložiek</w:t>
      </w:r>
      <w:r w:rsidR="00CA5A25" w:rsidRPr="00955A19">
        <w:rPr>
          <w:noProof/>
          <w:lang w:val="sk-SK"/>
        </w:rPr>
        <w:t>.</w:t>
      </w:r>
    </w:p>
    <w:p w14:paraId="060B31D4" w14:textId="4D87FFAD" w:rsidR="00DE6B65" w:rsidRPr="00955A19" w:rsidRDefault="00DE6B65" w:rsidP="00DE6B65">
      <w:pPr>
        <w:rPr>
          <w:noProof/>
          <w:lang w:val="sk-SK"/>
        </w:rPr>
      </w:pPr>
      <w:r w:rsidRPr="00955A19">
        <w:rPr>
          <w:noProof/>
          <w:lang w:val="sk-SK"/>
        </w:rPr>
        <w:t>Všetky aktíva spravované</w:t>
      </w:r>
      <w:r w:rsidR="00955A19">
        <w:rPr>
          <w:noProof/>
          <w:lang w:val="sk-SK"/>
        </w:rPr>
        <w:t xml:space="preserve"> v </w:t>
      </w:r>
      <w:r w:rsidRPr="00955A19">
        <w:rPr>
          <w:noProof/>
          <w:lang w:val="sk-SK"/>
        </w:rPr>
        <w:t>rámci SRF sa napriek tomu, že sa alokujú do rôznych zložiek, riadia spoločnou stratégiou správy aktív, čím sa zabezpečuje efektívnosť, pokiaľ ide</w:t>
      </w:r>
      <w:r w:rsidR="00955A19">
        <w:rPr>
          <w:noProof/>
          <w:lang w:val="sk-SK"/>
        </w:rPr>
        <w:t xml:space="preserve"> o </w:t>
      </w:r>
      <w:r w:rsidRPr="00955A19">
        <w:rPr>
          <w:noProof/>
          <w:lang w:val="sk-SK"/>
        </w:rPr>
        <w:t>správu aktív</w:t>
      </w:r>
      <w:r w:rsidR="00955A19">
        <w:rPr>
          <w:noProof/>
          <w:lang w:val="sk-SK"/>
        </w:rPr>
        <w:t xml:space="preserve"> a </w:t>
      </w:r>
      <w:r w:rsidRPr="00955A19">
        <w:rPr>
          <w:noProof/>
          <w:lang w:val="sk-SK"/>
        </w:rPr>
        <w:t>riadenie rizík.</w:t>
      </w:r>
    </w:p>
    <w:p w14:paraId="7A887C91" w14:textId="59D358FA" w:rsidR="00DE6B65" w:rsidRPr="00955A19" w:rsidRDefault="00BA2529" w:rsidP="00DE6B65">
      <w:pPr>
        <w:rPr>
          <w:noProof/>
          <w:lang w:val="sk-SK"/>
        </w:rPr>
      </w:pPr>
      <w:r w:rsidRPr="00955A19">
        <w:rPr>
          <w:noProof/>
          <w:lang w:val="sk-SK"/>
        </w:rPr>
        <w:t>V októbri 2022 bolo</w:t>
      </w:r>
      <w:r w:rsidR="00955A19">
        <w:rPr>
          <w:noProof/>
          <w:lang w:val="sk-SK"/>
        </w:rPr>
        <w:t xml:space="preserve"> v </w:t>
      </w:r>
      <w:r w:rsidRPr="00955A19">
        <w:rPr>
          <w:noProof/>
          <w:lang w:val="sk-SK"/>
        </w:rPr>
        <w:t>rámci SRF otvorených niekoľko nových zložiek, ako sa predpokladá podľa rôznych základných aktov, takže ich celkový počet sa zvýšil na 14</w:t>
      </w:r>
      <w:r w:rsidRPr="00955A19">
        <w:rPr>
          <w:rStyle w:val="FootnoteReference"/>
          <w:noProof/>
          <w:lang w:val="sk-SK"/>
        </w:rPr>
        <w:footnoteReference w:id="6"/>
      </w:r>
      <w:r w:rsidRPr="00955A19">
        <w:rPr>
          <w:noProof/>
          <w:lang w:val="sk-SK"/>
        </w:rPr>
        <w:t>.</w:t>
      </w:r>
      <w:r w:rsidR="00955A19">
        <w:rPr>
          <w:noProof/>
          <w:lang w:val="sk-SK"/>
        </w:rPr>
        <w:t xml:space="preserve"> K </w:t>
      </w:r>
      <w:r w:rsidRPr="00955A19">
        <w:rPr>
          <w:noProof/>
          <w:lang w:val="sk-SK"/>
        </w:rPr>
        <w:t>31. decembru 2022 bolo osem</w:t>
      </w:r>
      <w:r w:rsidR="00955A19">
        <w:rPr>
          <w:noProof/>
          <w:lang w:val="sk-SK"/>
        </w:rPr>
        <w:t xml:space="preserve"> z </w:t>
      </w:r>
      <w:r w:rsidRPr="00955A19">
        <w:rPr>
          <w:noProof/>
          <w:lang w:val="sk-SK"/>
        </w:rPr>
        <w:t>týchto zložiek plne funkčných</w:t>
      </w:r>
      <w:r w:rsidR="00955A19">
        <w:rPr>
          <w:noProof/>
          <w:lang w:val="sk-SK"/>
        </w:rPr>
        <w:t xml:space="preserve"> a </w:t>
      </w:r>
      <w:r w:rsidRPr="00955A19">
        <w:rPr>
          <w:noProof/>
          <w:lang w:val="sk-SK"/>
        </w:rPr>
        <w:t>obsahovali finančné prostriedky, ako je uvedené na obrázkoch 1</w:t>
      </w:r>
      <w:r w:rsidR="00955A19">
        <w:rPr>
          <w:noProof/>
          <w:lang w:val="sk-SK"/>
        </w:rPr>
        <w:t xml:space="preserve"> a </w:t>
      </w:r>
      <w:r w:rsidRPr="00955A19">
        <w:rPr>
          <w:noProof/>
          <w:lang w:val="sk-SK"/>
        </w:rPr>
        <w:t>2. Zvyšné zložky sa aktivujú</w:t>
      </w:r>
      <w:r w:rsidR="00955A19">
        <w:rPr>
          <w:noProof/>
          <w:lang w:val="sk-SK"/>
        </w:rPr>
        <w:t xml:space="preserve"> v </w:t>
      </w:r>
      <w:r w:rsidRPr="00955A19">
        <w:rPr>
          <w:noProof/>
          <w:lang w:val="sk-SK"/>
        </w:rPr>
        <w:t>neskoršej fáze po prijatí príslušných prvých tokov do fondu.</w:t>
      </w:r>
    </w:p>
    <w:p w14:paraId="15519065" w14:textId="319CA664" w:rsidR="00DE6B65" w:rsidRPr="00955A19" w:rsidRDefault="00DE6B65">
      <w:pPr>
        <w:spacing w:after="0" w:line="240" w:lineRule="auto"/>
        <w:jc w:val="left"/>
        <w:rPr>
          <w:noProof/>
          <w:lang w:val="sk-SK"/>
        </w:rPr>
      </w:pPr>
      <w:r w:rsidRPr="00955A19">
        <w:rPr>
          <w:noProof/>
          <w:lang w:val="sk-SK"/>
        </w:rPr>
        <w:br w:type="page"/>
      </w:r>
    </w:p>
    <w:p w14:paraId="61A80E83" w14:textId="77777777" w:rsidR="00DE6B65" w:rsidRPr="00955A19" w:rsidRDefault="00DE6B65" w:rsidP="00DE6B65">
      <w:pPr>
        <w:rPr>
          <w:noProof/>
          <w:lang w:val="sk-SK"/>
        </w:rPr>
      </w:pPr>
    </w:p>
    <w:tbl>
      <w:tblPr>
        <w:tblStyle w:val="TableGrid"/>
        <w:tblW w:w="0" w:type="auto"/>
        <w:tblLook w:val="04A0" w:firstRow="1" w:lastRow="0" w:firstColumn="1" w:lastColumn="0" w:noHBand="0" w:noVBand="1"/>
      </w:tblPr>
      <w:tblGrid>
        <w:gridCol w:w="4646"/>
        <w:gridCol w:w="4046"/>
      </w:tblGrid>
      <w:tr w:rsidR="00DE6B65" w:rsidRPr="00955A19" w14:paraId="53709E81" w14:textId="77777777" w:rsidTr="0052256E">
        <w:tc>
          <w:tcPr>
            <w:tcW w:w="4646" w:type="dxa"/>
          </w:tcPr>
          <w:p w14:paraId="55DE6822" w14:textId="77777777" w:rsidR="00DE6B65" w:rsidRPr="00955A19" w:rsidRDefault="00DE6B65" w:rsidP="005D3E09">
            <w:pPr>
              <w:rPr>
                <w:b/>
                <w:noProof/>
                <w:lang w:val="sk-SK"/>
              </w:rPr>
            </w:pPr>
          </w:p>
        </w:tc>
        <w:tc>
          <w:tcPr>
            <w:tcW w:w="4046" w:type="dxa"/>
          </w:tcPr>
          <w:p w14:paraId="504DCAF9" w14:textId="04529E17" w:rsidR="00DE6B65" w:rsidRPr="00955A19" w:rsidRDefault="00DE6B65" w:rsidP="005D3E09">
            <w:pPr>
              <w:jc w:val="center"/>
              <w:rPr>
                <w:b/>
                <w:noProof/>
                <w:lang w:val="sk-SK"/>
              </w:rPr>
            </w:pPr>
            <w:r w:rsidRPr="00955A19">
              <w:rPr>
                <w:b/>
                <w:noProof/>
                <w:lang w:val="sk-SK"/>
              </w:rPr>
              <w:t>Trhová hodnota</w:t>
            </w:r>
            <w:r w:rsidR="00955A19">
              <w:rPr>
                <w:b/>
                <w:noProof/>
                <w:lang w:val="sk-SK"/>
              </w:rPr>
              <w:t xml:space="preserve"> k </w:t>
            </w:r>
            <w:r w:rsidRPr="00955A19">
              <w:rPr>
                <w:b/>
                <w:noProof/>
                <w:lang w:val="sk-SK"/>
              </w:rPr>
              <w:t>31. decembru 2022 (v EUR)</w:t>
            </w:r>
          </w:p>
        </w:tc>
      </w:tr>
      <w:tr w:rsidR="00DE6B65" w:rsidRPr="00955A19" w14:paraId="390F7A5C" w14:textId="77777777" w:rsidTr="0052256E">
        <w:tc>
          <w:tcPr>
            <w:tcW w:w="4646" w:type="dxa"/>
          </w:tcPr>
          <w:p w14:paraId="227D91DB" w14:textId="0D32B3F6" w:rsidR="00DE6B65" w:rsidRPr="00955A19" w:rsidRDefault="00DE6B65" w:rsidP="005D3E09">
            <w:pPr>
              <w:rPr>
                <w:noProof/>
                <w:lang w:val="sk-SK"/>
              </w:rPr>
            </w:pPr>
            <w:r w:rsidRPr="00955A19">
              <w:rPr>
                <w:b/>
                <w:noProof/>
                <w:lang w:val="sk-SK"/>
              </w:rPr>
              <w:t>Zložky otvorené</w:t>
            </w:r>
            <w:r w:rsidR="00955A19">
              <w:rPr>
                <w:b/>
                <w:noProof/>
                <w:lang w:val="sk-SK"/>
              </w:rPr>
              <w:t xml:space="preserve"> v </w:t>
            </w:r>
            <w:r w:rsidRPr="00955A19">
              <w:rPr>
                <w:b/>
                <w:noProof/>
                <w:lang w:val="sk-SK"/>
              </w:rPr>
              <w:t>roku 2021</w:t>
            </w:r>
          </w:p>
        </w:tc>
        <w:tc>
          <w:tcPr>
            <w:tcW w:w="4046" w:type="dxa"/>
          </w:tcPr>
          <w:p w14:paraId="465153FA" w14:textId="77777777" w:rsidR="00DE6B65" w:rsidRPr="00955A19" w:rsidRDefault="00DE6B65" w:rsidP="005D3E09">
            <w:pPr>
              <w:spacing w:after="0" w:line="240" w:lineRule="auto"/>
              <w:jc w:val="center"/>
              <w:rPr>
                <w:noProof/>
                <w:lang w:val="sk-SK"/>
              </w:rPr>
            </w:pPr>
          </w:p>
        </w:tc>
      </w:tr>
      <w:tr w:rsidR="00DE6B65" w:rsidRPr="00955A19" w14:paraId="0BFCE134" w14:textId="77777777" w:rsidTr="0052256E">
        <w:tc>
          <w:tcPr>
            <w:tcW w:w="4646" w:type="dxa"/>
          </w:tcPr>
          <w:p w14:paraId="21D5DB6A" w14:textId="7C4E833B" w:rsidR="00DE6B65" w:rsidRPr="00955A19" w:rsidRDefault="00DE6B65" w:rsidP="005D3E09">
            <w:pPr>
              <w:rPr>
                <w:noProof/>
                <w:lang w:val="sk-SK"/>
              </w:rPr>
            </w:pPr>
            <w:r w:rsidRPr="00955A19">
              <w:rPr>
                <w:noProof/>
                <w:lang w:val="sk-SK"/>
              </w:rPr>
              <w:t>EFSI</w:t>
            </w:r>
            <w:r w:rsidRPr="00955A19">
              <w:rPr>
                <w:rStyle w:val="FootnoteReference"/>
                <w:noProof/>
                <w:lang w:val="sk-SK"/>
              </w:rPr>
              <w:footnoteReference w:id="7"/>
            </w:r>
          </w:p>
        </w:tc>
        <w:tc>
          <w:tcPr>
            <w:tcW w:w="4046" w:type="dxa"/>
          </w:tcPr>
          <w:p w14:paraId="244F29A2" w14:textId="77777777" w:rsidR="00DE6B65" w:rsidRPr="00955A19" w:rsidRDefault="00DE6B65" w:rsidP="005D3E09">
            <w:pPr>
              <w:spacing w:after="0" w:line="240" w:lineRule="auto"/>
              <w:jc w:val="center"/>
              <w:rPr>
                <w:noProof/>
                <w:lang w:val="sk-SK"/>
              </w:rPr>
            </w:pPr>
            <w:r w:rsidRPr="00955A19">
              <w:rPr>
                <w:noProof/>
                <w:lang w:val="sk-SK"/>
              </w:rPr>
              <w:t>8 463 863 835,36</w:t>
            </w:r>
          </w:p>
        </w:tc>
      </w:tr>
      <w:tr w:rsidR="00DE6B65" w:rsidRPr="00955A19" w14:paraId="75470D75" w14:textId="77777777" w:rsidTr="0052256E">
        <w:tc>
          <w:tcPr>
            <w:tcW w:w="4646" w:type="dxa"/>
          </w:tcPr>
          <w:p w14:paraId="7F5847F3" w14:textId="0C50A29B" w:rsidR="00DE6B65" w:rsidRPr="00955A19" w:rsidRDefault="00DE6B65" w:rsidP="005D3E09">
            <w:pPr>
              <w:rPr>
                <w:noProof/>
                <w:lang w:val="sk-SK"/>
              </w:rPr>
            </w:pPr>
            <w:r w:rsidRPr="00955A19">
              <w:rPr>
                <w:noProof/>
                <w:lang w:val="sk-SK"/>
              </w:rPr>
              <w:t>GFEA</w:t>
            </w:r>
            <w:r w:rsidRPr="00955A19">
              <w:rPr>
                <w:rStyle w:val="FootnoteReference"/>
                <w:noProof/>
                <w:lang w:val="sk-SK"/>
              </w:rPr>
              <w:footnoteReference w:id="8"/>
            </w:r>
          </w:p>
        </w:tc>
        <w:tc>
          <w:tcPr>
            <w:tcW w:w="4046" w:type="dxa"/>
          </w:tcPr>
          <w:p w14:paraId="78CD4117" w14:textId="77777777" w:rsidR="00DE6B65" w:rsidRPr="00955A19" w:rsidRDefault="00DE6B65" w:rsidP="005D3E09">
            <w:pPr>
              <w:spacing w:after="0" w:line="240" w:lineRule="auto"/>
              <w:jc w:val="center"/>
              <w:rPr>
                <w:noProof/>
                <w:lang w:val="sk-SK"/>
              </w:rPr>
            </w:pPr>
            <w:r w:rsidRPr="00955A19">
              <w:rPr>
                <w:noProof/>
                <w:lang w:val="sk-SK"/>
              </w:rPr>
              <w:t>2 466 536 435,38</w:t>
            </w:r>
          </w:p>
        </w:tc>
      </w:tr>
      <w:tr w:rsidR="00DE6B65" w:rsidRPr="00955A19" w14:paraId="3D85C57A" w14:textId="77777777" w:rsidTr="0052256E">
        <w:tc>
          <w:tcPr>
            <w:tcW w:w="4646" w:type="dxa"/>
          </w:tcPr>
          <w:p w14:paraId="41DC3651" w14:textId="70C5A527" w:rsidR="00DE6B65" w:rsidRPr="00955A19" w:rsidRDefault="00DE6B65" w:rsidP="005D3E09">
            <w:pPr>
              <w:rPr>
                <w:noProof/>
                <w:lang w:val="sk-SK"/>
              </w:rPr>
            </w:pPr>
            <w:r w:rsidRPr="00955A19">
              <w:rPr>
                <w:noProof/>
                <w:lang w:val="sk-SK"/>
              </w:rPr>
              <w:t>EFSD</w:t>
            </w:r>
            <w:r w:rsidRPr="00955A19">
              <w:rPr>
                <w:rStyle w:val="FootnoteReference"/>
                <w:noProof/>
                <w:lang w:val="sk-SK"/>
              </w:rPr>
              <w:footnoteReference w:id="9"/>
            </w:r>
          </w:p>
        </w:tc>
        <w:tc>
          <w:tcPr>
            <w:tcW w:w="4046" w:type="dxa"/>
          </w:tcPr>
          <w:p w14:paraId="381CA229" w14:textId="77777777" w:rsidR="00DE6B65" w:rsidRPr="00955A19" w:rsidRDefault="00DE6B65" w:rsidP="005D3E09">
            <w:pPr>
              <w:spacing w:after="0" w:line="240" w:lineRule="auto"/>
              <w:jc w:val="center"/>
              <w:rPr>
                <w:noProof/>
                <w:lang w:val="sk-SK"/>
              </w:rPr>
            </w:pPr>
            <w:r w:rsidRPr="00955A19">
              <w:rPr>
                <w:noProof/>
                <w:lang w:val="sk-SK"/>
              </w:rPr>
              <w:t>697 793 925,32</w:t>
            </w:r>
          </w:p>
        </w:tc>
      </w:tr>
      <w:tr w:rsidR="00DE6B65" w:rsidRPr="00955A19" w14:paraId="3E74D329" w14:textId="77777777" w:rsidTr="0052256E">
        <w:tc>
          <w:tcPr>
            <w:tcW w:w="4646" w:type="dxa"/>
          </w:tcPr>
          <w:p w14:paraId="4FF5B734" w14:textId="77777777" w:rsidR="00DE6B65" w:rsidRPr="00955A19" w:rsidRDefault="00DE6B65" w:rsidP="005D3E09">
            <w:pPr>
              <w:rPr>
                <w:noProof/>
                <w:lang w:val="sk-SK"/>
              </w:rPr>
            </w:pPr>
            <w:r w:rsidRPr="00955A19">
              <w:rPr>
                <w:noProof/>
                <w:lang w:val="sk-SK"/>
              </w:rPr>
              <w:t>InvestEU</w:t>
            </w:r>
          </w:p>
        </w:tc>
        <w:tc>
          <w:tcPr>
            <w:tcW w:w="4046" w:type="dxa"/>
          </w:tcPr>
          <w:p w14:paraId="20823696" w14:textId="77777777" w:rsidR="00DE6B65" w:rsidRPr="00955A19" w:rsidRDefault="00DE6B65" w:rsidP="005D3E09">
            <w:pPr>
              <w:spacing w:after="0" w:line="240" w:lineRule="auto"/>
              <w:jc w:val="center"/>
              <w:rPr>
                <w:noProof/>
                <w:lang w:val="sk-SK"/>
              </w:rPr>
            </w:pPr>
            <w:r w:rsidRPr="00955A19">
              <w:rPr>
                <w:noProof/>
                <w:lang w:val="sk-SK"/>
              </w:rPr>
              <w:t>1 651 342 768,93</w:t>
            </w:r>
          </w:p>
        </w:tc>
      </w:tr>
      <w:tr w:rsidR="00DE6B65" w:rsidRPr="00955A19" w14:paraId="47D50AE9" w14:textId="77777777" w:rsidTr="0052256E">
        <w:tc>
          <w:tcPr>
            <w:tcW w:w="4646" w:type="dxa"/>
          </w:tcPr>
          <w:p w14:paraId="22D5AE5A" w14:textId="2F338EC3" w:rsidR="00DE6B65" w:rsidRPr="00955A19" w:rsidRDefault="00DE6B65" w:rsidP="005D3E09">
            <w:pPr>
              <w:rPr>
                <w:b/>
                <w:noProof/>
                <w:lang w:val="sk-SK"/>
              </w:rPr>
            </w:pPr>
            <w:r w:rsidRPr="00955A19">
              <w:rPr>
                <w:b/>
                <w:noProof/>
                <w:lang w:val="sk-SK"/>
              </w:rPr>
              <w:t>Zložky otvorené</w:t>
            </w:r>
            <w:r w:rsidR="00955A19">
              <w:rPr>
                <w:b/>
                <w:noProof/>
                <w:lang w:val="sk-SK"/>
              </w:rPr>
              <w:t xml:space="preserve"> v </w:t>
            </w:r>
            <w:r w:rsidRPr="00955A19">
              <w:rPr>
                <w:b/>
                <w:noProof/>
                <w:lang w:val="sk-SK"/>
              </w:rPr>
              <w:t>roku 2022</w:t>
            </w:r>
          </w:p>
        </w:tc>
        <w:tc>
          <w:tcPr>
            <w:tcW w:w="4046" w:type="dxa"/>
          </w:tcPr>
          <w:p w14:paraId="7A8E8018" w14:textId="77777777" w:rsidR="00DE6B65" w:rsidRPr="00955A19" w:rsidRDefault="00DE6B65" w:rsidP="005D3E09">
            <w:pPr>
              <w:jc w:val="center"/>
              <w:rPr>
                <w:b/>
                <w:noProof/>
                <w:lang w:val="sk-SK"/>
              </w:rPr>
            </w:pPr>
          </w:p>
        </w:tc>
      </w:tr>
      <w:tr w:rsidR="00DE6B65" w:rsidRPr="00955A19" w14:paraId="6A94824A" w14:textId="77777777" w:rsidTr="0052256E">
        <w:tc>
          <w:tcPr>
            <w:tcW w:w="4646" w:type="dxa"/>
          </w:tcPr>
          <w:p w14:paraId="53105F97" w14:textId="77777777" w:rsidR="00DE6B65" w:rsidRPr="00955A19" w:rsidRDefault="00DE6B65" w:rsidP="005D3E09">
            <w:pPr>
              <w:rPr>
                <w:noProof/>
                <w:lang w:val="sk-SK"/>
              </w:rPr>
            </w:pPr>
            <w:r w:rsidRPr="00955A19">
              <w:rPr>
                <w:noProof/>
                <w:lang w:val="sk-SK"/>
              </w:rPr>
              <w:t>EFSD+</w:t>
            </w:r>
          </w:p>
        </w:tc>
        <w:tc>
          <w:tcPr>
            <w:tcW w:w="4046" w:type="dxa"/>
          </w:tcPr>
          <w:p w14:paraId="3630009E" w14:textId="77777777" w:rsidR="00DE6B65" w:rsidRPr="00955A19" w:rsidRDefault="00DE6B65" w:rsidP="005D3E09">
            <w:pPr>
              <w:spacing w:after="0" w:line="240" w:lineRule="auto"/>
              <w:jc w:val="center"/>
              <w:rPr>
                <w:noProof/>
                <w:lang w:val="sk-SK"/>
              </w:rPr>
            </w:pPr>
            <w:r w:rsidRPr="00955A19">
              <w:rPr>
                <w:noProof/>
                <w:lang w:val="sk-SK"/>
              </w:rPr>
              <w:t>1 066 911 767,96</w:t>
            </w:r>
          </w:p>
        </w:tc>
      </w:tr>
      <w:tr w:rsidR="00DE6B65" w:rsidRPr="00955A19" w14:paraId="6E55DA68" w14:textId="77777777" w:rsidTr="0052256E">
        <w:tc>
          <w:tcPr>
            <w:tcW w:w="4646" w:type="dxa"/>
          </w:tcPr>
          <w:p w14:paraId="5E57495E" w14:textId="77777777" w:rsidR="00DE6B65" w:rsidRPr="00955A19" w:rsidRDefault="00DE6B65" w:rsidP="005D3E09">
            <w:pPr>
              <w:rPr>
                <w:noProof/>
                <w:lang w:val="sk-SK"/>
              </w:rPr>
            </w:pPr>
            <w:r w:rsidRPr="00955A19">
              <w:rPr>
                <w:noProof/>
                <w:lang w:val="sk-SK"/>
              </w:rPr>
              <w:t>EFSD+ MFA po roku 2020</w:t>
            </w:r>
          </w:p>
        </w:tc>
        <w:tc>
          <w:tcPr>
            <w:tcW w:w="4046" w:type="dxa"/>
          </w:tcPr>
          <w:p w14:paraId="55A677FC" w14:textId="77777777" w:rsidR="00DE6B65" w:rsidRPr="00955A19" w:rsidRDefault="00DE6B65" w:rsidP="005D3E09">
            <w:pPr>
              <w:jc w:val="center"/>
              <w:rPr>
                <w:b/>
                <w:noProof/>
                <w:lang w:val="sk-SK"/>
              </w:rPr>
            </w:pPr>
            <w:r w:rsidRPr="00955A19">
              <w:rPr>
                <w:b/>
                <w:noProof/>
                <w:lang w:val="sk-SK"/>
              </w:rPr>
              <w:t>‒</w:t>
            </w:r>
          </w:p>
        </w:tc>
      </w:tr>
      <w:tr w:rsidR="00DE6B65" w:rsidRPr="00955A19" w14:paraId="659022F4" w14:textId="77777777" w:rsidTr="0052256E">
        <w:tc>
          <w:tcPr>
            <w:tcW w:w="4646" w:type="dxa"/>
          </w:tcPr>
          <w:p w14:paraId="6EA8BC24" w14:textId="77777777" w:rsidR="00DE6B65" w:rsidRPr="00955A19" w:rsidRDefault="00DE6B65" w:rsidP="005D3E09">
            <w:pPr>
              <w:rPr>
                <w:noProof/>
                <w:lang w:val="sk-SK"/>
              </w:rPr>
            </w:pPr>
            <w:r w:rsidRPr="00955A19">
              <w:rPr>
                <w:noProof/>
                <w:lang w:val="sk-SK"/>
              </w:rPr>
              <w:t>Mimoriadna makrofinančná pomoc Ukrajine</w:t>
            </w:r>
          </w:p>
        </w:tc>
        <w:tc>
          <w:tcPr>
            <w:tcW w:w="4046" w:type="dxa"/>
          </w:tcPr>
          <w:p w14:paraId="5A46B4BA" w14:textId="77777777" w:rsidR="00DE6B65" w:rsidRPr="00955A19" w:rsidRDefault="00DE6B65" w:rsidP="005D3E09">
            <w:pPr>
              <w:jc w:val="center"/>
              <w:rPr>
                <w:b/>
                <w:noProof/>
                <w:lang w:val="sk-SK"/>
              </w:rPr>
            </w:pPr>
            <w:r w:rsidRPr="00955A19">
              <w:rPr>
                <w:b/>
                <w:noProof/>
                <w:lang w:val="sk-SK"/>
              </w:rPr>
              <w:t>‒</w:t>
            </w:r>
          </w:p>
        </w:tc>
      </w:tr>
      <w:tr w:rsidR="00DE6B65" w:rsidRPr="00955A19" w14:paraId="069205A9" w14:textId="77777777" w:rsidTr="0052256E">
        <w:tc>
          <w:tcPr>
            <w:tcW w:w="4646" w:type="dxa"/>
          </w:tcPr>
          <w:p w14:paraId="6599CD3F" w14:textId="77777777" w:rsidR="00DE6B65" w:rsidRPr="00955A19" w:rsidRDefault="00DE6B65" w:rsidP="005D3E09">
            <w:pPr>
              <w:rPr>
                <w:noProof/>
                <w:lang w:val="sk-SK"/>
              </w:rPr>
            </w:pPr>
            <w:r w:rsidRPr="00955A19">
              <w:rPr>
                <w:noProof/>
                <w:lang w:val="sk-SK"/>
              </w:rPr>
              <w:t>Úvery Euratomu po roku 2020</w:t>
            </w:r>
          </w:p>
        </w:tc>
        <w:tc>
          <w:tcPr>
            <w:tcW w:w="4046" w:type="dxa"/>
          </w:tcPr>
          <w:p w14:paraId="5863C539" w14:textId="77777777" w:rsidR="00DE6B65" w:rsidRPr="00955A19" w:rsidRDefault="00DE6B65" w:rsidP="005D3E09">
            <w:pPr>
              <w:jc w:val="center"/>
              <w:rPr>
                <w:noProof/>
                <w:lang w:val="sk-SK"/>
              </w:rPr>
            </w:pPr>
            <w:r w:rsidRPr="00955A19">
              <w:rPr>
                <w:noProof/>
                <w:lang w:val="sk-SK"/>
              </w:rPr>
              <w:t>‒</w:t>
            </w:r>
          </w:p>
        </w:tc>
      </w:tr>
      <w:tr w:rsidR="00DE6B65" w:rsidRPr="00955A19" w14:paraId="3657C2EE" w14:textId="77777777" w:rsidTr="0052256E">
        <w:tc>
          <w:tcPr>
            <w:tcW w:w="4646" w:type="dxa"/>
          </w:tcPr>
          <w:p w14:paraId="2AEFD1BA" w14:textId="496BECE2" w:rsidR="00DE6B65" w:rsidRPr="00955A19" w:rsidRDefault="00DE6B65" w:rsidP="005D3E09">
            <w:pPr>
              <w:rPr>
                <w:noProof/>
                <w:lang w:val="sk-SK"/>
              </w:rPr>
            </w:pPr>
            <w:r w:rsidRPr="00955A19">
              <w:rPr>
                <w:noProof/>
                <w:lang w:val="sk-SK"/>
              </w:rPr>
              <w:t>Úvery</w:t>
            </w:r>
            <w:r w:rsidR="00955A19">
              <w:rPr>
                <w:noProof/>
                <w:lang w:val="sk-SK"/>
              </w:rPr>
              <w:t xml:space="preserve"> v </w:t>
            </w:r>
            <w:r w:rsidRPr="00955A19">
              <w:rPr>
                <w:noProof/>
                <w:lang w:val="sk-SK"/>
              </w:rPr>
              <w:t>rámci ELM so zmeneným účelom pre Ukrajinu</w:t>
            </w:r>
          </w:p>
        </w:tc>
        <w:tc>
          <w:tcPr>
            <w:tcW w:w="4046" w:type="dxa"/>
          </w:tcPr>
          <w:p w14:paraId="4D4DA24A" w14:textId="77777777" w:rsidR="00DE6B65" w:rsidRPr="00955A19" w:rsidRDefault="00DE6B65" w:rsidP="005D3E09">
            <w:pPr>
              <w:jc w:val="center"/>
              <w:rPr>
                <w:noProof/>
                <w:lang w:val="sk-SK"/>
              </w:rPr>
            </w:pPr>
            <w:r w:rsidRPr="00955A19">
              <w:rPr>
                <w:noProof/>
                <w:lang w:val="sk-SK"/>
              </w:rPr>
              <w:t>‒</w:t>
            </w:r>
          </w:p>
        </w:tc>
      </w:tr>
      <w:tr w:rsidR="00DE6B65" w:rsidRPr="00955A19" w14:paraId="67BF2420" w14:textId="77777777" w:rsidTr="0052256E">
        <w:tc>
          <w:tcPr>
            <w:tcW w:w="4646" w:type="dxa"/>
          </w:tcPr>
          <w:p w14:paraId="5FDDFA54" w14:textId="77777777" w:rsidR="00DE6B65" w:rsidRPr="00955A19" w:rsidRDefault="00DE6B65" w:rsidP="005D3E09">
            <w:pPr>
              <w:rPr>
                <w:noProof/>
                <w:lang w:val="sk-SK"/>
              </w:rPr>
            </w:pPr>
            <w:r w:rsidRPr="00955A19">
              <w:rPr>
                <w:noProof/>
                <w:lang w:val="sk-SK"/>
              </w:rPr>
              <w:t>Záruka InvestEU pre Rumunsko</w:t>
            </w:r>
          </w:p>
        </w:tc>
        <w:tc>
          <w:tcPr>
            <w:tcW w:w="4046" w:type="dxa"/>
          </w:tcPr>
          <w:p w14:paraId="61D9487F" w14:textId="77777777" w:rsidR="00DE6B65" w:rsidRPr="00955A19" w:rsidRDefault="00DE6B65" w:rsidP="005D3E09">
            <w:pPr>
              <w:jc w:val="center"/>
              <w:rPr>
                <w:noProof/>
                <w:lang w:val="sk-SK"/>
              </w:rPr>
            </w:pPr>
            <w:r w:rsidRPr="00955A19">
              <w:rPr>
                <w:noProof/>
                <w:lang w:val="sk-SK"/>
              </w:rPr>
              <w:t>‒</w:t>
            </w:r>
          </w:p>
        </w:tc>
      </w:tr>
      <w:tr w:rsidR="00DE6B65" w:rsidRPr="00955A19" w14:paraId="0CCB1440" w14:textId="77777777" w:rsidTr="0052256E">
        <w:tc>
          <w:tcPr>
            <w:tcW w:w="4646" w:type="dxa"/>
          </w:tcPr>
          <w:p w14:paraId="2AD9C05C" w14:textId="77777777" w:rsidR="00DE6B65" w:rsidRPr="00955A19" w:rsidRDefault="00DE6B65" w:rsidP="005D3E09">
            <w:pPr>
              <w:rPr>
                <w:noProof/>
                <w:lang w:val="sk-SK"/>
              </w:rPr>
            </w:pPr>
            <w:r w:rsidRPr="00955A19">
              <w:rPr>
                <w:noProof/>
                <w:lang w:val="sk-SK"/>
              </w:rPr>
              <w:t>Záruka InvestEU pre Českú republiku</w:t>
            </w:r>
          </w:p>
        </w:tc>
        <w:tc>
          <w:tcPr>
            <w:tcW w:w="4046" w:type="dxa"/>
          </w:tcPr>
          <w:p w14:paraId="7EB55000" w14:textId="77777777" w:rsidR="00DE6B65" w:rsidRPr="00955A19" w:rsidRDefault="00DE6B65" w:rsidP="005D3E09">
            <w:pPr>
              <w:spacing w:after="0" w:line="240" w:lineRule="auto"/>
              <w:jc w:val="center"/>
              <w:rPr>
                <w:noProof/>
                <w:lang w:val="sk-SK"/>
              </w:rPr>
            </w:pPr>
            <w:r w:rsidRPr="00955A19">
              <w:rPr>
                <w:noProof/>
                <w:lang w:val="sk-SK"/>
              </w:rPr>
              <w:t>13 457 062,53</w:t>
            </w:r>
          </w:p>
        </w:tc>
      </w:tr>
      <w:tr w:rsidR="00DE6B65" w:rsidRPr="00955A19" w14:paraId="26088175" w14:textId="77777777" w:rsidTr="0052256E">
        <w:tc>
          <w:tcPr>
            <w:tcW w:w="4646" w:type="dxa"/>
          </w:tcPr>
          <w:p w14:paraId="65D4A5A7" w14:textId="77777777" w:rsidR="00DE6B65" w:rsidRPr="00955A19" w:rsidRDefault="00DE6B65" w:rsidP="005D3E09">
            <w:pPr>
              <w:rPr>
                <w:noProof/>
                <w:lang w:val="sk-SK"/>
              </w:rPr>
            </w:pPr>
            <w:r w:rsidRPr="00955A19">
              <w:rPr>
                <w:noProof/>
                <w:lang w:val="sk-SK"/>
              </w:rPr>
              <w:t>Záruka InvestEU pre Fínsko</w:t>
            </w:r>
          </w:p>
        </w:tc>
        <w:tc>
          <w:tcPr>
            <w:tcW w:w="4046" w:type="dxa"/>
          </w:tcPr>
          <w:p w14:paraId="29E3DFAC" w14:textId="77777777" w:rsidR="00DE6B65" w:rsidRPr="00955A19" w:rsidRDefault="00DE6B65" w:rsidP="005D3E09">
            <w:pPr>
              <w:spacing w:after="0" w:line="240" w:lineRule="auto"/>
              <w:jc w:val="center"/>
              <w:rPr>
                <w:noProof/>
                <w:lang w:val="sk-SK"/>
              </w:rPr>
            </w:pPr>
            <w:r w:rsidRPr="00955A19">
              <w:rPr>
                <w:noProof/>
                <w:lang w:val="sk-SK"/>
              </w:rPr>
              <w:t>17 419 930,38</w:t>
            </w:r>
          </w:p>
        </w:tc>
      </w:tr>
      <w:tr w:rsidR="00DE6B65" w:rsidRPr="00955A19" w14:paraId="029CA893" w14:textId="77777777" w:rsidTr="0052256E">
        <w:tc>
          <w:tcPr>
            <w:tcW w:w="4646" w:type="dxa"/>
          </w:tcPr>
          <w:p w14:paraId="2F5B3348" w14:textId="77777777" w:rsidR="00DE6B65" w:rsidRPr="00955A19" w:rsidRDefault="00DE6B65" w:rsidP="005D3E09">
            <w:pPr>
              <w:rPr>
                <w:noProof/>
                <w:lang w:val="sk-SK"/>
              </w:rPr>
            </w:pPr>
            <w:r w:rsidRPr="00955A19">
              <w:rPr>
                <w:noProof/>
                <w:lang w:val="sk-SK"/>
              </w:rPr>
              <w:t>Záruka InvestEU pre Grécko</w:t>
            </w:r>
          </w:p>
        </w:tc>
        <w:tc>
          <w:tcPr>
            <w:tcW w:w="4046" w:type="dxa"/>
          </w:tcPr>
          <w:p w14:paraId="58CB1976" w14:textId="77777777" w:rsidR="00DE6B65" w:rsidRPr="00955A19" w:rsidRDefault="00DE6B65" w:rsidP="005D3E09">
            <w:pPr>
              <w:jc w:val="center"/>
              <w:rPr>
                <w:noProof/>
                <w:lang w:val="sk-SK"/>
              </w:rPr>
            </w:pPr>
            <w:r w:rsidRPr="00955A19">
              <w:rPr>
                <w:noProof/>
                <w:lang w:val="sk-SK"/>
              </w:rPr>
              <w:t>‒</w:t>
            </w:r>
          </w:p>
        </w:tc>
      </w:tr>
      <w:tr w:rsidR="00DE6B65" w:rsidRPr="00955A19" w14:paraId="14DA3C8B" w14:textId="77777777" w:rsidTr="0052256E">
        <w:tc>
          <w:tcPr>
            <w:tcW w:w="4646" w:type="dxa"/>
          </w:tcPr>
          <w:p w14:paraId="4EFBC7AC" w14:textId="513A76FF" w:rsidR="00DE6B65" w:rsidRPr="00955A19" w:rsidRDefault="00DE6B65" w:rsidP="005D3E09">
            <w:pPr>
              <w:rPr>
                <w:noProof/>
                <w:lang w:val="sk-SK"/>
              </w:rPr>
            </w:pPr>
            <w:r w:rsidRPr="00955A19">
              <w:rPr>
                <w:noProof/>
                <w:lang w:val="sk-SK"/>
              </w:rPr>
              <w:t>Operácie kombinovaného financovania</w:t>
            </w:r>
            <w:r w:rsidR="00955A19">
              <w:rPr>
                <w:noProof/>
                <w:lang w:val="sk-SK"/>
              </w:rPr>
              <w:t xml:space="preserve"> v </w:t>
            </w:r>
            <w:r w:rsidRPr="00955A19">
              <w:rPr>
                <w:noProof/>
                <w:lang w:val="sk-SK"/>
              </w:rPr>
              <w:t>rámci InvestEU</w:t>
            </w:r>
          </w:p>
        </w:tc>
        <w:tc>
          <w:tcPr>
            <w:tcW w:w="4046" w:type="dxa"/>
          </w:tcPr>
          <w:p w14:paraId="2C27FB23" w14:textId="77777777" w:rsidR="00DE6B65" w:rsidRPr="00955A19" w:rsidRDefault="00DE6B65" w:rsidP="005D3E09">
            <w:pPr>
              <w:spacing w:after="0" w:line="240" w:lineRule="auto"/>
              <w:jc w:val="center"/>
              <w:rPr>
                <w:noProof/>
                <w:lang w:val="sk-SK"/>
              </w:rPr>
            </w:pPr>
            <w:r w:rsidRPr="00955A19">
              <w:rPr>
                <w:noProof/>
                <w:lang w:val="sk-SK"/>
              </w:rPr>
              <w:t>17 760 000,00</w:t>
            </w:r>
          </w:p>
        </w:tc>
      </w:tr>
    </w:tbl>
    <w:p w14:paraId="5BD9A94A" w14:textId="77777777" w:rsidR="00DE6B65" w:rsidRPr="00955A19" w:rsidRDefault="00DE6B65" w:rsidP="00DE6B65">
      <w:pPr>
        <w:rPr>
          <w:i/>
          <w:noProof/>
          <w:sz w:val="20"/>
          <w:lang w:val="sk-SK"/>
        </w:rPr>
      </w:pPr>
    </w:p>
    <w:p w14:paraId="30844D78" w14:textId="18C1D670" w:rsidR="00DE6B65" w:rsidRPr="00955A19" w:rsidRDefault="00DE6B65" w:rsidP="00DE6B65">
      <w:pPr>
        <w:rPr>
          <w:i/>
          <w:noProof/>
          <w:sz w:val="20"/>
          <w:lang w:val="sk-SK"/>
        </w:rPr>
      </w:pPr>
      <w:r w:rsidRPr="00955A19">
        <w:rPr>
          <w:i/>
          <w:noProof/>
          <w:sz w:val="20"/>
          <w:lang w:val="sk-SK"/>
        </w:rPr>
        <w:t>Obrázok 1 – Zložky SRF</w:t>
      </w:r>
      <w:r w:rsidR="00955A19">
        <w:rPr>
          <w:i/>
          <w:noProof/>
          <w:sz w:val="20"/>
          <w:lang w:val="sk-SK"/>
        </w:rPr>
        <w:t xml:space="preserve"> k </w:t>
      </w:r>
      <w:r w:rsidRPr="00955A19">
        <w:rPr>
          <w:i/>
          <w:noProof/>
          <w:sz w:val="20"/>
          <w:lang w:val="sk-SK"/>
        </w:rPr>
        <w:t>31. decembru 2022</w:t>
      </w:r>
    </w:p>
    <w:p w14:paraId="13515746" w14:textId="28919124" w:rsidR="00DE6B65" w:rsidRPr="00955A19" w:rsidRDefault="00DE6B65" w:rsidP="00DE6B65">
      <w:pPr>
        <w:rPr>
          <w:noProof/>
          <w:lang w:val="sk-SK"/>
        </w:rPr>
      </w:pPr>
    </w:p>
    <w:p w14:paraId="7379CEFE" w14:textId="77777777" w:rsidR="00DE6B65" w:rsidRPr="00955A19" w:rsidRDefault="00DE6B65" w:rsidP="00DE6B65">
      <w:pPr>
        <w:rPr>
          <w:noProof/>
          <w:lang w:val="sk-SK"/>
        </w:rPr>
      </w:pPr>
    </w:p>
    <w:p w14:paraId="6B3FC233" w14:textId="77777777" w:rsidR="00DE6B65" w:rsidRPr="00955A19" w:rsidRDefault="00DE6B65" w:rsidP="00DE6B65">
      <w:pPr>
        <w:jc w:val="center"/>
        <w:rPr>
          <w:noProof/>
          <w:lang w:val="sk-SK"/>
        </w:rPr>
      </w:pPr>
      <w:r w:rsidRPr="00955A19">
        <w:rPr>
          <w:noProof/>
          <w:lang w:val="en-GB" w:eastAsia="en-GB"/>
        </w:rPr>
        <w:drawing>
          <wp:inline distT="0" distB="0" distL="0" distR="0" wp14:anchorId="050AD78D" wp14:editId="1E683979">
            <wp:extent cx="4726305" cy="3533775"/>
            <wp:effectExtent l="0" t="0" r="1714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48891B" w14:textId="77777777" w:rsidR="006C7EB6" w:rsidRPr="00955A19" w:rsidRDefault="006C7EB6" w:rsidP="00DE6B65">
      <w:pPr>
        <w:rPr>
          <w:i/>
          <w:noProof/>
          <w:sz w:val="20"/>
          <w:lang w:val="sk-SK"/>
        </w:rPr>
      </w:pPr>
    </w:p>
    <w:p w14:paraId="04B95063" w14:textId="09D63524" w:rsidR="00DE6B65" w:rsidRPr="00955A19" w:rsidRDefault="00DE6B65" w:rsidP="00DE6B65">
      <w:pPr>
        <w:rPr>
          <w:i/>
          <w:noProof/>
          <w:sz w:val="20"/>
          <w:lang w:val="sk-SK"/>
        </w:rPr>
      </w:pPr>
      <w:r w:rsidRPr="00955A19">
        <w:rPr>
          <w:i/>
          <w:noProof/>
          <w:sz w:val="20"/>
          <w:lang w:val="sk-SK"/>
        </w:rPr>
        <w:t>Obrázok 2 – Plne funkčné zložky SRF obsahujúce finančné prostriedky</w:t>
      </w:r>
      <w:r w:rsidR="00955A19">
        <w:rPr>
          <w:i/>
          <w:noProof/>
          <w:sz w:val="20"/>
          <w:lang w:val="sk-SK"/>
        </w:rPr>
        <w:t xml:space="preserve"> k </w:t>
      </w:r>
      <w:r w:rsidRPr="00955A19">
        <w:rPr>
          <w:i/>
          <w:noProof/>
          <w:sz w:val="20"/>
          <w:lang w:val="sk-SK"/>
        </w:rPr>
        <w:t>31. decembru 2022</w:t>
      </w:r>
    </w:p>
    <w:p w14:paraId="6B4D509C" w14:textId="0EB3E618" w:rsidR="00BA2529" w:rsidRPr="00955A19" w:rsidRDefault="00BA2529" w:rsidP="001924BF">
      <w:pPr>
        <w:pStyle w:val="Heading3"/>
        <w:rPr>
          <w:noProof/>
          <w:lang w:val="sk-SK"/>
        </w:rPr>
      </w:pPr>
      <w:bookmarkStart w:id="7" w:name="_Toc136296245"/>
      <w:r w:rsidRPr="00955A19">
        <w:rPr>
          <w:noProof/>
          <w:lang w:val="sk-SK"/>
        </w:rPr>
        <w:t>Nové zložky</w:t>
      </w:r>
      <w:r w:rsidR="00955A19">
        <w:rPr>
          <w:noProof/>
          <w:lang w:val="sk-SK"/>
        </w:rPr>
        <w:t xml:space="preserve"> v </w:t>
      </w:r>
      <w:r w:rsidRPr="00955A19">
        <w:rPr>
          <w:noProof/>
          <w:lang w:val="sk-SK"/>
        </w:rPr>
        <w:t>rámci nariadenia</w:t>
      </w:r>
      <w:r w:rsidR="00955A19">
        <w:rPr>
          <w:noProof/>
          <w:lang w:val="sk-SK"/>
        </w:rPr>
        <w:t xml:space="preserve"> o </w:t>
      </w:r>
      <w:r w:rsidRPr="00955A19">
        <w:rPr>
          <w:noProof/>
          <w:lang w:val="sk-SK"/>
        </w:rPr>
        <w:t>Programe InvestEU</w:t>
      </w:r>
      <w:bookmarkEnd w:id="7"/>
    </w:p>
    <w:p w14:paraId="226F04E0" w14:textId="6D1C8335" w:rsidR="00CA5A25" w:rsidRPr="00955A19" w:rsidRDefault="00772C05" w:rsidP="002C5174">
      <w:pPr>
        <w:rPr>
          <w:noProof/>
          <w:lang w:val="sk-SK"/>
        </w:rPr>
      </w:pPr>
      <w:r w:rsidRPr="00955A19">
        <w:rPr>
          <w:noProof/>
          <w:lang w:val="sk-SK"/>
        </w:rPr>
        <w:t>V nariadení</w:t>
      </w:r>
      <w:r w:rsidR="00955A19">
        <w:rPr>
          <w:noProof/>
          <w:lang w:val="sk-SK"/>
        </w:rPr>
        <w:t xml:space="preserve"> o </w:t>
      </w:r>
      <w:r w:rsidRPr="00955A19">
        <w:rPr>
          <w:noProof/>
          <w:lang w:val="sk-SK"/>
        </w:rPr>
        <w:t>Programe InvestEU</w:t>
      </w:r>
      <w:r w:rsidRPr="00955A19">
        <w:rPr>
          <w:rStyle w:val="FootnoteReference"/>
          <w:noProof/>
          <w:lang w:val="sk-SK"/>
        </w:rPr>
        <w:footnoteReference w:id="10"/>
      </w:r>
      <w:r w:rsidRPr="00955A19">
        <w:rPr>
          <w:noProof/>
          <w:lang w:val="sk-SK"/>
        </w:rPr>
        <w:t xml:space="preserve"> sa členským štátom umožňuje, aby do Programu InvestEU poskytli dodatočné zdroje. Samostatné zložky pre každý členský štát zabezpečujú sledovanie na úrovni tvorby rezerv</w:t>
      </w:r>
      <w:r w:rsidR="00CA5A25" w:rsidRPr="00955A19">
        <w:rPr>
          <w:noProof/>
          <w:lang w:val="sk-SK"/>
        </w:rPr>
        <w:t>.</w:t>
      </w:r>
    </w:p>
    <w:p w14:paraId="61D36E43" w14:textId="22A18D9D" w:rsidR="00772C05" w:rsidRPr="00955A19" w:rsidRDefault="00BA2529" w:rsidP="002C5174">
      <w:pPr>
        <w:rPr>
          <w:noProof/>
          <w:lang w:val="sk-SK"/>
        </w:rPr>
      </w:pPr>
      <w:r w:rsidRPr="00955A19">
        <w:rPr>
          <w:noProof/>
          <w:lang w:val="sk-SK"/>
        </w:rPr>
        <w:t>Na tento účel sa</w:t>
      </w:r>
      <w:r w:rsidR="00955A19">
        <w:rPr>
          <w:noProof/>
          <w:lang w:val="sk-SK"/>
        </w:rPr>
        <w:t xml:space="preserve"> v </w:t>
      </w:r>
      <w:r w:rsidRPr="00955A19">
        <w:rPr>
          <w:noProof/>
          <w:lang w:val="sk-SK"/>
        </w:rPr>
        <w:t>roku 2022 otvorili štyri nové zložky InvestEU pre členské štáty,</w:t>
      </w:r>
      <w:r w:rsidR="00955A19">
        <w:rPr>
          <w:noProof/>
          <w:lang w:val="sk-SK"/>
        </w:rPr>
        <w:t xml:space="preserve"> z </w:t>
      </w:r>
      <w:r w:rsidRPr="00955A19">
        <w:rPr>
          <w:noProof/>
          <w:lang w:val="sk-SK"/>
        </w:rPr>
        <w:t>ktorých dve už do konca roka získali finančné prostriedky. Samostatná zložka</w:t>
      </w:r>
      <w:r w:rsidR="00955A19">
        <w:rPr>
          <w:noProof/>
          <w:lang w:val="sk-SK"/>
        </w:rPr>
        <w:t xml:space="preserve"> s </w:t>
      </w:r>
      <w:r w:rsidRPr="00955A19">
        <w:rPr>
          <w:noProof/>
          <w:lang w:val="sk-SK"/>
        </w:rPr>
        <w:t>príspevkom</w:t>
      </w:r>
      <w:r w:rsidR="00955A19">
        <w:rPr>
          <w:noProof/>
          <w:lang w:val="sk-SK"/>
        </w:rPr>
        <w:t xml:space="preserve"> z </w:t>
      </w:r>
      <w:r w:rsidRPr="00955A19">
        <w:rPr>
          <w:noProof/>
          <w:lang w:val="sk-SK"/>
        </w:rPr>
        <w:t>viacerých sektorových programov/fondov Únie bola otvorená aj pre operácie kombinovaného financovania, ktoré zabezpečujú doplnenie zdrojov záruky EÚ/Fondu InvestEU.</w:t>
      </w:r>
    </w:p>
    <w:p w14:paraId="0739DAB5" w14:textId="488AD802" w:rsidR="00F24413" w:rsidRPr="00955A19" w:rsidRDefault="00F24413" w:rsidP="001924BF">
      <w:pPr>
        <w:pStyle w:val="Heading3"/>
        <w:rPr>
          <w:noProof/>
          <w:lang w:val="sk-SK"/>
        </w:rPr>
      </w:pPr>
      <w:bookmarkStart w:id="8" w:name="_Toc136296246"/>
      <w:r w:rsidRPr="00955A19">
        <w:rPr>
          <w:noProof/>
          <w:lang w:val="sk-SK"/>
        </w:rPr>
        <w:t>Nové zložky</w:t>
      </w:r>
      <w:r w:rsidR="00955A19">
        <w:rPr>
          <w:noProof/>
          <w:lang w:val="sk-SK"/>
        </w:rPr>
        <w:t xml:space="preserve"> v </w:t>
      </w:r>
      <w:r w:rsidRPr="00955A19">
        <w:rPr>
          <w:noProof/>
          <w:lang w:val="sk-SK"/>
        </w:rPr>
        <w:t>rámci nariadenia</w:t>
      </w:r>
      <w:r w:rsidR="00955A19">
        <w:rPr>
          <w:noProof/>
          <w:lang w:val="sk-SK"/>
        </w:rPr>
        <w:t xml:space="preserve"> o </w:t>
      </w:r>
      <w:r w:rsidRPr="00955A19">
        <w:rPr>
          <w:noProof/>
          <w:lang w:val="sk-SK"/>
        </w:rPr>
        <w:t>NDICI</w:t>
      </w:r>
      <w:r w:rsidRPr="00955A19">
        <w:rPr>
          <w:rStyle w:val="FootnoteReference"/>
          <w:b w:val="0"/>
          <w:noProof/>
          <w:lang w:val="sk-SK"/>
        </w:rPr>
        <w:footnoteReference w:id="11"/>
      </w:r>
      <w:bookmarkEnd w:id="8"/>
    </w:p>
    <w:p w14:paraId="5188077A" w14:textId="2C5CAA13" w:rsidR="00947EEA" w:rsidRPr="00955A19" w:rsidRDefault="001650E6" w:rsidP="002C5174">
      <w:pPr>
        <w:rPr>
          <w:noProof/>
          <w:lang w:val="sk-SK"/>
        </w:rPr>
      </w:pPr>
      <w:r w:rsidRPr="00955A19">
        <w:rPr>
          <w:noProof/>
          <w:lang w:val="sk-SK"/>
        </w:rPr>
        <w:t>Po nadobudnutí účinnosti nariadenia, ktorým sa zriaďuje Nástroj susedstva</w:t>
      </w:r>
      <w:r w:rsidR="00955A19">
        <w:rPr>
          <w:noProof/>
          <w:lang w:val="sk-SK"/>
        </w:rPr>
        <w:t xml:space="preserve"> a </w:t>
      </w:r>
      <w:r w:rsidRPr="00955A19">
        <w:rPr>
          <w:noProof/>
          <w:lang w:val="sk-SK"/>
        </w:rPr>
        <w:t>rozvojovej</w:t>
      </w:r>
      <w:r w:rsidR="00955A19">
        <w:rPr>
          <w:noProof/>
          <w:lang w:val="sk-SK"/>
        </w:rPr>
        <w:t xml:space="preserve"> a </w:t>
      </w:r>
      <w:r w:rsidRPr="00955A19">
        <w:rPr>
          <w:noProof/>
          <w:lang w:val="sk-SK"/>
        </w:rPr>
        <w:t>medzinárodnej spolupráce (NDICI), boli</w:t>
      </w:r>
      <w:r w:rsidR="00955A19">
        <w:rPr>
          <w:noProof/>
          <w:lang w:val="sk-SK"/>
        </w:rPr>
        <w:t xml:space="preserve"> v </w:t>
      </w:r>
      <w:r w:rsidRPr="00955A19">
        <w:rPr>
          <w:noProof/>
          <w:lang w:val="sk-SK"/>
        </w:rPr>
        <w:t>rámci záruky pre vonkajšiu činnosť otvorené tri nové zložky na držbu rezerv na činnosti EÚ</w:t>
      </w:r>
      <w:r w:rsidR="00955A19">
        <w:rPr>
          <w:noProof/>
          <w:lang w:val="sk-SK"/>
        </w:rPr>
        <w:t xml:space="preserve"> v </w:t>
      </w:r>
      <w:r w:rsidRPr="00955A19">
        <w:rPr>
          <w:noProof/>
          <w:lang w:val="sk-SK"/>
        </w:rPr>
        <w:t>oblasti vonkajšieho rozmeru:</w:t>
      </w:r>
    </w:p>
    <w:p w14:paraId="6A93B639" w14:textId="62BFD1C4" w:rsidR="00947EEA" w:rsidRPr="00955A19" w:rsidRDefault="00947EEA" w:rsidP="008849F5">
      <w:pPr>
        <w:pStyle w:val="ListParagraph"/>
        <w:numPr>
          <w:ilvl w:val="0"/>
          <w:numId w:val="22"/>
        </w:numPr>
        <w:rPr>
          <w:noProof/>
          <w:lang w:val="sk-SK"/>
        </w:rPr>
      </w:pPr>
      <w:r w:rsidRPr="00955A19">
        <w:rPr>
          <w:rFonts w:ascii="Times New Roman" w:hAnsi="Times New Roman"/>
          <w:noProof/>
          <w:lang w:val="sk-SK"/>
        </w:rPr>
        <w:t>nový Európsky fond pre udržateľný rozvoj plus (EFSD+);</w:t>
      </w:r>
    </w:p>
    <w:p w14:paraId="3FC29FEB" w14:textId="773547AA" w:rsidR="00947EEA" w:rsidRPr="00955A19" w:rsidRDefault="00947EEA" w:rsidP="008849F5">
      <w:pPr>
        <w:pStyle w:val="ListParagraph"/>
        <w:numPr>
          <w:ilvl w:val="0"/>
          <w:numId w:val="22"/>
        </w:numPr>
        <w:rPr>
          <w:noProof/>
          <w:lang w:val="sk-SK"/>
        </w:rPr>
      </w:pPr>
      <w:r w:rsidRPr="00955A19">
        <w:rPr>
          <w:rFonts w:ascii="Times New Roman" w:hAnsi="Times New Roman"/>
          <w:noProof/>
          <w:lang w:val="sk-SK"/>
        </w:rPr>
        <w:t>úvery</w:t>
      </w:r>
      <w:r w:rsidR="00955A19">
        <w:rPr>
          <w:rFonts w:ascii="Times New Roman" w:hAnsi="Times New Roman"/>
          <w:noProof/>
          <w:lang w:val="sk-SK"/>
        </w:rPr>
        <w:t xml:space="preserve"> v </w:t>
      </w:r>
      <w:r w:rsidRPr="00955A19">
        <w:rPr>
          <w:rFonts w:ascii="Times New Roman" w:hAnsi="Times New Roman"/>
          <w:noProof/>
          <w:lang w:val="sk-SK"/>
        </w:rPr>
        <w:t>rámci makrofinančnej pomoci (MFA) po roku 2020;</w:t>
      </w:r>
    </w:p>
    <w:p w14:paraId="287DD3D6" w14:textId="1E2BFA6A" w:rsidR="00947EEA" w:rsidRPr="00955A19" w:rsidRDefault="00947EEA" w:rsidP="008849F5">
      <w:pPr>
        <w:pStyle w:val="ListParagraph"/>
        <w:numPr>
          <w:ilvl w:val="0"/>
          <w:numId w:val="22"/>
        </w:numPr>
        <w:rPr>
          <w:noProof/>
          <w:lang w:val="sk-SK"/>
        </w:rPr>
      </w:pPr>
      <w:r w:rsidRPr="00955A19">
        <w:rPr>
          <w:rFonts w:ascii="Times New Roman" w:hAnsi="Times New Roman"/>
          <w:noProof/>
          <w:lang w:val="sk-SK"/>
        </w:rPr>
        <w:t>úvery Euratomu po roku 2020.</w:t>
      </w:r>
    </w:p>
    <w:p w14:paraId="7E348DEF" w14:textId="6C76775F" w:rsidR="007038E2" w:rsidRPr="00955A19" w:rsidRDefault="007038E2" w:rsidP="001924BF">
      <w:pPr>
        <w:pStyle w:val="Heading3"/>
        <w:rPr>
          <w:noProof/>
          <w:lang w:val="sk-SK"/>
        </w:rPr>
      </w:pPr>
      <w:bookmarkStart w:id="9" w:name="_Toc136296247"/>
      <w:r w:rsidRPr="00955A19">
        <w:rPr>
          <w:noProof/>
          <w:lang w:val="sk-SK"/>
        </w:rPr>
        <w:t>Nové zložky pre expozície týkajúce sa Ukrajiny</w:t>
      </w:r>
      <w:bookmarkEnd w:id="9"/>
    </w:p>
    <w:p w14:paraId="4135F7D2" w14:textId="54BB1AAA" w:rsidR="00BA2529" w:rsidRPr="00955A19" w:rsidRDefault="00BA2529" w:rsidP="00BA2529">
      <w:pPr>
        <w:rPr>
          <w:noProof/>
          <w:lang w:val="sk-SK"/>
        </w:rPr>
      </w:pPr>
      <w:r w:rsidRPr="00955A19">
        <w:rPr>
          <w:noProof/>
          <w:lang w:val="sk-SK"/>
        </w:rPr>
        <w:t>S cieľom zohľadniť potrebu spravovať rôzne profily aktív</w:t>
      </w:r>
      <w:r w:rsidR="00955A19">
        <w:rPr>
          <w:noProof/>
          <w:lang w:val="sk-SK"/>
        </w:rPr>
        <w:t xml:space="preserve"> a </w:t>
      </w:r>
      <w:r w:rsidRPr="00955A19">
        <w:rPr>
          <w:noProof/>
          <w:lang w:val="sk-SK"/>
        </w:rPr>
        <w:t>pasív oddelene boli</w:t>
      </w:r>
      <w:r w:rsidR="00955A19">
        <w:rPr>
          <w:noProof/>
          <w:lang w:val="sk-SK"/>
        </w:rPr>
        <w:t xml:space="preserve"> v </w:t>
      </w:r>
      <w:r w:rsidRPr="00955A19">
        <w:rPr>
          <w:noProof/>
          <w:lang w:val="sk-SK"/>
        </w:rPr>
        <w:t>základných aktoch</w:t>
      </w:r>
      <w:r w:rsidR="00955A19">
        <w:rPr>
          <w:noProof/>
          <w:lang w:val="sk-SK"/>
        </w:rPr>
        <w:t xml:space="preserve"> o </w:t>
      </w:r>
      <w:r w:rsidRPr="00955A19">
        <w:rPr>
          <w:noProof/>
          <w:lang w:val="sk-SK"/>
        </w:rPr>
        <w:t>expozíciách týkajúcich sa Ukrajiny na roky 2021 – 2027 stanovené dve nové zložky:</w:t>
      </w:r>
    </w:p>
    <w:p w14:paraId="716A9AB7" w14:textId="3A722E1D" w:rsidR="00CA5A25" w:rsidRPr="00955A19" w:rsidRDefault="007B1C12" w:rsidP="00BA2529">
      <w:pPr>
        <w:pStyle w:val="ListParagraph"/>
        <w:numPr>
          <w:ilvl w:val="0"/>
          <w:numId w:val="20"/>
        </w:numPr>
        <w:spacing w:after="240" w:line="240" w:lineRule="auto"/>
        <w:jc w:val="both"/>
        <w:rPr>
          <w:rFonts w:ascii="Times New Roman" w:hAnsi="Times New Roman"/>
          <w:noProof/>
          <w:lang w:val="sk-SK"/>
        </w:rPr>
      </w:pPr>
      <w:r w:rsidRPr="00955A19">
        <w:rPr>
          <w:rFonts w:ascii="Times New Roman" w:hAnsi="Times New Roman"/>
          <w:noProof/>
          <w:lang w:val="sk-SK"/>
        </w:rPr>
        <w:t>úvery</w:t>
      </w:r>
      <w:r w:rsidR="00955A19">
        <w:rPr>
          <w:rFonts w:ascii="Times New Roman" w:hAnsi="Times New Roman"/>
          <w:noProof/>
          <w:lang w:val="sk-SK"/>
        </w:rPr>
        <w:t xml:space="preserve"> v </w:t>
      </w:r>
      <w:r w:rsidRPr="00955A19">
        <w:rPr>
          <w:rFonts w:ascii="Times New Roman" w:hAnsi="Times New Roman"/>
          <w:noProof/>
          <w:lang w:val="sk-SK"/>
        </w:rPr>
        <w:t>rámci MFA 1</w:t>
      </w:r>
      <w:r w:rsidRPr="00955A19">
        <w:rPr>
          <w:rStyle w:val="FootnoteReference"/>
          <w:rFonts w:ascii="Times New Roman" w:hAnsi="Times New Roman"/>
          <w:noProof/>
          <w:lang w:val="sk-SK"/>
        </w:rPr>
        <w:footnoteReference w:id="12"/>
      </w:r>
      <w:r w:rsidR="00955A19">
        <w:rPr>
          <w:rFonts w:ascii="Times New Roman" w:hAnsi="Times New Roman"/>
          <w:noProof/>
          <w:lang w:val="sk-SK"/>
        </w:rPr>
        <w:t xml:space="preserve"> a </w:t>
      </w:r>
      <w:r w:rsidRPr="00955A19">
        <w:rPr>
          <w:rFonts w:ascii="Times New Roman" w:hAnsi="Times New Roman"/>
          <w:noProof/>
          <w:lang w:val="sk-SK"/>
        </w:rPr>
        <w:t>úvery</w:t>
      </w:r>
      <w:r w:rsidR="00955A19">
        <w:rPr>
          <w:rFonts w:ascii="Times New Roman" w:hAnsi="Times New Roman"/>
          <w:noProof/>
          <w:lang w:val="sk-SK"/>
        </w:rPr>
        <w:t xml:space="preserve"> v </w:t>
      </w:r>
      <w:r w:rsidRPr="00955A19">
        <w:rPr>
          <w:rFonts w:ascii="Times New Roman" w:hAnsi="Times New Roman"/>
          <w:noProof/>
          <w:lang w:val="sk-SK"/>
        </w:rPr>
        <w:t>rámci MFA 2</w:t>
      </w:r>
      <w:r w:rsidRPr="00955A19">
        <w:rPr>
          <w:rStyle w:val="FootnoteReference"/>
          <w:noProof/>
          <w:lang w:val="sk-SK"/>
        </w:rPr>
        <w:footnoteReference w:id="13"/>
      </w:r>
      <w:r w:rsidR="00CA5A25" w:rsidRPr="00955A19">
        <w:rPr>
          <w:rFonts w:ascii="Times New Roman" w:hAnsi="Times New Roman"/>
          <w:noProof/>
          <w:lang w:val="sk-SK"/>
        </w:rPr>
        <w:t>;</w:t>
      </w:r>
    </w:p>
    <w:p w14:paraId="600C13F0" w14:textId="370679C3" w:rsidR="008849F5" w:rsidRPr="00955A19" w:rsidRDefault="007B1C12" w:rsidP="008C557C">
      <w:pPr>
        <w:pStyle w:val="ListParagraph"/>
        <w:numPr>
          <w:ilvl w:val="0"/>
          <w:numId w:val="20"/>
        </w:numPr>
        <w:spacing w:after="240" w:line="240" w:lineRule="auto"/>
        <w:jc w:val="both"/>
        <w:rPr>
          <w:noProof/>
          <w:lang w:val="sk-SK"/>
        </w:rPr>
      </w:pPr>
      <w:r w:rsidRPr="00955A19">
        <w:rPr>
          <w:rFonts w:ascii="Times New Roman" w:hAnsi="Times New Roman"/>
          <w:noProof/>
          <w:lang w:val="sk-SK"/>
        </w:rPr>
        <w:t>úvery EIB so zmeneným účelom</w:t>
      </w:r>
      <w:r w:rsidR="00955A19">
        <w:rPr>
          <w:rFonts w:ascii="Times New Roman" w:hAnsi="Times New Roman"/>
          <w:noProof/>
          <w:lang w:val="sk-SK"/>
        </w:rPr>
        <w:t xml:space="preserve"> v </w:t>
      </w:r>
      <w:r w:rsidRPr="00955A19">
        <w:rPr>
          <w:rFonts w:ascii="Times New Roman" w:hAnsi="Times New Roman"/>
          <w:noProof/>
          <w:lang w:val="sk-SK"/>
        </w:rPr>
        <w:t>rámci mandátu na poskytovanie vonkajších úverov (ELM) na roky 2014 – 2020.</w:t>
      </w:r>
    </w:p>
    <w:p w14:paraId="77AFEAC9" w14:textId="0A6A24B1" w:rsidR="00D07C47" w:rsidRPr="00955A19" w:rsidRDefault="00FE162C" w:rsidP="008C557C">
      <w:pPr>
        <w:pStyle w:val="Heading2"/>
        <w:rPr>
          <w:noProof/>
          <w:lang w:val="sk-SK"/>
        </w:rPr>
      </w:pPr>
      <w:bookmarkStart w:id="10" w:name="_Toc477528174"/>
      <w:bookmarkStart w:id="11" w:name="_Toc477855451"/>
      <w:bookmarkStart w:id="12" w:name="_Toc3825653"/>
      <w:bookmarkStart w:id="13" w:name="_Toc5195733"/>
      <w:bookmarkStart w:id="14" w:name="_Toc97276836"/>
      <w:bookmarkStart w:id="15" w:name="_Toc136296248"/>
      <w:r w:rsidRPr="00955A19">
        <w:rPr>
          <w:noProof/>
          <w:lang w:val="sk-SK"/>
        </w:rPr>
        <w:t>Účtovná závierka SRF</w:t>
      </w:r>
      <w:r w:rsidR="00955A19">
        <w:rPr>
          <w:noProof/>
          <w:lang w:val="sk-SK"/>
        </w:rPr>
        <w:t xml:space="preserve"> k </w:t>
      </w:r>
      <w:r w:rsidRPr="00955A19">
        <w:rPr>
          <w:noProof/>
          <w:lang w:val="sk-SK"/>
        </w:rPr>
        <w:t xml:space="preserve">31. decembru </w:t>
      </w:r>
      <w:bookmarkEnd w:id="10"/>
      <w:bookmarkEnd w:id="11"/>
      <w:r w:rsidRPr="00955A19">
        <w:rPr>
          <w:noProof/>
          <w:lang w:val="sk-SK"/>
        </w:rPr>
        <w:t>20</w:t>
      </w:r>
      <w:bookmarkEnd w:id="12"/>
      <w:bookmarkEnd w:id="13"/>
      <w:r w:rsidRPr="00955A19">
        <w:rPr>
          <w:noProof/>
          <w:lang w:val="sk-SK"/>
        </w:rPr>
        <w:t>2</w:t>
      </w:r>
      <w:bookmarkEnd w:id="14"/>
      <w:r w:rsidRPr="00955A19">
        <w:rPr>
          <w:noProof/>
          <w:lang w:val="sk-SK"/>
        </w:rPr>
        <w:t>2</w:t>
      </w:r>
      <w:bookmarkEnd w:id="15"/>
    </w:p>
    <w:p w14:paraId="32CF16E2" w14:textId="47143F06" w:rsidR="00D07C47" w:rsidRPr="00955A19" w:rsidRDefault="00D07C47" w:rsidP="00D07C47">
      <w:pPr>
        <w:rPr>
          <w:noProof/>
          <w:lang w:val="sk-SK"/>
        </w:rPr>
      </w:pPr>
      <w:r w:rsidRPr="00955A19">
        <w:rPr>
          <w:noProof/>
          <w:lang w:val="sk-SK"/>
        </w:rPr>
        <w:t>Čisté aktíva SRF</w:t>
      </w:r>
      <w:r w:rsidR="00955A19">
        <w:rPr>
          <w:noProof/>
          <w:lang w:val="sk-SK"/>
        </w:rPr>
        <w:t xml:space="preserve"> k </w:t>
      </w:r>
      <w:r w:rsidRPr="00955A19">
        <w:rPr>
          <w:noProof/>
          <w:lang w:val="sk-SK"/>
        </w:rPr>
        <w:t>31. decembru 2022 predstavovali 14,39 miliardy EUR. Podľa súčasnej investičnej stratégie (pozri oddiel 2.1) hlavné aktíva tvorili portfólio cenných papierov, pričom sa investovalo najmä do dlhopisov</w:t>
      </w:r>
      <w:r w:rsidR="00955A19">
        <w:rPr>
          <w:noProof/>
          <w:lang w:val="sk-SK"/>
        </w:rPr>
        <w:t xml:space="preserve"> s </w:t>
      </w:r>
      <w:r w:rsidRPr="00955A19">
        <w:rPr>
          <w:noProof/>
          <w:lang w:val="sk-SK"/>
        </w:rPr>
        <w:t>investičným stupňom (štátne, SSA</w:t>
      </w:r>
      <w:r w:rsidRPr="00955A19">
        <w:rPr>
          <w:rStyle w:val="FootnoteReference"/>
          <w:noProof/>
          <w:lang w:val="sk-SK"/>
        </w:rPr>
        <w:footnoteReference w:id="14"/>
      </w:r>
      <w:r w:rsidRPr="00955A19">
        <w:rPr>
          <w:noProof/>
          <w:lang w:val="sk-SK"/>
        </w:rPr>
        <w:t>, podnikové</w:t>
      </w:r>
      <w:r w:rsidRPr="00955A19">
        <w:rPr>
          <w:rStyle w:val="FootnoteReference"/>
          <w:noProof/>
          <w:lang w:val="sk-SK"/>
        </w:rPr>
        <w:footnoteReference w:id="15"/>
      </w:r>
      <w:r w:rsidRPr="00955A19">
        <w:rPr>
          <w:noProof/>
          <w:lang w:val="sk-SK"/>
        </w:rPr>
        <w:t>, finančné) klasifikovaných</w:t>
      </w:r>
      <w:r w:rsidR="00955A19">
        <w:rPr>
          <w:noProof/>
          <w:lang w:val="sk-SK"/>
        </w:rPr>
        <w:t xml:space="preserve"> v </w:t>
      </w:r>
      <w:r w:rsidRPr="00955A19">
        <w:rPr>
          <w:noProof/>
          <w:lang w:val="sk-SK"/>
        </w:rPr>
        <w:t>reálnej hodnote cez prebytok alebo deficit (14,06 miliardy EUR)</w:t>
      </w:r>
      <w:r w:rsidR="00955A19">
        <w:rPr>
          <w:noProof/>
          <w:lang w:val="sk-SK"/>
        </w:rPr>
        <w:t xml:space="preserve"> a </w:t>
      </w:r>
      <w:r w:rsidRPr="00955A19">
        <w:rPr>
          <w:noProof/>
          <w:lang w:val="sk-SK"/>
        </w:rPr>
        <w:t>hotovosť</w:t>
      </w:r>
      <w:r w:rsidR="00955A19">
        <w:rPr>
          <w:noProof/>
          <w:lang w:val="sk-SK"/>
        </w:rPr>
        <w:t xml:space="preserve"> a </w:t>
      </w:r>
      <w:r w:rsidRPr="00955A19">
        <w:rPr>
          <w:noProof/>
          <w:lang w:val="sk-SK"/>
        </w:rPr>
        <w:t>hotovostné ekvivalenty (0,33 miliardy EUR).</w:t>
      </w:r>
    </w:p>
    <w:p w14:paraId="4DADAB4D" w14:textId="05CF4018" w:rsidR="00D07C47" w:rsidRPr="00955A19" w:rsidRDefault="00D07C47" w:rsidP="00D07C47">
      <w:pPr>
        <w:rPr>
          <w:noProof/>
          <w:lang w:val="sk-SK"/>
        </w:rPr>
      </w:pPr>
      <w:r w:rsidRPr="00955A19">
        <w:rPr>
          <w:noProof/>
          <w:lang w:val="sk-SK"/>
        </w:rPr>
        <w:t>Z hľadiska výkazu ziskov</w:t>
      </w:r>
      <w:r w:rsidR="00955A19">
        <w:rPr>
          <w:noProof/>
          <w:lang w:val="sk-SK"/>
        </w:rPr>
        <w:t xml:space="preserve"> a </w:t>
      </w:r>
      <w:r w:rsidRPr="00955A19">
        <w:rPr>
          <w:noProof/>
          <w:lang w:val="sk-SK"/>
        </w:rPr>
        <w:t>strát za rok 2022 mal SRF na konci roka návratnosť −8,8</w:t>
      </w:r>
      <w:r w:rsidR="00955A19">
        <w:rPr>
          <w:noProof/>
          <w:lang w:val="sk-SK"/>
        </w:rPr>
        <w:t> %</w:t>
      </w:r>
      <w:r w:rsidRPr="00955A19">
        <w:rPr>
          <w:noProof/>
          <w:lang w:val="sk-SK"/>
        </w:rPr>
        <w:t>, čo bolo spôsobené stratami</w:t>
      </w:r>
      <w:r w:rsidR="00955A19">
        <w:rPr>
          <w:noProof/>
          <w:lang w:val="sk-SK"/>
        </w:rPr>
        <w:t xml:space="preserve"> z </w:t>
      </w:r>
      <w:r w:rsidRPr="00955A19">
        <w:rPr>
          <w:noProof/>
          <w:lang w:val="sk-SK"/>
        </w:rPr>
        <w:t>oceňovania</w:t>
      </w:r>
      <w:r w:rsidR="00955A19">
        <w:rPr>
          <w:noProof/>
          <w:lang w:val="sk-SK"/>
        </w:rPr>
        <w:t xml:space="preserve"> v </w:t>
      </w:r>
      <w:r w:rsidRPr="00955A19">
        <w:rPr>
          <w:noProof/>
          <w:lang w:val="sk-SK"/>
        </w:rPr>
        <w:t>dôsledku prudkého rastu úrokových sadzieb. Podrobnejší opis výkonnosti SRF</w:t>
      </w:r>
      <w:r w:rsidR="00955A19">
        <w:rPr>
          <w:noProof/>
          <w:lang w:val="sk-SK"/>
        </w:rPr>
        <w:t xml:space="preserve"> v </w:t>
      </w:r>
      <w:r w:rsidRPr="00955A19">
        <w:rPr>
          <w:noProof/>
          <w:lang w:val="sk-SK"/>
        </w:rPr>
        <w:t>jeho makroekonomickej situácii sa uvádza</w:t>
      </w:r>
      <w:r w:rsidR="00955A19">
        <w:rPr>
          <w:noProof/>
          <w:lang w:val="sk-SK"/>
        </w:rPr>
        <w:t xml:space="preserve"> v </w:t>
      </w:r>
      <w:r w:rsidRPr="00955A19">
        <w:rPr>
          <w:noProof/>
          <w:lang w:val="sk-SK"/>
        </w:rPr>
        <w:t>nasledujúcich dvoch oddieloch.</w:t>
      </w:r>
    </w:p>
    <w:p w14:paraId="1A918297" w14:textId="69189878" w:rsidR="00D07C47" w:rsidRPr="00955A19" w:rsidRDefault="00D07C47" w:rsidP="00D07C47">
      <w:pPr>
        <w:rPr>
          <w:noProof/>
          <w:lang w:val="sk-SK"/>
        </w:rPr>
      </w:pPr>
      <w:r w:rsidRPr="00955A19">
        <w:rPr>
          <w:noProof/>
          <w:lang w:val="sk-SK"/>
        </w:rPr>
        <w:t>Viac informácií</w:t>
      </w:r>
      <w:r w:rsidR="00955A19">
        <w:rPr>
          <w:noProof/>
          <w:lang w:val="sk-SK"/>
        </w:rPr>
        <w:t xml:space="preserve"> o </w:t>
      </w:r>
      <w:r w:rsidRPr="00955A19">
        <w:rPr>
          <w:noProof/>
          <w:lang w:val="sk-SK"/>
        </w:rPr>
        <w:t>účtovnej závierke je</w:t>
      </w:r>
      <w:r w:rsidR="00955A19">
        <w:rPr>
          <w:noProof/>
          <w:lang w:val="sk-SK"/>
        </w:rPr>
        <w:t xml:space="preserve"> k </w:t>
      </w:r>
      <w:r w:rsidRPr="00955A19">
        <w:rPr>
          <w:noProof/>
          <w:lang w:val="sk-SK"/>
        </w:rPr>
        <w:t>dispozícii</w:t>
      </w:r>
      <w:r w:rsidR="00955A19">
        <w:rPr>
          <w:noProof/>
          <w:lang w:val="sk-SK"/>
        </w:rPr>
        <w:t xml:space="preserve"> v </w:t>
      </w:r>
      <w:r w:rsidRPr="00955A19">
        <w:rPr>
          <w:noProof/>
          <w:lang w:val="sk-SK"/>
        </w:rPr>
        <w:t>pracovnom dokumente útvarov Komisie, ktorý je priložený</w:t>
      </w:r>
      <w:r w:rsidR="00955A19">
        <w:rPr>
          <w:noProof/>
          <w:lang w:val="sk-SK"/>
        </w:rPr>
        <w:t xml:space="preserve"> k </w:t>
      </w:r>
      <w:r w:rsidRPr="00955A19">
        <w:rPr>
          <w:noProof/>
          <w:lang w:val="sk-SK"/>
        </w:rPr>
        <w:t>tejto správe.</w:t>
      </w:r>
    </w:p>
    <w:p w14:paraId="5B4B979F" w14:textId="58853D21" w:rsidR="00ED39D8" w:rsidRPr="00955A19" w:rsidRDefault="00ED39D8" w:rsidP="008C557C">
      <w:pPr>
        <w:pStyle w:val="Heading2"/>
        <w:rPr>
          <w:noProof/>
          <w:lang w:val="sk-SK"/>
        </w:rPr>
      </w:pPr>
      <w:bookmarkStart w:id="16" w:name="_Toc136296249"/>
      <w:r w:rsidRPr="00955A19">
        <w:rPr>
          <w:noProof/>
          <w:lang w:val="sk-SK"/>
        </w:rPr>
        <w:t>Výzvy na uplatnenie záruky</w:t>
      </w:r>
      <w:r w:rsidR="00955A19">
        <w:rPr>
          <w:noProof/>
          <w:lang w:val="sk-SK"/>
        </w:rPr>
        <w:t xml:space="preserve"> a </w:t>
      </w:r>
      <w:r w:rsidRPr="00955A19">
        <w:rPr>
          <w:noProof/>
          <w:lang w:val="sk-SK"/>
        </w:rPr>
        <w:t>žiadosti</w:t>
      </w:r>
      <w:r w:rsidR="00955A19">
        <w:rPr>
          <w:noProof/>
          <w:lang w:val="sk-SK"/>
        </w:rPr>
        <w:t xml:space="preserve"> o </w:t>
      </w:r>
      <w:r w:rsidRPr="00955A19">
        <w:rPr>
          <w:noProof/>
          <w:lang w:val="sk-SK"/>
        </w:rPr>
        <w:t>platbu</w:t>
      </w:r>
      <w:bookmarkEnd w:id="16"/>
    </w:p>
    <w:p w14:paraId="58F23E29" w14:textId="7C206F61" w:rsidR="00CA5A25" w:rsidRPr="00955A19" w:rsidRDefault="00D92B25" w:rsidP="00D92B25">
      <w:pPr>
        <w:rPr>
          <w:noProof/>
          <w:lang w:val="sk-SK"/>
        </w:rPr>
      </w:pPr>
      <w:r w:rsidRPr="00955A19">
        <w:rPr>
          <w:noProof/>
          <w:lang w:val="sk-SK"/>
        </w:rPr>
        <w:t>Riadenie likvidity výziev na uplatnenie záruky</w:t>
      </w:r>
      <w:r w:rsidR="00955A19">
        <w:rPr>
          <w:noProof/>
          <w:lang w:val="sk-SK"/>
        </w:rPr>
        <w:t xml:space="preserve"> a </w:t>
      </w:r>
      <w:r w:rsidRPr="00955A19">
        <w:rPr>
          <w:noProof/>
          <w:lang w:val="sk-SK"/>
        </w:rPr>
        <w:t>žiadostí</w:t>
      </w:r>
      <w:r w:rsidR="00955A19">
        <w:rPr>
          <w:noProof/>
          <w:lang w:val="sk-SK"/>
        </w:rPr>
        <w:t xml:space="preserve"> o </w:t>
      </w:r>
      <w:r w:rsidRPr="00955A19">
        <w:rPr>
          <w:noProof/>
          <w:lang w:val="sk-SK"/>
        </w:rPr>
        <w:t>platbu je uľahčené vankúšom likvidity, ako sa uvádza</w:t>
      </w:r>
      <w:r w:rsidR="00955A19">
        <w:rPr>
          <w:noProof/>
          <w:lang w:val="sk-SK"/>
        </w:rPr>
        <w:t xml:space="preserve"> v </w:t>
      </w:r>
      <w:r w:rsidRPr="00955A19">
        <w:rPr>
          <w:noProof/>
          <w:lang w:val="sk-SK"/>
        </w:rPr>
        <w:t>usmerneniach pre správu aktív. Vankúš likvidity tvoria obmedzené hotovostné rezervy, ktoré sú držané</w:t>
      </w:r>
      <w:r w:rsidR="00955A19">
        <w:rPr>
          <w:noProof/>
          <w:lang w:val="sk-SK"/>
        </w:rPr>
        <w:t xml:space="preserve"> v </w:t>
      </w:r>
      <w:r w:rsidRPr="00955A19">
        <w:rPr>
          <w:noProof/>
          <w:lang w:val="sk-SK"/>
        </w:rPr>
        <w:t>centrálnej pokladni Komisie na pokrytie očakávaných bezprostredných peňažných tokov</w:t>
      </w:r>
      <w:r w:rsidR="00CA5A25" w:rsidRPr="00955A19">
        <w:rPr>
          <w:noProof/>
          <w:lang w:val="sk-SK"/>
        </w:rPr>
        <w:t>.</w:t>
      </w:r>
    </w:p>
    <w:p w14:paraId="10C2590F" w14:textId="4BF727A8" w:rsidR="00D92B25" w:rsidRPr="00955A19" w:rsidRDefault="007D3DE6" w:rsidP="00D92B25">
      <w:pPr>
        <w:rPr>
          <w:noProof/>
          <w:lang w:val="sk-SK"/>
        </w:rPr>
      </w:pPr>
      <w:r w:rsidRPr="00955A19">
        <w:rPr>
          <w:noProof/>
          <w:lang w:val="sk-SK"/>
        </w:rPr>
        <w:t>Zostatok vankúša na začiatku roka bol 92 miliónov EUR; počas roka prijal toky vo výške 473 miliónov EUR, pričom</w:t>
      </w:r>
      <w:r w:rsidR="00955A19">
        <w:rPr>
          <w:noProof/>
          <w:lang w:val="sk-SK"/>
        </w:rPr>
        <w:t xml:space="preserve"> v </w:t>
      </w:r>
      <w:r w:rsidRPr="00955A19">
        <w:rPr>
          <w:noProof/>
          <w:lang w:val="sk-SK"/>
        </w:rPr>
        <w:t>roku 2022 sa vyplatila čistá suma 222 miliónov EUR</w:t>
      </w:r>
      <w:r w:rsidRPr="00955A19">
        <w:rPr>
          <w:rStyle w:val="FootnoteReference"/>
          <w:noProof/>
          <w:lang w:val="sk-SK"/>
        </w:rPr>
        <w:footnoteReference w:id="16"/>
      </w:r>
      <w:r w:rsidRPr="00955A19">
        <w:rPr>
          <w:noProof/>
          <w:lang w:val="sk-SK"/>
        </w:rPr>
        <w:t>. Zostatok vankúša likvidity na konci roku 2022 bol 342 miliónov EUR.</w:t>
      </w:r>
    </w:p>
    <w:p w14:paraId="0ADF447B" w14:textId="712DAA98" w:rsidR="00D92B25" w:rsidRPr="00955A19" w:rsidRDefault="00D92B25" w:rsidP="00D92B25">
      <w:pPr>
        <w:rPr>
          <w:noProof/>
          <w:lang w:val="sk-SK"/>
        </w:rPr>
      </w:pPr>
      <w:r w:rsidRPr="00955A19">
        <w:rPr>
          <w:noProof/>
          <w:lang w:val="sk-SK"/>
        </w:rPr>
        <w:t>Výzvy na uplatnenie rezerv SRF</w:t>
      </w:r>
      <w:r w:rsidR="00955A19">
        <w:rPr>
          <w:noProof/>
          <w:lang w:val="sk-SK"/>
        </w:rPr>
        <w:t xml:space="preserve"> v </w:t>
      </w:r>
      <w:r w:rsidRPr="00955A19">
        <w:rPr>
          <w:noProof/>
          <w:lang w:val="sk-SK"/>
        </w:rPr>
        <w:t>rámci príslušných rozpočtových záruk</w:t>
      </w:r>
      <w:r w:rsidR="00955A19">
        <w:rPr>
          <w:noProof/>
          <w:lang w:val="sk-SK"/>
        </w:rPr>
        <w:t xml:space="preserve"> v </w:t>
      </w:r>
      <w:r w:rsidRPr="00955A19">
        <w:rPr>
          <w:noProof/>
          <w:lang w:val="sk-SK"/>
        </w:rPr>
        <w:t>roku 2022</w:t>
      </w:r>
      <w:r w:rsidRPr="00955A19">
        <w:rPr>
          <w:rStyle w:val="FootnoteReference"/>
          <w:noProof/>
          <w:lang w:val="sk-SK"/>
        </w:rPr>
        <w:footnoteReference w:id="17"/>
      </w:r>
      <w:r w:rsidRPr="00955A19">
        <w:rPr>
          <w:noProof/>
          <w:lang w:val="sk-SK"/>
        </w:rPr>
        <w:t>, ako aj iných požiadaviek na zdroje držané zložkami SRF možno zhrnúť takto</w:t>
      </w:r>
      <w:r w:rsidRPr="00955A19">
        <w:rPr>
          <w:rStyle w:val="FootnoteReference"/>
          <w:noProof/>
          <w:lang w:val="sk-SK"/>
        </w:rPr>
        <w:footnoteReference w:id="18"/>
      </w:r>
      <w:r w:rsidRPr="00955A19">
        <w:rPr>
          <w:noProof/>
          <w:lang w:val="sk-SK"/>
        </w:rPr>
        <w:t>:</w:t>
      </w:r>
    </w:p>
    <w:p w14:paraId="29BE4C44" w14:textId="69AD6BE7" w:rsidR="00CA5A25" w:rsidRPr="00955A19" w:rsidRDefault="00D92B25" w:rsidP="000120C0">
      <w:pPr>
        <w:pStyle w:val="ListParagraph"/>
        <w:numPr>
          <w:ilvl w:val="0"/>
          <w:numId w:val="26"/>
        </w:numPr>
        <w:rPr>
          <w:rFonts w:ascii="Times New Roman" w:hAnsi="Times New Roman"/>
          <w:noProof/>
          <w:lang w:val="sk-SK"/>
        </w:rPr>
      </w:pPr>
      <w:r w:rsidRPr="00955A19">
        <w:rPr>
          <w:rFonts w:ascii="Times New Roman" w:hAnsi="Times New Roman"/>
          <w:noProof/>
          <w:lang w:val="sk-SK"/>
        </w:rPr>
        <w:t>zložka EFSD: vykonali sa platby vyplývajúce</w:t>
      </w:r>
      <w:r w:rsidR="00955A19">
        <w:rPr>
          <w:rFonts w:ascii="Times New Roman" w:hAnsi="Times New Roman"/>
          <w:noProof/>
          <w:lang w:val="sk-SK"/>
        </w:rPr>
        <w:t xml:space="preserve"> z </w:t>
      </w:r>
      <w:r w:rsidRPr="00955A19">
        <w:rPr>
          <w:rFonts w:ascii="Times New Roman" w:hAnsi="Times New Roman"/>
          <w:noProof/>
          <w:lang w:val="sk-SK"/>
        </w:rPr>
        <w:t>výzvy vo výške 0,4 milióna EUR,</w:t>
      </w:r>
    </w:p>
    <w:p w14:paraId="3169F7FD" w14:textId="6219AA05" w:rsidR="00D92B25" w:rsidRPr="00955A19" w:rsidRDefault="00D92B25" w:rsidP="00AE7876">
      <w:pPr>
        <w:pStyle w:val="ListParagraph"/>
        <w:numPr>
          <w:ilvl w:val="0"/>
          <w:numId w:val="26"/>
        </w:numPr>
        <w:rPr>
          <w:noProof/>
          <w:lang w:val="sk-SK"/>
        </w:rPr>
      </w:pPr>
      <w:r w:rsidRPr="00955A19">
        <w:rPr>
          <w:rFonts w:ascii="Times New Roman" w:hAnsi="Times New Roman"/>
          <w:noProof/>
          <w:lang w:val="sk-SK"/>
        </w:rPr>
        <w:t>zložka GFEA:</w:t>
      </w:r>
      <w:r w:rsidR="00955A19">
        <w:rPr>
          <w:rFonts w:ascii="Times New Roman" w:hAnsi="Times New Roman"/>
          <w:noProof/>
          <w:lang w:val="sk-SK"/>
        </w:rPr>
        <w:t xml:space="preserve"> v </w:t>
      </w:r>
      <w:r w:rsidRPr="00955A19">
        <w:rPr>
          <w:rFonts w:ascii="Times New Roman" w:hAnsi="Times New Roman"/>
          <w:noProof/>
          <w:lang w:val="sk-SK"/>
        </w:rPr>
        <w:t>rámci záruky mandátu na poskytovanie vonkajších úverov (ELM) sa vykonali platby vyplývajúce</w:t>
      </w:r>
      <w:r w:rsidR="00955A19">
        <w:rPr>
          <w:rFonts w:ascii="Times New Roman" w:hAnsi="Times New Roman"/>
          <w:noProof/>
          <w:lang w:val="sk-SK"/>
        </w:rPr>
        <w:t xml:space="preserve"> z </w:t>
      </w:r>
      <w:r w:rsidRPr="00955A19">
        <w:rPr>
          <w:rFonts w:ascii="Times New Roman" w:hAnsi="Times New Roman"/>
          <w:noProof/>
          <w:lang w:val="sk-SK"/>
        </w:rPr>
        <w:t>výziev vo výške 194,3 milióna EUR. Okrem toho vznikli menšie operačné náklady vo výške</w:t>
      </w:r>
      <w:r w:rsidR="00955A19">
        <w:rPr>
          <w:rFonts w:ascii="Times New Roman" w:hAnsi="Times New Roman"/>
          <w:noProof/>
          <w:lang w:val="sk-SK"/>
        </w:rPr>
        <w:t xml:space="preserve"> o </w:t>
      </w:r>
      <w:r w:rsidRPr="00955A19">
        <w:rPr>
          <w:rFonts w:ascii="Times New Roman" w:hAnsi="Times New Roman"/>
          <w:noProof/>
          <w:lang w:val="sk-SK"/>
        </w:rPr>
        <w:t>niečo nižšej než 0,3 milióna EUR,</w:t>
      </w:r>
    </w:p>
    <w:p w14:paraId="495B61E7" w14:textId="40AB4625" w:rsidR="00D92B25" w:rsidRPr="00955A19" w:rsidRDefault="00D92B25" w:rsidP="000E7F13">
      <w:pPr>
        <w:pStyle w:val="ListParagraph"/>
        <w:numPr>
          <w:ilvl w:val="0"/>
          <w:numId w:val="24"/>
        </w:numPr>
        <w:jc w:val="both"/>
        <w:rPr>
          <w:noProof/>
          <w:lang w:val="sk-SK"/>
        </w:rPr>
      </w:pPr>
      <w:r w:rsidRPr="00955A19">
        <w:rPr>
          <w:rFonts w:ascii="Times New Roman" w:hAnsi="Times New Roman"/>
          <w:noProof/>
          <w:lang w:val="sk-SK"/>
        </w:rPr>
        <w:t>zložka InvestEU</w:t>
      </w:r>
      <w:r w:rsidR="00955A19">
        <w:rPr>
          <w:rFonts w:ascii="Times New Roman" w:hAnsi="Times New Roman"/>
          <w:noProof/>
          <w:lang w:val="sk-SK"/>
        </w:rPr>
        <w:t xml:space="preserve"> v </w:t>
      </w:r>
      <w:r w:rsidRPr="00955A19">
        <w:rPr>
          <w:rFonts w:ascii="Times New Roman" w:hAnsi="Times New Roman"/>
          <w:noProof/>
          <w:lang w:val="sk-SK"/>
        </w:rPr>
        <w:t>zodpovednosti EÚ: boli zaznamenané toky</w:t>
      </w:r>
      <w:r w:rsidR="00955A19">
        <w:rPr>
          <w:rFonts w:ascii="Times New Roman" w:hAnsi="Times New Roman"/>
          <w:noProof/>
          <w:lang w:val="sk-SK"/>
        </w:rPr>
        <w:t xml:space="preserve"> z </w:t>
      </w:r>
      <w:r w:rsidRPr="00955A19">
        <w:rPr>
          <w:rFonts w:ascii="Times New Roman" w:hAnsi="Times New Roman"/>
          <w:noProof/>
          <w:lang w:val="sk-SK"/>
        </w:rPr>
        <w:t>fondu vo výške 0,17 milióna EUR na náklady</w:t>
      </w:r>
      <w:r w:rsidR="00955A19">
        <w:rPr>
          <w:rFonts w:ascii="Times New Roman" w:hAnsi="Times New Roman"/>
          <w:noProof/>
          <w:lang w:val="sk-SK"/>
        </w:rPr>
        <w:t xml:space="preserve"> a </w:t>
      </w:r>
      <w:r w:rsidRPr="00955A19">
        <w:rPr>
          <w:rFonts w:ascii="Times New Roman" w:hAnsi="Times New Roman"/>
          <w:noProof/>
          <w:lang w:val="sk-SK"/>
        </w:rPr>
        <w:t>vo výške 0,07 milióna EUR na straty vyplývajúce</w:t>
      </w:r>
      <w:r w:rsidR="00955A19">
        <w:rPr>
          <w:rFonts w:ascii="Times New Roman" w:hAnsi="Times New Roman"/>
          <w:noProof/>
          <w:lang w:val="sk-SK"/>
        </w:rPr>
        <w:t xml:space="preserve"> z </w:t>
      </w:r>
      <w:r w:rsidRPr="00955A19">
        <w:rPr>
          <w:rFonts w:ascii="Times New Roman" w:hAnsi="Times New Roman"/>
          <w:noProof/>
          <w:lang w:val="sk-SK"/>
        </w:rPr>
        <w:t>reštrukturalizácie,</w:t>
      </w:r>
    </w:p>
    <w:p w14:paraId="51C7AF36" w14:textId="6C415CC5" w:rsidR="00FB7305" w:rsidRPr="00955A19" w:rsidRDefault="00575949" w:rsidP="000E7F13">
      <w:pPr>
        <w:pStyle w:val="ListParagraph"/>
        <w:numPr>
          <w:ilvl w:val="0"/>
          <w:numId w:val="24"/>
        </w:numPr>
        <w:jc w:val="both"/>
        <w:rPr>
          <w:noProof/>
          <w:lang w:val="sk-SK"/>
        </w:rPr>
      </w:pPr>
      <w:r w:rsidRPr="00955A19">
        <w:rPr>
          <w:rFonts w:ascii="Times New Roman" w:hAnsi="Times New Roman"/>
          <w:noProof/>
          <w:lang w:val="sk-SK"/>
        </w:rPr>
        <w:t>zložka EFSI: čisté využitie záruky EFSI predstavovalo 27,0 milióna EUR vrátane čistých úprav výziev</w:t>
      </w:r>
      <w:r w:rsidR="00955A19">
        <w:rPr>
          <w:rFonts w:ascii="Times New Roman" w:hAnsi="Times New Roman"/>
          <w:noProof/>
          <w:lang w:val="sk-SK"/>
        </w:rPr>
        <w:t xml:space="preserve"> a </w:t>
      </w:r>
      <w:r w:rsidRPr="00955A19">
        <w:rPr>
          <w:rFonts w:ascii="Times New Roman" w:hAnsi="Times New Roman"/>
          <w:noProof/>
          <w:lang w:val="sk-SK"/>
        </w:rPr>
        <w:t>hodnoty kapitálových portfólií vo výške 17,5 milióna EUR, výziev na riadenie likvidity</w:t>
      </w:r>
      <w:r w:rsidR="00955A19">
        <w:rPr>
          <w:rFonts w:ascii="Times New Roman" w:hAnsi="Times New Roman"/>
          <w:noProof/>
          <w:lang w:val="sk-SK"/>
        </w:rPr>
        <w:t xml:space="preserve"> v </w:t>
      </w:r>
      <w:r w:rsidRPr="00955A19">
        <w:rPr>
          <w:rFonts w:ascii="Times New Roman" w:hAnsi="Times New Roman"/>
          <w:noProof/>
          <w:lang w:val="sk-SK"/>
        </w:rPr>
        <w:t>rámci segmentu MSP</w:t>
      </w:r>
      <w:r w:rsidRPr="00955A19">
        <w:rPr>
          <w:rStyle w:val="FootnoteReference"/>
          <w:rFonts w:ascii="Times New Roman" w:hAnsi="Times New Roman"/>
          <w:noProof/>
          <w:lang w:val="sk-SK"/>
        </w:rPr>
        <w:footnoteReference w:id="19"/>
      </w:r>
      <w:r w:rsidR="00955A19">
        <w:rPr>
          <w:rFonts w:ascii="Times New Roman" w:hAnsi="Times New Roman"/>
          <w:noProof/>
          <w:lang w:val="sk-SK"/>
        </w:rPr>
        <w:t xml:space="preserve"> v </w:t>
      </w:r>
      <w:r w:rsidRPr="00955A19">
        <w:rPr>
          <w:rFonts w:ascii="Times New Roman" w:hAnsi="Times New Roman"/>
          <w:noProof/>
          <w:lang w:val="sk-SK"/>
        </w:rPr>
        <w:t>súvislosti so záručnými produktmi vo výške 6,2 milióna EUR</w:t>
      </w:r>
      <w:r w:rsidR="00955A19">
        <w:rPr>
          <w:rFonts w:ascii="Times New Roman" w:hAnsi="Times New Roman"/>
          <w:noProof/>
          <w:lang w:val="sk-SK"/>
        </w:rPr>
        <w:t xml:space="preserve"> a </w:t>
      </w:r>
      <w:r w:rsidRPr="00955A19">
        <w:rPr>
          <w:rFonts w:ascii="Times New Roman" w:hAnsi="Times New Roman"/>
          <w:noProof/>
          <w:lang w:val="sk-SK"/>
        </w:rPr>
        <w:t>výdavkov (náklady na financovanie</w:t>
      </w:r>
      <w:r w:rsidR="00955A19">
        <w:rPr>
          <w:rFonts w:ascii="Times New Roman" w:hAnsi="Times New Roman"/>
          <w:noProof/>
          <w:lang w:val="sk-SK"/>
        </w:rPr>
        <w:t xml:space="preserve"> a </w:t>
      </w:r>
      <w:r w:rsidRPr="00955A19">
        <w:rPr>
          <w:rFonts w:ascii="Times New Roman" w:hAnsi="Times New Roman"/>
          <w:noProof/>
          <w:lang w:val="sk-SK"/>
        </w:rPr>
        <w:t>obnovu) vo výške 3,3 milióna EUR.</w:t>
      </w:r>
    </w:p>
    <w:p w14:paraId="749991B7" w14:textId="77777777" w:rsidR="00ED39D8" w:rsidRPr="00955A19" w:rsidRDefault="00ED39D8" w:rsidP="008C557C">
      <w:pPr>
        <w:pStyle w:val="Heading2"/>
        <w:rPr>
          <w:noProof/>
          <w:lang w:val="sk-SK"/>
        </w:rPr>
      </w:pPr>
      <w:bookmarkStart w:id="17" w:name="_Toc97276838"/>
      <w:bookmarkStart w:id="18" w:name="_Toc136296250"/>
      <w:r w:rsidRPr="00955A19">
        <w:rPr>
          <w:noProof/>
          <w:lang w:val="sk-SK"/>
        </w:rPr>
        <w:t>Efektívna miera tvorby rezerv</w:t>
      </w:r>
      <w:bookmarkEnd w:id="17"/>
      <w:bookmarkEnd w:id="18"/>
    </w:p>
    <w:p w14:paraId="42781749" w14:textId="56FA0E50" w:rsidR="005861D2" w:rsidRPr="00955A19" w:rsidRDefault="00D92B25" w:rsidP="00BD6B71">
      <w:pPr>
        <w:rPr>
          <w:noProof/>
          <w:lang w:val="sk-SK"/>
        </w:rPr>
      </w:pPr>
      <w:r w:rsidRPr="00955A19">
        <w:rPr>
          <w:noProof/>
          <w:lang w:val="sk-SK"/>
        </w:rPr>
        <w:t>Koncepcia efektívnej miery tvorby rezerv bola opísaná</w:t>
      </w:r>
      <w:r w:rsidR="00955A19">
        <w:rPr>
          <w:noProof/>
          <w:lang w:val="sk-SK"/>
        </w:rPr>
        <w:t xml:space="preserve"> v </w:t>
      </w:r>
      <w:r w:rsidRPr="00955A19">
        <w:rPr>
          <w:noProof/>
          <w:lang w:val="sk-SK"/>
        </w:rPr>
        <w:t>prvej výročnej správe</w:t>
      </w:r>
      <w:r w:rsidR="00955A19">
        <w:rPr>
          <w:noProof/>
          <w:lang w:val="sk-SK"/>
        </w:rPr>
        <w:t xml:space="preserve"> o </w:t>
      </w:r>
      <w:r w:rsidRPr="00955A19">
        <w:rPr>
          <w:noProof/>
          <w:lang w:val="sk-SK"/>
        </w:rPr>
        <w:t>SRF za rok 2021</w:t>
      </w:r>
      <w:r w:rsidRPr="00955A19">
        <w:rPr>
          <w:rStyle w:val="FootnoteReference"/>
          <w:noProof/>
          <w:lang w:val="sk-SK"/>
        </w:rPr>
        <w:footnoteReference w:id="20"/>
      </w:r>
      <w:r w:rsidRPr="00955A19">
        <w:rPr>
          <w:noProof/>
          <w:lang w:val="sk-SK"/>
        </w:rPr>
        <w:t>.</w:t>
      </w:r>
    </w:p>
    <w:p w14:paraId="14222476" w14:textId="2AB1C953" w:rsidR="0079481E" w:rsidRPr="00955A19" w:rsidRDefault="00B623BA" w:rsidP="00523964">
      <w:pPr>
        <w:rPr>
          <w:noProof/>
          <w:lang w:val="sk-SK"/>
        </w:rPr>
      </w:pPr>
      <w:r w:rsidRPr="00955A19">
        <w:rPr>
          <w:noProof/>
          <w:lang w:val="sk-SK"/>
        </w:rPr>
        <w:t>Na základe výpočtov založených na zavedenej metodike</w:t>
      </w:r>
      <w:r w:rsidRPr="00955A19">
        <w:rPr>
          <w:rStyle w:val="FootnoteReference"/>
          <w:noProof/>
          <w:lang w:val="sk-SK"/>
        </w:rPr>
        <w:footnoteReference w:id="21"/>
      </w:r>
      <w:r w:rsidRPr="00955A19">
        <w:rPr>
          <w:noProof/>
          <w:lang w:val="sk-SK"/>
        </w:rPr>
        <w:t xml:space="preserve"> Komisia navrhla, aby efektívna tvorba miery rezerv</w:t>
      </w:r>
      <w:r w:rsidR="00955A19">
        <w:rPr>
          <w:noProof/>
          <w:lang w:val="sk-SK"/>
        </w:rPr>
        <w:t xml:space="preserve"> v </w:t>
      </w:r>
      <w:r w:rsidRPr="00955A19">
        <w:rPr>
          <w:noProof/>
          <w:lang w:val="sk-SK"/>
        </w:rPr>
        <w:t>roku 2022 zostala na úrovni 100</w:t>
      </w:r>
      <w:r w:rsidR="00955A19">
        <w:rPr>
          <w:noProof/>
          <w:lang w:val="sk-SK"/>
        </w:rPr>
        <w:t> %</w:t>
      </w:r>
      <w:r w:rsidRPr="00955A19">
        <w:rPr>
          <w:noProof/>
          <w:lang w:val="sk-SK"/>
        </w:rPr>
        <w:t>.</w:t>
      </w:r>
      <w:r w:rsidR="00955A19">
        <w:rPr>
          <w:noProof/>
          <w:lang w:val="sk-SK"/>
        </w:rPr>
        <w:t xml:space="preserve"> V </w:t>
      </w:r>
      <w:r w:rsidRPr="00955A19">
        <w:rPr>
          <w:noProof/>
          <w:lang w:val="sk-SK"/>
        </w:rPr>
        <w:t>súlade</w:t>
      </w:r>
      <w:r w:rsidR="00955A19">
        <w:rPr>
          <w:noProof/>
          <w:lang w:val="sk-SK"/>
        </w:rPr>
        <w:t xml:space="preserve"> s </w:t>
      </w:r>
      <w:r w:rsidRPr="00955A19">
        <w:rPr>
          <w:noProof/>
          <w:lang w:val="sk-SK"/>
        </w:rPr>
        <w:t>tým Komisia</w:t>
      </w:r>
      <w:r w:rsidR="00955A19">
        <w:rPr>
          <w:noProof/>
          <w:lang w:val="sk-SK"/>
        </w:rPr>
        <w:t xml:space="preserve"> v </w:t>
      </w:r>
      <w:r w:rsidRPr="00955A19">
        <w:rPr>
          <w:noProof/>
          <w:lang w:val="sk-SK"/>
        </w:rPr>
        <w:t>návrhu rozpočtu na rok 2023 navrhla rozpočtovému orgánu, aby sa nevracal žiadny prebytok rezerv. Tento prístup bol potvrdený</w:t>
      </w:r>
      <w:r w:rsidR="00955A19">
        <w:rPr>
          <w:noProof/>
          <w:lang w:val="sk-SK"/>
        </w:rPr>
        <w:t xml:space="preserve"> v </w:t>
      </w:r>
      <w:r w:rsidRPr="00955A19">
        <w:rPr>
          <w:noProof/>
          <w:lang w:val="sk-SK"/>
        </w:rPr>
        <w:t>prijatom rozpočte na rok 2023.</w:t>
      </w:r>
    </w:p>
    <w:p w14:paraId="2D758ACC" w14:textId="77777777" w:rsidR="0079481E" w:rsidRPr="00955A19" w:rsidRDefault="0079481E">
      <w:pPr>
        <w:spacing w:after="0" w:line="240" w:lineRule="auto"/>
        <w:jc w:val="left"/>
        <w:rPr>
          <w:noProof/>
          <w:lang w:val="sk-SK"/>
        </w:rPr>
      </w:pPr>
      <w:r w:rsidRPr="00955A19">
        <w:rPr>
          <w:noProof/>
          <w:lang w:val="sk-SK"/>
        </w:rPr>
        <w:br w:type="page"/>
      </w:r>
    </w:p>
    <w:p w14:paraId="5A8FD76B" w14:textId="77777777" w:rsidR="00FE162C" w:rsidRPr="00955A19" w:rsidRDefault="00ED39D8" w:rsidP="00FE162C">
      <w:pPr>
        <w:pStyle w:val="Heading1"/>
        <w:rPr>
          <w:noProof/>
          <w:lang w:val="sk-SK"/>
        </w:rPr>
      </w:pPr>
      <w:bookmarkStart w:id="19" w:name="_Toc136296251"/>
      <w:r w:rsidRPr="00955A19">
        <w:rPr>
          <w:noProof/>
          <w:lang w:val="sk-SK"/>
        </w:rPr>
        <w:t>ODDIEL II</w:t>
      </w:r>
      <w:bookmarkEnd w:id="19"/>
    </w:p>
    <w:p w14:paraId="5B48140A" w14:textId="77777777" w:rsidR="00ED39D8" w:rsidRPr="00955A19" w:rsidRDefault="009952F7" w:rsidP="008C557C">
      <w:pPr>
        <w:pStyle w:val="Heading2"/>
        <w:rPr>
          <w:noProof/>
          <w:lang w:val="sk-SK"/>
        </w:rPr>
      </w:pPr>
      <w:bookmarkStart w:id="20" w:name="_Toc136296252"/>
      <w:r w:rsidRPr="00955A19">
        <w:rPr>
          <w:noProof/>
          <w:lang w:val="sk-SK"/>
        </w:rPr>
        <w:t>Investičná stratégia</w:t>
      </w:r>
      <w:bookmarkEnd w:id="20"/>
    </w:p>
    <w:p w14:paraId="77359A3F" w14:textId="5974F1A8" w:rsidR="00EE4EFA" w:rsidRPr="00955A19" w:rsidRDefault="00BD6B71" w:rsidP="00BD6B71">
      <w:pPr>
        <w:rPr>
          <w:noProof/>
          <w:lang w:val="sk-SK"/>
        </w:rPr>
      </w:pPr>
      <w:r w:rsidRPr="00955A19">
        <w:rPr>
          <w:noProof/>
          <w:lang w:val="sk-SK"/>
        </w:rPr>
        <w:t>Všeobecné predpoklady, na ktorých sa zakladá investičná stratégia SRF, boli opísané</w:t>
      </w:r>
      <w:r w:rsidR="00955A19">
        <w:rPr>
          <w:noProof/>
          <w:lang w:val="sk-SK"/>
        </w:rPr>
        <w:t xml:space="preserve"> v </w:t>
      </w:r>
      <w:r w:rsidRPr="00955A19">
        <w:rPr>
          <w:noProof/>
          <w:lang w:val="sk-SK"/>
        </w:rPr>
        <w:t>prvej výročnej správe</w:t>
      </w:r>
      <w:r w:rsidR="00955A19">
        <w:rPr>
          <w:noProof/>
          <w:lang w:val="sk-SK"/>
        </w:rPr>
        <w:t xml:space="preserve"> o </w:t>
      </w:r>
      <w:r w:rsidRPr="00955A19">
        <w:rPr>
          <w:noProof/>
          <w:lang w:val="sk-SK"/>
        </w:rPr>
        <w:t>SRF za rok 2021</w:t>
      </w:r>
      <w:r w:rsidRPr="00955A19">
        <w:rPr>
          <w:rStyle w:val="FootnoteReference"/>
          <w:noProof/>
          <w:lang w:val="sk-SK"/>
        </w:rPr>
        <w:footnoteReference w:id="22"/>
      </w:r>
      <w:r w:rsidRPr="00955A19">
        <w:rPr>
          <w:noProof/>
          <w:lang w:val="sk-SK"/>
        </w:rPr>
        <w:t>.</w:t>
      </w:r>
    </w:p>
    <w:p w14:paraId="5E6B6230" w14:textId="266FC64E" w:rsidR="00CC7325" w:rsidRPr="00955A19" w:rsidRDefault="00BD6B71" w:rsidP="005A3E50">
      <w:pPr>
        <w:rPr>
          <w:noProof/>
          <w:lang w:val="sk-SK"/>
        </w:rPr>
      </w:pPr>
      <w:r w:rsidRPr="00955A19">
        <w:rPr>
          <w:noProof/>
          <w:lang w:val="sk-SK"/>
        </w:rPr>
        <w:t>Podstatná časť SRF bola dosiaľ obmedzená na investície do cenných papierov (dlhopisov)</w:t>
      </w:r>
      <w:r w:rsidR="00955A19">
        <w:rPr>
          <w:noProof/>
          <w:lang w:val="sk-SK"/>
        </w:rPr>
        <w:t xml:space="preserve"> s </w:t>
      </w:r>
      <w:r w:rsidRPr="00955A19">
        <w:rPr>
          <w:noProof/>
          <w:lang w:val="sk-SK"/>
        </w:rPr>
        <w:t>investičným stupňom</w:t>
      </w:r>
      <w:r w:rsidR="00955A19">
        <w:rPr>
          <w:noProof/>
          <w:lang w:val="sk-SK"/>
        </w:rPr>
        <w:t xml:space="preserve"> a </w:t>
      </w:r>
      <w:r w:rsidRPr="00955A19">
        <w:rPr>
          <w:noProof/>
          <w:lang w:val="sk-SK"/>
        </w:rPr>
        <w:t>pevným výnosom denominovaných</w:t>
      </w:r>
      <w:r w:rsidR="00955A19">
        <w:rPr>
          <w:noProof/>
          <w:lang w:val="sk-SK"/>
        </w:rPr>
        <w:t xml:space="preserve"> v </w:t>
      </w:r>
      <w:r w:rsidRPr="00955A19">
        <w:rPr>
          <w:noProof/>
          <w:lang w:val="sk-SK"/>
        </w:rPr>
        <w:t>EUR</w:t>
      </w:r>
      <w:r w:rsidR="00955A19">
        <w:rPr>
          <w:noProof/>
          <w:lang w:val="sk-SK"/>
        </w:rPr>
        <w:t xml:space="preserve"> a </w:t>
      </w:r>
      <w:r w:rsidRPr="00955A19">
        <w:rPr>
          <w:noProof/>
          <w:lang w:val="sk-SK"/>
        </w:rPr>
        <w:t>USD.</w:t>
      </w:r>
    </w:p>
    <w:p w14:paraId="1A57CA82" w14:textId="7F820088" w:rsidR="00ED39D8" w:rsidRPr="00955A19" w:rsidRDefault="00ED39D8" w:rsidP="008C557C">
      <w:pPr>
        <w:pStyle w:val="Heading2"/>
        <w:rPr>
          <w:noProof/>
          <w:lang w:val="sk-SK"/>
        </w:rPr>
      </w:pPr>
      <w:bookmarkStart w:id="21" w:name="_Toc97276841"/>
      <w:bookmarkStart w:id="22" w:name="_Toc136296253"/>
      <w:r w:rsidRPr="00955A19">
        <w:rPr>
          <w:noProof/>
          <w:lang w:val="sk-SK"/>
        </w:rPr>
        <w:t>Zloženie</w:t>
      </w:r>
      <w:r w:rsidR="00955A19">
        <w:rPr>
          <w:noProof/>
          <w:lang w:val="sk-SK"/>
        </w:rPr>
        <w:t xml:space="preserve"> a </w:t>
      </w:r>
      <w:r w:rsidRPr="00955A19">
        <w:rPr>
          <w:noProof/>
          <w:lang w:val="sk-SK"/>
        </w:rPr>
        <w:t>kľúčové charakteristiky portfólia</w:t>
      </w:r>
      <w:bookmarkEnd w:id="21"/>
      <w:bookmarkEnd w:id="22"/>
    </w:p>
    <w:p w14:paraId="35E3ADA1" w14:textId="39FCB05D" w:rsidR="00CA5A25" w:rsidRPr="00955A19" w:rsidRDefault="000747D0" w:rsidP="000747D0">
      <w:pPr>
        <w:rPr>
          <w:noProof/>
          <w:lang w:val="sk-SK"/>
        </w:rPr>
      </w:pPr>
      <w:r w:rsidRPr="00955A19">
        <w:rPr>
          <w:noProof/>
          <w:lang w:val="sk-SK"/>
        </w:rPr>
        <w:t>Portfólio SRF na konci roka je dobre diverzifikované</w:t>
      </w:r>
      <w:r w:rsidR="00955A19">
        <w:rPr>
          <w:noProof/>
          <w:lang w:val="sk-SK"/>
        </w:rPr>
        <w:t xml:space="preserve"> v </w:t>
      </w:r>
      <w:r w:rsidRPr="00955A19">
        <w:rPr>
          <w:noProof/>
          <w:lang w:val="sk-SK"/>
        </w:rPr>
        <w:t>rôznych triedach aktív</w:t>
      </w:r>
      <w:r w:rsidR="00955A19">
        <w:rPr>
          <w:noProof/>
          <w:lang w:val="sk-SK"/>
        </w:rPr>
        <w:t xml:space="preserve"> v </w:t>
      </w:r>
      <w:r w:rsidRPr="00955A19">
        <w:rPr>
          <w:noProof/>
          <w:lang w:val="sk-SK"/>
        </w:rPr>
        <w:t>rámci oprávnených svetových trhov</w:t>
      </w:r>
      <w:r w:rsidR="00955A19">
        <w:rPr>
          <w:noProof/>
          <w:lang w:val="sk-SK"/>
        </w:rPr>
        <w:t xml:space="preserve"> s </w:t>
      </w:r>
      <w:r w:rsidRPr="00955A19">
        <w:rPr>
          <w:noProof/>
          <w:lang w:val="sk-SK"/>
        </w:rPr>
        <w:t>pevným výnosom vrátane určitej obmedzenej expozície voči cenným papierom, ktoré nie sú denominované</w:t>
      </w:r>
      <w:r w:rsidR="00955A19">
        <w:rPr>
          <w:noProof/>
          <w:lang w:val="sk-SK"/>
        </w:rPr>
        <w:t xml:space="preserve"> v </w:t>
      </w:r>
      <w:r w:rsidRPr="00955A19">
        <w:rPr>
          <w:noProof/>
          <w:lang w:val="sk-SK"/>
        </w:rPr>
        <w:t>EUR (USD),</w:t>
      </w:r>
      <w:r w:rsidR="00955A19">
        <w:rPr>
          <w:noProof/>
          <w:lang w:val="sk-SK"/>
        </w:rPr>
        <w:t xml:space="preserve"> a </w:t>
      </w:r>
      <w:r w:rsidRPr="00955A19">
        <w:rPr>
          <w:noProof/>
          <w:lang w:val="sk-SK"/>
        </w:rPr>
        <w:t>hotovosti alebo hotovostných ekvivalentov. Kurzové zisky alebo straty</w:t>
      </w:r>
      <w:r w:rsidR="00955A19">
        <w:rPr>
          <w:noProof/>
          <w:lang w:val="sk-SK"/>
        </w:rPr>
        <w:t xml:space="preserve"> z </w:t>
      </w:r>
      <w:r w:rsidRPr="00955A19">
        <w:rPr>
          <w:noProof/>
          <w:lang w:val="sk-SK"/>
        </w:rPr>
        <w:t>cenných papierov</w:t>
      </w:r>
      <w:r w:rsidR="00955A19">
        <w:rPr>
          <w:noProof/>
          <w:lang w:val="sk-SK"/>
        </w:rPr>
        <w:t xml:space="preserve"> a </w:t>
      </w:r>
      <w:r w:rsidRPr="00955A19">
        <w:rPr>
          <w:noProof/>
          <w:lang w:val="sk-SK"/>
        </w:rPr>
        <w:t>transakcií, ktoré nie sú denominované</w:t>
      </w:r>
      <w:r w:rsidR="00955A19">
        <w:rPr>
          <w:noProof/>
          <w:lang w:val="sk-SK"/>
        </w:rPr>
        <w:t xml:space="preserve"> v </w:t>
      </w:r>
      <w:r w:rsidRPr="00955A19">
        <w:rPr>
          <w:noProof/>
          <w:lang w:val="sk-SK"/>
        </w:rPr>
        <w:t>EUR, sú vo veľkej miere kompenzované opačnými zmenami devízových derivátov využívaných ako hedžing</w:t>
      </w:r>
      <w:r w:rsidR="00CA5A25" w:rsidRPr="00955A19">
        <w:rPr>
          <w:noProof/>
          <w:lang w:val="sk-SK"/>
        </w:rPr>
        <w:t>.</w:t>
      </w:r>
    </w:p>
    <w:p w14:paraId="6CFDBC3F" w14:textId="77777777" w:rsidR="00CA5A25" w:rsidRPr="00955A19" w:rsidRDefault="000747D0" w:rsidP="000747D0">
      <w:pPr>
        <w:rPr>
          <w:noProof/>
          <w:lang w:val="sk-SK"/>
        </w:rPr>
      </w:pPr>
      <w:r w:rsidRPr="00955A19">
        <w:rPr>
          <w:noProof/>
          <w:lang w:val="sk-SK"/>
        </w:rPr>
        <w:t>Úverová kvalita portfólia SRF je vysoká, pričom dosahuje priemerný rating A, čo naznačuje zanedbateľnú pravdepodobnosť zlyhania</w:t>
      </w:r>
      <w:r w:rsidRPr="00955A19">
        <w:rPr>
          <w:rStyle w:val="FootnoteReference"/>
          <w:noProof/>
          <w:lang w:val="sk-SK"/>
        </w:rPr>
        <w:footnoteReference w:id="23"/>
      </w:r>
      <w:r w:rsidR="00CA5A25" w:rsidRPr="00955A19">
        <w:rPr>
          <w:noProof/>
          <w:lang w:val="sk-SK"/>
        </w:rPr>
        <w:t>.</w:t>
      </w:r>
    </w:p>
    <w:p w14:paraId="711637B4" w14:textId="6F3D5A16" w:rsidR="00CA5A25" w:rsidRPr="00955A19" w:rsidRDefault="000747D0" w:rsidP="000747D0">
      <w:pPr>
        <w:rPr>
          <w:noProof/>
          <w:lang w:val="sk-SK"/>
        </w:rPr>
      </w:pPr>
      <w:r w:rsidRPr="00955A19">
        <w:rPr>
          <w:noProof/>
          <w:lang w:val="sk-SK"/>
        </w:rPr>
        <w:t>Viac ako 35,7</w:t>
      </w:r>
      <w:r w:rsidR="00955A19">
        <w:rPr>
          <w:noProof/>
          <w:lang w:val="sk-SK"/>
        </w:rPr>
        <w:t> %</w:t>
      </w:r>
      <w:r w:rsidRPr="00955A19">
        <w:rPr>
          <w:noProof/>
          <w:lang w:val="sk-SK"/>
        </w:rPr>
        <w:t xml:space="preserve"> trhovej hodnoty portfólia sa investuje do cenných papierov</w:t>
      </w:r>
      <w:r w:rsidR="00955A19">
        <w:rPr>
          <w:noProof/>
          <w:lang w:val="sk-SK"/>
        </w:rPr>
        <w:t xml:space="preserve"> s </w:t>
      </w:r>
      <w:r w:rsidRPr="00955A19">
        <w:rPr>
          <w:noProof/>
          <w:lang w:val="sk-SK"/>
        </w:rPr>
        <w:t>ratingom AAA</w:t>
      </w:r>
      <w:r w:rsidRPr="00955A19">
        <w:rPr>
          <w:rStyle w:val="FootnoteReference"/>
          <w:noProof/>
          <w:lang w:val="sk-SK"/>
        </w:rPr>
        <w:footnoteReference w:id="24"/>
      </w:r>
      <w:r w:rsidR="00955A19">
        <w:rPr>
          <w:noProof/>
          <w:lang w:val="sk-SK"/>
        </w:rPr>
        <w:t xml:space="preserve"> a </w:t>
      </w:r>
      <w:r w:rsidRPr="00955A19">
        <w:rPr>
          <w:noProof/>
          <w:lang w:val="sk-SK"/>
        </w:rPr>
        <w:t>zvyšok je rozdelený</w:t>
      </w:r>
      <w:r w:rsidR="00955A19">
        <w:rPr>
          <w:noProof/>
          <w:lang w:val="sk-SK"/>
        </w:rPr>
        <w:t xml:space="preserve"> v </w:t>
      </w:r>
      <w:r w:rsidRPr="00955A19">
        <w:rPr>
          <w:noProof/>
          <w:lang w:val="sk-SK"/>
        </w:rPr>
        <w:t>celom spektre stupnice investičného stupňa</w:t>
      </w:r>
      <w:r w:rsidR="00CA5A25" w:rsidRPr="00955A19">
        <w:rPr>
          <w:noProof/>
          <w:lang w:val="sk-SK"/>
        </w:rPr>
        <w:t>.</w:t>
      </w:r>
    </w:p>
    <w:p w14:paraId="54871C7A" w14:textId="20258CA6" w:rsidR="003606EE" w:rsidRPr="00955A19" w:rsidRDefault="000747D0" w:rsidP="000747D0">
      <w:pPr>
        <w:rPr>
          <w:noProof/>
          <w:lang w:val="sk-SK"/>
        </w:rPr>
      </w:pPr>
      <w:r w:rsidRPr="00955A19">
        <w:rPr>
          <w:noProof/>
          <w:lang w:val="sk-SK"/>
        </w:rPr>
        <w:t>K decembru 2022 dosahovali investície denominované</w:t>
      </w:r>
      <w:r w:rsidR="00955A19">
        <w:rPr>
          <w:noProof/>
          <w:lang w:val="sk-SK"/>
        </w:rPr>
        <w:t xml:space="preserve"> v </w:t>
      </w:r>
      <w:r w:rsidRPr="00955A19">
        <w:rPr>
          <w:noProof/>
          <w:lang w:val="sk-SK"/>
        </w:rPr>
        <w:t>USD 3,5</w:t>
      </w:r>
      <w:r w:rsidR="00955A19">
        <w:rPr>
          <w:noProof/>
          <w:lang w:val="sk-SK"/>
        </w:rPr>
        <w:t> %</w:t>
      </w:r>
      <w:r w:rsidRPr="00955A19">
        <w:rPr>
          <w:noProof/>
          <w:lang w:val="sk-SK"/>
        </w:rPr>
        <w:t xml:space="preserve"> trhovej hodnoty portfólia</w:t>
      </w:r>
      <w:r w:rsidRPr="00955A19">
        <w:rPr>
          <w:rStyle w:val="FootnoteReference"/>
          <w:noProof/>
          <w:lang w:val="sk-SK"/>
        </w:rPr>
        <w:footnoteReference w:id="25"/>
      </w:r>
      <w:r w:rsidRPr="00955A19">
        <w:rPr>
          <w:noProof/>
          <w:lang w:val="sk-SK"/>
        </w:rPr>
        <w:t>, pričom menové riziko bolo zabezpečené prostredníctvom forwardových zmlúv.</w:t>
      </w:r>
    </w:p>
    <w:p w14:paraId="0A750538" w14:textId="7599BBE7" w:rsidR="007B1C12" w:rsidRPr="00955A19" w:rsidRDefault="00483F99" w:rsidP="000747D0">
      <w:pPr>
        <w:rPr>
          <w:noProof/>
          <w:lang w:val="sk-SK"/>
        </w:rPr>
      </w:pPr>
      <w:r w:rsidRPr="00955A19">
        <w:rPr>
          <w:noProof/>
          <w:lang w:val="sk-SK"/>
        </w:rPr>
        <w:t>K decembru 2022 približne 18</w:t>
      </w:r>
      <w:r w:rsidR="00955A19">
        <w:rPr>
          <w:noProof/>
          <w:lang w:val="sk-SK"/>
        </w:rPr>
        <w:t> %</w:t>
      </w:r>
      <w:r w:rsidRPr="00955A19">
        <w:rPr>
          <w:noProof/>
          <w:lang w:val="sk-SK"/>
        </w:rPr>
        <w:t xml:space="preserve"> portfólia tvorili krátkodobé likvidné aktíva</w:t>
      </w:r>
      <w:r w:rsidRPr="00955A19">
        <w:rPr>
          <w:rStyle w:val="FootnoteReference"/>
          <w:noProof/>
          <w:lang w:val="sk-SK"/>
        </w:rPr>
        <w:footnoteReference w:id="26"/>
      </w:r>
      <w:r w:rsidRPr="00955A19">
        <w:rPr>
          <w:noProof/>
          <w:lang w:val="sk-SK"/>
        </w:rPr>
        <w:t>, ktoré poskytli vankúš pre riziká likvidity</w:t>
      </w:r>
      <w:r w:rsidRPr="00955A19">
        <w:rPr>
          <w:rStyle w:val="FootnoteReference"/>
          <w:noProof/>
          <w:lang w:val="sk-SK"/>
        </w:rPr>
        <w:footnoteReference w:id="27"/>
      </w:r>
      <w:r w:rsidRPr="00955A19">
        <w:rPr>
          <w:noProof/>
          <w:lang w:val="sk-SK"/>
        </w:rPr>
        <w:t>.</w:t>
      </w:r>
    </w:p>
    <w:p w14:paraId="184034C6" w14:textId="6895332B" w:rsidR="000747D0" w:rsidRPr="00955A19" w:rsidRDefault="007B1C12" w:rsidP="000747D0">
      <w:pPr>
        <w:rPr>
          <w:noProof/>
          <w:lang w:val="sk-SK"/>
        </w:rPr>
      </w:pPr>
      <w:r w:rsidRPr="00955A19">
        <w:rPr>
          <w:noProof/>
          <w:lang w:val="sk-SK"/>
        </w:rPr>
        <w:t>Viac informácií</w:t>
      </w:r>
      <w:r w:rsidR="00955A19">
        <w:rPr>
          <w:noProof/>
          <w:lang w:val="sk-SK"/>
        </w:rPr>
        <w:t xml:space="preserve"> o </w:t>
      </w:r>
      <w:r w:rsidRPr="00955A19">
        <w:rPr>
          <w:noProof/>
          <w:lang w:val="sk-SK"/>
        </w:rPr>
        <w:t>zložení</w:t>
      </w:r>
      <w:r w:rsidR="00955A19">
        <w:rPr>
          <w:noProof/>
          <w:lang w:val="sk-SK"/>
        </w:rPr>
        <w:t xml:space="preserve"> a </w:t>
      </w:r>
      <w:r w:rsidRPr="00955A19">
        <w:rPr>
          <w:noProof/>
          <w:lang w:val="sk-SK"/>
        </w:rPr>
        <w:t>charakteristikách portfólia je</w:t>
      </w:r>
      <w:r w:rsidR="00955A19">
        <w:rPr>
          <w:noProof/>
          <w:lang w:val="sk-SK"/>
        </w:rPr>
        <w:t xml:space="preserve"> k </w:t>
      </w:r>
      <w:r w:rsidRPr="00955A19">
        <w:rPr>
          <w:noProof/>
          <w:lang w:val="sk-SK"/>
        </w:rPr>
        <w:t>dispozícii</w:t>
      </w:r>
      <w:r w:rsidR="00955A19">
        <w:rPr>
          <w:noProof/>
          <w:lang w:val="sk-SK"/>
        </w:rPr>
        <w:t xml:space="preserve"> v </w:t>
      </w:r>
      <w:r w:rsidRPr="00955A19">
        <w:rPr>
          <w:noProof/>
          <w:lang w:val="sk-SK"/>
        </w:rPr>
        <w:t>pracovnom dokumente útvarov Komisie, ktorý je priložený</w:t>
      </w:r>
      <w:r w:rsidR="00955A19">
        <w:rPr>
          <w:noProof/>
          <w:lang w:val="sk-SK"/>
        </w:rPr>
        <w:t xml:space="preserve"> k </w:t>
      </w:r>
      <w:r w:rsidRPr="00955A19">
        <w:rPr>
          <w:noProof/>
          <w:lang w:val="sk-SK"/>
        </w:rPr>
        <w:t>tejto správe.</w:t>
      </w:r>
    </w:p>
    <w:p w14:paraId="5698F322" w14:textId="73C638CA" w:rsidR="00CA5A25" w:rsidRPr="00955A19" w:rsidRDefault="000747D0" w:rsidP="005D1D56">
      <w:pPr>
        <w:pStyle w:val="Heading2"/>
        <w:rPr>
          <w:noProof/>
          <w:lang w:val="sk-SK"/>
        </w:rPr>
      </w:pPr>
      <w:bookmarkStart w:id="23" w:name="_Toc136296254"/>
      <w:r w:rsidRPr="00955A19">
        <w:rPr>
          <w:noProof/>
          <w:lang w:val="sk-SK"/>
        </w:rPr>
        <w:t>Environmentálna</w:t>
      </w:r>
      <w:r w:rsidR="00955A19">
        <w:rPr>
          <w:noProof/>
          <w:lang w:val="sk-SK"/>
        </w:rPr>
        <w:t xml:space="preserve"> a </w:t>
      </w:r>
      <w:r w:rsidRPr="00955A19">
        <w:rPr>
          <w:noProof/>
          <w:lang w:val="sk-SK"/>
        </w:rPr>
        <w:t>sociálna stopa</w:t>
      </w:r>
      <w:r w:rsidR="00955A19">
        <w:rPr>
          <w:noProof/>
          <w:lang w:val="sk-SK"/>
        </w:rPr>
        <w:t xml:space="preserve"> a </w:t>
      </w:r>
      <w:r w:rsidRPr="00955A19">
        <w:rPr>
          <w:noProof/>
          <w:lang w:val="sk-SK"/>
        </w:rPr>
        <w:t>stopa</w:t>
      </w:r>
      <w:r w:rsidR="00955A19">
        <w:rPr>
          <w:noProof/>
          <w:lang w:val="sk-SK"/>
        </w:rPr>
        <w:t xml:space="preserve"> v </w:t>
      </w:r>
      <w:r w:rsidRPr="00955A19">
        <w:rPr>
          <w:noProof/>
          <w:lang w:val="sk-SK"/>
        </w:rPr>
        <w:t>oblasti správy</w:t>
      </w:r>
      <w:r w:rsidR="00955A19">
        <w:rPr>
          <w:noProof/>
          <w:lang w:val="sk-SK"/>
        </w:rPr>
        <w:t xml:space="preserve"> a </w:t>
      </w:r>
      <w:r w:rsidRPr="00955A19">
        <w:rPr>
          <w:noProof/>
          <w:lang w:val="sk-SK"/>
        </w:rPr>
        <w:t>riadenia (ESG)</w:t>
      </w:r>
      <w:bookmarkEnd w:id="23"/>
    </w:p>
    <w:p w14:paraId="01AF6FB7" w14:textId="4F6C3122" w:rsidR="000747D0" w:rsidRPr="00955A19" w:rsidRDefault="000747D0" w:rsidP="000747D0">
      <w:pPr>
        <w:rPr>
          <w:noProof/>
          <w:lang w:val="sk-SK"/>
        </w:rPr>
      </w:pPr>
      <w:r w:rsidRPr="00955A19">
        <w:rPr>
          <w:noProof/>
          <w:lang w:val="sk-SK"/>
        </w:rPr>
        <w:t>Stopa ESG</w:t>
      </w:r>
      <w:r w:rsidR="00955A19">
        <w:rPr>
          <w:noProof/>
          <w:lang w:val="sk-SK"/>
        </w:rPr>
        <w:t xml:space="preserve"> v </w:t>
      </w:r>
      <w:r w:rsidRPr="00955A19">
        <w:rPr>
          <w:noProof/>
          <w:lang w:val="sk-SK"/>
        </w:rPr>
        <w:t>portfóliu je naďalej výrazná, pričom podiel ESG dlhopisov bol na úrovni 14,0</w:t>
      </w:r>
      <w:r w:rsidR="00955A19">
        <w:rPr>
          <w:noProof/>
          <w:lang w:val="sk-SK"/>
        </w:rPr>
        <w:t> %</w:t>
      </w:r>
      <w:r w:rsidRPr="00955A19">
        <w:rPr>
          <w:rStyle w:val="FootnoteReference"/>
          <w:noProof/>
          <w:lang w:val="sk-SK"/>
        </w:rPr>
        <w:footnoteReference w:id="28"/>
      </w:r>
      <w:r w:rsidR="00955A19">
        <w:rPr>
          <w:noProof/>
          <w:lang w:val="sk-SK"/>
        </w:rPr>
        <w:t xml:space="preserve"> v </w:t>
      </w:r>
      <w:r w:rsidRPr="00955A19">
        <w:rPr>
          <w:noProof/>
          <w:lang w:val="sk-SK"/>
        </w:rPr>
        <w:t>porovnaní</w:t>
      </w:r>
      <w:r w:rsidR="00955A19">
        <w:rPr>
          <w:noProof/>
          <w:lang w:val="sk-SK"/>
        </w:rPr>
        <w:t xml:space="preserve"> s </w:t>
      </w:r>
      <w:r w:rsidRPr="00955A19">
        <w:rPr>
          <w:noProof/>
          <w:lang w:val="sk-SK"/>
        </w:rPr>
        <w:t>13,4</w:t>
      </w:r>
      <w:r w:rsidR="00955A19">
        <w:rPr>
          <w:noProof/>
          <w:lang w:val="sk-SK"/>
        </w:rPr>
        <w:t> % v </w:t>
      </w:r>
      <w:r w:rsidRPr="00955A19">
        <w:rPr>
          <w:noProof/>
          <w:lang w:val="sk-SK"/>
        </w:rPr>
        <w:t>roku 2021. Prostredníctvom aktívneho prístupu</w:t>
      </w:r>
      <w:r w:rsidR="00955A19">
        <w:rPr>
          <w:noProof/>
          <w:lang w:val="sk-SK"/>
        </w:rPr>
        <w:t xml:space="preserve"> k </w:t>
      </w:r>
      <w:r w:rsidRPr="00955A19">
        <w:rPr>
          <w:noProof/>
          <w:lang w:val="sk-SK"/>
        </w:rPr>
        <w:t>ESG sa uprednostňujú ESG dlhopisy za predpokladu, že sú zosúladené</w:t>
      </w:r>
      <w:r w:rsidR="00955A19">
        <w:rPr>
          <w:noProof/>
          <w:lang w:val="sk-SK"/>
        </w:rPr>
        <w:t xml:space="preserve"> s </w:t>
      </w:r>
      <w:r w:rsidRPr="00955A19">
        <w:rPr>
          <w:noProof/>
          <w:lang w:val="sk-SK"/>
        </w:rPr>
        <w:t>kritériami riadenia rizík</w:t>
      </w:r>
      <w:r w:rsidR="00955A19">
        <w:rPr>
          <w:noProof/>
          <w:lang w:val="sk-SK"/>
        </w:rPr>
        <w:t xml:space="preserve"> a </w:t>
      </w:r>
      <w:r w:rsidRPr="00955A19">
        <w:rPr>
          <w:noProof/>
          <w:lang w:val="sk-SK"/>
        </w:rPr>
        <w:t>celkovou investičnou stratégiou. Komisia naďalej posilňuje stopu ESG</w:t>
      </w:r>
      <w:r w:rsidR="00955A19">
        <w:rPr>
          <w:noProof/>
          <w:lang w:val="sk-SK"/>
        </w:rPr>
        <w:t xml:space="preserve"> v </w:t>
      </w:r>
      <w:r w:rsidRPr="00955A19">
        <w:rPr>
          <w:noProof/>
          <w:lang w:val="sk-SK"/>
        </w:rPr>
        <w:t>novej investičnej stratégii SRF, ako sa vysvetľuje</w:t>
      </w:r>
      <w:r w:rsidR="00955A19">
        <w:rPr>
          <w:noProof/>
          <w:lang w:val="sk-SK"/>
        </w:rPr>
        <w:t xml:space="preserve"> v </w:t>
      </w:r>
      <w:r w:rsidRPr="00955A19">
        <w:rPr>
          <w:noProof/>
          <w:lang w:val="sk-SK"/>
        </w:rPr>
        <w:t>oddiele III.</w:t>
      </w:r>
    </w:p>
    <w:p w14:paraId="425D6911" w14:textId="48B408FF" w:rsidR="005A3E50" w:rsidRPr="00955A19" w:rsidRDefault="00ED39D8" w:rsidP="008C557C">
      <w:pPr>
        <w:pStyle w:val="Heading2"/>
        <w:rPr>
          <w:noProof/>
          <w:lang w:val="sk-SK"/>
        </w:rPr>
      </w:pPr>
      <w:bookmarkStart w:id="24" w:name="_Toc97276842"/>
      <w:bookmarkStart w:id="25" w:name="_Toc136296255"/>
      <w:r w:rsidRPr="00955A19">
        <w:rPr>
          <w:noProof/>
          <w:lang w:val="sk-SK"/>
        </w:rPr>
        <w:t>Výkonnosť SRF</w:t>
      </w:r>
      <w:r w:rsidR="00955A19">
        <w:rPr>
          <w:noProof/>
          <w:lang w:val="sk-SK"/>
        </w:rPr>
        <w:t xml:space="preserve"> v </w:t>
      </w:r>
      <w:r w:rsidRPr="00955A19">
        <w:rPr>
          <w:noProof/>
          <w:lang w:val="sk-SK"/>
        </w:rPr>
        <w:t>roku 202</w:t>
      </w:r>
      <w:bookmarkEnd w:id="24"/>
      <w:r w:rsidRPr="00955A19">
        <w:rPr>
          <w:noProof/>
          <w:lang w:val="sk-SK"/>
        </w:rPr>
        <w:t>2</w:t>
      </w:r>
      <w:bookmarkEnd w:id="25"/>
    </w:p>
    <w:p w14:paraId="218B9E51" w14:textId="654A434A" w:rsidR="00CA5A25" w:rsidRPr="00955A19" w:rsidRDefault="000747D0" w:rsidP="000747D0">
      <w:pPr>
        <w:rPr>
          <w:noProof/>
          <w:lang w:val="sk-SK"/>
        </w:rPr>
      </w:pPr>
      <w:r w:rsidRPr="00955A19">
        <w:rPr>
          <w:noProof/>
          <w:lang w:val="sk-SK"/>
        </w:rPr>
        <w:t>Ako už bolo uvedené, SRF je likvidným</w:t>
      </w:r>
      <w:r w:rsidR="00955A19">
        <w:rPr>
          <w:noProof/>
          <w:lang w:val="sk-SK"/>
        </w:rPr>
        <w:t xml:space="preserve"> a </w:t>
      </w:r>
      <w:r w:rsidRPr="00955A19">
        <w:rPr>
          <w:noProof/>
          <w:lang w:val="sk-SK"/>
        </w:rPr>
        <w:t>dobre diverzifikovaným portfóliom dlhopisov. Investovanie výlučne do vysoko hodnotených dlhových nástrojov</w:t>
      </w:r>
      <w:r w:rsidR="00955A19">
        <w:rPr>
          <w:noProof/>
          <w:lang w:val="sk-SK"/>
        </w:rPr>
        <w:t xml:space="preserve"> v </w:t>
      </w:r>
      <w:r w:rsidRPr="00955A19">
        <w:rPr>
          <w:noProof/>
          <w:lang w:val="sk-SK"/>
        </w:rPr>
        <w:t>minulosti prinieslo portfóliám Komisie kladné výnosy. Prostredníctvom tejto stratégie však nebolo možné</w:t>
      </w:r>
      <w:r w:rsidR="00955A19">
        <w:rPr>
          <w:noProof/>
          <w:lang w:val="sk-SK"/>
        </w:rPr>
        <w:t xml:space="preserve"> v </w:t>
      </w:r>
      <w:r w:rsidRPr="00955A19">
        <w:rPr>
          <w:noProof/>
          <w:lang w:val="sk-SK"/>
        </w:rPr>
        <w:t>rámci rady ochrániť portfóliá pred prudkým rastom výnosov, ku ktorému došlo</w:t>
      </w:r>
      <w:r w:rsidR="00955A19">
        <w:rPr>
          <w:noProof/>
          <w:lang w:val="sk-SK"/>
        </w:rPr>
        <w:t xml:space="preserve"> v </w:t>
      </w:r>
      <w:r w:rsidRPr="00955A19">
        <w:rPr>
          <w:noProof/>
          <w:lang w:val="sk-SK"/>
        </w:rPr>
        <w:t>roku 2022,</w:t>
      </w:r>
      <w:r w:rsidR="00955A19">
        <w:rPr>
          <w:noProof/>
          <w:lang w:val="sk-SK"/>
        </w:rPr>
        <w:t xml:space="preserve"> v </w:t>
      </w:r>
      <w:r w:rsidRPr="00955A19">
        <w:rPr>
          <w:noProof/>
          <w:lang w:val="sk-SK"/>
        </w:rPr>
        <w:t>situácii pretrvávajúcej vysokej inflácie</w:t>
      </w:r>
      <w:r w:rsidR="00955A19">
        <w:rPr>
          <w:noProof/>
          <w:lang w:val="sk-SK"/>
        </w:rPr>
        <w:t xml:space="preserve"> a </w:t>
      </w:r>
      <w:r w:rsidRPr="00955A19">
        <w:rPr>
          <w:noProof/>
          <w:lang w:val="sk-SK"/>
        </w:rPr>
        <w:t>výrazného sprísňovania menovej politiky centrálnymi bankami. Keďže ceny dlhopisov sa odvíjajú inverzne od výnosov, zaznamenali pokles, čo výrazne zasiahlo oceňovanie. Rok 2022 bol najhorším rokom pre trhy</w:t>
      </w:r>
      <w:r w:rsidR="00955A19">
        <w:rPr>
          <w:noProof/>
          <w:lang w:val="sk-SK"/>
        </w:rPr>
        <w:t xml:space="preserve"> s </w:t>
      </w:r>
      <w:r w:rsidRPr="00955A19">
        <w:rPr>
          <w:noProof/>
          <w:lang w:val="sk-SK"/>
        </w:rPr>
        <w:t>dlhopismi za posledných viac než 40 rokov; indexy na svetovom trhu</w:t>
      </w:r>
      <w:r w:rsidR="00955A19">
        <w:rPr>
          <w:noProof/>
          <w:lang w:val="sk-SK"/>
        </w:rPr>
        <w:t xml:space="preserve"> s </w:t>
      </w:r>
      <w:r w:rsidRPr="00955A19">
        <w:rPr>
          <w:noProof/>
          <w:lang w:val="sk-SK"/>
        </w:rPr>
        <w:t>dlhopismi klesli</w:t>
      </w:r>
      <w:r w:rsidR="00955A19">
        <w:rPr>
          <w:noProof/>
          <w:lang w:val="sk-SK"/>
        </w:rPr>
        <w:t xml:space="preserve"> o </w:t>
      </w:r>
      <w:r w:rsidRPr="00955A19">
        <w:rPr>
          <w:noProof/>
          <w:lang w:val="sk-SK"/>
        </w:rPr>
        <w:t>13,27</w:t>
      </w:r>
      <w:r w:rsidR="00955A19">
        <w:rPr>
          <w:noProof/>
          <w:lang w:val="sk-SK"/>
        </w:rPr>
        <w:t> % a </w:t>
      </w:r>
      <w:r w:rsidRPr="00955A19">
        <w:rPr>
          <w:noProof/>
          <w:lang w:val="sk-SK"/>
        </w:rPr>
        <w:t>indexy trhu</w:t>
      </w:r>
      <w:r w:rsidR="00955A19">
        <w:rPr>
          <w:noProof/>
          <w:lang w:val="sk-SK"/>
        </w:rPr>
        <w:t xml:space="preserve"> s </w:t>
      </w:r>
      <w:r w:rsidRPr="00955A19">
        <w:rPr>
          <w:noProof/>
          <w:lang w:val="sk-SK"/>
        </w:rPr>
        <w:t>dlhopismi denominované</w:t>
      </w:r>
      <w:r w:rsidR="00955A19">
        <w:rPr>
          <w:noProof/>
          <w:lang w:val="sk-SK"/>
        </w:rPr>
        <w:t xml:space="preserve"> v </w:t>
      </w:r>
      <w:r w:rsidRPr="00955A19">
        <w:rPr>
          <w:noProof/>
          <w:lang w:val="sk-SK"/>
        </w:rPr>
        <w:t>EUR klesli</w:t>
      </w:r>
      <w:r w:rsidR="00955A19">
        <w:rPr>
          <w:noProof/>
          <w:lang w:val="sk-SK"/>
        </w:rPr>
        <w:t xml:space="preserve"> o </w:t>
      </w:r>
      <w:r w:rsidRPr="00955A19">
        <w:rPr>
          <w:noProof/>
          <w:lang w:val="sk-SK"/>
        </w:rPr>
        <w:t>17,17</w:t>
      </w:r>
      <w:r w:rsidR="00955A19">
        <w:rPr>
          <w:noProof/>
          <w:lang w:val="sk-SK"/>
        </w:rPr>
        <w:t> %</w:t>
      </w:r>
      <w:r w:rsidRPr="00955A19">
        <w:rPr>
          <w:rStyle w:val="FootnoteReference"/>
          <w:noProof/>
          <w:lang w:val="sk-SK"/>
        </w:rPr>
        <w:footnoteReference w:id="29"/>
      </w:r>
      <w:r w:rsidRPr="00955A19">
        <w:rPr>
          <w:noProof/>
          <w:lang w:val="sk-SK"/>
        </w:rPr>
        <w:t>.</w:t>
      </w:r>
      <w:r w:rsidR="00955A19">
        <w:rPr>
          <w:noProof/>
          <w:lang w:val="sk-SK"/>
        </w:rPr>
        <w:t xml:space="preserve"> V </w:t>
      </w:r>
      <w:r w:rsidRPr="00955A19">
        <w:rPr>
          <w:noProof/>
          <w:lang w:val="sk-SK"/>
        </w:rPr>
        <w:t>dôsledku toho bola negatívne ovplyvnená aj výkonnosť SRF, hoci naďalej zodpovedala svojej referenčnej hodnote</w:t>
      </w:r>
      <w:r w:rsidR="00955A19">
        <w:rPr>
          <w:noProof/>
          <w:lang w:val="sk-SK"/>
        </w:rPr>
        <w:t xml:space="preserve"> a </w:t>
      </w:r>
      <w:r w:rsidRPr="00955A19">
        <w:rPr>
          <w:noProof/>
          <w:lang w:val="sk-SK"/>
        </w:rPr>
        <w:t>dosiahla lepšie výsledky ako širší trh</w:t>
      </w:r>
      <w:r w:rsidR="00955A19">
        <w:rPr>
          <w:noProof/>
          <w:lang w:val="sk-SK"/>
        </w:rPr>
        <w:t xml:space="preserve"> s </w:t>
      </w:r>
      <w:r w:rsidRPr="00955A19">
        <w:rPr>
          <w:noProof/>
          <w:lang w:val="sk-SK"/>
        </w:rPr>
        <w:t>dlhopismi. Konkrétne negatívna absolútna ročná výkonnosť SRF bola na úrovni –8,85</w:t>
      </w:r>
      <w:r w:rsidR="00955A19">
        <w:rPr>
          <w:noProof/>
          <w:lang w:val="sk-SK"/>
        </w:rPr>
        <w:t> %</w:t>
      </w:r>
      <w:r w:rsidRPr="00955A19">
        <w:rPr>
          <w:noProof/>
          <w:lang w:val="sk-SK"/>
        </w:rPr>
        <w:t>, čo bolo</w:t>
      </w:r>
      <w:r w:rsidR="00955A19">
        <w:rPr>
          <w:noProof/>
          <w:lang w:val="sk-SK"/>
        </w:rPr>
        <w:t xml:space="preserve"> o </w:t>
      </w:r>
      <w:r w:rsidRPr="00955A19">
        <w:rPr>
          <w:noProof/>
          <w:lang w:val="sk-SK"/>
        </w:rPr>
        <w:t>15 bázických bodov viac</w:t>
      </w:r>
      <w:r w:rsidR="00955A19">
        <w:rPr>
          <w:noProof/>
          <w:lang w:val="sk-SK"/>
        </w:rPr>
        <w:t xml:space="preserve"> v </w:t>
      </w:r>
      <w:r w:rsidRPr="00955A19">
        <w:rPr>
          <w:noProof/>
          <w:lang w:val="sk-SK"/>
        </w:rPr>
        <w:t>porovnaní</w:t>
      </w:r>
      <w:r w:rsidR="00955A19">
        <w:rPr>
          <w:noProof/>
          <w:lang w:val="sk-SK"/>
        </w:rPr>
        <w:t xml:space="preserve"> s </w:t>
      </w:r>
      <w:r w:rsidRPr="00955A19">
        <w:rPr>
          <w:noProof/>
          <w:lang w:val="sk-SK"/>
        </w:rPr>
        <w:t>úrovňou ročnej výkonnosti referenčnej hodnoty SRF (–9,00</w:t>
      </w:r>
      <w:r w:rsidR="00955A19">
        <w:rPr>
          <w:noProof/>
          <w:lang w:val="sk-SK"/>
        </w:rPr>
        <w:t> %</w:t>
      </w:r>
      <w:r w:rsidRPr="00955A19">
        <w:rPr>
          <w:noProof/>
          <w:lang w:val="sk-SK"/>
        </w:rPr>
        <w:t>)</w:t>
      </w:r>
      <w:r w:rsidRPr="00955A19">
        <w:rPr>
          <w:rStyle w:val="FootnoteReference"/>
          <w:noProof/>
          <w:lang w:val="sk-SK"/>
        </w:rPr>
        <w:footnoteReference w:id="30"/>
      </w:r>
      <w:r w:rsidR="00CA5A25" w:rsidRPr="00955A19">
        <w:rPr>
          <w:noProof/>
          <w:lang w:val="sk-SK"/>
        </w:rPr>
        <w:t>.</w:t>
      </w:r>
    </w:p>
    <w:p w14:paraId="208F2DAD" w14:textId="70B365D9" w:rsidR="000747D0" w:rsidRPr="00955A19" w:rsidRDefault="000747D0" w:rsidP="000747D0">
      <w:pPr>
        <w:rPr>
          <w:noProof/>
          <w:lang w:val="sk-SK"/>
        </w:rPr>
      </w:pPr>
      <w:r w:rsidRPr="00955A19">
        <w:rPr>
          <w:noProof/>
          <w:lang w:val="sk-SK"/>
        </w:rPr>
        <w:t>V rámčeku ďalej sa uvádza zhrnutie trhového prostredia</w:t>
      </w:r>
      <w:r w:rsidR="00955A19">
        <w:rPr>
          <w:noProof/>
          <w:lang w:val="sk-SK"/>
        </w:rPr>
        <w:t xml:space="preserve"> v </w:t>
      </w:r>
      <w:r w:rsidRPr="00955A19">
        <w:rPr>
          <w:noProof/>
          <w:lang w:val="sk-SK"/>
        </w:rPr>
        <w:t>roku 2022</w:t>
      </w:r>
      <w:r w:rsidR="00955A19">
        <w:rPr>
          <w:noProof/>
          <w:lang w:val="sk-SK"/>
        </w:rPr>
        <w:t xml:space="preserve"> a </w:t>
      </w:r>
      <w:r w:rsidRPr="00955A19">
        <w:rPr>
          <w:noProof/>
          <w:lang w:val="sk-SK"/>
        </w:rPr>
        <w:t>jeho vplyvy na výnosy trhov</w:t>
      </w:r>
      <w:r w:rsidR="00955A19">
        <w:rPr>
          <w:noProof/>
          <w:lang w:val="sk-SK"/>
        </w:rPr>
        <w:t xml:space="preserve"> s </w:t>
      </w:r>
      <w:r w:rsidRPr="00955A19">
        <w:rPr>
          <w:noProof/>
          <w:lang w:val="sk-SK"/>
        </w:rPr>
        <w:t>dlhopismi.</w:t>
      </w:r>
      <w:r w:rsidR="00955A19">
        <w:rPr>
          <w:noProof/>
          <w:lang w:val="sk-SK"/>
        </w:rPr>
        <w:t xml:space="preserve"> V </w:t>
      </w:r>
      <w:r w:rsidRPr="00955A19">
        <w:rPr>
          <w:noProof/>
          <w:lang w:val="sk-SK"/>
        </w:rPr>
        <w:t>oddiele III tejto správy sa opisujú opatrenia, ktoré Komisia prijala ako správkyňa aktív.</w:t>
      </w:r>
    </w:p>
    <w:p w14:paraId="0C81AB72" w14:textId="77777777" w:rsidR="005A3E50" w:rsidRPr="00955A19" w:rsidRDefault="005A3E50">
      <w:pPr>
        <w:spacing w:after="0" w:line="240" w:lineRule="auto"/>
        <w:jc w:val="left"/>
        <w:rPr>
          <w:noProof/>
          <w:lang w:val="sk-SK"/>
        </w:rPr>
      </w:pPr>
      <w:r w:rsidRPr="00955A19">
        <w:rPr>
          <w:noProof/>
          <w:lang w:val="sk-SK"/>
        </w:rPr>
        <w:br w:type="page"/>
      </w:r>
    </w:p>
    <w:p w14:paraId="659AFC6B" w14:textId="77777777" w:rsidR="005A3E50" w:rsidRPr="00955A19" w:rsidRDefault="005A3E50" w:rsidP="005A3E50">
      <w:pPr>
        <w:rPr>
          <w:noProof/>
          <w:lang w:val="sk-SK"/>
        </w:rPr>
      </w:pPr>
    </w:p>
    <w:p w14:paraId="05D28412" w14:textId="233037F2" w:rsidR="000747D0" w:rsidRPr="00955A19" w:rsidRDefault="000747D0" w:rsidP="000747D0">
      <w:pPr>
        <w:pBdr>
          <w:top w:val="single" w:sz="4" w:space="1" w:color="auto"/>
          <w:left w:val="single" w:sz="4" w:space="4" w:color="auto"/>
          <w:bottom w:val="single" w:sz="4" w:space="1" w:color="auto"/>
          <w:right w:val="single" w:sz="4" w:space="4" w:color="auto"/>
        </w:pBdr>
        <w:rPr>
          <w:b/>
          <w:noProof/>
          <w:lang w:val="sk-SK"/>
        </w:rPr>
      </w:pPr>
      <w:r w:rsidRPr="00955A19">
        <w:rPr>
          <w:b/>
          <w:noProof/>
          <w:lang w:val="sk-SK"/>
        </w:rPr>
        <w:t>Vývoj na trhu</w:t>
      </w:r>
      <w:r w:rsidR="00955A19">
        <w:rPr>
          <w:b/>
          <w:noProof/>
          <w:lang w:val="sk-SK"/>
        </w:rPr>
        <w:t xml:space="preserve"> v </w:t>
      </w:r>
      <w:r w:rsidRPr="00955A19">
        <w:rPr>
          <w:b/>
          <w:noProof/>
          <w:lang w:val="sk-SK"/>
        </w:rPr>
        <w:t>roku 2022</w:t>
      </w:r>
    </w:p>
    <w:p w14:paraId="703B3035" w14:textId="54E2D88B" w:rsidR="00CA5A25" w:rsidRPr="00955A19" w:rsidRDefault="000747D0" w:rsidP="000747D0">
      <w:pPr>
        <w:pBdr>
          <w:top w:val="single" w:sz="4" w:space="1" w:color="auto"/>
          <w:left w:val="single" w:sz="4" w:space="4" w:color="auto"/>
          <w:bottom w:val="single" w:sz="4" w:space="1" w:color="auto"/>
          <w:right w:val="single" w:sz="4" w:space="4" w:color="auto"/>
        </w:pBdr>
        <w:rPr>
          <w:noProof/>
          <w:lang w:val="sk-SK"/>
        </w:rPr>
      </w:pPr>
      <w:r w:rsidRPr="00955A19">
        <w:rPr>
          <w:noProof/>
          <w:lang w:val="sk-SK"/>
        </w:rPr>
        <w:t>Vývoj na trhu</w:t>
      </w:r>
      <w:r w:rsidR="00955A19">
        <w:rPr>
          <w:noProof/>
          <w:lang w:val="sk-SK"/>
        </w:rPr>
        <w:t xml:space="preserve"> v </w:t>
      </w:r>
      <w:r w:rsidRPr="00955A19">
        <w:rPr>
          <w:noProof/>
          <w:lang w:val="sk-SK"/>
        </w:rPr>
        <w:t>roku 2022 určovala geopolitická nestabilita</w:t>
      </w:r>
      <w:r w:rsidR="00955A19">
        <w:rPr>
          <w:noProof/>
          <w:lang w:val="sk-SK"/>
        </w:rPr>
        <w:t xml:space="preserve"> a </w:t>
      </w:r>
      <w:r w:rsidRPr="00955A19">
        <w:rPr>
          <w:noProof/>
          <w:lang w:val="sk-SK"/>
        </w:rPr>
        <w:t>rastúce inflačné tlaky. Celková inflácia, ktorú poháňal neustály rast cien energie</w:t>
      </w:r>
      <w:r w:rsidR="00955A19">
        <w:rPr>
          <w:noProof/>
          <w:lang w:val="sk-SK"/>
        </w:rPr>
        <w:t xml:space="preserve"> a </w:t>
      </w:r>
      <w:r w:rsidRPr="00955A19">
        <w:rPr>
          <w:noProof/>
          <w:lang w:val="sk-SK"/>
        </w:rPr>
        <w:t>rozsiahle výpadky</w:t>
      </w:r>
      <w:r w:rsidR="00955A19">
        <w:rPr>
          <w:noProof/>
          <w:lang w:val="sk-SK"/>
        </w:rPr>
        <w:t xml:space="preserve"> v </w:t>
      </w:r>
      <w:r w:rsidRPr="00955A19">
        <w:rPr>
          <w:noProof/>
          <w:lang w:val="sk-SK"/>
        </w:rPr>
        <w:t>dodávateľskom reťazci, bola oveľa problémovejšia</w:t>
      </w:r>
      <w:r w:rsidR="00955A19">
        <w:rPr>
          <w:noProof/>
          <w:lang w:val="sk-SK"/>
        </w:rPr>
        <w:t xml:space="preserve"> v </w:t>
      </w:r>
      <w:r w:rsidRPr="00955A19">
        <w:rPr>
          <w:noProof/>
          <w:lang w:val="sk-SK"/>
        </w:rPr>
        <w:t>porovnaní</w:t>
      </w:r>
      <w:r w:rsidR="00955A19">
        <w:rPr>
          <w:noProof/>
          <w:lang w:val="sk-SK"/>
        </w:rPr>
        <w:t xml:space="preserve"> s </w:t>
      </w:r>
      <w:r w:rsidRPr="00955A19">
        <w:rPr>
          <w:noProof/>
          <w:lang w:val="sk-SK"/>
        </w:rPr>
        <w:t>predošlými očakávaniami</w:t>
      </w:r>
      <w:r w:rsidR="00955A19">
        <w:rPr>
          <w:noProof/>
          <w:lang w:val="sk-SK"/>
        </w:rPr>
        <w:t xml:space="preserve"> a </w:t>
      </w:r>
      <w:r w:rsidRPr="00955A19">
        <w:rPr>
          <w:noProof/>
          <w:lang w:val="sk-SK"/>
        </w:rPr>
        <w:t>väčšinu roka nepretržite rástla, pričom dosiahla najvyššiu úroveň za desaťročia,</w:t>
      </w:r>
      <w:r w:rsidR="00955A19">
        <w:rPr>
          <w:noProof/>
          <w:lang w:val="sk-SK"/>
        </w:rPr>
        <w:t xml:space="preserve"> a </w:t>
      </w:r>
      <w:r w:rsidRPr="00955A19">
        <w:rPr>
          <w:noProof/>
          <w:lang w:val="sk-SK"/>
        </w:rPr>
        <w:t>to 10,6</w:t>
      </w:r>
      <w:r w:rsidR="00955A19">
        <w:rPr>
          <w:noProof/>
          <w:lang w:val="sk-SK"/>
        </w:rPr>
        <w:t> % v </w:t>
      </w:r>
      <w:r w:rsidRPr="00955A19">
        <w:rPr>
          <w:noProof/>
          <w:lang w:val="sk-SK"/>
        </w:rPr>
        <w:t>Európe</w:t>
      </w:r>
      <w:r w:rsidR="00955A19">
        <w:rPr>
          <w:noProof/>
          <w:lang w:val="sk-SK"/>
        </w:rPr>
        <w:t xml:space="preserve"> a </w:t>
      </w:r>
      <w:r w:rsidRPr="00955A19">
        <w:rPr>
          <w:noProof/>
          <w:lang w:val="sk-SK"/>
        </w:rPr>
        <w:t>9,1</w:t>
      </w:r>
      <w:r w:rsidR="00955A19">
        <w:rPr>
          <w:noProof/>
          <w:lang w:val="sk-SK"/>
        </w:rPr>
        <w:t> % v </w:t>
      </w:r>
      <w:r w:rsidRPr="00955A19">
        <w:rPr>
          <w:noProof/>
          <w:lang w:val="sk-SK"/>
        </w:rPr>
        <w:t>USA,</w:t>
      </w:r>
      <w:r w:rsidR="00955A19">
        <w:rPr>
          <w:noProof/>
          <w:lang w:val="sk-SK"/>
        </w:rPr>
        <w:t xml:space="preserve"> a </w:t>
      </w:r>
      <w:r w:rsidRPr="00955A19">
        <w:rPr>
          <w:noProof/>
          <w:lang w:val="sk-SK"/>
        </w:rPr>
        <w:t>potom koncom roka klesla</w:t>
      </w:r>
      <w:r w:rsidR="00955A19">
        <w:rPr>
          <w:noProof/>
          <w:lang w:val="sk-SK"/>
        </w:rPr>
        <w:t xml:space="preserve"> v </w:t>
      </w:r>
      <w:r w:rsidRPr="00955A19">
        <w:rPr>
          <w:noProof/>
          <w:lang w:val="sk-SK"/>
        </w:rPr>
        <w:t>Európe na 9,2</w:t>
      </w:r>
      <w:r w:rsidR="00955A19">
        <w:rPr>
          <w:noProof/>
          <w:lang w:val="sk-SK"/>
        </w:rPr>
        <w:t> % a v </w:t>
      </w:r>
      <w:r w:rsidRPr="00955A19">
        <w:rPr>
          <w:noProof/>
          <w:lang w:val="sk-SK"/>
        </w:rPr>
        <w:t>USA na 6,5</w:t>
      </w:r>
      <w:r w:rsidR="00955A19">
        <w:rPr>
          <w:noProof/>
          <w:lang w:val="sk-SK"/>
        </w:rPr>
        <w:t> %</w:t>
      </w:r>
      <w:r w:rsidRPr="00955A19">
        <w:rPr>
          <w:noProof/>
          <w:lang w:val="sk-SK"/>
        </w:rPr>
        <w:t>.</w:t>
      </w:r>
      <w:r w:rsidR="00955A19">
        <w:rPr>
          <w:noProof/>
          <w:lang w:val="sk-SK"/>
        </w:rPr>
        <w:t xml:space="preserve"> V </w:t>
      </w:r>
      <w:r w:rsidRPr="00955A19">
        <w:rPr>
          <w:noProof/>
          <w:lang w:val="sk-SK"/>
        </w:rPr>
        <w:t>reakcii na to hlavné centrálne banky zvyšovali úrokové sadzby najrýchlejšie</w:t>
      </w:r>
      <w:r w:rsidR="00955A19">
        <w:rPr>
          <w:noProof/>
          <w:lang w:val="sk-SK"/>
        </w:rPr>
        <w:t xml:space="preserve"> a </w:t>
      </w:r>
      <w:r w:rsidRPr="00955A19">
        <w:rPr>
          <w:noProof/>
          <w:lang w:val="sk-SK"/>
        </w:rPr>
        <w:t>najvýraznejšie za posledné desaťročia. Rozsah tohto kroku prekonal očakávania trhu. Ešte</w:t>
      </w:r>
      <w:r w:rsidR="00955A19">
        <w:rPr>
          <w:noProof/>
          <w:lang w:val="sk-SK"/>
        </w:rPr>
        <w:t xml:space="preserve"> v </w:t>
      </w:r>
      <w:r w:rsidRPr="00955A19">
        <w:rPr>
          <w:noProof/>
          <w:lang w:val="sk-SK"/>
        </w:rPr>
        <w:t>decembri 2021 trhy oceňovali rast úrokových sadzieb za celý rok 2022 len</w:t>
      </w:r>
      <w:r w:rsidR="00955A19">
        <w:rPr>
          <w:noProof/>
          <w:lang w:val="sk-SK"/>
        </w:rPr>
        <w:t xml:space="preserve"> o </w:t>
      </w:r>
      <w:r w:rsidRPr="00955A19">
        <w:rPr>
          <w:noProof/>
          <w:lang w:val="sk-SK"/>
        </w:rPr>
        <w:t>10 bázických bodov</w:t>
      </w:r>
      <w:r w:rsidR="00CA5A25" w:rsidRPr="00955A19">
        <w:rPr>
          <w:noProof/>
          <w:lang w:val="sk-SK"/>
        </w:rPr>
        <w:t>.</w:t>
      </w:r>
    </w:p>
    <w:p w14:paraId="2BBC7608" w14:textId="68FC9982" w:rsidR="00CA5A25" w:rsidRPr="00955A19" w:rsidRDefault="00246A5A" w:rsidP="000747D0">
      <w:pPr>
        <w:pBdr>
          <w:top w:val="single" w:sz="4" w:space="1" w:color="auto"/>
          <w:left w:val="single" w:sz="4" w:space="4" w:color="auto"/>
          <w:bottom w:val="single" w:sz="4" w:space="1" w:color="auto"/>
          <w:right w:val="single" w:sz="4" w:space="4" w:color="auto"/>
        </w:pBdr>
        <w:rPr>
          <w:noProof/>
          <w:lang w:val="sk-SK"/>
        </w:rPr>
      </w:pPr>
      <w:r w:rsidRPr="00955A19">
        <w:rPr>
          <w:noProof/>
          <w:lang w:val="sk-SK"/>
        </w:rPr>
        <w:t>Od júla však ECB zvýšila úrokové sadzby celkovo</w:t>
      </w:r>
      <w:r w:rsidR="00955A19">
        <w:rPr>
          <w:noProof/>
          <w:lang w:val="sk-SK"/>
        </w:rPr>
        <w:t xml:space="preserve"> o </w:t>
      </w:r>
      <w:r w:rsidRPr="00955A19">
        <w:rPr>
          <w:noProof/>
          <w:lang w:val="sk-SK"/>
        </w:rPr>
        <w:t>250 bázických bodov,</w:t>
      </w:r>
      <w:r w:rsidR="00955A19">
        <w:rPr>
          <w:noProof/>
          <w:lang w:val="sk-SK"/>
        </w:rPr>
        <w:t xml:space="preserve"> v </w:t>
      </w:r>
      <w:r w:rsidRPr="00955A19">
        <w:rPr>
          <w:noProof/>
          <w:lang w:val="sk-SK"/>
        </w:rPr>
        <w:t>každom kroku</w:t>
      </w:r>
      <w:r w:rsidR="00955A19">
        <w:rPr>
          <w:noProof/>
          <w:lang w:val="sk-SK"/>
        </w:rPr>
        <w:t xml:space="preserve"> o </w:t>
      </w:r>
      <w:r w:rsidRPr="00955A19">
        <w:rPr>
          <w:noProof/>
          <w:lang w:val="sk-SK"/>
        </w:rPr>
        <w:t>50 – 75 bázických bodov, zatiaľ čo</w:t>
      </w:r>
      <w:r w:rsidR="00955A19">
        <w:rPr>
          <w:noProof/>
          <w:lang w:val="sk-SK"/>
        </w:rPr>
        <w:t xml:space="preserve"> v </w:t>
      </w:r>
      <w:r w:rsidRPr="00955A19">
        <w:rPr>
          <w:noProof/>
          <w:lang w:val="sk-SK"/>
        </w:rPr>
        <w:t>USA sa úrokové sadzby zvýšili</w:t>
      </w:r>
      <w:r w:rsidR="00955A19">
        <w:rPr>
          <w:noProof/>
          <w:lang w:val="sk-SK"/>
        </w:rPr>
        <w:t xml:space="preserve"> o </w:t>
      </w:r>
      <w:r w:rsidRPr="00955A19">
        <w:rPr>
          <w:noProof/>
          <w:lang w:val="sk-SK"/>
        </w:rPr>
        <w:t>425 bázických bodov.</w:t>
      </w:r>
      <w:r w:rsidR="00955A19">
        <w:rPr>
          <w:noProof/>
          <w:lang w:val="sk-SK"/>
        </w:rPr>
        <w:t xml:space="preserve"> V </w:t>
      </w:r>
      <w:r w:rsidRPr="00955A19">
        <w:rPr>
          <w:noProof/>
          <w:lang w:val="sk-SK"/>
        </w:rPr>
        <w:t>dôsledku útočnej vojny proti Ukrajine koncom februára došlo</w:t>
      </w:r>
      <w:r w:rsidR="00955A19">
        <w:rPr>
          <w:noProof/>
          <w:lang w:val="sk-SK"/>
        </w:rPr>
        <w:t xml:space="preserve"> k </w:t>
      </w:r>
      <w:r w:rsidRPr="00955A19">
        <w:rPr>
          <w:noProof/>
          <w:lang w:val="sk-SK"/>
        </w:rPr>
        <w:t>prudkému rastu inflácie, najmä cien energie, ktorý znemožnil „prechodnú infláciu, čo bol najpravdepodobnejší scenár hlavných centrálnych bánk na začiatku roka. Výnosy</w:t>
      </w:r>
      <w:r w:rsidR="00955A19">
        <w:rPr>
          <w:noProof/>
          <w:lang w:val="sk-SK"/>
        </w:rPr>
        <w:t xml:space="preserve"> z </w:t>
      </w:r>
      <w:r w:rsidRPr="00955A19">
        <w:rPr>
          <w:noProof/>
          <w:lang w:val="sk-SK"/>
        </w:rPr>
        <w:t>referenčných 10-ročných nemeckých štátnych dlhopisov sa začali zvyšovať</w:t>
      </w:r>
      <w:r w:rsidR="00955A19">
        <w:rPr>
          <w:noProof/>
          <w:lang w:val="sk-SK"/>
        </w:rPr>
        <w:t xml:space="preserve"> a v </w:t>
      </w:r>
      <w:r w:rsidRPr="00955A19">
        <w:rPr>
          <w:noProof/>
          <w:lang w:val="sk-SK"/>
        </w:rPr>
        <w:t>polovici júna dosiahli úroveň 1,76</w:t>
      </w:r>
      <w:r w:rsidR="00955A19">
        <w:rPr>
          <w:noProof/>
          <w:lang w:val="sk-SK"/>
        </w:rPr>
        <w:t> % v </w:t>
      </w:r>
      <w:r w:rsidRPr="00955A19">
        <w:rPr>
          <w:noProof/>
          <w:lang w:val="sk-SK"/>
        </w:rPr>
        <w:t>porovnaní</w:t>
      </w:r>
      <w:r w:rsidR="00955A19">
        <w:rPr>
          <w:noProof/>
          <w:lang w:val="sk-SK"/>
        </w:rPr>
        <w:t xml:space="preserve"> s </w:t>
      </w:r>
      <w:r w:rsidRPr="00955A19">
        <w:rPr>
          <w:noProof/>
          <w:lang w:val="sk-SK"/>
        </w:rPr>
        <w:t>–0,08</w:t>
      </w:r>
      <w:r w:rsidR="00955A19">
        <w:rPr>
          <w:noProof/>
          <w:lang w:val="sk-SK"/>
        </w:rPr>
        <w:t> %</w:t>
      </w:r>
      <w:r w:rsidRPr="00955A19">
        <w:rPr>
          <w:noProof/>
          <w:lang w:val="sk-SK"/>
        </w:rPr>
        <w:t xml:space="preserve"> na začiatku marca</w:t>
      </w:r>
      <w:r w:rsidR="00CA5A25" w:rsidRPr="00955A19">
        <w:rPr>
          <w:noProof/>
          <w:lang w:val="sk-SK"/>
        </w:rPr>
        <w:t>.</w:t>
      </w:r>
    </w:p>
    <w:p w14:paraId="079E6485" w14:textId="58C0314A" w:rsidR="00CA5A25" w:rsidRPr="00955A19" w:rsidRDefault="003C5FF0" w:rsidP="000747D0">
      <w:pPr>
        <w:pBdr>
          <w:top w:val="single" w:sz="4" w:space="1" w:color="auto"/>
          <w:left w:val="single" w:sz="4" w:space="4" w:color="auto"/>
          <w:bottom w:val="single" w:sz="4" w:space="1" w:color="auto"/>
          <w:right w:val="single" w:sz="4" w:space="4" w:color="auto"/>
        </w:pBdr>
        <w:rPr>
          <w:noProof/>
          <w:lang w:val="sk-SK"/>
        </w:rPr>
      </w:pPr>
      <w:r w:rsidRPr="00955A19">
        <w:rPr>
          <w:noProof/>
          <w:lang w:val="sk-SK"/>
        </w:rPr>
        <w:t>Koncom roka začali pomaly slabnúť aj inflačné tlaky, keďže ceny energie klesli</w:t>
      </w:r>
      <w:r w:rsidR="00955A19">
        <w:rPr>
          <w:noProof/>
          <w:lang w:val="sk-SK"/>
        </w:rPr>
        <w:t xml:space="preserve"> z </w:t>
      </w:r>
      <w:r w:rsidRPr="00955A19">
        <w:rPr>
          <w:noProof/>
          <w:lang w:val="sk-SK"/>
        </w:rPr>
        <w:t>najvyšších úrovní. Inflácia</w:t>
      </w:r>
      <w:r w:rsidR="00955A19">
        <w:rPr>
          <w:noProof/>
          <w:lang w:val="sk-SK"/>
        </w:rPr>
        <w:t xml:space="preserve"> v </w:t>
      </w:r>
      <w:r w:rsidRPr="00955A19">
        <w:rPr>
          <w:noProof/>
          <w:lang w:val="sk-SK"/>
        </w:rPr>
        <w:t>iných zložkách indexov spotrebiteľských cien však zostala na zvýšenej úrovni.</w:t>
      </w:r>
      <w:r w:rsidR="00955A19">
        <w:rPr>
          <w:noProof/>
          <w:lang w:val="sk-SK"/>
        </w:rPr>
        <w:t xml:space="preserve"> V </w:t>
      </w:r>
      <w:r w:rsidRPr="00955A19">
        <w:rPr>
          <w:noProof/>
          <w:lang w:val="sk-SK"/>
        </w:rPr>
        <w:t>dôsledku toho úrokové sadzby ďalej rástli</w:t>
      </w:r>
      <w:r w:rsidR="00955A19">
        <w:rPr>
          <w:noProof/>
          <w:lang w:val="sk-SK"/>
        </w:rPr>
        <w:t xml:space="preserve"> a </w:t>
      </w:r>
      <w:r w:rsidRPr="00955A19">
        <w:rPr>
          <w:noProof/>
          <w:lang w:val="sk-SK"/>
        </w:rPr>
        <w:t>10-ročný nemecký štátny dlhopis dosiahol koncom roka úroveň 2,56</w:t>
      </w:r>
      <w:r w:rsidR="00955A19">
        <w:rPr>
          <w:noProof/>
          <w:lang w:val="sk-SK"/>
        </w:rPr>
        <w:t> %</w:t>
      </w:r>
      <w:r w:rsidRPr="00955A19">
        <w:rPr>
          <w:noProof/>
          <w:lang w:val="sk-SK"/>
        </w:rPr>
        <w:t>. Počas roka 2022 sa úrokové sadzby pohybovali</w:t>
      </w:r>
      <w:r w:rsidR="00955A19">
        <w:rPr>
          <w:noProof/>
          <w:lang w:val="sk-SK"/>
        </w:rPr>
        <w:t xml:space="preserve"> v </w:t>
      </w:r>
      <w:r w:rsidRPr="00955A19">
        <w:rPr>
          <w:noProof/>
          <w:lang w:val="sk-SK"/>
        </w:rPr>
        <w:t>rozpätí 275 bázických bodov, pričom</w:t>
      </w:r>
      <w:r w:rsidR="00955A19">
        <w:rPr>
          <w:noProof/>
          <w:lang w:val="sk-SK"/>
        </w:rPr>
        <w:t xml:space="preserve"> v </w:t>
      </w:r>
      <w:r w:rsidRPr="00955A19">
        <w:rPr>
          <w:noProof/>
          <w:lang w:val="sk-SK"/>
        </w:rPr>
        <w:t>roku 2021 bolo toto rozpätie 69 bázických bodov</w:t>
      </w:r>
      <w:r w:rsidR="00CA5A25" w:rsidRPr="00955A19">
        <w:rPr>
          <w:noProof/>
          <w:lang w:val="sk-SK"/>
        </w:rPr>
        <w:t>.</w:t>
      </w:r>
    </w:p>
    <w:p w14:paraId="2E816F31" w14:textId="7808E0A0" w:rsidR="005A3E50" w:rsidRPr="00955A19" w:rsidRDefault="005A3E50" w:rsidP="005A3E50">
      <w:pPr>
        <w:rPr>
          <w:noProof/>
          <w:lang w:val="sk-SK"/>
        </w:rPr>
      </w:pPr>
    </w:p>
    <w:p w14:paraId="36936B9D" w14:textId="77777777" w:rsidR="00231F7A" w:rsidRPr="00955A19" w:rsidRDefault="00231F7A">
      <w:pPr>
        <w:spacing w:after="0" w:line="240" w:lineRule="auto"/>
        <w:jc w:val="left"/>
        <w:rPr>
          <w:noProof/>
          <w:lang w:val="sk-SK"/>
        </w:rPr>
      </w:pPr>
      <w:r w:rsidRPr="00955A19">
        <w:rPr>
          <w:noProof/>
          <w:lang w:val="sk-SK"/>
        </w:rPr>
        <w:br w:type="page"/>
      </w:r>
    </w:p>
    <w:p w14:paraId="50944472" w14:textId="77777777" w:rsidR="00231F7A" w:rsidRPr="00955A19" w:rsidRDefault="00ED39D8" w:rsidP="00231F7A">
      <w:pPr>
        <w:pStyle w:val="Heading1"/>
        <w:rPr>
          <w:noProof/>
          <w:lang w:val="sk-SK"/>
        </w:rPr>
      </w:pPr>
      <w:bookmarkStart w:id="26" w:name="_Toc136296256"/>
      <w:r w:rsidRPr="00955A19">
        <w:rPr>
          <w:noProof/>
          <w:lang w:val="sk-SK"/>
        </w:rPr>
        <w:t>ODDIEL III</w:t>
      </w:r>
      <w:bookmarkEnd w:id="26"/>
    </w:p>
    <w:p w14:paraId="63129E28" w14:textId="77777777" w:rsidR="00ED39D8" w:rsidRPr="00955A19" w:rsidRDefault="0017303F" w:rsidP="008C557C">
      <w:pPr>
        <w:pStyle w:val="Heading2"/>
        <w:rPr>
          <w:noProof/>
          <w:lang w:val="sk-SK"/>
        </w:rPr>
      </w:pPr>
      <w:bookmarkStart w:id="27" w:name="_Toc136296257"/>
      <w:r w:rsidRPr="00955A19">
        <w:rPr>
          <w:noProof/>
          <w:lang w:val="sk-SK"/>
        </w:rPr>
        <w:t>Diverzifikácia investičných možností</w:t>
      </w:r>
      <w:bookmarkEnd w:id="27"/>
    </w:p>
    <w:p w14:paraId="5C4A4F14" w14:textId="73A0A70B" w:rsidR="00246A5A" w:rsidRPr="00955A19" w:rsidRDefault="00CC7325" w:rsidP="00CC7325">
      <w:pPr>
        <w:rPr>
          <w:noProof/>
          <w:lang w:val="sk-SK"/>
        </w:rPr>
      </w:pPr>
      <w:r w:rsidRPr="00955A19">
        <w:rPr>
          <w:noProof/>
          <w:lang w:val="sk-SK"/>
        </w:rPr>
        <w:t>Ako sa oznámilo vo výročnej správe</w:t>
      </w:r>
      <w:r w:rsidR="00955A19">
        <w:rPr>
          <w:noProof/>
          <w:lang w:val="sk-SK"/>
        </w:rPr>
        <w:t xml:space="preserve"> o </w:t>
      </w:r>
      <w:r w:rsidRPr="00955A19">
        <w:rPr>
          <w:noProof/>
          <w:lang w:val="sk-SK"/>
        </w:rPr>
        <w:t>SRF za rok 2021, Komisia</w:t>
      </w:r>
      <w:r w:rsidR="00955A19">
        <w:rPr>
          <w:noProof/>
          <w:lang w:val="sk-SK"/>
        </w:rPr>
        <w:t xml:space="preserve"> v </w:t>
      </w:r>
      <w:r w:rsidRPr="00955A19">
        <w:rPr>
          <w:noProof/>
          <w:lang w:val="sk-SK"/>
        </w:rPr>
        <w:t>roku 2022 prijala opatrenia na diverzifikáciu investičných možností SRF. Do konca roka 2022 Komisia dokončila prácu na operačnom rámci umožňujúcom kapitálové investície prostredníctvom fondov obchodovaných na burze (ETF), ktoré ponúkajú nákladovo efektívnu diverzifikovanú expozíciu voči rozsiahlym kapitálovým indexom prostredníctvom koša akcií. Týmto prístupom sa zmierňuje riziko investovania do akcií jednotlivých spoločností. Zahrnutie kapitálu do investičných možností SRF ako novej triedy aktív vychádzalo</w:t>
      </w:r>
      <w:r w:rsidR="00955A19">
        <w:rPr>
          <w:noProof/>
          <w:lang w:val="sk-SK"/>
        </w:rPr>
        <w:t xml:space="preserve"> z </w:t>
      </w:r>
      <w:r w:rsidRPr="00955A19">
        <w:rPr>
          <w:noProof/>
          <w:lang w:val="sk-SK"/>
        </w:rPr>
        <w:t>dôslednej analýzy</w:t>
      </w:r>
      <w:r w:rsidR="00955A19">
        <w:rPr>
          <w:noProof/>
          <w:lang w:val="sk-SK"/>
        </w:rPr>
        <w:t xml:space="preserve"> s </w:t>
      </w:r>
      <w:r w:rsidRPr="00955A19">
        <w:rPr>
          <w:noProof/>
          <w:lang w:val="sk-SK"/>
        </w:rPr>
        <w:t>cieľom posilniť diverzifikáciu</w:t>
      </w:r>
      <w:r w:rsidR="00955A19">
        <w:rPr>
          <w:noProof/>
          <w:lang w:val="sk-SK"/>
        </w:rPr>
        <w:t xml:space="preserve"> a </w:t>
      </w:r>
      <w:r w:rsidRPr="00955A19">
        <w:rPr>
          <w:noProof/>
          <w:lang w:val="sk-SK"/>
        </w:rPr>
        <w:t>optimalizovať parametre rizika</w:t>
      </w:r>
      <w:r w:rsidR="00955A19">
        <w:rPr>
          <w:noProof/>
          <w:lang w:val="sk-SK"/>
        </w:rPr>
        <w:t xml:space="preserve"> a </w:t>
      </w:r>
      <w:r w:rsidRPr="00955A19">
        <w:rPr>
          <w:noProof/>
          <w:lang w:val="sk-SK"/>
        </w:rPr>
        <w:t>očakávanú návratnosť portfólia</w:t>
      </w:r>
      <w:r w:rsidR="00955A19">
        <w:rPr>
          <w:noProof/>
          <w:lang w:val="sk-SK"/>
        </w:rPr>
        <w:t xml:space="preserve"> v </w:t>
      </w:r>
      <w:r w:rsidRPr="00955A19">
        <w:rPr>
          <w:noProof/>
          <w:lang w:val="sk-SK"/>
        </w:rPr>
        <w:t>dlhodobejšom horizonte.</w:t>
      </w:r>
    </w:p>
    <w:p w14:paraId="29C89758" w14:textId="251A3910" w:rsidR="00231F7A" w:rsidRPr="00955A19" w:rsidRDefault="00962E17" w:rsidP="00CC7325">
      <w:pPr>
        <w:rPr>
          <w:noProof/>
          <w:lang w:val="sk-SK"/>
        </w:rPr>
      </w:pPr>
      <w:r w:rsidRPr="00955A19">
        <w:rPr>
          <w:noProof/>
          <w:lang w:val="sk-SK"/>
        </w:rPr>
        <w:t>Expozícia voči kapitálu sa vybuduje postupne na úroveň približne 7</w:t>
      </w:r>
      <w:r w:rsidR="00955A19">
        <w:rPr>
          <w:noProof/>
          <w:lang w:val="sk-SK"/>
        </w:rPr>
        <w:t> %</w:t>
      </w:r>
      <w:r w:rsidRPr="00955A19">
        <w:rPr>
          <w:noProof/>
          <w:lang w:val="sk-SK"/>
        </w:rPr>
        <w:t> – 8</w:t>
      </w:r>
      <w:r w:rsidR="00955A19">
        <w:rPr>
          <w:noProof/>
          <w:lang w:val="sk-SK"/>
        </w:rPr>
        <w:t> %</w:t>
      </w:r>
      <w:r w:rsidRPr="00955A19">
        <w:rPr>
          <w:noProof/>
          <w:lang w:val="sk-SK"/>
        </w:rPr>
        <w:t xml:space="preserve"> portfólia SRF, pričom sa začne od januára 2023</w:t>
      </w:r>
      <w:r w:rsidR="00955A19">
        <w:rPr>
          <w:noProof/>
          <w:lang w:val="sk-SK"/>
        </w:rPr>
        <w:t xml:space="preserve"> a </w:t>
      </w:r>
      <w:r w:rsidRPr="00955A19">
        <w:rPr>
          <w:noProof/>
          <w:lang w:val="sk-SK"/>
        </w:rPr>
        <w:t>zohľadnia sa trhové podmienky</w:t>
      </w:r>
      <w:r w:rsidR="00955A19">
        <w:rPr>
          <w:noProof/>
          <w:lang w:val="sk-SK"/>
        </w:rPr>
        <w:t xml:space="preserve"> a </w:t>
      </w:r>
      <w:r w:rsidRPr="00955A19">
        <w:rPr>
          <w:noProof/>
          <w:lang w:val="sk-SK"/>
        </w:rPr>
        <w:t>úrovne oceňovania. Tento percentuálny podiel sa určil ako optimálny</w:t>
      </w:r>
      <w:r w:rsidR="00955A19">
        <w:rPr>
          <w:noProof/>
          <w:lang w:val="sk-SK"/>
        </w:rPr>
        <w:t xml:space="preserve"> z </w:t>
      </w:r>
      <w:r w:rsidRPr="00955A19">
        <w:rPr>
          <w:noProof/>
          <w:lang w:val="sk-SK"/>
        </w:rPr>
        <w:t>hľadiska rizikovo-výnosového profilu</w:t>
      </w:r>
      <w:r w:rsidR="00955A19">
        <w:rPr>
          <w:noProof/>
          <w:lang w:val="sk-SK"/>
        </w:rPr>
        <w:t xml:space="preserve"> a </w:t>
      </w:r>
      <w:r w:rsidRPr="00955A19">
        <w:rPr>
          <w:noProof/>
          <w:lang w:val="sk-SK"/>
        </w:rPr>
        <w:t>ochoty podstupovať riziká. Tento výber sa odráža</w:t>
      </w:r>
      <w:r w:rsidR="00955A19">
        <w:rPr>
          <w:noProof/>
          <w:lang w:val="sk-SK"/>
        </w:rPr>
        <w:t xml:space="preserve"> v </w:t>
      </w:r>
      <w:r w:rsidRPr="00955A19">
        <w:rPr>
          <w:noProof/>
          <w:lang w:val="sk-SK"/>
        </w:rPr>
        <w:t>aktualizovanej referenčnej hodnote SRF, ako sa vysvetľuje</w:t>
      </w:r>
      <w:r w:rsidR="00955A19">
        <w:rPr>
          <w:noProof/>
          <w:lang w:val="sk-SK"/>
        </w:rPr>
        <w:t xml:space="preserve"> v </w:t>
      </w:r>
      <w:r w:rsidRPr="00955A19">
        <w:rPr>
          <w:noProof/>
          <w:lang w:val="sk-SK"/>
        </w:rPr>
        <w:t>nasledujúcom oddiele.</w:t>
      </w:r>
    </w:p>
    <w:p w14:paraId="0F62E616" w14:textId="2F815B60" w:rsidR="00BE3905" w:rsidRPr="00955A19" w:rsidRDefault="0017303F" w:rsidP="008C557C">
      <w:pPr>
        <w:pStyle w:val="Heading2"/>
        <w:rPr>
          <w:noProof/>
          <w:lang w:val="sk-SK"/>
        </w:rPr>
      </w:pPr>
      <w:bookmarkStart w:id="28" w:name="_Toc136296258"/>
      <w:r w:rsidRPr="00955A19">
        <w:rPr>
          <w:noProof/>
          <w:lang w:val="sk-SK"/>
        </w:rPr>
        <w:t>Posilnenie referenčnej hodnoty zameranej na ESG</w:t>
      </w:r>
      <w:bookmarkEnd w:id="28"/>
    </w:p>
    <w:p w14:paraId="57F09DD4" w14:textId="2BD120F3" w:rsidR="00CA5A25" w:rsidRPr="00955A19" w:rsidRDefault="00CC7325" w:rsidP="00CC7325">
      <w:pPr>
        <w:rPr>
          <w:noProof/>
          <w:lang w:val="sk-SK"/>
        </w:rPr>
      </w:pPr>
      <w:r w:rsidRPr="00955A19">
        <w:rPr>
          <w:noProof/>
          <w:lang w:val="sk-SK"/>
        </w:rPr>
        <w:t>Rozhodnutím aktualizovať referenčnú hodnotu SRF zahrnutím investícií do kapitálových ETF sa sledoval cieľ spočívajúci</w:t>
      </w:r>
      <w:r w:rsidR="00955A19">
        <w:rPr>
          <w:noProof/>
          <w:lang w:val="sk-SK"/>
        </w:rPr>
        <w:t xml:space="preserve"> v </w:t>
      </w:r>
      <w:r w:rsidRPr="00955A19">
        <w:rPr>
          <w:noProof/>
          <w:lang w:val="sk-SK"/>
        </w:rPr>
        <w:t>posilnení rizikovo-výnosového profilu portfólia. Nová referenčná hodnota, ktorá sa uplatňuje od januára 2023, odráža investičný cieľ (t. j. ochrana kapitálu ako hlavný cieľ), investičný horizont</w:t>
      </w:r>
      <w:r w:rsidR="00955A19">
        <w:rPr>
          <w:noProof/>
          <w:lang w:val="sk-SK"/>
        </w:rPr>
        <w:t xml:space="preserve"> a </w:t>
      </w:r>
      <w:r w:rsidRPr="00955A19">
        <w:rPr>
          <w:noProof/>
          <w:lang w:val="sk-SK"/>
        </w:rPr>
        <w:t>toleranciu rizika portfólia, ako sa uvádza</w:t>
      </w:r>
      <w:r w:rsidR="00955A19">
        <w:rPr>
          <w:noProof/>
          <w:lang w:val="sk-SK"/>
        </w:rPr>
        <w:t xml:space="preserve"> v </w:t>
      </w:r>
      <w:r w:rsidRPr="00955A19">
        <w:rPr>
          <w:noProof/>
          <w:lang w:val="sk-SK"/>
        </w:rPr>
        <w:t>usmerneniach pre správu aktív</w:t>
      </w:r>
      <w:r w:rsidR="00CA5A25" w:rsidRPr="00955A19">
        <w:rPr>
          <w:noProof/>
          <w:lang w:val="sk-SK"/>
        </w:rPr>
        <w:t>.</w:t>
      </w:r>
    </w:p>
    <w:p w14:paraId="6C3293A9" w14:textId="0C9E3470" w:rsidR="00CA5A25" w:rsidRPr="00955A19" w:rsidRDefault="00CC7325" w:rsidP="00CC7325">
      <w:pPr>
        <w:rPr>
          <w:noProof/>
          <w:lang w:val="sk-SK"/>
        </w:rPr>
      </w:pPr>
      <w:r w:rsidRPr="00955A19">
        <w:rPr>
          <w:noProof/>
          <w:lang w:val="sk-SK"/>
        </w:rPr>
        <w:t>Táto aktualizácia referenčnej hodnoty bola takisto príležitosťou na zahrnutie faktorov</w:t>
      </w:r>
      <w:r w:rsidR="00955A19">
        <w:rPr>
          <w:noProof/>
          <w:lang w:val="sk-SK"/>
        </w:rPr>
        <w:t xml:space="preserve"> v </w:t>
      </w:r>
      <w:r w:rsidRPr="00955A19">
        <w:rPr>
          <w:noProof/>
          <w:lang w:val="sk-SK"/>
        </w:rPr>
        <w:t>oblasti správy</w:t>
      </w:r>
      <w:r w:rsidR="00955A19">
        <w:rPr>
          <w:noProof/>
          <w:lang w:val="sk-SK"/>
        </w:rPr>
        <w:t xml:space="preserve"> a </w:t>
      </w:r>
      <w:r w:rsidRPr="00955A19">
        <w:rPr>
          <w:noProof/>
          <w:lang w:val="sk-SK"/>
        </w:rPr>
        <w:t>riadenia (ESG), keďže ESG je dôležitým faktorom pre správu SRF,</w:t>
      </w:r>
      <w:r w:rsidR="00955A19">
        <w:rPr>
          <w:noProof/>
          <w:lang w:val="sk-SK"/>
        </w:rPr>
        <w:t xml:space="preserve"> v </w:t>
      </w:r>
      <w:r w:rsidRPr="00955A19">
        <w:rPr>
          <w:noProof/>
          <w:lang w:val="sk-SK"/>
        </w:rPr>
        <w:t>súlade so širšími záväzkami Komisie voči zelenej transformácii. Napriek tomu, že usmernenia pre správu aktív už obsahujú negatívne kritériá preskúmania, ako napríklad vylúčenie dlhopisov spojených</w:t>
      </w:r>
      <w:r w:rsidR="00955A19">
        <w:rPr>
          <w:noProof/>
          <w:lang w:val="sk-SK"/>
        </w:rPr>
        <w:t xml:space="preserve"> s </w:t>
      </w:r>
      <w:r w:rsidRPr="00955A19">
        <w:rPr>
          <w:noProof/>
          <w:lang w:val="sk-SK"/>
        </w:rPr>
        <w:t>činnosťami súvisiacimi</w:t>
      </w:r>
      <w:r w:rsidR="00955A19">
        <w:rPr>
          <w:noProof/>
          <w:lang w:val="sk-SK"/>
        </w:rPr>
        <w:t xml:space="preserve"> s </w:t>
      </w:r>
      <w:r w:rsidRPr="00955A19">
        <w:rPr>
          <w:noProof/>
          <w:lang w:val="sk-SK"/>
        </w:rPr>
        <w:t>hazardnými hrami alebo tabakom,</w:t>
      </w:r>
      <w:r w:rsidR="00955A19">
        <w:rPr>
          <w:noProof/>
          <w:lang w:val="sk-SK"/>
        </w:rPr>
        <w:t xml:space="preserve"> a </w:t>
      </w:r>
      <w:r w:rsidRPr="00955A19">
        <w:rPr>
          <w:noProof/>
          <w:lang w:val="sk-SK"/>
        </w:rPr>
        <w:t>držia veľkú expozíciu voči ESG cenným papierom</w:t>
      </w:r>
      <w:r w:rsidR="00955A19">
        <w:rPr>
          <w:noProof/>
          <w:lang w:val="sk-SK"/>
        </w:rPr>
        <w:t xml:space="preserve"> v </w:t>
      </w:r>
      <w:r w:rsidRPr="00955A19">
        <w:rPr>
          <w:noProof/>
          <w:lang w:val="sk-SK"/>
        </w:rPr>
        <w:t>portfóliu ESG, Komisia sa zaviazala posilniť faktory ESG</w:t>
      </w:r>
      <w:r w:rsidR="00955A19">
        <w:rPr>
          <w:noProof/>
          <w:lang w:val="sk-SK"/>
        </w:rPr>
        <w:t xml:space="preserve"> v </w:t>
      </w:r>
      <w:r w:rsidRPr="00955A19">
        <w:rPr>
          <w:noProof/>
          <w:lang w:val="sk-SK"/>
        </w:rPr>
        <w:t>súvislosti so SRF</w:t>
      </w:r>
      <w:r w:rsidR="00955A19">
        <w:rPr>
          <w:noProof/>
          <w:lang w:val="sk-SK"/>
        </w:rPr>
        <w:t xml:space="preserve"> a </w:t>
      </w:r>
      <w:r w:rsidRPr="00955A19">
        <w:rPr>
          <w:noProof/>
          <w:lang w:val="sk-SK"/>
        </w:rPr>
        <w:t>zahrnúť charakteristiky ESG do aktualizovanej verzie referenčnej hodnoty</w:t>
      </w:r>
      <w:r w:rsidR="00CA5A25" w:rsidRPr="00955A19">
        <w:rPr>
          <w:noProof/>
          <w:lang w:val="sk-SK"/>
        </w:rPr>
        <w:t>.</w:t>
      </w:r>
    </w:p>
    <w:p w14:paraId="1CBE7270" w14:textId="3656CC1E" w:rsidR="00CA5A25" w:rsidRPr="00955A19" w:rsidRDefault="00CC7325" w:rsidP="00CC7325">
      <w:pPr>
        <w:rPr>
          <w:noProof/>
          <w:lang w:val="sk-SK"/>
        </w:rPr>
      </w:pPr>
      <w:r w:rsidRPr="00955A19">
        <w:rPr>
          <w:noProof/>
          <w:lang w:val="sk-SK"/>
        </w:rPr>
        <w:t>Na dosiahnutie tohto cieľa sa do novej referenčnej hodnoty SRF zahrnuli dva špecializované indexy ESG.</w:t>
      </w:r>
      <w:r w:rsidR="00955A19">
        <w:rPr>
          <w:noProof/>
          <w:lang w:val="sk-SK"/>
        </w:rPr>
        <w:t xml:space="preserve"> V </w:t>
      </w:r>
      <w:r w:rsidRPr="00955A19">
        <w:rPr>
          <w:noProof/>
          <w:lang w:val="sk-SK"/>
        </w:rPr>
        <w:t>indexe zelených dlhopisov sa stanovuje ambiciózny cieľ, ktorým je investovať podiel aktív do ESG dlhopisov (14,7</w:t>
      </w:r>
      <w:r w:rsidR="00955A19">
        <w:rPr>
          <w:noProof/>
          <w:lang w:val="sk-SK"/>
        </w:rPr>
        <w:t> %</w:t>
      </w:r>
      <w:r w:rsidRPr="00955A19">
        <w:rPr>
          <w:noProof/>
          <w:lang w:val="sk-SK"/>
        </w:rPr>
        <w:t>). Je to</w:t>
      </w:r>
      <w:r w:rsidR="00955A19">
        <w:rPr>
          <w:noProof/>
          <w:lang w:val="sk-SK"/>
        </w:rPr>
        <w:t xml:space="preserve"> v </w:t>
      </w:r>
      <w:r w:rsidRPr="00955A19">
        <w:rPr>
          <w:noProof/>
          <w:lang w:val="sk-SK"/>
        </w:rPr>
        <w:t>súlade</w:t>
      </w:r>
      <w:r w:rsidR="00955A19">
        <w:rPr>
          <w:noProof/>
          <w:lang w:val="sk-SK"/>
        </w:rPr>
        <w:t xml:space="preserve"> s </w:t>
      </w:r>
      <w:r w:rsidRPr="00955A19">
        <w:rPr>
          <w:noProof/>
          <w:lang w:val="sk-SK"/>
        </w:rPr>
        <w:t>existujúcou praxou investovania do ESG, podľa ktorej sa investície do ESG dlhopisov uprednostňujú pred konvenčnými dlhopismi. Druhý index ESG, Paris-aligned Benchmark (PAB) corporate bond index, usmerňuje investície</w:t>
      </w:r>
      <w:r w:rsidR="00955A19">
        <w:rPr>
          <w:noProof/>
          <w:lang w:val="sk-SK"/>
        </w:rPr>
        <w:t xml:space="preserve"> k </w:t>
      </w:r>
      <w:r w:rsidRPr="00955A19">
        <w:rPr>
          <w:noProof/>
          <w:lang w:val="sk-SK"/>
        </w:rPr>
        <w:t>podnikovým emitentom</w:t>
      </w:r>
      <w:r w:rsidR="00955A19">
        <w:rPr>
          <w:noProof/>
          <w:lang w:val="sk-SK"/>
        </w:rPr>
        <w:t xml:space="preserve"> v </w:t>
      </w:r>
      <w:r w:rsidRPr="00955A19">
        <w:rPr>
          <w:noProof/>
          <w:lang w:val="sk-SK"/>
        </w:rPr>
        <w:t>súlade</w:t>
      </w:r>
      <w:r w:rsidR="00955A19">
        <w:rPr>
          <w:noProof/>
          <w:lang w:val="sk-SK"/>
        </w:rPr>
        <w:t xml:space="preserve"> s </w:t>
      </w:r>
      <w:r w:rsidRPr="00955A19">
        <w:rPr>
          <w:noProof/>
          <w:lang w:val="sk-SK"/>
        </w:rPr>
        <w:t>Parížskou dohodou. Investovanie</w:t>
      </w:r>
      <w:r w:rsidR="00955A19">
        <w:rPr>
          <w:noProof/>
          <w:lang w:val="sk-SK"/>
        </w:rPr>
        <w:t xml:space="preserve"> v </w:t>
      </w:r>
      <w:r w:rsidRPr="00955A19">
        <w:rPr>
          <w:noProof/>
          <w:lang w:val="sk-SK"/>
        </w:rPr>
        <w:t>súlade</w:t>
      </w:r>
      <w:r w:rsidR="00955A19">
        <w:rPr>
          <w:noProof/>
          <w:lang w:val="sk-SK"/>
        </w:rPr>
        <w:t xml:space="preserve"> s </w:t>
      </w:r>
      <w:r w:rsidRPr="00955A19">
        <w:rPr>
          <w:noProof/>
          <w:lang w:val="sk-SK"/>
        </w:rPr>
        <w:t>Parížskou dohodou využívajú aj iní správcovia aktív</w:t>
      </w:r>
      <w:r w:rsidR="00955A19">
        <w:rPr>
          <w:noProof/>
          <w:lang w:val="sk-SK"/>
        </w:rPr>
        <w:t xml:space="preserve"> v </w:t>
      </w:r>
      <w:r w:rsidRPr="00955A19">
        <w:rPr>
          <w:noProof/>
          <w:lang w:val="sk-SK"/>
        </w:rPr>
        <w:t>inštitúciách, ako je Európska investičná banka,</w:t>
      </w:r>
      <w:r w:rsidR="00955A19">
        <w:rPr>
          <w:noProof/>
          <w:lang w:val="sk-SK"/>
        </w:rPr>
        <w:t xml:space="preserve"> a </w:t>
      </w:r>
      <w:r w:rsidRPr="00955A19">
        <w:rPr>
          <w:noProof/>
          <w:lang w:val="sk-SK"/>
        </w:rPr>
        <w:t>ako také prináša vítanú reakciu zainteresovaných strán</w:t>
      </w:r>
      <w:r w:rsidR="00955A19">
        <w:rPr>
          <w:noProof/>
          <w:lang w:val="sk-SK"/>
        </w:rPr>
        <w:t xml:space="preserve"> a </w:t>
      </w:r>
      <w:r w:rsidRPr="00955A19">
        <w:rPr>
          <w:noProof/>
          <w:lang w:val="sk-SK"/>
        </w:rPr>
        <w:t>ešte vyššiu dôveryhodnosť. Zahrnutie indexov ESG do referenčnej hodnoty ďalej posilňuje zosúladenie činností Komisie</w:t>
      </w:r>
      <w:r w:rsidR="00955A19">
        <w:rPr>
          <w:noProof/>
          <w:lang w:val="sk-SK"/>
        </w:rPr>
        <w:t xml:space="preserve"> v </w:t>
      </w:r>
      <w:r w:rsidRPr="00955A19">
        <w:rPr>
          <w:noProof/>
          <w:lang w:val="sk-SK"/>
        </w:rPr>
        <w:t>oblasti správy aktív</w:t>
      </w:r>
      <w:r w:rsidR="00955A19">
        <w:rPr>
          <w:noProof/>
          <w:lang w:val="sk-SK"/>
        </w:rPr>
        <w:t xml:space="preserve"> s </w:t>
      </w:r>
      <w:r w:rsidRPr="00955A19">
        <w:rPr>
          <w:noProof/>
          <w:lang w:val="sk-SK"/>
        </w:rPr>
        <w:t>klimatickými cieľmi</w:t>
      </w:r>
      <w:r w:rsidR="00955A19">
        <w:rPr>
          <w:noProof/>
          <w:lang w:val="sk-SK"/>
        </w:rPr>
        <w:t xml:space="preserve"> a </w:t>
      </w:r>
      <w:r w:rsidRPr="00955A19">
        <w:rPr>
          <w:noProof/>
          <w:lang w:val="sk-SK"/>
        </w:rPr>
        <w:t>politickými prioritami EÚ</w:t>
      </w:r>
      <w:r w:rsidR="00CA5A25" w:rsidRPr="00955A19">
        <w:rPr>
          <w:noProof/>
          <w:lang w:val="sk-SK"/>
        </w:rPr>
        <w:t>.</w:t>
      </w:r>
    </w:p>
    <w:p w14:paraId="12BF7E72" w14:textId="1ECA1049" w:rsidR="00CA5A25" w:rsidRPr="00955A19" w:rsidRDefault="00CC7325" w:rsidP="00CC7325">
      <w:pPr>
        <w:rPr>
          <w:noProof/>
          <w:lang w:val="sk-SK"/>
        </w:rPr>
      </w:pPr>
      <w:r w:rsidRPr="00955A19">
        <w:rPr>
          <w:noProof/>
          <w:lang w:val="sk-SK"/>
        </w:rPr>
        <w:t>Pri vytváraní referenčnej hodnoty SRF Komisia uplatnila dôsledný postup, ktorý je založený na modernej teórii portfólia</w:t>
      </w:r>
      <w:r w:rsidRPr="00955A19">
        <w:rPr>
          <w:rStyle w:val="FootnoteReference"/>
          <w:noProof/>
          <w:lang w:val="sk-SK"/>
        </w:rPr>
        <w:footnoteReference w:id="31"/>
      </w:r>
      <w:r w:rsidR="00955A19">
        <w:rPr>
          <w:noProof/>
          <w:lang w:val="sk-SK"/>
        </w:rPr>
        <w:t xml:space="preserve"> a </w:t>
      </w:r>
      <w:r w:rsidRPr="00955A19">
        <w:rPr>
          <w:noProof/>
          <w:lang w:val="sk-SK"/>
        </w:rPr>
        <w:t>zosúladený</w:t>
      </w:r>
      <w:r w:rsidR="00955A19">
        <w:rPr>
          <w:noProof/>
          <w:lang w:val="sk-SK"/>
        </w:rPr>
        <w:t xml:space="preserve"> s </w:t>
      </w:r>
      <w:r w:rsidRPr="00955A19">
        <w:rPr>
          <w:noProof/>
          <w:lang w:val="sk-SK"/>
        </w:rPr>
        <w:t>najlepšími postupmi trhu</w:t>
      </w:r>
      <w:r w:rsidR="00CA5A25" w:rsidRPr="00955A19">
        <w:rPr>
          <w:noProof/>
          <w:lang w:val="sk-SK"/>
        </w:rPr>
        <w:t>.</w:t>
      </w:r>
    </w:p>
    <w:p w14:paraId="5315DA4C" w14:textId="51DE3519" w:rsidR="000244DA" w:rsidRPr="00955A19" w:rsidRDefault="000244DA" w:rsidP="00CC7325">
      <w:pPr>
        <w:rPr>
          <w:noProof/>
          <w:lang w:val="sk-SK"/>
        </w:rPr>
      </w:pPr>
      <w:r w:rsidRPr="00955A19">
        <w:rPr>
          <w:noProof/>
          <w:lang w:val="sk-SK"/>
        </w:rPr>
        <w:t>Nová referenčná hodnota SRF bola schválená</w:t>
      </w:r>
      <w:r w:rsidR="00955A19">
        <w:rPr>
          <w:noProof/>
          <w:lang w:val="sk-SK"/>
        </w:rPr>
        <w:t xml:space="preserve"> a </w:t>
      </w:r>
      <w:r w:rsidRPr="00955A19">
        <w:rPr>
          <w:noProof/>
          <w:lang w:val="sk-SK"/>
        </w:rPr>
        <w:t>validovaná</w:t>
      </w:r>
      <w:r w:rsidR="00955A19">
        <w:rPr>
          <w:noProof/>
          <w:lang w:val="sk-SK"/>
        </w:rPr>
        <w:t xml:space="preserve"> v </w:t>
      </w:r>
      <w:r w:rsidRPr="00955A19">
        <w:rPr>
          <w:noProof/>
          <w:lang w:val="sk-SK"/>
        </w:rPr>
        <w:t>decembri 2022. Vykonávanie referenčnej hodnoty sa začalo</w:t>
      </w:r>
      <w:r w:rsidR="00955A19">
        <w:rPr>
          <w:noProof/>
          <w:lang w:val="sk-SK"/>
        </w:rPr>
        <w:t xml:space="preserve"> v </w:t>
      </w:r>
      <w:r w:rsidRPr="00955A19">
        <w:rPr>
          <w:noProof/>
          <w:lang w:val="sk-SK"/>
        </w:rPr>
        <w:t>januári 2023. Zosúladenie portfólia</w:t>
      </w:r>
      <w:r w:rsidR="00955A19">
        <w:rPr>
          <w:noProof/>
          <w:lang w:val="sk-SK"/>
        </w:rPr>
        <w:t xml:space="preserve"> s </w:t>
      </w:r>
      <w:r w:rsidRPr="00955A19">
        <w:rPr>
          <w:noProof/>
          <w:lang w:val="sk-SK"/>
        </w:rPr>
        <w:t>novou referenčnou hodnotou sa bude realizovať postupne do konca roka 2023.</w:t>
      </w:r>
      <w:r w:rsidR="00955A19">
        <w:rPr>
          <w:noProof/>
          <w:lang w:val="sk-SK"/>
        </w:rPr>
        <w:t xml:space="preserve"> V </w:t>
      </w:r>
      <w:r w:rsidRPr="00955A19">
        <w:rPr>
          <w:noProof/>
          <w:lang w:val="sk-SK"/>
        </w:rPr>
        <w:t>referenčnej hodnote sa stanovuje aj cieľ alokácie do ESG dlhopisov na úrovni 14,7</w:t>
      </w:r>
      <w:r w:rsidR="00955A19">
        <w:rPr>
          <w:noProof/>
          <w:lang w:val="sk-SK"/>
        </w:rPr>
        <w:t> % v </w:t>
      </w:r>
      <w:r w:rsidRPr="00955A19">
        <w:rPr>
          <w:noProof/>
          <w:lang w:val="sk-SK"/>
        </w:rPr>
        <w:t>porovnaní</w:t>
      </w:r>
      <w:r w:rsidR="00955A19">
        <w:rPr>
          <w:noProof/>
          <w:lang w:val="sk-SK"/>
        </w:rPr>
        <w:t xml:space="preserve"> s </w:t>
      </w:r>
      <w:r w:rsidRPr="00955A19">
        <w:rPr>
          <w:noProof/>
          <w:lang w:val="sk-SK"/>
        </w:rPr>
        <w:t>14</w:t>
      </w:r>
      <w:r w:rsidR="00955A19">
        <w:rPr>
          <w:noProof/>
          <w:lang w:val="sk-SK"/>
        </w:rPr>
        <w:t> % v </w:t>
      </w:r>
      <w:r w:rsidRPr="00955A19">
        <w:rPr>
          <w:noProof/>
          <w:lang w:val="sk-SK"/>
        </w:rPr>
        <w:t>portfóliu SRF na konci roka 2022.</w:t>
      </w:r>
    </w:p>
    <w:p w14:paraId="08071F4E" w14:textId="77777777" w:rsidR="00231F7A" w:rsidRPr="00955A19" w:rsidRDefault="00231F7A" w:rsidP="00F7393E">
      <w:pPr>
        <w:pStyle w:val="Heading1"/>
        <w:numPr>
          <w:ilvl w:val="0"/>
          <w:numId w:val="0"/>
        </w:numPr>
        <w:ind w:left="397" w:hanging="397"/>
        <w:rPr>
          <w:noProof/>
          <w:lang w:val="sk-SK"/>
        </w:rPr>
      </w:pPr>
      <w:bookmarkStart w:id="29" w:name="_Toc136296259"/>
      <w:r w:rsidRPr="00955A19">
        <w:rPr>
          <w:noProof/>
          <w:lang w:val="sk-SK"/>
        </w:rPr>
        <w:t>Závery</w:t>
      </w:r>
      <w:bookmarkEnd w:id="29"/>
    </w:p>
    <w:p w14:paraId="1448985A" w14:textId="65972765" w:rsidR="00231F7A" w:rsidRPr="00955A19" w:rsidRDefault="00AE6749" w:rsidP="00231F7A">
      <w:pPr>
        <w:rPr>
          <w:noProof/>
          <w:lang w:val="sk-SK"/>
        </w:rPr>
      </w:pPr>
      <w:r w:rsidRPr="00955A19">
        <w:rPr>
          <w:noProof/>
          <w:lang w:val="sk-SK"/>
        </w:rPr>
        <w:t>Druhý rok fungovania SRF sa vyznačoval rastom absolútnej veľkosti portfólia</w:t>
      </w:r>
      <w:r w:rsidR="00955A19">
        <w:rPr>
          <w:noProof/>
          <w:lang w:val="sk-SK"/>
        </w:rPr>
        <w:t xml:space="preserve"> z </w:t>
      </w:r>
      <w:r w:rsidRPr="00955A19">
        <w:rPr>
          <w:noProof/>
          <w:lang w:val="sk-SK"/>
        </w:rPr>
        <w:t>dôvodu nových tokov do fondu, ako aj zvýšenou zložitosťou, pokiaľ ide</w:t>
      </w:r>
      <w:r w:rsidR="00955A19">
        <w:rPr>
          <w:noProof/>
          <w:lang w:val="sk-SK"/>
        </w:rPr>
        <w:t xml:space="preserve"> o </w:t>
      </w:r>
      <w:r w:rsidRPr="00955A19">
        <w:rPr>
          <w:noProof/>
          <w:lang w:val="sk-SK"/>
        </w:rPr>
        <w:t>počet zložiek</w:t>
      </w:r>
      <w:r w:rsidR="00955A19">
        <w:rPr>
          <w:noProof/>
          <w:lang w:val="sk-SK"/>
        </w:rPr>
        <w:t xml:space="preserve"> a </w:t>
      </w:r>
      <w:r w:rsidRPr="00955A19">
        <w:rPr>
          <w:noProof/>
          <w:lang w:val="sk-SK"/>
        </w:rPr>
        <w:t>prispievajúcich nástrojov začlenených do fondu.</w:t>
      </w:r>
    </w:p>
    <w:p w14:paraId="40098432" w14:textId="7E571253" w:rsidR="00231F7A" w:rsidRPr="00955A19" w:rsidRDefault="00F405BD" w:rsidP="00231F7A">
      <w:pPr>
        <w:rPr>
          <w:noProof/>
          <w:lang w:val="sk-SK"/>
        </w:rPr>
      </w:pPr>
      <w:r w:rsidRPr="00955A19">
        <w:rPr>
          <w:noProof/>
          <w:lang w:val="sk-SK"/>
        </w:rPr>
        <w:t>V roku 2022 sa nevyskytli žiadne udalosti operačného rizika</w:t>
      </w:r>
      <w:r w:rsidR="00955A19">
        <w:rPr>
          <w:noProof/>
          <w:lang w:val="sk-SK"/>
        </w:rPr>
        <w:t xml:space="preserve"> a </w:t>
      </w:r>
      <w:r w:rsidRPr="00955A19">
        <w:rPr>
          <w:noProof/>
          <w:lang w:val="sk-SK"/>
        </w:rPr>
        <w:t>boli pokryté všetky výzvy na uplatnenie záruky, pričom účtovná závierka sa uzavrela podľa harmonogramu. SRF, ktorý mal na konci roku 2022</w:t>
      </w:r>
      <w:r w:rsidR="00955A19">
        <w:rPr>
          <w:noProof/>
          <w:lang w:val="sk-SK"/>
        </w:rPr>
        <w:t xml:space="preserve"> v </w:t>
      </w:r>
      <w:r w:rsidRPr="00955A19">
        <w:rPr>
          <w:noProof/>
          <w:lang w:val="sk-SK"/>
        </w:rPr>
        <w:t>držbe aktíva</w:t>
      </w:r>
      <w:r w:rsidR="00955A19">
        <w:rPr>
          <w:noProof/>
          <w:lang w:val="sk-SK"/>
        </w:rPr>
        <w:t xml:space="preserve"> v </w:t>
      </w:r>
      <w:r w:rsidRPr="00955A19">
        <w:rPr>
          <w:noProof/>
          <w:lang w:val="sk-SK"/>
        </w:rPr>
        <w:t>hodnote 14,39 miliardy EUR, naďalej slúži ako silný kapitálový vankúš pre rozpočtové záruky</w:t>
      </w:r>
      <w:r w:rsidR="00955A19">
        <w:rPr>
          <w:noProof/>
          <w:lang w:val="sk-SK"/>
        </w:rPr>
        <w:t xml:space="preserve"> a </w:t>
      </w:r>
      <w:r w:rsidRPr="00955A19">
        <w:rPr>
          <w:noProof/>
          <w:lang w:val="sk-SK"/>
        </w:rPr>
        <w:t>úvery poskytnuté tretím krajinám.</w:t>
      </w:r>
    </w:p>
    <w:p w14:paraId="4821414A" w14:textId="6F14E6D7" w:rsidR="00BB184F" w:rsidRPr="00955A19" w:rsidRDefault="00F10EC0" w:rsidP="00DC52D2">
      <w:pPr>
        <w:rPr>
          <w:noProof/>
          <w:lang w:val="sk-SK"/>
        </w:rPr>
      </w:pPr>
      <w:r w:rsidRPr="00955A19">
        <w:rPr>
          <w:noProof/>
          <w:lang w:val="sk-SK"/>
        </w:rPr>
        <w:t>V dôsledku hospodárskeho vývoja</w:t>
      </w:r>
      <w:r w:rsidR="00955A19">
        <w:rPr>
          <w:noProof/>
          <w:lang w:val="sk-SK"/>
        </w:rPr>
        <w:t xml:space="preserve"> a </w:t>
      </w:r>
      <w:r w:rsidRPr="00955A19">
        <w:rPr>
          <w:noProof/>
          <w:lang w:val="sk-SK"/>
        </w:rPr>
        <w:t>vývoja na trhu</w:t>
      </w:r>
      <w:r w:rsidR="00955A19">
        <w:rPr>
          <w:noProof/>
          <w:lang w:val="sk-SK"/>
        </w:rPr>
        <w:t xml:space="preserve"> v </w:t>
      </w:r>
      <w:r w:rsidRPr="00955A19">
        <w:rPr>
          <w:noProof/>
          <w:lang w:val="sk-SK"/>
        </w:rPr>
        <w:t>roku 2022 zaznamenali portfóliá</w:t>
      </w:r>
      <w:r w:rsidR="00955A19">
        <w:rPr>
          <w:noProof/>
          <w:lang w:val="sk-SK"/>
        </w:rPr>
        <w:t xml:space="preserve"> s </w:t>
      </w:r>
      <w:r w:rsidRPr="00955A19">
        <w:rPr>
          <w:noProof/>
          <w:lang w:val="sk-SK"/>
        </w:rPr>
        <w:t>pevným výnosom jeden</w:t>
      </w:r>
      <w:r w:rsidR="00955A19">
        <w:rPr>
          <w:noProof/>
          <w:lang w:val="sk-SK"/>
        </w:rPr>
        <w:t xml:space="preserve"> z </w:t>
      </w:r>
      <w:r w:rsidRPr="00955A19">
        <w:rPr>
          <w:noProof/>
          <w:lang w:val="sk-SK"/>
        </w:rPr>
        <w:t>najhorších rokov za viac než jednu generáciu, keďže úrovne výnosov boli výrazne vyššie,</w:t>
      </w:r>
      <w:r w:rsidR="00955A19">
        <w:rPr>
          <w:noProof/>
          <w:lang w:val="sk-SK"/>
        </w:rPr>
        <w:t xml:space="preserve"> a </w:t>
      </w:r>
      <w:r w:rsidRPr="00955A19">
        <w:rPr>
          <w:noProof/>
          <w:lang w:val="sk-SK"/>
        </w:rPr>
        <w:t>to vzhľadom na pretrvávajúcu infláciu</w:t>
      </w:r>
      <w:r w:rsidR="00955A19">
        <w:rPr>
          <w:noProof/>
          <w:lang w:val="sk-SK"/>
        </w:rPr>
        <w:t xml:space="preserve"> a </w:t>
      </w:r>
      <w:r w:rsidRPr="00955A19">
        <w:rPr>
          <w:noProof/>
          <w:lang w:val="sk-SK"/>
        </w:rPr>
        <w:t>prísnejšiu menovú politiku. Bezprecedentný</w:t>
      </w:r>
      <w:r w:rsidR="00955A19">
        <w:rPr>
          <w:noProof/>
          <w:lang w:val="sk-SK"/>
        </w:rPr>
        <w:t xml:space="preserve"> a </w:t>
      </w:r>
      <w:r w:rsidRPr="00955A19">
        <w:rPr>
          <w:noProof/>
          <w:lang w:val="sk-SK"/>
        </w:rPr>
        <w:t>neočakávaný prudký rast úrokových sadzieb viedol</w:t>
      </w:r>
      <w:r w:rsidR="00955A19">
        <w:rPr>
          <w:noProof/>
          <w:lang w:val="sk-SK"/>
        </w:rPr>
        <w:t xml:space="preserve"> v </w:t>
      </w:r>
      <w:r w:rsidRPr="00955A19">
        <w:rPr>
          <w:noProof/>
          <w:lang w:val="sk-SK"/>
        </w:rPr>
        <w:t>roku 2022</w:t>
      </w:r>
      <w:r w:rsidR="00955A19">
        <w:rPr>
          <w:noProof/>
          <w:lang w:val="sk-SK"/>
        </w:rPr>
        <w:t xml:space="preserve"> k </w:t>
      </w:r>
      <w:r w:rsidRPr="00955A19">
        <w:rPr>
          <w:noProof/>
          <w:lang w:val="sk-SK"/>
        </w:rPr>
        <w:t>zníženiu hodnoty portfólia SRF</w:t>
      </w:r>
      <w:r w:rsidR="00955A19">
        <w:rPr>
          <w:noProof/>
          <w:lang w:val="sk-SK"/>
        </w:rPr>
        <w:t xml:space="preserve"> o </w:t>
      </w:r>
      <w:r w:rsidRPr="00955A19">
        <w:rPr>
          <w:noProof/>
          <w:lang w:val="sk-SK"/>
        </w:rPr>
        <w:t>približne 8,8</w:t>
      </w:r>
      <w:r w:rsidR="00955A19">
        <w:rPr>
          <w:noProof/>
          <w:lang w:val="sk-SK"/>
        </w:rPr>
        <w:t> % v </w:t>
      </w:r>
      <w:r w:rsidRPr="00955A19">
        <w:rPr>
          <w:noProof/>
          <w:lang w:val="sk-SK"/>
        </w:rPr>
        <w:t>dôsledku strát</w:t>
      </w:r>
      <w:r w:rsidR="00955A19">
        <w:rPr>
          <w:noProof/>
          <w:lang w:val="sk-SK"/>
        </w:rPr>
        <w:t xml:space="preserve"> z </w:t>
      </w:r>
      <w:r w:rsidRPr="00955A19">
        <w:rPr>
          <w:noProof/>
          <w:lang w:val="sk-SK"/>
        </w:rPr>
        <w:t>oceňovania.</w:t>
      </w:r>
      <w:r w:rsidR="00955A19">
        <w:rPr>
          <w:noProof/>
          <w:lang w:val="sk-SK"/>
        </w:rPr>
        <w:t xml:space="preserve"> Z </w:t>
      </w:r>
      <w:r w:rsidRPr="00955A19">
        <w:rPr>
          <w:noProof/>
          <w:lang w:val="sk-SK"/>
        </w:rPr>
        <w:t>dlhodobejšieho hľadiska poskytujú vyššie úrokové sadzby základ pre pretrvávajúcu pozitívnu výkonnosť. Prejavilo sa to vo výnose do splatnosti portfólia</w:t>
      </w:r>
      <w:r w:rsidRPr="00955A19">
        <w:rPr>
          <w:rStyle w:val="FootnoteReference"/>
          <w:noProof/>
          <w:lang w:val="sk-SK"/>
        </w:rPr>
        <w:footnoteReference w:id="32"/>
      </w:r>
      <w:r w:rsidRPr="00955A19">
        <w:rPr>
          <w:noProof/>
          <w:lang w:val="sk-SK"/>
        </w:rPr>
        <w:t>, ktorý dosiahol úroveň 3</w:t>
      </w:r>
      <w:r w:rsidR="00955A19">
        <w:rPr>
          <w:noProof/>
          <w:lang w:val="sk-SK"/>
        </w:rPr>
        <w:t> % v </w:t>
      </w:r>
      <w:r w:rsidRPr="00955A19">
        <w:rPr>
          <w:noProof/>
          <w:lang w:val="sk-SK"/>
        </w:rPr>
        <w:t>porovnaní</w:t>
      </w:r>
      <w:r w:rsidR="00955A19">
        <w:rPr>
          <w:noProof/>
          <w:lang w:val="sk-SK"/>
        </w:rPr>
        <w:t xml:space="preserve"> s </w:t>
      </w:r>
      <w:r w:rsidRPr="00955A19">
        <w:rPr>
          <w:noProof/>
          <w:lang w:val="sk-SK"/>
        </w:rPr>
        <w:t>0</w:t>
      </w:r>
      <w:r w:rsidR="00955A19">
        <w:rPr>
          <w:noProof/>
          <w:lang w:val="sk-SK"/>
        </w:rPr>
        <w:t> %</w:t>
      </w:r>
      <w:r w:rsidRPr="00955A19">
        <w:rPr>
          <w:noProof/>
          <w:lang w:val="sk-SK"/>
        </w:rPr>
        <w:t xml:space="preserve"> na začiatku roka. Časové rozlíšenie vyšších výnosov</w:t>
      </w:r>
      <w:r w:rsidR="00955A19">
        <w:rPr>
          <w:noProof/>
          <w:lang w:val="sk-SK"/>
        </w:rPr>
        <w:t xml:space="preserve"> a </w:t>
      </w:r>
      <w:r w:rsidRPr="00955A19">
        <w:rPr>
          <w:noProof/>
          <w:lang w:val="sk-SK"/>
        </w:rPr>
        <w:t>reinvestícia splatností</w:t>
      </w:r>
      <w:r w:rsidR="00955A19">
        <w:rPr>
          <w:noProof/>
          <w:lang w:val="sk-SK"/>
        </w:rPr>
        <w:t xml:space="preserve"> s </w:t>
      </w:r>
      <w:r w:rsidRPr="00955A19">
        <w:rPr>
          <w:noProof/>
          <w:lang w:val="sk-SK"/>
        </w:rPr>
        <w:t>vyššími sadzbami poskytuje dôležitú podporu</w:t>
      </w:r>
      <w:r w:rsidR="00955A19">
        <w:rPr>
          <w:noProof/>
          <w:lang w:val="sk-SK"/>
        </w:rPr>
        <w:t xml:space="preserve"> a </w:t>
      </w:r>
      <w:r w:rsidRPr="00955A19">
        <w:rPr>
          <w:noProof/>
          <w:lang w:val="sk-SK"/>
        </w:rPr>
        <w:t>vankúš pre budúce výnosy.</w:t>
      </w:r>
    </w:p>
    <w:p w14:paraId="3ED28687" w14:textId="28000D70" w:rsidR="00EF3588" w:rsidRPr="00955A19" w:rsidRDefault="00C5444D" w:rsidP="00EF3588">
      <w:pPr>
        <w:rPr>
          <w:noProof/>
          <w:lang w:val="sk-SK"/>
        </w:rPr>
      </w:pPr>
      <w:r w:rsidRPr="00955A19">
        <w:rPr>
          <w:noProof/>
          <w:lang w:val="sk-SK"/>
        </w:rPr>
        <w:t>S cieľom ďalej posilniť odolnosť SRF Komisia</w:t>
      </w:r>
      <w:r w:rsidR="00955A19">
        <w:rPr>
          <w:noProof/>
          <w:lang w:val="sk-SK"/>
        </w:rPr>
        <w:t xml:space="preserve"> v </w:t>
      </w:r>
      <w:r w:rsidRPr="00955A19">
        <w:rPr>
          <w:noProof/>
          <w:lang w:val="sk-SK"/>
        </w:rPr>
        <w:t>roku 2022 pokračovala</w:t>
      </w:r>
      <w:r w:rsidR="00955A19">
        <w:rPr>
          <w:noProof/>
          <w:lang w:val="sk-SK"/>
        </w:rPr>
        <w:t xml:space="preserve"> v </w:t>
      </w:r>
      <w:r w:rsidRPr="00955A19">
        <w:rPr>
          <w:noProof/>
          <w:lang w:val="sk-SK"/>
        </w:rPr>
        <w:t>práci na diverzifikácii aktív, aby zahrnula určitú expozíciu voči kapitálovým trhom (prostredníctvom indexového fondu), aktualizovala referenčnú hodnotu</w:t>
      </w:r>
      <w:r w:rsidR="00955A19">
        <w:rPr>
          <w:noProof/>
          <w:lang w:val="sk-SK"/>
        </w:rPr>
        <w:t xml:space="preserve"> a </w:t>
      </w:r>
      <w:r w:rsidRPr="00955A19">
        <w:rPr>
          <w:noProof/>
          <w:lang w:val="sk-SK"/>
        </w:rPr>
        <w:t>zabezpečila väčšie zosúladenie portfólia</w:t>
      </w:r>
      <w:r w:rsidR="00955A19">
        <w:rPr>
          <w:noProof/>
          <w:lang w:val="sk-SK"/>
        </w:rPr>
        <w:t xml:space="preserve"> s </w:t>
      </w:r>
      <w:r w:rsidRPr="00955A19">
        <w:rPr>
          <w:noProof/>
          <w:lang w:val="sk-SK"/>
        </w:rPr>
        <w:t>faktormi ESG. Hoci podmienky boli začiatkom roka 2023 stále náročné, SRF ustál zmeny na trhu</w:t>
      </w:r>
      <w:r w:rsidR="00955A19">
        <w:rPr>
          <w:noProof/>
          <w:lang w:val="sk-SK"/>
        </w:rPr>
        <w:t xml:space="preserve"> v </w:t>
      </w:r>
      <w:r w:rsidRPr="00955A19">
        <w:rPr>
          <w:noProof/>
          <w:lang w:val="sk-SK"/>
        </w:rPr>
        <w:t>roku 2022</w:t>
      </w:r>
      <w:r w:rsidR="00955A19">
        <w:rPr>
          <w:noProof/>
          <w:lang w:val="sk-SK"/>
        </w:rPr>
        <w:t xml:space="preserve"> a v </w:t>
      </w:r>
      <w:r w:rsidRPr="00955A19">
        <w:rPr>
          <w:noProof/>
          <w:lang w:val="sk-SK"/>
        </w:rPr>
        <w:t>súčasnosti má dobré predpoklady na vyrovnanie stratenej hodnoty</w:t>
      </w:r>
      <w:r w:rsidR="00955A19">
        <w:rPr>
          <w:noProof/>
          <w:lang w:val="sk-SK"/>
        </w:rPr>
        <w:t xml:space="preserve"> v </w:t>
      </w:r>
      <w:r w:rsidRPr="00955A19">
        <w:rPr>
          <w:noProof/>
          <w:lang w:val="sk-SK"/>
        </w:rPr>
        <w:t>nadchádzajúcich rokoch.</w:t>
      </w:r>
    </w:p>
    <w:p w14:paraId="2D7FD04C" w14:textId="77777777" w:rsidR="00E45C28" w:rsidRPr="00955A19" w:rsidRDefault="00E45C28" w:rsidP="00B623BA">
      <w:pPr>
        <w:rPr>
          <w:noProof/>
          <w:lang w:val="sk-SK"/>
        </w:rPr>
      </w:pPr>
    </w:p>
    <w:sectPr w:rsidR="00E45C28" w:rsidRPr="00955A19" w:rsidSect="006D5409">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E3E28" w14:textId="77777777" w:rsidR="005D3E09" w:rsidRDefault="005D3E09">
      <w:pPr>
        <w:spacing w:after="0" w:line="240" w:lineRule="auto"/>
      </w:pPr>
      <w:r>
        <w:separator/>
      </w:r>
    </w:p>
  </w:endnote>
  <w:endnote w:type="continuationSeparator" w:id="0">
    <w:p w14:paraId="5040A849" w14:textId="77777777" w:rsidR="005D3E09" w:rsidRDefault="005D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1E70" w14:textId="2830CDBC" w:rsidR="00955A19" w:rsidRPr="008D5B52" w:rsidRDefault="00955A19" w:rsidP="008D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B21F" w14:textId="20ACB8E0" w:rsidR="00955A19" w:rsidRPr="008D5B52" w:rsidRDefault="008D5B52" w:rsidP="008D5B52">
    <w:pPr>
      <w:pStyle w:val="FooterCoverPage"/>
      <w:rPr>
        <w:rFonts w:ascii="Arial" w:hAnsi="Arial" w:cs="Arial"/>
        <w:b/>
        <w:sz w:val="48"/>
      </w:rPr>
    </w:pPr>
    <w:r w:rsidRPr="008D5B52">
      <w:rPr>
        <w:rFonts w:ascii="Arial" w:hAnsi="Arial" w:cs="Arial"/>
        <w:b/>
        <w:sz w:val="48"/>
      </w:rPr>
      <w:t>SK</w:t>
    </w:r>
    <w:r w:rsidRPr="008D5B52">
      <w:rPr>
        <w:rFonts w:ascii="Arial" w:hAnsi="Arial" w:cs="Arial"/>
        <w:b/>
        <w:sz w:val="48"/>
      </w:rPr>
      <w:tab/>
    </w:r>
    <w:r w:rsidRPr="008D5B52">
      <w:rPr>
        <w:rFonts w:ascii="Arial" w:hAnsi="Arial" w:cs="Arial"/>
        <w:b/>
        <w:sz w:val="48"/>
      </w:rPr>
      <w:tab/>
    </w:r>
    <w:r w:rsidRPr="008D5B52">
      <w:tab/>
    </w:r>
    <w:r w:rsidRPr="008D5B52">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A6FD" w14:textId="77777777" w:rsidR="008D5B52" w:rsidRPr="008D5B52" w:rsidRDefault="008D5B52" w:rsidP="008D5B5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13D0" w14:textId="77777777" w:rsidR="005D3E09" w:rsidRDefault="008D5B52">
    <w:pPr>
      <w:pStyle w:val="FooterLine"/>
    </w:pPr>
    <w:sdt>
      <w:sdtPr>
        <w:id w:val="-575744636"/>
        <w:showingPlcHd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F65C93">
          <w:t xml:space="preserve"> </w:t>
        </w:r>
      </w:sdtContent>
    </w:sdt>
    <w:r w:rsidR="00F65C93">
      <w:t xml:space="preserve"> - </w:t>
    </w:r>
    <w:sdt>
      <w:sdtPr>
        <w:id w:val="-2111509216"/>
        <w:showingPlcHd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65C93">
          <w:t xml:space="preserve"> </w:t>
        </w:r>
      </w:sdtContent>
    </w:sdt>
    <w:r w:rsidR="00F65C93">
      <w:tab/>
      <w:t xml:space="preserve">Strana </w:t>
    </w:r>
    <w:r w:rsidR="00F65C93">
      <w:fldChar w:fldCharType="begin"/>
    </w:r>
    <w:r w:rsidR="00F65C93">
      <w:instrText>PAGE</w:instrText>
    </w:r>
    <w:r w:rsidR="00F65C93">
      <w:fldChar w:fldCharType="separate"/>
    </w:r>
    <w:r w:rsidR="00F65C93">
      <w:t>4</w:t>
    </w:r>
    <w:r w:rsidR="00F65C93">
      <w:fldChar w:fldCharType="end"/>
    </w:r>
    <w:r w:rsidR="00F65C93">
      <w:t>/</w:t>
    </w:r>
    <w:r w:rsidR="00F65C93">
      <w:fldChar w:fldCharType="begin"/>
    </w:r>
    <w:r w:rsidR="00F65C93">
      <w:instrText>NUMPAGES</w:instrText>
    </w:r>
    <w:r w:rsidR="00F65C93">
      <w:fldChar w:fldCharType="separate"/>
    </w:r>
    <w:r w:rsidR="00F65C93">
      <w:t>4</w:t>
    </w:r>
    <w:r w:rsidR="00F65C93">
      <w:fldChar w:fldCharType="end"/>
    </w:r>
  </w:p>
  <w:p w14:paraId="29B8C3CB" w14:textId="77777777" w:rsidR="005D3E09" w:rsidRDefault="008D5B52">
    <w:pPr>
      <w:pStyle w:val="Footer"/>
    </w:pPr>
    <w:sdt>
      <w:sdtPr>
        <w:id w:val="1258255176"/>
        <w:dataBinding w:xpath="/Texts/TechFooterVersion" w:storeItemID="{4EF90DE6-88B6-4264-9629-4D8DFDFE87D2}"/>
        <w:text w:multiLine="1"/>
      </w:sdtPr>
      <w:sdtEndPr/>
      <w:sdtContent>
        <w:r w:rsidR="00F65C93">
          <w:t>Verzia dokumentu</w:t>
        </w:r>
      </w:sdtContent>
    </w:sdt>
    <w:r w:rsidR="00F65C93">
      <w:t xml:space="preserve"> </w:t>
    </w:r>
    <w:sdt>
      <w:sdtPr>
        <w:alias w:val="Verzia"/>
        <w:id w:val="-335458909"/>
        <w:dataBinding w:xpath="/EurolookProperties/DocumentVersion" w:storeItemID="{D3EA5527-7367-4268-9D83-5125C98D0ED2}"/>
        <w:text w:multiLine="1"/>
      </w:sdtPr>
      <w:sdtEndPr/>
      <w:sdtContent>
        <w:r w:rsidR="00F65C93">
          <w:t>0.1</w:t>
        </w:r>
      </w:sdtContent>
    </w:sdt>
    <w:r w:rsidR="00F65C93">
      <w:t xml:space="preserve"> </w:t>
    </w:r>
    <w:sdt>
      <w:sdtPr>
        <w:id w:val="-935214562"/>
        <w:dataBinding w:xpath="/Texts/TechFooterDated" w:storeItemID="{4EF90DE6-88B6-4264-9629-4D8DFDFE87D2}"/>
        <w:text w:multiLine="1"/>
      </w:sdtPr>
      <w:sdtEndPr/>
      <w:sdtContent>
        <w:r w:rsidR="00F65C93">
          <w:t>z</w:t>
        </w:r>
      </w:sdtContent>
    </w:sdt>
    <w:r w:rsidR="00F65C93">
      <w:t xml:space="preserve"> </w:t>
    </w:r>
    <w:sdt>
      <w:sdtPr>
        <w:alias w:val=""/>
        <w:id w:val="1755546419"/>
        <w:dataBinding w:xpath="/EurolookProperties/DocumentDate" w:storeItemID="{D3EA5527-7367-4268-9D83-5125C98D0ED2}"/>
        <w:date w:fullDate="2022-03-13T15:55:00Z">
          <w:dateFormat w:val="dd/MM/yyyy"/>
          <w:lid w:val="sk-SK"/>
          <w:storeMappedDataAs w:val="dateTime"/>
          <w:calendar w:val="gregorian"/>
        </w:date>
      </w:sdtPr>
      <w:sdtEndPr/>
      <w:sdtContent>
        <w:r w:rsidR="00F65C93">
          <w:t>13/03/2022</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0402" w14:textId="125A1431" w:rsidR="005D3E09" w:rsidRDefault="005D3E09">
    <w:pPr>
      <w:pStyle w:val="FooterLine"/>
    </w:pPr>
    <w:r>
      <w:tab/>
      <w:t xml:space="preserve">Strana </w:t>
    </w:r>
    <w:r>
      <w:fldChar w:fldCharType="begin"/>
    </w:r>
    <w:r>
      <w:instrText>PAGE</w:instrText>
    </w:r>
    <w:r>
      <w:fldChar w:fldCharType="separate"/>
    </w:r>
    <w:r w:rsidR="008D5B52">
      <w:rPr>
        <w:noProof/>
      </w:rPr>
      <w:t>13</w:t>
    </w:r>
    <w:r>
      <w:fldChar w:fldCharType="end"/>
    </w:r>
    <w:r>
      <w:t>/13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FA96" w14:textId="77777777" w:rsidR="005D3E09" w:rsidRPr="00C61603" w:rsidRDefault="005D3E09" w:rsidP="00C61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25D2" w14:textId="77777777" w:rsidR="005D3E09" w:rsidRDefault="005D3E09">
      <w:pPr>
        <w:spacing w:after="0" w:line="240" w:lineRule="auto"/>
      </w:pPr>
      <w:r>
        <w:separator/>
      </w:r>
    </w:p>
  </w:footnote>
  <w:footnote w:type="continuationSeparator" w:id="0">
    <w:p w14:paraId="6350A81C" w14:textId="77777777" w:rsidR="005D3E09" w:rsidRDefault="005D3E09">
      <w:pPr>
        <w:spacing w:after="0" w:line="240" w:lineRule="auto"/>
      </w:pPr>
      <w:r>
        <w:continuationSeparator/>
      </w:r>
    </w:p>
  </w:footnote>
  <w:footnote w:id="1">
    <w:p w14:paraId="5319014C" w14:textId="36B24311"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Podľa článku 214 nariadenia</w:t>
      </w:r>
      <w:r w:rsidR="00955A19">
        <w:rPr>
          <w:lang w:val="sk-SK"/>
        </w:rPr>
        <w:t xml:space="preserve"> o </w:t>
      </w:r>
      <w:r w:rsidRPr="00955A19">
        <w:rPr>
          <w:lang w:val="sk-SK"/>
        </w:rPr>
        <w:t>rozpočtových pravidlách [nariadenie Európskeho parlamentu</w:t>
      </w:r>
      <w:r w:rsidR="00955A19">
        <w:rPr>
          <w:lang w:val="sk-SK"/>
        </w:rPr>
        <w:t xml:space="preserve"> a </w:t>
      </w:r>
      <w:r w:rsidRPr="00955A19">
        <w:rPr>
          <w:lang w:val="sk-SK"/>
        </w:rPr>
        <w:t>Rady (EÚ, Euratom) 2018/1046</w:t>
      </w:r>
      <w:r w:rsidR="00955A19">
        <w:rPr>
          <w:lang w:val="sk-SK"/>
        </w:rPr>
        <w:t xml:space="preserve"> z </w:t>
      </w:r>
      <w:r w:rsidRPr="00955A19">
        <w:rPr>
          <w:lang w:val="sk-SK"/>
        </w:rPr>
        <w:t>18</w:t>
      </w:r>
      <w:r w:rsidR="00955A19">
        <w:rPr>
          <w:lang w:val="sk-SK"/>
        </w:rPr>
        <w:t>. júla</w:t>
      </w:r>
      <w:r w:rsidRPr="00955A19">
        <w:rPr>
          <w:lang w:val="sk-SK"/>
        </w:rPr>
        <w:t xml:space="preserve"> 2018</w:t>
      </w:r>
      <w:r w:rsidR="00955A19">
        <w:rPr>
          <w:lang w:val="sk-SK"/>
        </w:rPr>
        <w:t xml:space="preserve"> o </w:t>
      </w:r>
      <w:r w:rsidRPr="00955A19">
        <w:rPr>
          <w:lang w:val="sk-SK"/>
        </w:rPr>
        <w:t>rozpočtových pravidlách, ktoré sa vzťahujú na všeobecný rozpočet Únie,</w:t>
      </w:r>
      <w:r w:rsidR="00955A19">
        <w:rPr>
          <w:lang w:val="sk-SK"/>
        </w:rPr>
        <w:t xml:space="preserve"> o </w:t>
      </w:r>
      <w:r w:rsidRPr="00955A19">
        <w:rPr>
          <w:lang w:val="sk-SK"/>
        </w:rPr>
        <w:t>zmene nariadení (EÚ) č. 1296/2013, (EÚ) č. 1301/2013, (EÚ) č. 1303/2013, (EÚ) č. 1304/2013, (EÚ) č. 1309/2013, (EÚ) č. 1316/2013, (EÚ) č. 223/2014, (EÚ) č. 283/2014</w:t>
      </w:r>
      <w:r w:rsidR="00955A19">
        <w:rPr>
          <w:lang w:val="sk-SK"/>
        </w:rPr>
        <w:t xml:space="preserve"> a </w:t>
      </w:r>
      <w:r w:rsidRPr="00955A19">
        <w:rPr>
          <w:lang w:val="sk-SK"/>
        </w:rPr>
        <w:t>rozhodnutia č. 541/2014/EÚ</w:t>
      </w:r>
      <w:r w:rsidR="00955A19">
        <w:rPr>
          <w:lang w:val="sk-SK"/>
        </w:rPr>
        <w:t xml:space="preserve"> a o </w:t>
      </w:r>
      <w:r w:rsidRPr="00955A19">
        <w:rPr>
          <w:lang w:val="sk-SK"/>
        </w:rPr>
        <w:t>zrušení nariadenia (EÚ, Euratom) č. 966/2012 (Ú. v. EÚ L 193, 30.7.2018, s. 1)] predkladá Komisia každý rok Európskemu parlamentu</w:t>
      </w:r>
      <w:r w:rsidR="00955A19">
        <w:rPr>
          <w:lang w:val="sk-SK"/>
        </w:rPr>
        <w:t xml:space="preserve"> a </w:t>
      </w:r>
      <w:r w:rsidRPr="00955A19">
        <w:rPr>
          <w:lang w:val="sk-SK"/>
        </w:rPr>
        <w:t>Rade správu</w:t>
      </w:r>
      <w:r w:rsidR="00955A19">
        <w:rPr>
          <w:lang w:val="sk-SK"/>
        </w:rPr>
        <w:t xml:space="preserve"> o </w:t>
      </w:r>
      <w:r w:rsidRPr="00955A19">
        <w:rPr>
          <w:lang w:val="sk-SK"/>
        </w:rPr>
        <w:t>spoločnom rezervnom fonde.</w:t>
      </w:r>
      <w:r w:rsidR="00955A19">
        <w:rPr>
          <w:lang w:val="sk-SK"/>
        </w:rPr>
        <w:t xml:space="preserve"> V </w:t>
      </w:r>
      <w:r w:rsidRPr="00955A19">
        <w:rPr>
          <w:lang w:val="sk-SK"/>
        </w:rPr>
        <w:t>usmerneniach pre správu aktív SRF ‹rozhodnutie Komisie</w:t>
      </w:r>
      <w:r w:rsidR="00955A19">
        <w:rPr>
          <w:lang w:val="sk-SK"/>
        </w:rPr>
        <w:t xml:space="preserve"> z </w:t>
      </w:r>
      <w:r w:rsidRPr="00955A19">
        <w:rPr>
          <w:lang w:val="sk-SK"/>
        </w:rPr>
        <w:t>25</w:t>
      </w:r>
      <w:r w:rsidR="00955A19">
        <w:rPr>
          <w:lang w:val="sk-SK"/>
        </w:rPr>
        <w:t>. marca</w:t>
      </w:r>
      <w:r w:rsidRPr="00955A19">
        <w:rPr>
          <w:lang w:val="sk-SK"/>
        </w:rPr>
        <w:t xml:space="preserve"> 2020</w:t>
      </w:r>
      <w:r w:rsidR="00955A19">
        <w:rPr>
          <w:lang w:val="sk-SK"/>
        </w:rPr>
        <w:t xml:space="preserve"> o </w:t>
      </w:r>
      <w:r w:rsidRPr="00955A19">
        <w:rPr>
          <w:lang w:val="sk-SK"/>
        </w:rPr>
        <w:t>usmerneniach pre správu aktív spoločného rezervného fondu [C(2020) 1896 final], Ú. v. EÚ C 131, 22.4.2020, s. 3 – 11› sa uvádzajú ďalšie usmernenia</w:t>
      </w:r>
      <w:r w:rsidR="00955A19">
        <w:rPr>
          <w:lang w:val="sk-SK"/>
        </w:rPr>
        <w:t xml:space="preserve"> k </w:t>
      </w:r>
      <w:r w:rsidRPr="00955A19">
        <w:rPr>
          <w:lang w:val="sk-SK"/>
        </w:rPr>
        <w:t>obsahu tejto správy.</w:t>
      </w:r>
    </w:p>
  </w:footnote>
  <w:footnote w:id="2">
    <w:p w14:paraId="7E7E8946" w14:textId="2A9549AF"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Článok 2 ods. 1 usmernení pre správu aktív.</w:t>
      </w:r>
    </w:p>
  </w:footnote>
  <w:footnote w:id="3">
    <w:p w14:paraId="639A540C" w14:textId="1CB104E5"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Štruktúra riadenia bola predstavená vo výročnej správe</w:t>
      </w:r>
      <w:r w:rsidR="00955A19">
        <w:rPr>
          <w:lang w:val="sk-SK"/>
        </w:rPr>
        <w:t xml:space="preserve"> o </w:t>
      </w:r>
      <w:r w:rsidRPr="00955A19">
        <w:rPr>
          <w:lang w:val="sk-SK"/>
        </w:rPr>
        <w:t xml:space="preserve">SRF za rok 2021, </w:t>
      </w:r>
      <w:hyperlink r:id="rId1" w:history="1">
        <w:r w:rsidRPr="00955A19">
          <w:rPr>
            <w:color w:val="0000FF"/>
            <w:u w:val="single"/>
            <w:lang w:val="sk-SK"/>
          </w:rPr>
          <w:t>EUR-Lex – 52022DC0213 – SK – EUR-Lex (europa.eu)</w:t>
        </w:r>
      </w:hyperlink>
      <w:r w:rsidRPr="00955A19">
        <w:rPr>
          <w:lang w:val="sk-SK"/>
        </w:rPr>
        <w:t>.</w:t>
      </w:r>
    </w:p>
  </w:footnote>
  <w:footnote w:id="4">
    <w:p w14:paraId="549A9020" w14:textId="60B54B17" w:rsidR="0048398A" w:rsidRPr="00955A19" w:rsidRDefault="0048398A" w:rsidP="001C5868">
      <w:pPr>
        <w:pStyle w:val="FootnoteText"/>
        <w:spacing w:after="0"/>
        <w:rPr>
          <w:lang w:val="sk-SK"/>
        </w:rPr>
      </w:pPr>
      <w:r w:rsidRPr="00955A19">
        <w:rPr>
          <w:rStyle w:val="FootnoteReference"/>
          <w:lang w:val="sk-SK"/>
        </w:rPr>
        <w:footnoteRef/>
      </w:r>
      <w:r w:rsidRPr="00955A19">
        <w:rPr>
          <w:lang w:val="sk-SK"/>
        </w:rPr>
        <w:tab/>
        <w:t>Čistá hodnota aktív SRF je určená hodnotou celkových aktív zníženou</w:t>
      </w:r>
      <w:r w:rsidR="00955A19">
        <w:rPr>
          <w:lang w:val="sk-SK"/>
        </w:rPr>
        <w:t xml:space="preserve"> o </w:t>
      </w:r>
      <w:r w:rsidRPr="00955A19">
        <w:rPr>
          <w:lang w:val="sk-SK"/>
        </w:rPr>
        <w:t>záväzky,</w:t>
      </w:r>
      <w:r w:rsidR="00955A19">
        <w:rPr>
          <w:lang w:val="sk-SK"/>
        </w:rPr>
        <w:t xml:space="preserve"> k </w:t>
      </w:r>
      <w:r w:rsidRPr="00955A19">
        <w:rPr>
          <w:lang w:val="sk-SK"/>
        </w:rPr>
        <w:t>príslušnému dátumu výpočtu čistej hodnoty aktív.</w:t>
      </w:r>
    </w:p>
  </w:footnote>
  <w:footnote w:id="5">
    <w:p w14:paraId="3297477F" w14:textId="7B713A13"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Podľa článku 3 usmernení pre správu aktív sa zdroje SRF alokujú do zložiek zodpovedajúcich každému</w:t>
      </w:r>
      <w:r w:rsidR="00955A19">
        <w:rPr>
          <w:lang w:val="sk-SK"/>
        </w:rPr>
        <w:t xml:space="preserve"> z </w:t>
      </w:r>
      <w:r w:rsidRPr="00955A19">
        <w:rPr>
          <w:lang w:val="sk-SK"/>
        </w:rPr>
        <w:t>prispievajúcich nástrojov, ako sú uvedené</w:t>
      </w:r>
      <w:r w:rsidR="00955A19">
        <w:rPr>
          <w:lang w:val="sk-SK"/>
        </w:rPr>
        <w:t xml:space="preserve"> v </w:t>
      </w:r>
      <w:r w:rsidRPr="00955A19">
        <w:rPr>
          <w:lang w:val="sk-SK"/>
        </w:rPr>
        <w:t>článku 1 usmernení pre správu aktív.</w:t>
      </w:r>
    </w:p>
  </w:footnote>
  <w:footnote w:id="6">
    <w:p w14:paraId="2A63079F" w14:textId="0358E4EB"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V roku 2023 sa otvoria dve dodatočné zložky záruky InvestEU pre každý členský štát, takže ich celkový počet sa zvýši na 16.</w:t>
      </w:r>
    </w:p>
  </w:footnote>
  <w:footnote w:id="7">
    <w:p w14:paraId="58C2C95B" w14:textId="222F6DE2"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Európsky fond pre strategické investície</w:t>
      </w:r>
    </w:p>
  </w:footnote>
  <w:footnote w:id="8">
    <w:p w14:paraId="2368AB94" w14:textId="2DDA6E2D"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V Garančnom fonde pre vonkajšie opatrenia (GFEA) sa vedú rezervy na mandát na poskytovanie vonkajších úverov (ELM), staršie programy (makrofinančná pomoc – MFA)</w:t>
      </w:r>
      <w:r w:rsidR="00955A19">
        <w:rPr>
          <w:lang w:val="sk-SK"/>
        </w:rPr>
        <w:t xml:space="preserve"> a </w:t>
      </w:r>
      <w:r w:rsidRPr="00955A19">
        <w:rPr>
          <w:lang w:val="sk-SK"/>
        </w:rPr>
        <w:t>programy Euratomu.</w:t>
      </w:r>
    </w:p>
  </w:footnote>
  <w:footnote w:id="9">
    <w:p w14:paraId="71DF0C4C" w14:textId="414A494F"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Európsky fond pre udržateľný rozvoj.</w:t>
      </w:r>
    </w:p>
  </w:footnote>
  <w:footnote w:id="10">
    <w:p w14:paraId="0741389E" w14:textId="70190367"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Nariadenie Európskeho parlamentu</w:t>
      </w:r>
      <w:r w:rsidR="00955A19">
        <w:rPr>
          <w:lang w:val="sk-SK"/>
        </w:rPr>
        <w:t xml:space="preserve"> a </w:t>
      </w:r>
      <w:r w:rsidRPr="00955A19">
        <w:rPr>
          <w:lang w:val="sk-SK"/>
        </w:rPr>
        <w:t>Rady (EÚ) 2021/523</w:t>
      </w:r>
      <w:r w:rsidR="00955A19">
        <w:rPr>
          <w:lang w:val="sk-SK"/>
        </w:rPr>
        <w:t xml:space="preserve"> z </w:t>
      </w:r>
      <w:r w:rsidRPr="00955A19">
        <w:rPr>
          <w:lang w:val="sk-SK"/>
        </w:rPr>
        <w:t>24</w:t>
      </w:r>
      <w:r w:rsidR="00955A19">
        <w:rPr>
          <w:lang w:val="sk-SK"/>
        </w:rPr>
        <w:t>. marca</w:t>
      </w:r>
      <w:r w:rsidRPr="00955A19">
        <w:rPr>
          <w:lang w:val="sk-SK"/>
        </w:rPr>
        <w:t xml:space="preserve"> 2021, ktorým sa zriaďuje Program InvestEU</w:t>
      </w:r>
      <w:r w:rsidR="00955A19">
        <w:rPr>
          <w:lang w:val="sk-SK"/>
        </w:rPr>
        <w:t xml:space="preserve"> a </w:t>
      </w:r>
      <w:r w:rsidRPr="00955A19">
        <w:rPr>
          <w:lang w:val="sk-SK"/>
        </w:rPr>
        <w:t>ktorým sa mení nariadenie (EÚ) 2015/1017 (Ú. v. EÚ L 107, 26.3.2021, s. 30 – 89).</w:t>
      </w:r>
    </w:p>
  </w:footnote>
  <w:footnote w:id="11">
    <w:p w14:paraId="6C25AAA3" w14:textId="5C823BE7"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Nariadenie Európskeho parlamentu</w:t>
      </w:r>
      <w:r w:rsidR="00955A19">
        <w:rPr>
          <w:lang w:val="sk-SK"/>
        </w:rPr>
        <w:t xml:space="preserve"> a </w:t>
      </w:r>
      <w:r w:rsidRPr="00955A19">
        <w:rPr>
          <w:lang w:val="sk-SK"/>
        </w:rPr>
        <w:t>Rady (EÚ) 2021/947</w:t>
      </w:r>
      <w:r w:rsidR="00955A19">
        <w:rPr>
          <w:lang w:val="sk-SK"/>
        </w:rPr>
        <w:t xml:space="preserve"> z </w:t>
      </w:r>
      <w:r w:rsidRPr="00955A19">
        <w:rPr>
          <w:lang w:val="sk-SK"/>
        </w:rPr>
        <w:t>9</w:t>
      </w:r>
      <w:r w:rsidR="00955A19">
        <w:rPr>
          <w:lang w:val="sk-SK"/>
        </w:rPr>
        <w:t>. júna</w:t>
      </w:r>
      <w:r w:rsidRPr="00955A19">
        <w:rPr>
          <w:lang w:val="sk-SK"/>
        </w:rPr>
        <w:t xml:space="preserve"> 2021, ktorým sa zriaďuje Nástroj susedstva</w:t>
      </w:r>
      <w:r w:rsidR="00955A19">
        <w:rPr>
          <w:lang w:val="sk-SK"/>
        </w:rPr>
        <w:t xml:space="preserve"> a </w:t>
      </w:r>
      <w:r w:rsidRPr="00955A19">
        <w:rPr>
          <w:lang w:val="sk-SK"/>
        </w:rPr>
        <w:t>rozvojovej</w:t>
      </w:r>
      <w:r w:rsidR="00955A19">
        <w:rPr>
          <w:lang w:val="sk-SK"/>
        </w:rPr>
        <w:t xml:space="preserve"> a </w:t>
      </w:r>
      <w:r w:rsidRPr="00955A19">
        <w:rPr>
          <w:lang w:val="sk-SK"/>
        </w:rPr>
        <w:t>medzinárodnej spolupráce – Globálna Európa, mení</w:t>
      </w:r>
      <w:r w:rsidR="00955A19">
        <w:rPr>
          <w:lang w:val="sk-SK"/>
        </w:rPr>
        <w:t xml:space="preserve"> a </w:t>
      </w:r>
      <w:r w:rsidRPr="00955A19">
        <w:rPr>
          <w:lang w:val="sk-SK"/>
        </w:rPr>
        <w:t>zrušuje rozhodnutie č. 466/2014/EÚ</w:t>
      </w:r>
      <w:r w:rsidR="00955A19">
        <w:rPr>
          <w:lang w:val="sk-SK"/>
        </w:rPr>
        <w:t xml:space="preserve"> a </w:t>
      </w:r>
      <w:r w:rsidRPr="00955A19">
        <w:rPr>
          <w:lang w:val="sk-SK"/>
        </w:rPr>
        <w:t>zrušuje nariadenie (EÚ) 2017/1601</w:t>
      </w:r>
      <w:r w:rsidR="00955A19">
        <w:rPr>
          <w:lang w:val="sk-SK"/>
        </w:rPr>
        <w:t xml:space="preserve"> a </w:t>
      </w:r>
      <w:r w:rsidRPr="00955A19">
        <w:rPr>
          <w:lang w:val="sk-SK"/>
        </w:rPr>
        <w:t>nariadenie Rady (ES, Euratom) č. 480/2009 (Ú. v. EÚ L 209, 14.6.2021, s. 1 – 78).</w:t>
      </w:r>
    </w:p>
  </w:footnote>
  <w:footnote w:id="12">
    <w:p w14:paraId="1E1A5AA4" w14:textId="41234C0D" w:rsidR="008C7F0F" w:rsidRPr="00955A19" w:rsidRDefault="008C7F0F" w:rsidP="001C5868">
      <w:pPr>
        <w:pStyle w:val="FootnoteText"/>
        <w:spacing w:after="0"/>
        <w:rPr>
          <w:lang w:val="sk-SK"/>
        </w:rPr>
      </w:pPr>
      <w:r w:rsidRPr="00955A19">
        <w:rPr>
          <w:rStyle w:val="FootnoteReference"/>
          <w:lang w:val="sk-SK"/>
        </w:rPr>
        <w:footnoteRef/>
      </w:r>
      <w:r w:rsidRPr="00955A19">
        <w:rPr>
          <w:lang w:val="sk-SK"/>
        </w:rPr>
        <w:tab/>
        <w:t>Rozhodnutie Európskeho parlamentu</w:t>
      </w:r>
      <w:r w:rsidR="00955A19">
        <w:rPr>
          <w:lang w:val="sk-SK"/>
        </w:rPr>
        <w:t xml:space="preserve"> a </w:t>
      </w:r>
      <w:r w:rsidRPr="00955A19">
        <w:rPr>
          <w:lang w:val="sk-SK"/>
        </w:rPr>
        <w:t>Rady (EÚ) 2022/1201</w:t>
      </w:r>
      <w:r w:rsidR="00955A19">
        <w:rPr>
          <w:lang w:val="sk-SK"/>
        </w:rPr>
        <w:t xml:space="preserve"> z </w:t>
      </w:r>
      <w:r w:rsidRPr="00955A19">
        <w:rPr>
          <w:lang w:val="sk-SK"/>
        </w:rPr>
        <w:t>12</w:t>
      </w:r>
      <w:r w:rsidR="00955A19">
        <w:rPr>
          <w:lang w:val="sk-SK"/>
        </w:rPr>
        <w:t>. júla</w:t>
      </w:r>
      <w:r w:rsidRPr="00955A19">
        <w:rPr>
          <w:lang w:val="sk-SK"/>
        </w:rPr>
        <w:t xml:space="preserve"> 2022</w:t>
      </w:r>
      <w:r w:rsidR="00955A19">
        <w:rPr>
          <w:lang w:val="sk-SK"/>
        </w:rPr>
        <w:t xml:space="preserve"> o </w:t>
      </w:r>
      <w:r w:rsidRPr="00955A19">
        <w:rPr>
          <w:lang w:val="sk-SK"/>
        </w:rPr>
        <w:t>poskytnutí výnimočnej makrofinančnej pomoci Ukrajine (Ú. v. EÚ L 186, 13.7.2022, s. 1 – 7).</w:t>
      </w:r>
    </w:p>
  </w:footnote>
  <w:footnote w:id="13">
    <w:p w14:paraId="6BFAAABA" w14:textId="092CBB30" w:rsidR="008C7F0F" w:rsidRPr="00955A19" w:rsidRDefault="008C7F0F" w:rsidP="001C5868">
      <w:pPr>
        <w:pStyle w:val="FootnoteText"/>
        <w:spacing w:after="0"/>
        <w:rPr>
          <w:lang w:val="sk-SK"/>
        </w:rPr>
      </w:pPr>
      <w:r w:rsidRPr="00955A19">
        <w:rPr>
          <w:rStyle w:val="FootnoteReference"/>
          <w:lang w:val="sk-SK"/>
        </w:rPr>
        <w:footnoteRef/>
      </w:r>
      <w:r w:rsidRPr="00955A19">
        <w:rPr>
          <w:lang w:val="sk-SK"/>
        </w:rPr>
        <w:tab/>
        <w:t>Rozhodnutie Európskeho parlamentu</w:t>
      </w:r>
      <w:r w:rsidR="00955A19">
        <w:rPr>
          <w:lang w:val="sk-SK"/>
        </w:rPr>
        <w:t xml:space="preserve"> a </w:t>
      </w:r>
      <w:r w:rsidRPr="00955A19">
        <w:rPr>
          <w:lang w:val="sk-SK"/>
        </w:rPr>
        <w:t>Rady (EÚ) 2022/1628</w:t>
      </w:r>
      <w:r w:rsidR="00955A19">
        <w:rPr>
          <w:lang w:val="sk-SK"/>
        </w:rPr>
        <w:t xml:space="preserve"> z </w:t>
      </w:r>
      <w:r w:rsidRPr="00955A19">
        <w:rPr>
          <w:lang w:val="sk-SK"/>
        </w:rPr>
        <w:t>20</w:t>
      </w:r>
      <w:r w:rsidR="00955A19">
        <w:rPr>
          <w:lang w:val="sk-SK"/>
        </w:rPr>
        <w:t>. septembra</w:t>
      </w:r>
      <w:r w:rsidRPr="00955A19">
        <w:rPr>
          <w:lang w:val="sk-SK"/>
        </w:rPr>
        <w:t xml:space="preserve"> 2022, ktorým sa poskytuje výnimočná makrofinančná pomoc Ukrajine, posilňuje spoločný rezervný fond zárukami členských štátov</w:t>
      </w:r>
      <w:r w:rsidR="00955A19">
        <w:rPr>
          <w:lang w:val="sk-SK"/>
        </w:rPr>
        <w:t xml:space="preserve"> a </w:t>
      </w:r>
      <w:r w:rsidRPr="00955A19">
        <w:rPr>
          <w:lang w:val="sk-SK"/>
        </w:rPr>
        <w:t>osobitnou tvorbou rezerv na niektoré finančné záväzky týkajúce sa Ukrajiny zaručené podľa rozhodnutia č. 466/2014/EÚ</w:t>
      </w:r>
      <w:r w:rsidR="00955A19">
        <w:rPr>
          <w:lang w:val="sk-SK"/>
        </w:rPr>
        <w:t xml:space="preserve"> a </w:t>
      </w:r>
      <w:r w:rsidRPr="00955A19">
        <w:rPr>
          <w:lang w:val="sk-SK"/>
        </w:rPr>
        <w:t>ktorým sa mení rozhodnutie (EÚ) 2022/1201 (Ú. v. EÚ L 245, 22.9.2022, s. 1 – 13).</w:t>
      </w:r>
    </w:p>
  </w:footnote>
  <w:footnote w:id="14">
    <w:p w14:paraId="6D78FF80" w14:textId="226633F3"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Nadnárodné spoločnosti, subjekty na nižších úrovniach štátnej správy</w:t>
      </w:r>
      <w:r w:rsidR="00955A19">
        <w:rPr>
          <w:lang w:val="sk-SK"/>
        </w:rPr>
        <w:t xml:space="preserve"> a </w:t>
      </w:r>
      <w:r w:rsidRPr="00955A19">
        <w:rPr>
          <w:lang w:val="sk-SK"/>
        </w:rPr>
        <w:t>agentúry.</w:t>
      </w:r>
    </w:p>
  </w:footnote>
  <w:footnote w:id="15">
    <w:p w14:paraId="71864A01" w14:textId="49904DA5"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Investície do podnikových dlhopisov sa realizujú prostredníctvom jednotlivých emisií dlhopisov</w:t>
      </w:r>
      <w:r w:rsidR="00955A19">
        <w:rPr>
          <w:lang w:val="sk-SK"/>
        </w:rPr>
        <w:t xml:space="preserve"> a </w:t>
      </w:r>
      <w:r w:rsidRPr="00955A19">
        <w:rPr>
          <w:lang w:val="sk-SK"/>
        </w:rPr>
        <w:t>od roku 2022 aj prostredníctvom fondov obchodovaných na burze, ktoré sledujú indexy podnikových dlhopisov.</w:t>
      </w:r>
    </w:p>
  </w:footnote>
  <w:footnote w:id="16">
    <w:p w14:paraId="4F73E6A3" w14:textId="47262174"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V porovnaní so 73,5 milióna EUR</w:t>
      </w:r>
      <w:r w:rsidR="00955A19">
        <w:rPr>
          <w:lang w:val="sk-SK"/>
        </w:rPr>
        <w:t xml:space="preserve"> v </w:t>
      </w:r>
      <w:r w:rsidRPr="00955A19">
        <w:rPr>
          <w:lang w:val="sk-SK"/>
        </w:rPr>
        <w:t>roku 2021.</w:t>
      </w:r>
    </w:p>
  </w:footnote>
  <w:footnote w:id="17">
    <w:p w14:paraId="62D5EA82" w14:textId="12AA58F7" w:rsidR="000120C0" w:rsidRPr="00955A19" w:rsidRDefault="000120C0" w:rsidP="001C5868">
      <w:pPr>
        <w:pStyle w:val="FootnoteText"/>
        <w:spacing w:after="0"/>
        <w:rPr>
          <w:lang w:val="sk-SK"/>
        </w:rPr>
      </w:pPr>
      <w:r w:rsidRPr="00955A19">
        <w:rPr>
          <w:rStyle w:val="FootnoteReference"/>
          <w:lang w:val="sk-SK"/>
        </w:rPr>
        <w:footnoteRef/>
      </w:r>
      <w:r w:rsidRPr="00955A19">
        <w:rPr>
          <w:lang w:val="sk-SK"/>
        </w:rPr>
        <w:tab/>
        <w:t>Jednotlivé výzvy na uplatnenie záruky sú uvedené</w:t>
      </w:r>
      <w:r w:rsidR="00955A19">
        <w:rPr>
          <w:lang w:val="sk-SK"/>
        </w:rPr>
        <w:t xml:space="preserve"> v </w:t>
      </w:r>
      <w:r w:rsidRPr="00955A19">
        <w:rPr>
          <w:lang w:val="sk-SK"/>
        </w:rPr>
        <w:t>samostatnej správe podľa článku 41 ods. 5 nariadenia</w:t>
      </w:r>
      <w:r w:rsidR="00955A19">
        <w:rPr>
          <w:lang w:val="sk-SK"/>
        </w:rPr>
        <w:t xml:space="preserve"> o </w:t>
      </w:r>
      <w:r w:rsidRPr="00955A19">
        <w:rPr>
          <w:lang w:val="sk-SK"/>
        </w:rPr>
        <w:t>rozpočtových pravidlách.</w:t>
      </w:r>
    </w:p>
  </w:footnote>
  <w:footnote w:id="18">
    <w:p w14:paraId="0FCD7D87" w14:textId="702D941D"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Treba uviesť, že platby môžu vzniknúť</w:t>
      </w:r>
      <w:r w:rsidR="00955A19">
        <w:rPr>
          <w:lang w:val="sk-SK"/>
        </w:rPr>
        <w:t xml:space="preserve"> v </w:t>
      </w:r>
      <w:r w:rsidRPr="00955A19">
        <w:rPr>
          <w:lang w:val="sk-SK"/>
        </w:rPr>
        <w:t xml:space="preserve">roku 2023 alebo neskôr, čo si môže vyžiadať </w:t>
      </w:r>
      <w:r w:rsidRPr="00955A19">
        <w:rPr>
          <w:i/>
          <w:iCs/>
          <w:lang w:val="sk-SK"/>
        </w:rPr>
        <w:t>ex post</w:t>
      </w:r>
      <w:r w:rsidRPr="00955A19">
        <w:rPr>
          <w:lang w:val="sk-SK"/>
        </w:rPr>
        <w:t xml:space="preserve"> úpravu účtovnej závierky za rok 2022.</w:t>
      </w:r>
    </w:p>
  </w:footnote>
  <w:footnote w:id="19">
    <w:p w14:paraId="59555186" w14:textId="56992835"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t>Po odpočítaní doplnení zdrojov.</w:t>
      </w:r>
    </w:p>
  </w:footnote>
  <w:footnote w:id="20">
    <w:p w14:paraId="39256556" w14:textId="77777777"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r>
      <w:hyperlink r:id="rId2" w:history="1">
        <w:r w:rsidRPr="00955A19">
          <w:rPr>
            <w:color w:val="0000FF"/>
            <w:u w:val="single"/>
            <w:lang w:val="sk-SK"/>
          </w:rPr>
          <w:t>EUR-Lex – 52022DC0213 – SK – EUR-Lex (europa.eu)</w:t>
        </w:r>
      </w:hyperlink>
      <w:r w:rsidRPr="00955A19">
        <w:rPr>
          <w:lang w:val="sk-SK"/>
        </w:rPr>
        <w:t>.</w:t>
      </w:r>
    </w:p>
  </w:footnote>
  <w:footnote w:id="21">
    <w:p w14:paraId="6AAD5E0B" w14:textId="4CF341DC" w:rsidR="005D3E09" w:rsidRPr="00955A19" w:rsidRDefault="005D3E09" w:rsidP="001C5868">
      <w:pPr>
        <w:pStyle w:val="FootnoteText"/>
        <w:spacing w:after="0"/>
        <w:rPr>
          <w:sz w:val="18"/>
          <w:lang w:val="sk-SK"/>
        </w:rPr>
      </w:pPr>
      <w:r w:rsidRPr="00955A19">
        <w:rPr>
          <w:rStyle w:val="FootnoteReference"/>
          <w:sz w:val="18"/>
          <w:lang w:val="sk-SK"/>
        </w:rPr>
        <w:footnoteRef/>
      </w:r>
      <w:r w:rsidRPr="00955A19">
        <w:rPr>
          <w:lang w:val="sk-SK"/>
        </w:rPr>
        <w:t xml:space="preserve"> </w:t>
      </w:r>
      <w:r w:rsidR="00955A19" w:rsidRPr="00955A19">
        <w:rPr>
          <w:lang w:val="sk-SK"/>
        </w:rPr>
        <w:tab/>
      </w:r>
      <w:r w:rsidRPr="00955A19">
        <w:rPr>
          <w:lang w:val="sk-SK"/>
        </w:rPr>
        <w:t>Delegované rozhodnutie Komisie (EÚ, Euratom) C(2020) 7684, ktorým sa nariadenie Európskeho parlamentu</w:t>
      </w:r>
      <w:r w:rsidR="00955A19">
        <w:rPr>
          <w:lang w:val="sk-SK"/>
        </w:rPr>
        <w:t xml:space="preserve"> a </w:t>
      </w:r>
      <w:r w:rsidRPr="00955A19">
        <w:rPr>
          <w:lang w:val="sk-SK"/>
        </w:rPr>
        <w:t>Rady (EÚ, Euratom) 2018/1046 dopĺňa</w:t>
      </w:r>
      <w:r w:rsidR="00955A19">
        <w:rPr>
          <w:lang w:val="sk-SK"/>
        </w:rPr>
        <w:t xml:space="preserve"> o </w:t>
      </w:r>
      <w:r w:rsidRPr="00955A19">
        <w:rPr>
          <w:lang w:val="sk-SK"/>
        </w:rPr>
        <w:t>podrobné podmienky výpočtu efektívnej miery tvorby rezerv spoločného rezervného fondu (Ú. v. EÚ L 42, 5.2.2021, s. 9 – 12).</w:t>
      </w:r>
    </w:p>
  </w:footnote>
  <w:footnote w:id="22">
    <w:p w14:paraId="7E13F7C2" w14:textId="77777777"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ab/>
      </w:r>
      <w:hyperlink r:id="rId3" w:history="1">
        <w:r w:rsidRPr="00955A19">
          <w:rPr>
            <w:rStyle w:val="Hyperlink"/>
            <w:lang w:val="sk-SK"/>
          </w:rPr>
          <w:t>EUR-Lex – 52022DC0213 – SK – EUR-Lex (europa.eu)</w:t>
        </w:r>
      </w:hyperlink>
      <w:r w:rsidRPr="00955A19">
        <w:rPr>
          <w:lang w:val="sk-SK"/>
        </w:rPr>
        <w:t>.</w:t>
      </w:r>
    </w:p>
  </w:footnote>
  <w:footnote w:id="23">
    <w:p w14:paraId="3184A005" w14:textId="293A5D00" w:rsidR="00483F99" w:rsidRPr="00955A19" w:rsidRDefault="00483F99" w:rsidP="001C5868">
      <w:pPr>
        <w:pStyle w:val="FootnoteText"/>
        <w:spacing w:after="0"/>
        <w:rPr>
          <w:lang w:val="sk-SK"/>
        </w:rPr>
      </w:pPr>
      <w:r w:rsidRPr="00955A19">
        <w:rPr>
          <w:rStyle w:val="FootnoteReference"/>
          <w:lang w:val="sk-SK"/>
        </w:rPr>
        <w:footnoteRef/>
      </w:r>
      <w:r w:rsidRPr="00955A19">
        <w:rPr>
          <w:lang w:val="sk-SK"/>
        </w:rPr>
        <w:tab/>
        <w:t>Pravdepodobnosť zlyhania</w:t>
      </w:r>
      <w:r w:rsidR="00955A19">
        <w:rPr>
          <w:lang w:val="sk-SK"/>
        </w:rPr>
        <w:t xml:space="preserve"> v </w:t>
      </w:r>
      <w:r w:rsidRPr="00955A19">
        <w:rPr>
          <w:lang w:val="sk-SK"/>
        </w:rPr>
        <w:t>horizonte jedného roka na úrovni 0,04</w:t>
      </w:r>
      <w:r w:rsidR="00955A19">
        <w:rPr>
          <w:lang w:val="sk-SK"/>
        </w:rPr>
        <w:t> %</w:t>
      </w:r>
      <w:r w:rsidRPr="00955A19">
        <w:rPr>
          <w:lang w:val="sk-SK"/>
        </w:rPr>
        <w:t>.</w:t>
      </w:r>
    </w:p>
  </w:footnote>
  <w:footnote w:id="24">
    <w:p w14:paraId="7BDAD1D0" w14:textId="2BBB6F9F" w:rsidR="00D921C7" w:rsidRPr="00955A19" w:rsidRDefault="00D921C7" w:rsidP="001C5868">
      <w:pPr>
        <w:pStyle w:val="FootnoteText"/>
        <w:spacing w:after="0"/>
        <w:rPr>
          <w:lang w:val="sk-SK"/>
        </w:rPr>
      </w:pPr>
      <w:r w:rsidRPr="00955A19">
        <w:rPr>
          <w:rStyle w:val="FootnoteReference"/>
          <w:lang w:val="sk-SK"/>
        </w:rPr>
        <w:footnoteRef/>
      </w:r>
      <w:r w:rsidRPr="00955A19">
        <w:rPr>
          <w:lang w:val="sk-SK"/>
        </w:rPr>
        <w:tab/>
        <w:t>V porovnaní</w:t>
      </w:r>
      <w:r w:rsidR="00955A19">
        <w:rPr>
          <w:lang w:val="sk-SK"/>
        </w:rPr>
        <w:t xml:space="preserve"> s </w:t>
      </w:r>
      <w:r w:rsidRPr="00955A19">
        <w:rPr>
          <w:lang w:val="sk-SK"/>
        </w:rPr>
        <w:t>viac ako 26,8</w:t>
      </w:r>
      <w:r w:rsidR="00955A19">
        <w:rPr>
          <w:lang w:val="sk-SK"/>
        </w:rPr>
        <w:t> % v </w:t>
      </w:r>
      <w:r w:rsidRPr="00955A19">
        <w:rPr>
          <w:lang w:val="sk-SK"/>
        </w:rPr>
        <w:t>roku 2021.</w:t>
      </w:r>
    </w:p>
  </w:footnote>
  <w:footnote w:id="25">
    <w:p w14:paraId="3EA495F6" w14:textId="6DD52D0F" w:rsidR="00D921C7" w:rsidRPr="00955A19" w:rsidRDefault="00D921C7" w:rsidP="001C5868">
      <w:pPr>
        <w:pStyle w:val="FootnoteText"/>
        <w:spacing w:after="0"/>
        <w:rPr>
          <w:lang w:val="sk-SK"/>
        </w:rPr>
      </w:pPr>
      <w:r w:rsidRPr="00955A19">
        <w:rPr>
          <w:rStyle w:val="FootnoteReference"/>
          <w:lang w:val="sk-SK"/>
        </w:rPr>
        <w:footnoteRef/>
      </w:r>
      <w:r w:rsidRPr="00955A19">
        <w:rPr>
          <w:lang w:val="sk-SK"/>
        </w:rPr>
        <w:tab/>
        <w:t>V porovnaní</w:t>
      </w:r>
      <w:r w:rsidR="00955A19">
        <w:rPr>
          <w:lang w:val="sk-SK"/>
        </w:rPr>
        <w:t xml:space="preserve"> s </w:t>
      </w:r>
      <w:r w:rsidRPr="00955A19">
        <w:rPr>
          <w:lang w:val="sk-SK"/>
        </w:rPr>
        <w:t>5,1</w:t>
      </w:r>
      <w:r w:rsidR="00955A19">
        <w:rPr>
          <w:lang w:val="sk-SK"/>
        </w:rPr>
        <w:t> % v </w:t>
      </w:r>
      <w:r w:rsidRPr="00955A19">
        <w:rPr>
          <w:lang w:val="sk-SK"/>
        </w:rPr>
        <w:t>roku 2021.</w:t>
      </w:r>
    </w:p>
  </w:footnote>
  <w:footnote w:id="26">
    <w:p w14:paraId="5361E024" w14:textId="633600C3" w:rsidR="00D921C7" w:rsidRPr="00955A19" w:rsidRDefault="00D921C7" w:rsidP="001C5868">
      <w:pPr>
        <w:pStyle w:val="FootnoteText"/>
        <w:spacing w:after="0"/>
        <w:rPr>
          <w:lang w:val="sk-SK"/>
        </w:rPr>
      </w:pPr>
      <w:r w:rsidRPr="00955A19">
        <w:rPr>
          <w:rStyle w:val="FootnoteReference"/>
          <w:lang w:val="sk-SK"/>
        </w:rPr>
        <w:footnoteRef/>
      </w:r>
      <w:r w:rsidRPr="00955A19">
        <w:rPr>
          <w:lang w:val="sk-SK"/>
        </w:rPr>
        <w:tab/>
        <w:t>V porovnaní</w:t>
      </w:r>
      <w:r w:rsidR="00955A19">
        <w:rPr>
          <w:lang w:val="sk-SK"/>
        </w:rPr>
        <w:t xml:space="preserve"> s </w:t>
      </w:r>
      <w:r w:rsidRPr="00955A19">
        <w:rPr>
          <w:lang w:val="sk-SK"/>
        </w:rPr>
        <w:t>26</w:t>
      </w:r>
      <w:r w:rsidR="00955A19">
        <w:rPr>
          <w:lang w:val="sk-SK"/>
        </w:rPr>
        <w:t> % v </w:t>
      </w:r>
      <w:r w:rsidRPr="00955A19">
        <w:rPr>
          <w:lang w:val="sk-SK"/>
        </w:rPr>
        <w:t>roku 2021.</w:t>
      </w:r>
    </w:p>
  </w:footnote>
  <w:footnote w:id="27">
    <w:p w14:paraId="3EB7DA9E" w14:textId="6C51ED73" w:rsidR="00483F99" w:rsidRPr="00955A19" w:rsidRDefault="00483F99" w:rsidP="001C5868">
      <w:pPr>
        <w:pStyle w:val="FootnoteText"/>
        <w:spacing w:after="0"/>
        <w:rPr>
          <w:lang w:val="sk-SK"/>
        </w:rPr>
      </w:pPr>
      <w:r w:rsidRPr="00955A19">
        <w:rPr>
          <w:rStyle w:val="FootnoteReference"/>
          <w:lang w:val="sk-SK"/>
        </w:rPr>
        <w:footnoteRef/>
      </w:r>
      <w:r w:rsidRPr="00955A19">
        <w:rPr>
          <w:lang w:val="sk-SK"/>
        </w:rPr>
        <w:tab/>
        <w:t>Naviac</w:t>
      </w:r>
      <w:r w:rsidR="00955A19">
        <w:rPr>
          <w:lang w:val="sk-SK"/>
        </w:rPr>
        <w:t xml:space="preserve"> k </w:t>
      </w:r>
      <w:r w:rsidRPr="00955A19">
        <w:rPr>
          <w:lang w:val="sk-SK"/>
        </w:rPr>
        <w:t>vankúšu likvidity opísanému</w:t>
      </w:r>
      <w:r w:rsidR="00955A19">
        <w:rPr>
          <w:lang w:val="sk-SK"/>
        </w:rPr>
        <w:t xml:space="preserve"> v </w:t>
      </w:r>
      <w:r w:rsidRPr="00955A19">
        <w:rPr>
          <w:lang w:val="sk-SK"/>
        </w:rPr>
        <w:t>oddiele 1.4.</w:t>
      </w:r>
    </w:p>
  </w:footnote>
  <w:footnote w:id="28">
    <w:p w14:paraId="39E19807" w14:textId="2C60BA7E"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 xml:space="preserve"> </w:t>
      </w:r>
      <w:r w:rsidR="00955A19" w:rsidRPr="00955A19">
        <w:rPr>
          <w:lang w:val="sk-SK"/>
        </w:rPr>
        <w:tab/>
      </w:r>
      <w:r w:rsidRPr="00955A19">
        <w:rPr>
          <w:lang w:val="sk-SK"/>
        </w:rPr>
        <w:t>Pri posudzovaní toho, či sú dlhopisy klasifikované ako ESG dlhopisy na účely alokácie SRF, sa Komisia opiera</w:t>
      </w:r>
      <w:r w:rsidR="00955A19">
        <w:rPr>
          <w:lang w:val="sk-SK"/>
        </w:rPr>
        <w:t xml:space="preserve"> o </w:t>
      </w:r>
      <w:r w:rsidRPr="00955A19">
        <w:rPr>
          <w:lang w:val="sk-SK"/>
        </w:rPr>
        <w:t>uverejnené posúdenie „využitia výnosov“ dotknutého aktíva vypracované analytikmi</w:t>
      </w:r>
      <w:r w:rsidR="00955A19">
        <w:rPr>
          <w:lang w:val="sk-SK"/>
        </w:rPr>
        <w:t xml:space="preserve"> a </w:t>
      </w:r>
      <w:r w:rsidRPr="00955A19">
        <w:rPr>
          <w:lang w:val="sk-SK"/>
        </w:rPr>
        <w:t>poskytovateľmi údajov, ktoré Komisia na svoju funkciu správy aktív využíva. 35,6</w:t>
      </w:r>
      <w:r w:rsidR="00955A19">
        <w:rPr>
          <w:lang w:val="sk-SK"/>
        </w:rPr>
        <w:t> %</w:t>
      </w:r>
      <w:r w:rsidRPr="00955A19">
        <w:rPr>
          <w:lang w:val="sk-SK"/>
        </w:rPr>
        <w:t xml:space="preserve"> ESG aktív malo rating AAA, zatiaľ čo trieda aktív</w:t>
      </w:r>
      <w:r w:rsidR="00955A19">
        <w:rPr>
          <w:lang w:val="sk-SK"/>
        </w:rPr>
        <w:t xml:space="preserve"> s </w:t>
      </w:r>
      <w:r w:rsidRPr="00955A19">
        <w:rPr>
          <w:lang w:val="sk-SK"/>
        </w:rPr>
        <w:t>najnižším ratingom (BBB−) zodpovedala iba 0,1</w:t>
      </w:r>
      <w:r w:rsidR="00955A19">
        <w:rPr>
          <w:lang w:val="sk-SK"/>
        </w:rPr>
        <w:t> %</w:t>
      </w:r>
      <w:r w:rsidRPr="00955A19">
        <w:rPr>
          <w:lang w:val="sk-SK"/>
        </w:rPr>
        <w:t>.</w:t>
      </w:r>
    </w:p>
  </w:footnote>
  <w:footnote w:id="29">
    <w:p w14:paraId="1E921C36" w14:textId="6EE495D7"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 xml:space="preserve"> </w:t>
      </w:r>
      <w:r w:rsidR="00955A19" w:rsidRPr="00955A19">
        <w:rPr>
          <w:lang w:val="sk-SK"/>
        </w:rPr>
        <w:tab/>
      </w:r>
      <w:r w:rsidRPr="00955A19">
        <w:rPr>
          <w:lang w:val="sk-SK"/>
        </w:rPr>
        <w:t>Bloomberg Global Aggregate Bond Index (zaistený</w:t>
      </w:r>
      <w:r w:rsidR="00955A19">
        <w:rPr>
          <w:lang w:val="sk-SK"/>
        </w:rPr>
        <w:t xml:space="preserve"> v </w:t>
      </w:r>
      <w:r w:rsidRPr="00955A19">
        <w:rPr>
          <w:lang w:val="sk-SK"/>
        </w:rPr>
        <w:t>EUR) je všeobecnou referenčnou hodnotou, ktorá predstavuje štátny</w:t>
      </w:r>
      <w:r w:rsidR="00955A19">
        <w:rPr>
          <w:lang w:val="sk-SK"/>
        </w:rPr>
        <w:t xml:space="preserve"> a </w:t>
      </w:r>
      <w:r w:rsidRPr="00955A19">
        <w:rPr>
          <w:lang w:val="sk-SK"/>
        </w:rPr>
        <w:t>podnikový dlh</w:t>
      </w:r>
      <w:r w:rsidR="00955A19">
        <w:rPr>
          <w:lang w:val="sk-SK"/>
        </w:rPr>
        <w:t xml:space="preserve"> s </w:t>
      </w:r>
      <w:r w:rsidRPr="00955A19">
        <w:rPr>
          <w:lang w:val="sk-SK"/>
        </w:rPr>
        <w:t>investičným stupňom vo výške 61 biliónov EUR denominovaný</w:t>
      </w:r>
      <w:r w:rsidR="00955A19">
        <w:rPr>
          <w:lang w:val="sk-SK"/>
        </w:rPr>
        <w:t xml:space="preserve"> v </w:t>
      </w:r>
      <w:r w:rsidRPr="00955A19">
        <w:rPr>
          <w:lang w:val="sk-SK"/>
        </w:rPr>
        <w:t>rôznych menách, pričom</w:t>
      </w:r>
      <w:r w:rsidR="00955A19">
        <w:rPr>
          <w:lang w:val="sk-SK"/>
        </w:rPr>
        <w:t xml:space="preserve"> v </w:t>
      </w:r>
      <w:r w:rsidRPr="00955A19">
        <w:rPr>
          <w:lang w:val="sk-SK"/>
        </w:rPr>
        <w:t>roku 2022 klesol</w:t>
      </w:r>
      <w:r w:rsidR="00955A19">
        <w:rPr>
          <w:lang w:val="sk-SK"/>
        </w:rPr>
        <w:t xml:space="preserve"> o </w:t>
      </w:r>
      <w:r w:rsidRPr="00955A19">
        <w:rPr>
          <w:lang w:val="sk-SK"/>
        </w:rPr>
        <w:t>13,7</w:t>
      </w:r>
      <w:r w:rsidR="00955A19">
        <w:rPr>
          <w:lang w:val="sk-SK"/>
        </w:rPr>
        <w:t> %</w:t>
      </w:r>
      <w:r w:rsidRPr="00955A19">
        <w:rPr>
          <w:lang w:val="sk-SK"/>
        </w:rPr>
        <w:t>. Bloomberg Euro-Aggregate Index je všeobecnou referenčnou hodnotou dlhu</w:t>
      </w:r>
      <w:r w:rsidR="00955A19">
        <w:rPr>
          <w:lang w:val="sk-SK"/>
        </w:rPr>
        <w:t xml:space="preserve"> s </w:t>
      </w:r>
      <w:r w:rsidRPr="00955A19">
        <w:rPr>
          <w:lang w:val="sk-SK"/>
        </w:rPr>
        <w:t>investičným stupňom vo výške 13 biliónov EUR denominovaným</w:t>
      </w:r>
      <w:r w:rsidR="00955A19">
        <w:rPr>
          <w:lang w:val="sk-SK"/>
        </w:rPr>
        <w:t xml:space="preserve"> v </w:t>
      </w:r>
      <w:r w:rsidRPr="00955A19">
        <w:rPr>
          <w:lang w:val="sk-SK"/>
        </w:rPr>
        <w:t>EUR, pričom</w:t>
      </w:r>
      <w:r w:rsidR="00955A19">
        <w:rPr>
          <w:lang w:val="sk-SK"/>
        </w:rPr>
        <w:t xml:space="preserve"> v </w:t>
      </w:r>
      <w:r w:rsidRPr="00955A19">
        <w:rPr>
          <w:lang w:val="sk-SK"/>
        </w:rPr>
        <w:t>roku 2022 zaznamenal rekordný pokles vo výške 17,2</w:t>
      </w:r>
      <w:r w:rsidR="00955A19">
        <w:rPr>
          <w:lang w:val="sk-SK"/>
        </w:rPr>
        <w:t> %</w:t>
      </w:r>
      <w:r w:rsidRPr="00955A19">
        <w:rPr>
          <w:lang w:val="sk-SK"/>
        </w:rPr>
        <w:t>.</w:t>
      </w:r>
    </w:p>
  </w:footnote>
  <w:footnote w:id="30">
    <w:p w14:paraId="66510B06" w14:textId="119CEE22"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 xml:space="preserve"> </w:t>
      </w:r>
      <w:r w:rsidR="00955A19" w:rsidRPr="00955A19">
        <w:rPr>
          <w:lang w:val="sk-SK"/>
        </w:rPr>
        <w:tab/>
      </w:r>
      <w:r w:rsidRPr="00955A19">
        <w:rPr>
          <w:lang w:val="sk-SK"/>
        </w:rPr>
        <w:t>Ročná výkonnosť sa vypočíta pomocou trhových cien (oceňovanie podľa trhovej hodnoty)</w:t>
      </w:r>
      <w:r w:rsidR="00955A19">
        <w:rPr>
          <w:lang w:val="sk-SK"/>
        </w:rPr>
        <w:t xml:space="preserve"> a </w:t>
      </w:r>
      <w:r w:rsidRPr="00955A19">
        <w:rPr>
          <w:lang w:val="sk-SK"/>
        </w:rPr>
        <w:t>časovo váženého základu, aby nebola ovplyvnená žiadnou zmenou veľkosti portfólia</w:t>
      </w:r>
      <w:r w:rsidR="00955A19">
        <w:rPr>
          <w:lang w:val="sk-SK"/>
        </w:rPr>
        <w:t xml:space="preserve"> v </w:t>
      </w:r>
      <w:r w:rsidRPr="00955A19">
        <w:rPr>
          <w:lang w:val="sk-SK"/>
        </w:rPr>
        <w:t>dôsledku tokov do fondu alebo</w:t>
      </w:r>
      <w:r w:rsidR="00955A19">
        <w:rPr>
          <w:lang w:val="sk-SK"/>
        </w:rPr>
        <w:t xml:space="preserve"> z </w:t>
      </w:r>
      <w:r w:rsidRPr="00955A19">
        <w:rPr>
          <w:lang w:val="sk-SK"/>
        </w:rPr>
        <w:t>neho.</w:t>
      </w:r>
    </w:p>
  </w:footnote>
  <w:footnote w:id="31">
    <w:p w14:paraId="59E54DA2" w14:textId="57733EEA" w:rsidR="005D3E09" w:rsidRPr="00955A19" w:rsidRDefault="005D3E09" w:rsidP="00D20055">
      <w:pPr>
        <w:spacing w:after="0"/>
        <w:ind w:left="360" w:hanging="360"/>
        <w:rPr>
          <w:lang w:val="sk-SK"/>
        </w:rPr>
      </w:pPr>
      <w:r w:rsidRPr="00955A19">
        <w:rPr>
          <w:rStyle w:val="FootnoteReference"/>
          <w:lang w:val="sk-SK"/>
        </w:rPr>
        <w:footnoteRef/>
      </w:r>
      <w:r w:rsidRPr="00955A19">
        <w:rPr>
          <w:lang w:val="sk-SK"/>
        </w:rPr>
        <w:t xml:space="preserve"> </w:t>
      </w:r>
      <w:r w:rsidR="00955A19" w:rsidRPr="00955A19">
        <w:rPr>
          <w:lang w:val="sk-SK"/>
        </w:rPr>
        <w:tab/>
      </w:r>
      <w:r w:rsidRPr="00955A19">
        <w:rPr>
          <w:i/>
          <w:iCs/>
          <w:lang w:val="sk-SK"/>
        </w:rPr>
        <w:t>Portfolio Selection</w:t>
      </w:r>
      <w:r w:rsidRPr="00955A19">
        <w:rPr>
          <w:lang w:val="sk-SK"/>
        </w:rPr>
        <w:t xml:space="preserve"> (Výber portfólia), Harry Markowitz, </w:t>
      </w:r>
      <w:r w:rsidRPr="00955A19">
        <w:rPr>
          <w:i/>
          <w:lang w:val="sk-SK"/>
        </w:rPr>
        <w:t>The Journal of Finance</w:t>
      </w:r>
      <w:r w:rsidRPr="00955A19">
        <w:rPr>
          <w:lang w:val="sk-SK"/>
        </w:rPr>
        <w:t>, zv. 7, č. 1 (marec 1952), s. 77 – 91.</w:t>
      </w:r>
      <w:r w:rsidRPr="00955A19">
        <w:rPr>
          <w:sz w:val="20"/>
          <w:lang w:val="sk-SK"/>
        </w:rPr>
        <w:t xml:space="preserve"> Vstupné parametre pre optimalizáciu referenčnej hodnoty boli odvodené kombináciou rôznych trhových údajov, dlhodobých názorov zhromaždených od rôznych investorov</w:t>
      </w:r>
      <w:r w:rsidR="00955A19">
        <w:rPr>
          <w:sz w:val="20"/>
          <w:lang w:val="sk-SK"/>
        </w:rPr>
        <w:t xml:space="preserve"> a </w:t>
      </w:r>
      <w:r w:rsidRPr="00955A19">
        <w:rPr>
          <w:sz w:val="20"/>
          <w:lang w:val="sk-SK"/>
        </w:rPr>
        <w:t>interných názorov týkajúcich sa volatility</w:t>
      </w:r>
      <w:r w:rsidR="00955A19">
        <w:rPr>
          <w:sz w:val="20"/>
          <w:lang w:val="sk-SK"/>
        </w:rPr>
        <w:t xml:space="preserve"> a </w:t>
      </w:r>
      <w:r w:rsidRPr="00955A19">
        <w:rPr>
          <w:sz w:val="20"/>
          <w:lang w:val="sk-SK"/>
        </w:rPr>
        <w:t>korelácií</w:t>
      </w:r>
      <w:r w:rsidR="00955A19">
        <w:rPr>
          <w:sz w:val="20"/>
          <w:lang w:val="sk-SK"/>
        </w:rPr>
        <w:t xml:space="preserve"> v </w:t>
      </w:r>
      <w:r w:rsidRPr="00955A19">
        <w:rPr>
          <w:sz w:val="20"/>
          <w:lang w:val="sk-SK"/>
        </w:rPr>
        <w:t>nadchádzajúcich rokoch.</w:t>
      </w:r>
    </w:p>
  </w:footnote>
  <w:footnote w:id="32">
    <w:p w14:paraId="74CAA83C" w14:textId="2F7FD52A" w:rsidR="005D3E09" w:rsidRPr="00955A19" w:rsidRDefault="005D3E09" w:rsidP="001C5868">
      <w:pPr>
        <w:pStyle w:val="FootnoteText"/>
        <w:spacing w:after="0"/>
        <w:rPr>
          <w:lang w:val="sk-SK"/>
        </w:rPr>
      </w:pPr>
      <w:r w:rsidRPr="00955A19">
        <w:rPr>
          <w:rStyle w:val="FootnoteReference"/>
          <w:lang w:val="sk-SK"/>
        </w:rPr>
        <w:footnoteRef/>
      </w:r>
      <w:r w:rsidRPr="00955A19">
        <w:rPr>
          <w:lang w:val="sk-SK"/>
        </w:rPr>
        <w:t xml:space="preserve"> </w:t>
      </w:r>
      <w:r w:rsidR="00955A19" w:rsidRPr="00955A19">
        <w:rPr>
          <w:lang w:val="sk-SK"/>
        </w:rPr>
        <w:tab/>
      </w:r>
      <w:r w:rsidRPr="00955A19">
        <w:rPr>
          <w:lang w:val="sk-SK"/>
        </w:rPr>
        <w:t>Návratnosť portfólia, ktorá sa dosiahne, ak sa všetky dlhopisy držia do splatnosti (keď sa vyplácajú</w:t>
      </w:r>
      <w:r w:rsidR="00955A19">
        <w:rPr>
          <w:lang w:val="sk-SK"/>
        </w:rPr>
        <w:t xml:space="preserve"> v </w:t>
      </w:r>
      <w:r w:rsidRPr="00955A19">
        <w:rPr>
          <w:lang w:val="sk-SK"/>
        </w:rPr>
        <w:t>menovitej hodnote).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24F9" w14:textId="77777777" w:rsidR="008D5B52" w:rsidRPr="008D5B52" w:rsidRDefault="008D5B52" w:rsidP="008D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E6CC" w14:textId="77777777" w:rsidR="008D5B52" w:rsidRPr="008D5B52" w:rsidRDefault="008D5B52" w:rsidP="008D5B5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F10B" w14:textId="77777777" w:rsidR="008D5B52" w:rsidRPr="008D5B52" w:rsidRDefault="008D5B52" w:rsidP="008D5B5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1770" w14:textId="77777777" w:rsidR="005D3E09" w:rsidRDefault="005D3E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2DB3" w14:textId="77777777" w:rsidR="005D3E09" w:rsidRDefault="005D3E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C5C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590595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DEE61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37249"/>
    <w:multiLevelType w:val="hybridMultilevel"/>
    <w:tmpl w:val="342A8338"/>
    <w:lvl w:ilvl="0" w:tplc="3A7287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96BB5"/>
    <w:multiLevelType w:val="hybridMultilevel"/>
    <w:tmpl w:val="9902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4525B"/>
    <w:multiLevelType w:val="hybridMultilevel"/>
    <w:tmpl w:val="3F52B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B7201"/>
    <w:multiLevelType w:val="multilevel"/>
    <w:tmpl w:val="E550BCBA"/>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025D6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8279FC"/>
    <w:multiLevelType w:val="hybridMultilevel"/>
    <w:tmpl w:val="344EE04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D293CE3"/>
    <w:multiLevelType w:val="multilevel"/>
    <w:tmpl w:val="18C6CE0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9" w15:restartNumberingAfterBreak="0">
    <w:nsid w:val="2D293CF4"/>
    <w:multiLevelType w:val="multilevel"/>
    <w:tmpl w:val="9028D7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0" w15:restartNumberingAfterBreak="0">
    <w:nsid w:val="309D21A8"/>
    <w:multiLevelType w:val="hybridMultilevel"/>
    <w:tmpl w:val="D5B8A2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7B48B4"/>
    <w:multiLevelType w:val="hybridMultilevel"/>
    <w:tmpl w:val="344EE04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0C575F9"/>
    <w:multiLevelType w:val="multilevel"/>
    <w:tmpl w:val="5CAA5FB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1A63DF"/>
    <w:multiLevelType w:val="multilevel"/>
    <w:tmpl w:val="86CCE1A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CCC4F04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F9953C7"/>
    <w:multiLevelType w:val="hybridMultilevel"/>
    <w:tmpl w:val="26700D64"/>
    <w:lvl w:ilvl="0" w:tplc="2A22AE5A">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072619B"/>
    <w:multiLevelType w:val="multilevel"/>
    <w:tmpl w:val="B5E8FF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9B52"/>
    <w:multiLevelType w:val="multilevel"/>
    <w:tmpl w:val="CC8E157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F32502D"/>
    <w:multiLevelType w:val="hybridMultilevel"/>
    <w:tmpl w:val="3BFA5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766E67"/>
    <w:multiLevelType w:val="multilevel"/>
    <w:tmpl w:val="D1ECFE1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1A6B34"/>
    <w:multiLevelType w:val="hybridMultilevel"/>
    <w:tmpl w:val="57E6652C"/>
    <w:lvl w:ilvl="0" w:tplc="41B64916">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977472E"/>
    <w:multiLevelType w:val="multilevel"/>
    <w:tmpl w:val="9AF67F4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3A254BD"/>
    <w:multiLevelType w:val="multilevel"/>
    <w:tmpl w:val="D1ECFE1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286FEF"/>
    <w:multiLevelType w:val="hybridMultilevel"/>
    <w:tmpl w:val="EE388F80"/>
    <w:lvl w:ilvl="0" w:tplc="41B64916">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F6AA6F16"/>
    <w:name w:val="ListNumberNumber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5"/>
  </w:num>
  <w:num w:numId="2">
    <w:abstractNumId w:val="9"/>
  </w:num>
  <w:num w:numId="3">
    <w:abstractNumId w:val="8"/>
  </w:num>
  <w:num w:numId="4">
    <w:abstractNumId w:val="6"/>
  </w:num>
  <w:num w:numId="5">
    <w:abstractNumId w:val="17"/>
  </w:num>
  <w:num w:numId="6">
    <w:abstractNumId w:val="13"/>
  </w:num>
  <w:num w:numId="7">
    <w:abstractNumId w:val="16"/>
  </w:num>
  <w:num w:numId="8">
    <w:abstractNumId w:val="5"/>
  </w:num>
  <w:num w:numId="9">
    <w:abstractNumId w:val="14"/>
  </w:num>
  <w:num w:numId="10">
    <w:abstractNumId w:val="24"/>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3"/>
  </w:num>
  <w:num w:numId="14">
    <w:abstractNumId w:val="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10"/>
  </w:num>
  <w:num w:numId="21">
    <w:abstractNumId w:val="2"/>
  </w:num>
  <w:num w:numId="22">
    <w:abstractNumId w:val="4"/>
  </w:num>
  <w:num w:numId="23">
    <w:abstractNumId w:val="18"/>
  </w:num>
  <w:num w:numId="24">
    <w:abstractNumId w:val="20"/>
  </w:num>
  <w:num w:numId="25">
    <w:abstractNumId w:val="23"/>
  </w:num>
  <w:num w:numId="26">
    <w:abstractNumId w:val="15"/>
  </w:num>
  <w:num w:numId="27">
    <w:abstractNumId w:val="19"/>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81495C-D4D0-4C39-B6F0-63B93EC73BD2"/>
    <w:docVar w:name="LW_COVERPAGE_TYPE" w:val="1"/>
    <w:docVar w:name="LW_CROSSREFERENCE" w:val="{SWD(2023) 170 final}"/>
    <w:docVar w:name="LW_DocType" w:val="EUROLOOK"/>
    <w:docVar w:name="LW_EMISSION" w:val="31. 5. 2023"/>
    <w:docVar w:name="LW_EMISSION_ISODATE" w:val="2023-05-31"/>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3) 2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spoločnom rezervnom fonde za rok 2022"/>
    <w:docVar w:name="LW_TYPE.DOC.CP" w:val="SPRÁVA KOMISIE EURÓPSKEMU PARLAMENTU A RADE"/>
    <w:docVar w:name="LwApiVersions" w:val="LW4CoDe 1.23.2.0; LW 8.0, Build 20211117"/>
  </w:docVars>
  <w:rsids>
    <w:rsidRoot w:val="00FE162C"/>
    <w:rsid w:val="00000EFC"/>
    <w:rsid w:val="00000F59"/>
    <w:rsid w:val="000120C0"/>
    <w:rsid w:val="00016AF3"/>
    <w:rsid w:val="000244DA"/>
    <w:rsid w:val="00024E33"/>
    <w:rsid w:val="00027CE2"/>
    <w:rsid w:val="00042092"/>
    <w:rsid w:val="00044457"/>
    <w:rsid w:val="00065407"/>
    <w:rsid w:val="00067EB0"/>
    <w:rsid w:val="000747D0"/>
    <w:rsid w:val="00082284"/>
    <w:rsid w:val="00090624"/>
    <w:rsid w:val="000A213F"/>
    <w:rsid w:val="000A2E75"/>
    <w:rsid w:val="000A30F8"/>
    <w:rsid w:val="000A33D3"/>
    <w:rsid w:val="000B33CF"/>
    <w:rsid w:val="000C2C39"/>
    <w:rsid w:val="000C76C5"/>
    <w:rsid w:val="000D4F0E"/>
    <w:rsid w:val="000D7C1A"/>
    <w:rsid w:val="000E0346"/>
    <w:rsid w:val="000E7F13"/>
    <w:rsid w:val="001348C3"/>
    <w:rsid w:val="00135294"/>
    <w:rsid w:val="00144282"/>
    <w:rsid w:val="00152EB3"/>
    <w:rsid w:val="001561CB"/>
    <w:rsid w:val="001601E6"/>
    <w:rsid w:val="00164896"/>
    <w:rsid w:val="001650E6"/>
    <w:rsid w:val="0016695A"/>
    <w:rsid w:val="0017303F"/>
    <w:rsid w:val="00184F44"/>
    <w:rsid w:val="001869C5"/>
    <w:rsid w:val="001924BF"/>
    <w:rsid w:val="001B3647"/>
    <w:rsid w:val="001B76DA"/>
    <w:rsid w:val="001C3BAC"/>
    <w:rsid w:val="001C5868"/>
    <w:rsid w:val="001C71A0"/>
    <w:rsid w:val="001D335A"/>
    <w:rsid w:val="001D55DA"/>
    <w:rsid w:val="001D7C50"/>
    <w:rsid w:val="0021159C"/>
    <w:rsid w:val="002146AA"/>
    <w:rsid w:val="00224E60"/>
    <w:rsid w:val="00231F7A"/>
    <w:rsid w:val="00242F69"/>
    <w:rsid w:val="00246A5A"/>
    <w:rsid w:val="0027028E"/>
    <w:rsid w:val="002820F7"/>
    <w:rsid w:val="00282758"/>
    <w:rsid w:val="002A3E5D"/>
    <w:rsid w:val="002A41F4"/>
    <w:rsid w:val="002C5174"/>
    <w:rsid w:val="002E3B4B"/>
    <w:rsid w:val="002E78D3"/>
    <w:rsid w:val="002F0D03"/>
    <w:rsid w:val="003336ED"/>
    <w:rsid w:val="00340E76"/>
    <w:rsid w:val="003505CE"/>
    <w:rsid w:val="00355262"/>
    <w:rsid w:val="003606EE"/>
    <w:rsid w:val="003C4AE8"/>
    <w:rsid w:val="003C5FF0"/>
    <w:rsid w:val="003C7399"/>
    <w:rsid w:val="003D735E"/>
    <w:rsid w:val="003E1F7F"/>
    <w:rsid w:val="003E349E"/>
    <w:rsid w:val="003E3BDE"/>
    <w:rsid w:val="003E465A"/>
    <w:rsid w:val="003F1AC3"/>
    <w:rsid w:val="003F3346"/>
    <w:rsid w:val="0040603B"/>
    <w:rsid w:val="00424C40"/>
    <w:rsid w:val="004612EF"/>
    <w:rsid w:val="00461CDC"/>
    <w:rsid w:val="004700C0"/>
    <w:rsid w:val="0048398A"/>
    <w:rsid w:val="00483F99"/>
    <w:rsid w:val="00495938"/>
    <w:rsid w:val="004A224F"/>
    <w:rsid w:val="004B0063"/>
    <w:rsid w:val="004C1610"/>
    <w:rsid w:val="004C20AA"/>
    <w:rsid w:val="004D0620"/>
    <w:rsid w:val="004D4D1B"/>
    <w:rsid w:val="004F0FDF"/>
    <w:rsid w:val="00514C7A"/>
    <w:rsid w:val="00515EF4"/>
    <w:rsid w:val="0052256E"/>
    <w:rsid w:val="00523964"/>
    <w:rsid w:val="00534BF3"/>
    <w:rsid w:val="00535AB3"/>
    <w:rsid w:val="00535F3D"/>
    <w:rsid w:val="005400A0"/>
    <w:rsid w:val="00540C0E"/>
    <w:rsid w:val="00575949"/>
    <w:rsid w:val="005848B8"/>
    <w:rsid w:val="005861D2"/>
    <w:rsid w:val="005A2065"/>
    <w:rsid w:val="005A3E50"/>
    <w:rsid w:val="005A62A6"/>
    <w:rsid w:val="005B49E2"/>
    <w:rsid w:val="005C6ECD"/>
    <w:rsid w:val="005D1D56"/>
    <w:rsid w:val="005D3E09"/>
    <w:rsid w:val="00600D0B"/>
    <w:rsid w:val="00606E5A"/>
    <w:rsid w:val="00624B66"/>
    <w:rsid w:val="00681D34"/>
    <w:rsid w:val="006B321C"/>
    <w:rsid w:val="006C48BE"/>
    <w:rsid w:val="006C7EB6"/>
    <w:rsid w:val="006D5409"/>
    <w:rsid w:val="006E0740"/>
    <w:rsid w:val="006E3A4D"/>
    <w:rsid w:val="006E3EEA"/>
    <w:rsid w:val="006F208D"/>
    <w:rsid w:val="00701EA8"/>
    <w:rsid w:val="00701FB7"/>
    <w:rsid w:val="007031A1"/>
    <w:rsid w:val="007038E2"/>
    <w:rsid w:val="00731066"/>
    <w:rsid w:val="007406E3"/>
    <w:rsid w:val="007425EC"/>
    <w:rsid w:val="00747B54"/>
    <w:rsid w:val="00761003"/>
    <w:rsid w:val="0076723F"/>
    <w:rsid w:val="00772C05"/>
    <w:rsid w:val="00777E98"/>
    <w:rsid w:val="0079396E"/>
    <w:rsid w:val="0079481E"/>
    <w:rsid w:val="00797A87"/>
    <w:rsid w:val="007B1C12"/>
    <w:rsid w:val="007B61C6"/>
    <w:rsid w:val="007D2799"/>
    <w:rsid w:val="007D3DE6"/>
    <w:rsid w:val="007D5F8D"/>
    <w:rsid w:val="007E738C"/>
    <w:rsid w:val="007F0F69"/>
    <w:rsid w:val="007F3C19"/>
    <w:rsid w:val="007F74CC"/>
    <w:rsid w:val="008101ED"/>
    <w:rsid w:val="00815A8F"/>
    <w:rsid w:val="0082044F"/>
    <w:rsid w:val="00822EC9"/>
    <w:rsid w:val="008246CA"/>
    <w:rsid w:val="00824801"/>
    <w:rsid w:val="00830624"/>
    <w:rsid w:val="00837112"/>
    <w:rsid w:val="00841ED7"/>
    <w:rsid w:val="00871F17"/>
    <w:rsid w:val="00876FB2"/>
    <w:rsid w:val="00880897"/>
    <w:rsid w:val="008849F5"/>
    <w:rsid w:val="00885100"/>
    <w:rsid w:val="00887D3E"/>
    <w:rsid w:val="00892203"/>
    <w:rsid w:val="00895ABF"/>
    <w:rsid w:val="008A13DB"/>
    <w:rsid w:val="008A2576"/>
    <w:rsid w:val="008C0073"/>
    <w:rsid w:val="008C557C"/>
    <w:rsid w:val="008C6858"/>
    <w:rsid w:val="008C7F0F"/>
    <w:rsid w:val="008D5B52"/>
    <w:rsid w:val="00900277"/>
    <w:rsid w:val="00927633"/>
    <w:rsid w:val="009444CB"/>
    <w:rsid w:val="009448D8"/>
    <w:rsid w:val="00947EEA"/>
    <w:rsid w:val="00955A19"/>
    <w:rsid w:val="00962E17"/>
    <w:rsid w:val="00976FC5"/>
    <w:rsid w:val="0098181A"/>
    <w:rsid w:val="0098470C"/>
    <w:rsid w:val="00990E71"/>
    <w:rsid w:val="009952F7"/>
    <w:rsid w:val="00996920"/>
    <w:rsid w:val="009A6C47"/>
    <w:rsid w:val="009C47AC"/>
    <w:rsid w:val="009E56A3"/>
    <w:rsid w:val="00A04937"/>
    <w:rsid w:val="00A075BF"/>
    <w:rsid w:val="00A1279F"/>
    <w:rsid w:val="00A22BEB"/>
    <w:rsid w:val="00A25B17"/>
    <w:rsid w:val="00A446C3"/>
    <w:rsid w:val="00A80B42"/>
    <w:rsid w:val="00A842B4"/>
    <w:rsid w:val="00A92D38"/>
    <w:rsid w:val="00AC24DB"/>
    <w:rsid w:val="00AD6F11"/>
    <w:rsid w:val="00AE6749"/>
    <w:rsid w:val="00AE7876"/>
    <w:rsid w:val="00AF5397"/>
    <w:rsid w:val="00B0129E"/>
    <w:rsid w:val="00B14C14"/>
    <w:rsid w:val="00B14EC7"/>
    <w:rsid w:val="00B50602"/>
    <w:rsid w:val="00B60BC5"/>
    <w:rsid w:val="00B623BA"/>
    <w:rsid w:val="00BA2529"/>
    <w:rsid w:val="00BA6FFD"/>
    <w:rsid w:val="00BB184F"/>
    <w:rsid w:val="00BC3E93"/>
    <w:rsid w:val="00BC7CAE"/>
    <w:rsid w:val="00BD5205"/>
    <w:rsid w:val="00BD6B71"/>
    <w:rsid w:val="00BE3905"/>
    <w:rsid w:val="00C02B5C"/>
    <w:rsid w:val="00C07029"/>
    <w:rsid w:val="00C117B9"/>
    <w:rsid w:val="00C1220E"/>
    <w:rsid w:val="00C268E5"/>
    <w:rsid w:val="00C32184"/>
    <w:rsid w:val="00C32801"/>
    <w:rsid w:val="00C42E36"/>
    <w:rsid w:val="00C5444D"/>
    <w:rsid w:val="00C61603"/>
    <w:rsid w:val="00C67B89"/>
    <w:rsid w:val="00C71FC1"/>
    <w:rsid w:val="00CA5A25"/>
    <w:rsid w:val="00CC573A"/>
    <w:rsid w:val="00CC7325"/>
    <w:rsid w:val="00CE4149"/>
    <w:rsid w:val="00CE4980"/>
    <w:rsid w:val="00CE77B1"/>
    <w:rsid w:val="00D07C47"/>
    <w:rsid w:val="00D20055"/>
    <w:rsid w:val="00D34886"/>
    <w:rsid w:val="00D45BE6"/>
    <w:rsid w:val="00D45F7F"/>
    <w:rsid w:val="00D50F9F"/>
    <w:rsid w:val="00D52706"/>
    <w:rsid w:val="00D83A99"/>
    <w:rsid w:val="00D921C7"/>
    <w:rsid w:val="00D92B25"/>
    <w:rsid w:val="00DA1056"/>
    <w:rsid w:val="00DA52F2"/>
    <w:rsid w:val="00DC36BD"/>
    <w:rsid w:val="00DC52D2"/>
    <w:rsid w:val="00DC6E08"/>
    <w:rsid w:val="00DD1156"/>
    <w:rsid w:val="00DD39E0"/>
    <w:rsid w:val="00DE414A"/>
    <w:rsid w:val="00DE6B65"/>
    <w:rsid w:val="00DF5972"/>
    <w:rsid w:val="00E01562"/>
    <w:rsid w:val="00E10B24"/>
    <w:rsid w:val="00E10DF5"/>
    <w:rsid w:val="00E21F2D"/>
    <w:rsid w:val="00E37D86"/>
    <w:rsid w:val="00E409F3"/>
    <w:rsid w:val="00E41822"/>
    <w:rsid w:val="00E42CDD"/>
    <w:rsid w:val="00E45C28"/>
    <w:rsid w:val="00E63177"/>
    <w:rsid w:val="00E65A80"/>
    <w:rsid w:val="00E728DC"/>
    <w:rsid w:val="00EB098F"/>
    <w:rsid w:val="00EB6C89"/>
    <w:rsid w:val="00EC3B71"/>
    <w:rsid w:val="00EC424E"/>
    <w:rsid w:val="00ED0762"/>
    <w:rsid w:val="00ED1635"/>
    <w:rsid w:val="00ED39D8"/>
    <w:rsid w:val="00ED6E37"/>
    <w:rsid w:val="00ED7757"/>
    <w:rsid w:val="00EE4EFA"/>
    <w:rsid w:val="00EF13CA"/>
    <w:rsid w:val="00EF31DE"/>
    <w:rsid w:val="00EF3588"/>
    <w:rsid w:val="00F10EC0"/>
    <w:rsid w:val="00F24413"/>
    <w:rsid w:val="00F24F8B"/>
    <w:rsid w:val="00F274F9"/>
    <w:rsid w:val="00F3105D"/>
    <w:rsid w:val="00F31744"/>
    <w:rsid w:val="00F405BD"/>
    <w:rsid w:val="00F50339"/>
    <w:rsid w:val="00F525CA"/>
    <w:rsid w:val="00F53434"/>
    <w:rsid w:val="00F6011E"/>
    <w:rsid w:val="00F65C93"/>
    <w:rsid w:val="00F7393E"/>
    <w:rsid w:val="00F76AE2"/>
    <w:rsid w:val="00F94E1F"/>
    <w:rsid w:val="00FA4AA4"/>
    <w:rsid w:val="00FB2296"/>
    <w:rsid w:val="00FB5205"/>
    <w:rsid w:val="00FB7305"/>
    <w:rsid w:val="00FC475F"/>
    <w:rsid w:val="00FD58CB"/>
    <w:rsid w:val="00FE162C"/>
    <w:rsid w:val="00FE48A2"/>
    <w:rsid w:val="00FE49D4"/>
    <w:rsid w:val="00FF1AAD"/>
    <w:rsid w:val="00FF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805F70"/>
  <w15:docId w15:val="{364FC71F-36BF-4AEB-BF19-D0DBD492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IE"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uiPriority="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120" w:line="264" w:lineRule="auto"/>
      <w:jc w:val="both"/>
    </w:pPr>
    <w:rPr>
      <w:sz w:val="22"/>
    </w:rPr>
  </w:style>
  <w:style w:type="paragraph" w:styleId="Heading1">
    <w:name w:val="heading 1"/>
    <w:basedOn w:val="Normal"/>
    <w:next w:val="Normal"/>
    <w:autoRedefine/>
    <w:uiPriority w:val="1"/>
    <w:qFormat/>
    <w:pPr>
      <w:keepNext/>
      <w:numPr>
        <w:numId w:val="10"/>
      </w:numPr>
      <w:tabs>
        <w:tab w:val="left" w:pos="510"/>
      </w:tabs>
      <w:spacing w:before="480"/>
      <w:outlineLvl w:val="0"/>
    </w:pPr>
    <w:rPr>
      <w:b/>
      <w:smallCaps/>
      <w:sz w:val="26"/>
    </w:rPr>
  </w:style>
  <w:style w:type="paragraph" w:styleId="Heading2">
    <w:name w:val="heading 2"/>
    <w:basedOn w:val="Normal"/>
    <w:next w:val="Normal"/>
    <w:autoRedefine/>
    <w:uiPriority w:val="1"/>
    <w:qFormat/>
    <w:rsid w:val="008C557C"/>
    <w:pPr>
      <w:keepNext/>
      <w:numPr>
        <w:ilvl w:val="1"/>
        <w:numId w:val="10"/>
      </w:numPr>
      <w:tabs>
        <w:tab w:val="left" w:pos="737"/>
      </w:tabs>
      <w:spacing w:before="420"/>
      <w:outlineLvl w:val="1"/>
    </w:pPr>
    <w:rPr>
      <w:b/>
      <w:sz w:val="26"/>
    </w:rPr>
  </w:style>
  <w:style w:type="paragraph" w:styleId="Heading3">
    <w:name w:val="heading 3"/>
    <w:basedOn w:val="Normal"/>
    <w:next w:val="Normal"/>
    <w:autoRedefine/>
    <w:uiPriority w:val="1"/>
    <w:qFormat/>
    <w:rsid w:val="001924BF"/>
    <w:pPr>
      <w:keepNext/>
      <w:numPr>
        <w:ilvl w:val="2"/>
        <w:numId w:val="10"/>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10"/>
      </w:numPr>
      <w:tabs>
        <w:tab w:val="left" w:pos="1049"/>
      </w:tabs>
      <w:spacing w:before="360"/>
      <w:outlineLvl w:val="3"/>
    </w:pPr>
    <w:rPr>
      <w:b/>
    </w:r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numPr>
        <w:ilvl w:val="6"/>
        <w:numId w:val="10"/>
      </w:numPr>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Body">
    <w:name w:val="Figure Body"/>
    <w:basedOn w:val="Normal"/>
    <w:next w:val="FigureSourc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jc w:val="left"/>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
    <w:name w:val="Table List Number"/>
    <w:basedOn w:val="TableText"/>
    <w:uiPriority w:val="1"/>
    <w:pPr>
      <w:numPr>
        <w:numId w:val="4"/>
      </w:numPr>
    </w:pPr>
  </w:style>
  <w:style w:type="paragraph" w:customStyle="1" w:styleId="ListNumberLevel4">
    <w:name w:val="List Number (Level 4)"/>
    <w:basedOn w:val="Normal"/>
    <w:uiPriority w:val="1"/>
    <w:semiHidden/>
    <w:unhideWhenUsed/>
    <w:pPr>
      <w:numPr>
        <w:ilvl w:val="3"/>
        <w:numId w:val="8"/>
      </w:numPr>
      <w:ind w:left="1815" w:hanging="454"/>
      <w:contextualSpacing/>
    </w:pPr>
  </w:style>
  <w:style w:type="paragraph" w:customStyle="1" w:styleId="ListNumberLevel3">
    <w:name w:val="List Number (Level 3)"/>
    <w:basedOn w:val="Normal"/>
    <w:uiPriority w:val="1"/>
    <w:semiHidden/>
    <w:unhideWhenUsed/>
    <w:pPr>
      <w:numPr>
        <w:ilvl w:val="2"/>
        <w:numId w:val="8"/>
      </w:numPr>
      <w:contextualSpacing/>
    </w:pPr>
  </w:style>
  <w:style w:type="paragraph" w:customStyle="1" w:styleId="ListNumberLevel2">
    <w:name w:val="List Number (Level 2)"/>
    <w:basedOn w:val="Normal"/>
    <w:uiPriority w:val="1"/>
    <w:pPr>
      <w:numPr>
        <w:ilvl w:val="1"/>
        <w:numId w:val="8"/>
      </w:numPr>
      <w:ind w:left="908" w:hanging="454"/>
      <w:contextualSpacing/>
    </w:pPr>
  </w:style>
  <w:style w:type="paragraph" w:styleId="ListNumber">
    <w:name w:val="List Number"/>
    <w:basedOn w:val="Normal"/>
    <w:uiPriority w:val="1"/>
    <w:pPr>
      <w:numPr>
        <w:numId w:val="8"/>
      </w:numPr>
      <w:contextualSpacing/>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
    <w:name w:val="Table List Dash"/>
    <w:basedOn w:val="TableText"/>
    <w:uiPriority w:val="1"/>
    <w:pPr>
      <w:numPr>
        <w:numId w:val="5"/>
      </w:numPr>
    </w:pPr>
  </w:style>
  <w:style w:type="paragraph" w:customStyle="1" w:styleId="ListDashLevel4">
    <w:name w:val="List Dash (Level 4)"/>
    <w:basedOn w:val="Normal"/>
    <w:uiPriority w:val="1"/>
    <w:semiHidden/>
    <w:unhideWhenUsed/>
    <w:pPr>
      <w:numPr>
        <w:ilvl w:val="3"/>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
    <w:name w:val="List Dash"/>
    <w:basedOn w:val="Normal"/>
    <w:uiPriority w:val="1"/>
    <w:pPr>
      <w:numPr>
        <w:numId w:val="7"/>
      </w:numPr>
      <w:contextualSpacing/>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
    <w:name w:val="Table List Bullet"/>
    <w:basedOn w:val="TableText"/>
    <w:uiPriority w:val="1"/>
    <w:pPr>
      <w:numPr>
        <w:numId w:val="6"/>
      </w:numPr>
    </w:pPr>
  </w:style>
  <w:style w:type="paragraph" w:customStyle="1" w:styleId="ListBulletLevel4">
    <w:name w:val="List Bullet (Level 4)"/>
    <w:basedOn w:val="Normal"/>
    <w:uiPriority w:val="1"/>
    <w:semiHidden/>
    <w:unhideWhenUsed/>
    <w:pPr>
      <w:numPr>
        <w:ilvl w:val="3"/>
        <w:numId w:val="9"/>
      </w:numPr>
      <w:contextualSpacing/>
    </w:pPr>
  </w:style>
  <w:style w:type="paragraph" w:customStyle="1" w:styleId="ListBulletLevel3">
    <w:name w:val="List Bullet (Level 3)"/>
    <w:basedOn w:val="Normal"/>
    <w:uiPriority w:val="1"/>
    <w:semiHidden/>
    <w:unhideWhenUsed/>
    <w:pPr>
      <w:numPr>
        <w:ilvl w:val="2"/>
        <w:numId w:val="9"/>
      </w:numPr>
      <w:contextualSpacing/>
    </w:pPr>
  </w:style>
  <w:style w:type="paragraph" w:customStyle="1" w:styleId="ListBulletLevel2">
    <w:name w:val="List Bullet (Level 2)"/>
    <w:basedOn w:val="Normal"/>
    <w:uiPriority w:val="1"/>
    <w:pPr>
      <w:numPr>
        <w:ilvl w:val="1"/>
        <w:numId w:val="9"/>
      </w:numPr>
      <w:contextualSpacing/>
    </w:pPr>
  </w:style>
  <w:style w:type="paragraph" w:styleId="ListBullet">
    <w:name w:val="List Bullet"/>
    <w:basedOn w:val="Normal"/>
    <w:uiPriority w:val="1"/>
    <w:pPr>
      <w:numPr>
        <w:numId w:val="9"/>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link w:val="FootnoteTextChar"/>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link w:val="EndnoteTextChar"/>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customStyle="1" w:styleId="AfterTable">
    <w:name w:val="After Table"/>
    <w:semiHidden/>
    <w:rPr>
      <w:sz w:val="4"/>
    </w:rPr>
  </w:style>
  <w:style w:type="paragraph" w:customStyle="1" w:styleId="TableSource">
    <w:name w:val="Table Source"/>
    <w:basedOn w:val="Normal"/>
    <w:next w:val="Normal"/>
    <w:semiHidden/>
    <w:unhideWhenUsed/>
    <w:pPr>
      <w:spacing w:after="240"/>
    </w:pPr>
    <w:rPr>
      <w:sz w:val="18"/>
    </w:rPr>
  </w:style>
  <w:style w:type="paragraph" w:customStyle="1" w:styleId="TableTitle">
    <w:name w:val="Table Title"/>
    <w:basedOn w:val="Normal"/>
    <w:uiPriority w:val="1"/>
    <w:semiHidden/>
    <w:unhideWhenUsed/>
    <w:pPr>
      <w:keepNext/>
      <w:spacing w:before="120"/>
    </w:pPr>
    <w:rPr>
      <w:b/>
      <w:i/>
    </w:r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Flag">
    <w:name w:val="Z_Flag"/>
    <w:basedOn w:val="Normal"/>
    <w:next w:val="Normal"/>
    <w:link w:val="ZFlagChar"/>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4494"/>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4494"/>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4494"/>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4494"/>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4494"/>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4494"/>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character" w:styleId="FootnoteReference">
    <w:name w:val="footnote reference"/>
    <w:basedOn w:val="DefaultParagraphFont"/>
    <w:semiHidden/>
    <w:locked/>
    <w:rsid w:val="00FE162C"/>
    <w:rPr>
      <w:vertAlign w:val="superscript"/>
    </w:rPr>
  </w:style>
  <w:style w:type="paragraph" w:styleId="ListBullet2">
    <w:name w:val="List Bullet 2"/>
    <w:basedOn w:val="Normal"/>
    <w:semiHidden/>
    <w:locked/>
    <w:rsid w:val="005A3E50"/>
    <w:pPr>
      <w:numPr>
        <w:numId w:val="11"/>
      </w:numPr>
      <w:contextualSpacing/>
    </w:pPr>
  </w:style>
  <w:style w:type="paragraph" w:styleId="ListParagraph">
    <w:name w:val="List Paragraph"/>
    <w:basedOn w:val="Normal"/>
    <w:qFormat/>
    <w:locked/>
    <w:rsid w:val="005A3E50"/>
    <w:pPr>
      <w:spacing w:after="200" w:line="276" w:lineRule="auto"/>
      <w:ind w:left="720"/>
      <w:contextualSpacing/>
      <w:jc w:val="left"/>
    </w:pPr>
    <w:rPr>
      <w:rFonts w:ascii="Calibri" w:eastAsia="Calibri" w:hAnsi="Calibri"/>
    </w:rPr>
  </w:style>
  <w:style w:type="paragraph" w:styleId="NormalWeb">
    <w:name w:val="Normal (Web)"/>
    <w:basedOn w:val="Normal"/>
    <w:link w:val="NormalWebChar"/>
    <w:locked/>
    <w:rsid w:val="005A3E50"/>
    <w:pPr>
      <w:spacing w:before="100" w:beforeAutospacing="1" w:after="100" w:afterAutospacing="1" w:line="240" w:lineRule="auto"/>
      <w:jc w:val="left"/>
    </w:pPr>
    <w:rPr>
      <w:sz w:val="24"/>
    </w:rPr>
  </w:style>
  <w:style w:type="character" w:customStyle="1" w:styleId="NormalWebChar">
    <w:name w:val="Normal (Web) Char"/>
    <w:link w:val="NormalWeb"/>
    <w:rsid w:val="005A3E50"/>
  </w:style>
  <w:style w:type="character" w:styleId="Hyperlink">
    <w:name w:val="Hyperlink"/>
    <w:basedOn w:val="DefaultParagraphFont"/>
    <w:uiPriority w:val="99"/>
    <w:unhideWhenUsed/>
    <w:locked/>
    <w:rsid w:val="00231F7A"/>
    <w:rPr>
      <w:color w:val="0563C1" w:themeColor="hyperlink"/>
      <w:u w:val="single"/>
    </w:rPr>
  </w:style>
  <w:style w:type="character" w:styleId="FollowedHyperlink">
    <w:name w:val="FollowedHyperlink"/>
    <w:basedOn w:val="DefaultParagraphFont"/>
    <w:semiHidden/>
    <w:locked/>
    <w:rsid w:val="00FD58CB"/>
    <w:rPr>
      <w:color w:val="954F72" w:themeColor="followedHyperlink"/>
      <w:u w:val="single"/>
    </w:rPr>
  </w:style>
  <w:style w:type="character" w:customStyle="1" w:styleId="Marker">
    <w:name w:val="Marker"/>
    <w:basedOn w:val="DefaultParagraphFont"/>
    <w:rsid w:val="006D5409"/>
    <w:rPr>
      <w:color w:val="0000FF"/>
      <w:shd w:val="clear" w:color="auto" w:fill="auto"/>
    </w:rPr>
  </w:style>
  <w:style w:type="paragraph" w:customStyle="1" w:styleId="Pagedecouverture">
    <w:name w:val="Page de couverture"/>
    <w:basedOn w:val="Normal"/>
    <w:next w:val="Normal"/>
    <w:rsid w:val="006D5409"/>
    <w:pPr>
      <w:spacing w:after="0" w:line="240" w:lineRule="auto"/>
    </w:pPr>
    <w:rPr>
      <w:rFonts w:eastAsiaTheme="minorHAnsi"/>
      <w:sz w:val="24"/>
    </w:rPr>
  </w:style>
  <w:style w:type="paragraph" w:customStyle="1" w:styleId="FooterCoverPage">
    <w:name w:val="Footer Cover Page"/>
    <w:basedOn w:val="Normal"/>
    <w:link w:val="FooterCoverPageChar"/>
    <w:rsid w:val="006D5409"/>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6D5409"/>
    <w:rPr>
      <w:sz w:val="22"/>
    </w:rPr>
  </w:style>
  <w:style w:type="character" w:customStyle="1" w:styleId="FooterCoverPageChar">
    <w:name w:val="Footer Cover Page Char"/>
    <w:basedOn w:val="ZFlagChar"/>
    <w:link w:val="FooterCoverPage"/>
    <w:rsid w:val="006D5409"/>
    <w:rPr>
      <w:sz w:val="22"/>
    </w:rPr>
  </w:style>
  <w:style w:type="paragraph" w:customStyle="1" w:styleId="FooterSensitivity">
    <w:name w:val="Footer Sensitivity"/>
    <w:basedOn w:val="Normal"/>
    <w:link w:val="FooterSensitivityChar"/>
    <w:rsid w:val="006D540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6D5409"/>
    <w:rPr>
      <w:b/>
      <w:sz w:val="32"/>
    </w:rPr>
  </w:style>
  <w:style w:type="paragraph" w:customStyle="1" w:styleId="HeaderCoverPage">
    <w:name w:val="Header Cover Page"/>
    <w:basedOn w:val="Normal"/>
    <w:link w:val="HeaderCoverPageChar"/>
    <w:rsid w:val="006D5409"/>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6D5409"/>
    <w:rPr>
      <w:sz w:val="22"/>
    </w:rPr>
  </w:style>
  <w:style w:type="paragraph" w:customStyle="1" w:styleId="HeaderSensitivity">
    <w:name w:val="Header Sensitivity"/>
    <w:basedOn w:val="Normal"/>
    <w:link w:val="HeaderSensitivityChar"/>
    <w:rsid w:val="006D5409"/>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6D5409"/>
    <w:rPr>
      <w:b/>
      <w:sz w:val="32"/>
    </w:rPr>
  </w:style>
  <w:style w:type="paragraph" w:customStyle="1" w:styleId="HeaderSensitivityRight">
    <w:name w:val="Header Sensitivity Right"/>
    <w:basedOn w:val="Normal"/>
    <w:link w:val="HeaderSensitivityRightChar"/>
    <w:rsid w:val="006D5409"/>
    <w:pPr>
      <w:spacing w:line="240" w:lineRule="auto"/>
      <w:jc w:val="right"/>
    </w:pPr>
    <w:rPr>
      <w:sz w:val="28"/>
    </w:rPr>
  </w:style>
  <w:style w:type="character" w:customStyle="1" w:styleId="HeaderSensitivityRightChar">
    <w:name w:val="Header Sensitivity Right Char"/>
    <w:basedOn w:val="ZFlagChar"/>
    <w:link w:val="HeaderSensitivityRight"/>
    <w:rsid w:val="006D5409"/>
    <w:rPr>
      <w:sz w:val="28"/>
    </w:rPr>
  </w:style>
  <w:style w:type="character" w:styleId="CommentReference">
    <w:name w:val="annotation reference"/>
    <w:basedOn w:val="DefaultParagraphFont"/>
    <w:uiPriority w:val="99"/>
    <w:semiHidden/>
    <w:locked/>
    <w:rsid w:val="00A04937"/>
    <w:rPr>
      <w:sz w:val="16"/>
    </w:rPr>
  </w:style>
  <w:style w:type="paragraph" w:styleId="CommentText">
    <w:name w:val="annotation text"/>
    <w:basedOn w:val="Normal"/>
    <w:link w:val="CommentTextChar"/>
    <w:uiPriority w:val="99"/>
    <w:semiHidden/>
    <w:locked/>
    <w:rsid w:val="00A04937"/>
    <w:pPr>
      <w:spacing w:line="240" w:lineRule="auto"/>
    </w:pPr>
    <w:rPr>
      <w:sz w:val="20"/>
    </w:rPr>
  </w:style>
  <w:style w:type="character" w:customStyle="1" w:styleId="CommentTextChar">
    <w:name w:val="Comment Text Char"/>
    <w:basedOn w:val="DefaultParagraphFont"/>
    <w:link w:val="CommentText"/>
    <w:uiPriority w:val="99"/>
    <w:semiHidden/>
    <w:rsid w:val="00A04937"/>
    <w:rPr>
      <w:sz w:val="20"/>
    </w:rPr>
  </w:style>
  <w:style w:type="paragraph" w:styleId="CommentSubject">
    <w:name w:val="annotation subject"/>
    <w:basedOn w:val="CommentText"/>
    <w:next w:val="CommentText"/>
    <w:link w:val="CommentSubjectChar"/>
    <w:semiHidden/>
    <w:locked/>
    <w:rsid w:val="00A04937"/>
    <w:rPr>
      <w:b/>
    </w:rPr>
  </w:style>
  <w:style w:type="character" w:customStyle="1" w:styleId="CommentSubjectChar">
    <w:name w:val="Comment Subject Char"/>
    <w:basedOn w:val="CommentTextChar"/>
    <w:link w:val="CommentSubject"/>
    <w:semiHidden/>
    <w:rsid w:val="00A04937"/>
    <w:rPr>
      <w:b/>
      <w:sz w:val="20"/>
    </w:rPr>
  </w:style>
  <w:style w:type="paragraph" w:styleId="BalloonText">
    <w:name w:val="Balloon Text"/>
    <w:basedOn w:val="Normal"/>
    <w:link w:val="BalloonTextChar"/>
    <w:semiHidden/>
    <w:locked/>
    <w:rsid w:val="00A04937"/>
    <w:pPr>
      <w:spacing w:after="0" w:line="240" w:lineRule="auto"/>
    </w:pPr>
    <w:rPr>
      <w:rFonts w:ascii="Segoe UI" w:hAnsi="Segoe UI" w:cs="Segoe UI"/>
      <w:sz w:val="18"/>
    </w:rPr>
  </w:style>
  <w:style w:type="character" w:customStyle="1" w:styleId="BalloonTextChar">
    <w:name w:val="Balloon Text Char"/>
    <w:basedOn w:val="DefaultParagraphFont"/>
    <w:link w:val="BalloonText"/>
    <w:semiHidden/>
    <w:rsid w:val="00A04937"/>
    <w:rPr>
      <w:rFonts w:ascii="Segoe UI" w:hAnsi="Segoe UI" w:cs="Segoe UI"/>
      <w:sz w:val="18"/>
    </w:rPr>
  </w:style>
  <w:style w:type="character" w:customStyle="1" w:styleId="FootnoteTextChar">
    <w:name w:val="Footnote Text Char"/>
    <w:basedOn w:val="DefaultParagraphFont"/>
    <w:link w:val="FootnoteText"/>
    <w:uiPriority w:val="99"/>
    <w:semiHidden/>
    <w:rsid w:val="00EE4EFA"/>
    <w:rPr>
      <w:sz w:val="20"/>
    </w:rPr>
  </w:style>
  <w:style w:type="character" w:customStyle="1" w:styleId="EndnoteTextChar">
    <w:name w:val="Endnote Text Char"/>
    <w:basedOn w:val="DefaultParagraphFont"/>
    <w:link w:val="EndnoteText"/>
    <w:rsid w:val="00CC7325"/>
    <w:rPr>
      <w:sz w:val="20"/>
    </w:rPr>
  </w:style>
  <w:style w:type="paragraph" w:styleId="Revision">
    <w:name w:val="Revision"/>
    <w:hidden/>
    <w:semiHidden/>
    <w:locked/>
    <w:rsid w:val="00F3105D"/>
    <w:rPr>
      <w:sz w:val="22"/>
    </w:rPr>
  </w:style>
  <w:style w:type="paragraph" w:styleId="ListNumber4">
    <w:name w:val="List Number 4"/>
    <w:basedOn w:val="Normal"/>
    <w:uiPriority w:val="1"/>
    <w:locked/>
    <w:rsid w:val="00BA2529"/>
    <w:pPr>
      <w:numPr>
        <w:numId w:val="19"/>
      </w:numPr>
      <w:spacing w:after="240" w:line="240" w:lineRule="auto"/>
    </w:pPr>
    <w:rPr>
      <w:sz w:val="24"/>
    </w:rPr>
  </w:style>
  <w:style w:type="paragraph" w:customStyle="1" w:styleId="ListNumber4Level2">
    <w:name w:val="List Number 4 (Level 2)"/>
    <w:basedOn w:val="Normal"/>
    <w:uiPriority w:val="1"/>
    <w:rsid w:val="00BA2529"/>
    <w:pPr>
      <w:numPr>
        <w:ilvl w:val="1"/>
        <w:numId w:val="19"/>
      </w:numPr>
      <w:spacing w:after="240" w:line="240" w:lineRule="auto"/>
    </w:pPr>
    <w:rPr>
      <w:sz w:val="24"/>
    </w:rPr>
  </w:style>
  <w:style w:type="paragraph" w:customStyle="1" w:styleId="ListNumber4Level3">
    <w:name w:val="List Number 4 (Level 3)"/>
    <w:basedOn w:val="Normal"/>
    <w:uiPriority w:val="1"/>
    <w:semiHidden/>
    <w:unhideWhenUsed/>
    <w:rsid w:val="00BA2529"/>
    <w:pPr>
      <w:numPr>
        <w:ilvl w:val="2"/>
        <w:numId w:val="19"/>
      </w:numPr>
      <w:spacing w:after="240" w:line="240" w:lineRule="auto"/>
    </w:pPr>
    <w:rPr>
      <w:sz w:val="24"/>
    </w:rPr>
  </w:style>
  <w:style w:type="paragraph" w:customStyle="1" w:styleId="ListNumber4Level4">
    <w:name w:val="List Number 4 (Level 4)"/>
    <w:basedOn w:val="Normal"/>
    <w:uiPriority w:val="1"/>
    <w:semiHidden/>
    <w:unhideWhenUsed/>
    <w:rsid w:val="00BA2529"/>
    <w:pPr>
      <w:numPr>
        <w:ilvl w:val="3"/>
        <w:numId w:val="19"/>
      </w:numPr>
      <w:spacing w:after="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91337">
      <w:bodyDiv w:val="1"/>
      <w:marLeft w:val="0"/>
      <w:marRight w:val="0"/>
      <w:marTop w:val="0"/>
      <w:marBottom w:val="0"/>
      <w:divBdr>
        <w:top w:val="none" w:sz="0" w:space="0" w:color="auto"/>
        <w:left w:val="none" w:sz="0" w:space="0" w:color="auto"/>
        <w:bottom w:val="none" w:sz="0" w:space="0" w:color="auto"/>
        <w:right w:val="none" w:sz="0" w:space="0" w:color="auto"/>
      </w:divBdr>
    </w:div>
    <w:div w:id="490100964">
      <w:bodyDiv w:val="1"/>
      <w:marLeft w:val="0"/>
      <w:marRight w:val="0"/>
      <w:marTop w:val="0"/>
      <w:marBottom w:val="0"/>
      <w:divBdr>
        <w:top w:val="none" w:sz="0" w:space="0" w:color="auto"/>
        <w:left w:val="none" w:sz="0" w:space="0" w:color="auto"/>
        <w:bottom w:val="none" w:sz="0" w:space="0" w:color="auto"/>
        <w:right w:val="none" w:sz="0" w:space="0" w:color="auto"/>
      </w:divBdr>
    </w:div>
    <w:div w:id="79876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K/TXT/?uri=CELEX%3A52022DC0213&amp;qid=1663150007084" TargetMode="External"/><Relationship Id="rId2" Type="http://schemas.openxmlformats.org/officeDocument/2006/relationships/hyperlink" Target="https://eur-lex.europa.eu/legal-content/SK/TXT/?uri=CELEX%3A52022DC0213&amp;qid=1663150007084" TargetMode="External"/><Relationship Id="rId1" Type="http://schemas.openxmlformats.org/officeDocument/2006/relationships/hyperlink" Target="https://eur-lex.europa.eu/legal-content/SK/TXT/?uri=CELEX%3A52022DC0213&amp;qid=166315000708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9.6687865939834458E-2"/>
          <c:y val="0.20089270091238595"/>
          <c:w val="0.78098324247930551"/>
          <c:h val="0.72519872515935513"/>
        </c:manualLayout>
      </c:layout>
      <c:pieChart>
        <c:varyColors val="1"/>
        <c:ser>
          <c:idx val="0"/>
          <c:order val="0"/>
          <c:dPt>
            <c:idx val="0"/>
            <c:bubble3D val="0"/>
            <c:spPr>
              <a:solidFill>
                <a:schemeClr val="accent5">
                  <a:tint val="46000"/>
                </a:schemeClr>
              </a:solidFill>
              <a:ln w="19050">
                <a:solidFill>
                  <a:schemeClr val="lt1"/>
                </a:solidFill>
              </a:ln>
              <a:effectLst/>
            </c:spPr>
            <c:extLst>
              <c:ext xmlns:c16="http://schemas.microsoft.com/office/drawing/2014/chart" uri="{C3380CC4-5D6E-409C-BE32-E72D297353CC}">
                <c16:uniqueId val="{00000001-58A1-4B03-90B5-47D3D05CACBB}"/>
              </c:ext>
            </c:extLst>
          </c:dPt>
          <c:dPt>
            <c:idx val="1"/>
            <c:bubble3D val="0"/>
            <c:spPr>
              <a:solidFill>
                <a:schemeClr val="accent5">
                  <a:tint val="62000"/>
                </a:schemeClr>
              </a:solidFill>
              <a:ln w="19050">
                <a:solidFill>
                  <a:schemeClr val="lt1"/>
                </a:solidFill>
              </a:ln>
              <a:effectLst/>
            </c:spPr>
            <c:extLst>
              <c:ext xmlns:c16="http://schemas.microsoft.com/office/drawing/2014/chart" uri="{C3380CC4-5D6E-409C-BE32-E72D297353CC}">
                <c16:uniqueId val="{00000003-58A1-4B03-90B5-47D3D05CACBB}"/>
              </c:ext>
            </c:extLst>
          </c:dPt>
          <c:dPt>
            <c:idx val="2"/>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5-58A1-4B03-90B5-47D3D05CACBB}"/>
              </c:ext>
            </c:extLst>
          </c:dPt>
          <c:dPt>
            <c:idx val="3"/>
            <c:bubble3D val="0"/>
            <c:spPr>
              <a:solidFill>
                <a:schemeClr val="accent5">
                  <a:tint val="93000"/>
                </a:schemeClr>
              </a:solidFill>
              <a:ln w="19050">
                <a:solidFill>
                  <a:schemeClr val="lt1"/>
                </a:solidFill>
              </a:ln>
              <a:effectLst/>
            </c:spPr>
            <c:extLst>
              <c:ext xmlns:c16="http://schemas.microsoft.com/office/drawing/2014/chart" uri="{C3380CC4-5D6E-409C-BE32-E72D297353CC}">
                <c16:uniqueId val="{00000007-58A1-4B03-90B5-47D3D05CACBB}"/>
              </c:ext>
            </c:extLst>
          </c:dPt>
          <c:dPt>
            <c:idx val="4"/>
            <c:bubble3D val="0"/>
            <c:spPr>
              <a:solidFill>
                <a:schemeClr val="accent5">
                  <a:shade val="92000"/>
                </a:schemeClr>
              </a:solidFill>
              <a:ln w="19050">
                <a:solidFill>
                  <a:schemeClr val="lt1"/>
                </a:solidFill>
              </a:ln>
              <a:effectLst/>
            </c:spPr>
            <c:extLst>
              <c:ext xmlns:c16="http://schemas.microsoft.com/office/drawing/2014/chart" uri="{C3380CC4-5D6E-409C-BE32-E72D297353CC}">
                <c16:uniqueId val="{00000009-58A1-4B03-90B5-47D3D05CACBB}"/>
              </c:ext>
            </c:extLst>
          </c:dPt>
          <c:dPt>
            <c:idx val="5"/>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B-58A1-4B03-90B5-47D3D05CACBB}"/>
              </c:ext>
            </c:extLst>
          </c:dPt>
          <c:dPt>
            <c:idx val="6"/>
            <c:bubble3D val="0"/>
            <c:spPr>
              <a:solidFill>
                <a:schemeClr val="accent5">
                  <a:shade val="61000"/>
                </a:schemeClr>
              </a:solidFill>
              <a:ln w="19050">
                <a:solidFill>
                  <a:schemeClr val="lt1"/>
                </a:solidFill>
              </a:ln>
              <a:effectLst/>
            </c:spPr>
            <c:extLst>
              <c:ext xmlns:c16="http://schemas.microsoft.com/office/drawing/2014/chart" uri="{C3380CC4-5D6E-409C-BE32-E72D297353CC}">
                <c16:uniqueId val="{0000000D-58A1-4B03-90B5-47D3D05CACBB}"/>
              </c:ext>
            </c:extLst>
          </c:dPt>
          <c:dPt>
            <c:idx val="7"/>
            <c:bubble3D val="0"/>
            <c:spPr>
              <a:solidFill>
                <a:schemeClr val="accent5">
                  <a:shade val="45000"/>
                </a:schemeClr>
              </a:solidFill>
              <a:ln w="19050">
                <a:solidFill>
                  <a:schemeClr val="lt1"/>
                </a:solidFill>
              </a:ln>
              <a:effectLst/>
            </c:spPr>
            <c:extLst>
              <c:ext xmlns:c16="http://schemas.microsoft.com/office/drawing/2014/chart" uri="{C3380CC4-5D6E-409C-BE32-E72D297353CC}">
                <c16:uniqueId val="{0000000F-58A1-4B03-90B5-47D3D05CACBB}"/>
              </c:ext>
            </c:extLst>
          </c:dPt>
          <c:dLbls>
            <c:dLbl>
              <c:idx val="0"/>
              <c:tx>
                <c:rich>
                  <a:bodyPr/>
                  <a:lstStyle/>
                  <a:p>
                    <a:fld id="{0AADE4D9-788F-4909-8485-9A707CDA432E}" type="CATEGORYNAME">
                      <a:rPr lang="en-US" sz="1000" b="1"/>
                      <a:pPr/>
                      <a:t>[CATEGORY NAME]</a:t>
                    </a:fld>
                    <a:r>
                      <a:rPr lang="en-US" sz="1000"/>
                      <a:t> 58,80%</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8A1-4B03-90B5-47D3D05CACBB}"/>
                </c:ext>
              </c:extLst>
            </c:dLbl>
            <c:dLbl>
              <c:idx val="1"/>
              <c:layout>
                <c:manualLayout>
                  <c:x val="0.19131319286419307"/>
                  <c:y val="-0.1245626044164455"/>
                </c:manualLayout>
              </c:layout>
              <c:tx>
                <c:rich>
                  <a:bodyPr/>
                  <a:lstStyle/>
                  <a:p>
                    <a:r>
                      <a:rPr lang="en-US" sz="1000" b="1"/>
                      <a:t>GFEA</a:t>
                    </a:r>
                    <a:r>
                      <a:rPr lang="en-US" sz="1000" baseline="0"/>
                      <a:t> 17,13%</a:t>
                    </a:r>
                    <a:endParaRPr lang="en-US" sz="1000"/>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A1-4B03-90B5-47D3D05CACBB}"/>
                </c:ext>
              </c:extLst>
            </c:dLbl>
            <c:dLbl>
              <c:idx val="2"/>
              <c:layout>
                <c:manualLayout>
                  <c:x val="0.16695103257195631"/>
                  <c:y val="2.4355045526603211E-2"/>
                </c:manualLayout>
              </c:layout>
              <c:tx>
                <c:rich>
                  <a:bodyPr/>
                  <a:lstStyle/>
                  <a:p>
                    <a:fld id="{9BF4BB61-E770-4D80-8DDC-94BDC64872FB}" type="CATEGORYNAME">
                      <a:rPr lang="en-US" sz="1000" b="1"/>
                      <a:pPr/>
                      <a:t>[CATEGORY NAME]</a:t>
                    </a:fld>
                    <a:r>
                      <a:rPr lang="en-US" sz="1000"/>
                      <a:t> 4,85%</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8A1-4B03-90B5-47D3D05CACBB}"/>
                </c:ext>
              </c:extLst>
            </c:dLbl>
            <c:dLbl>
              <c:idx val="3"/>
              <c:tx>
                <c:rich>
                  <a:bodyPr/>
                  <a:lstStyle/>
                  <a:p>
                    <a:fld id="{62CE2319-2FB7-4CB1-B479-7F51ECCF1070}" type="CATEGORYNAME">
                      <a:rPr lang="en-US" sz="1000" b="1"/>
                      <a:pPr/>
                      <a:t>[CATEGORY NAME]</a:t>
                    </a:fld>
                    <a:r>
                      <a:rPr lang="en-US" sz="1000"/>
                      <a:t> 7,41%</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8A1-4B03-90B5-47D3D05CACBB}"/>
                </c:ext>
              </c:extLst>
            </c:dLbl>
            <c:dLbl>
              <c:idx val="4"/>
              <c:layout>
                <c:manualLayout>
                  <c:x val="0.1056345284529881"/>
                  <c:y val="0.14807212636989553"/>
                </c:manualLayout>
              </c:layout>
              <c:tx>
                <c:rich>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fld id="{667E9278-ADE1-4237-B189-B2236E444833}" type="CATEGORYNAME">
                      <a:rPr lang="en-US" sz="1000" b="1"/>
                      <a:pPr>
                        <a:defRPr/>
                      </a:pPr>
                      <a:t>[CATEGORY NAME]</a:t>
                    </a:fld>
                    <a:endParaRPr lang="en-US" sz="1000" b="1"/>
                  </a:p>
                  <a:p>
                    <a:pPr>
                      <a:defRPr/>
                    </a:pPr>
                    <a:r>
                      <a:rPr lang="en-US" sz="1000"/>
                      <a:t>11,47%</a:t>
                    </a:r>
                  </a:p>
                </c:rich>
              </c:tx>
              <c:spPr>
                <a:noFill/>
                <a:ln>
                  <a:noFill/>
                </a:ln>
                <a:effectLst/>
              </c:spPr>
              <c:txPr>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13119720373526464"/>
                      <c:h val="0.12387615882455832"/>
                    </c:manualLayout>
                  </c15:layout>
                  <c15:dlblFieldTable/>
                  <c15:showDataLabelsRange val="0"/>
                </c:ext>
                <c:ext xmlns:c16="http://schemas.microsoft.com/office/drawing/2014/chart" uri="{C3380CC4-5D6E-409C-BE32-E72D297353CC}">
                  <c16:uniqueId val="{00000009-58A1-4B03-90B5-47D3D05CACBB}"/>
                </c:ext>
              </c:extLst>
            </c:dLbl>
            <c:dLbl>
              <c:idx val="5"/>
              <c:layout>
                <c:manualLayout>
                  <c:x val="-0.23525001682481997"/>
                  <c:y val="1.1841957255343082E-2"/>
                </c:manualLayout>
              </c:layout>
              <c:tx>
                <c:rich>
                  <a:bodyPr/>
                  <a:lstStyle/>
                  <a:p>
                    <a:fld id="{6D495270-3059-4A5F-9B94-4CF74BB66E63}" type="CATEGORYNAME">
                      <a:rPr lang="en-US" sz="1000" b="1"/>
                      <a:pPr/>
                      <a:t>[CATEGORY NAME]</a:t>
                    </a:fld>
                    <a:r>
                      <a:rPr lang="en-US" sz="1000"/>
                      <a:t> 0,09%</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8A1-4B03-90B5-47D3D05CACBB}"/>
                </c:ext>
              </c:extLst>
            </c:dLbl>
            <c:dLbl>
              <c:idx val="6"/>
              <c:tx>
                <c:rich>
                  <a:bodyPr/>
                  <a:lstStyle/>
                  <a:p>
                    <a:fld id="{AC0BA071-1C09-4CB1-A443-C1112832BA45}" type="CATEGORYNAME">
                      <a:rPr lang="en-US" sz="1000" b="1"/>
                      <a:pPr/>
                      <a:t>[CATEGORY NAME]</a:t>
                    </a:fld>
                    <a:r>
                      <a:rPr lang="en-US" sz="1000"/>
                      <a:t> 0,12%</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8A1-4B03-90B5-47D3D05CACBB}"/>
                </c:ext>
              </c:extLst>
            </c:dLbl>
            <c:dLbl>
              <c:idx val="7"/>
              <c:tx>
                <c:rich>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r>
                      <a:rPr lang="en-US" sz="1000" b="1" dirty="0" err="1"/>
                      <a:t>kombinované financovanie v rámci </a:t>
                    </a:r>
                    <a:r>
                      <a:rPr lang="en-US" sz="1000" b="1" i="0" u="none" strike="noStrike" kern="1200" baseline="0" smtClean="0">
                        <a:solidFill>
                          <a:sysClr val="windowText" lastClr="000000">
                            <a:lumMod val="75000"/>
                            <a:lumOff val="25000"/>
                          </a:sysClr>
                        </a:solidFill>
                      </a:rPr>
                      <a:t>InvestEU </a:t>
                    </a:r>
                    <a:r>
                      <a:rPr lang="en-US" sz="1000" dirty="0" err="1"/>
                      <a:t>0,12%</a:t>
                    </a:r>
                  </a:p>
                </c:rich>
              </c:tx>
              <c:spPr>
                <a:noFill/>
                <a:ln>
                  <a:noFill/>
                </a:ln>
                <a:effectLst/>
              </c:spPr>
              <c:txPr>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29060862555421202"/>
                      <c:h val="0.17430368373764601"/>
                    </c:manualLayout>
                  </c15:layout>
                </c:ext>
                <c:ext xmlns:c16="http://schemas.microsoft.com/office/drawing/2014/chart" uri="{C3380CC4-5D6E-409C-BE32-E72D297353CC}">
                  <c16:uniqueId val="{0000000F-58A1-4B03-90B5-47D3D05CACBB}"/>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'[Graphs_311222.xlsx]Evolution of compartments'!$A$2:$A$9</c:f>
              <c:strCache>
                <c:ptCount val="8"/>
                <c:pt idx="0">
                  <c:v>EFSI</c:v>
                </c:pt>
                <c:pt idx="1">
                  <c:v>GFeA</c:v>
                </c:pt>
                <c:pt idx="2">
                  <c:v>EFSD</c:v>
                </c:pt>
                <c:pt idx="3">
                  <c:v>EFSD+</c:v>
                </c:pt>
                <c:pt idx="4">
                  <c:v>InvestEU</c:v>
                </c:pt>
                <c:pt idx="5">
                  <c:v>InvestEU CZ</c:v>
                </c:pt>
                <c:pt idx="6">
                  <c:v>InvestEU FI</c:v>
                </c:pt>
                <c:pt idx="7">
                  <c:v>InvestEU Blend</c:v>
                </c:pt>
              </c:strCache>
            </c:strRef>
          </c:cat>
          <c:val>
            <c:numRef>
              <c:f>'[Graphs_311222.xlsx]Evolution of compartments'!$D$2:$D$9</c:f>
              <c:numCache>
                <c:formatCode>0.00%</c:formatCode>
                <c:ptCount val="8"/>
                <c:pt idx="0">
                  <c:v>0.58796897750700583</c:v>
                </c:pt>
                <c:pt idx="1">
                  <c:v>0.17134572744830964</c:v>
                </c:pt>
                <c:pt idx="2">
                  <c:v>4.8474454310834442E-2</c:v>
                </c:pt>
                <c:pt idx="3">
                  <c:v>7.4116388625491497E-2</c:v>
                </c:pt>
                <c:pt idx="4">
                  <c:v>0.11471573010283054</c:v>
                </c:pt>
                <c:pt idx="5">
                  <c:v>9.3483726240308428E-4</c:v>
                </c:pt>
                <c:pt idx="6">
                  <c:v>1.2101303676235182E-3</c:v>
                </c:pt>
                <c:pt idx="7">
                  <c:v>1.2337543755013658E-3</c:v>
                </c:pt>
              </c:numCache>
            </c:numRef>
          </c:val>
          <c:extLst>
            <c:ext xmlns:c16="http://schemas.microsoft.com/office/drawing/2014/chart" uri="{C3380CC4-5D6E-409C-BE32-E72D297353CC}">
              <c16:uniqueId val="{00000010-58A1-4B03-90B5-47D3D05CACBB}"/>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Obsah</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Verzia dokumentu</TechFooterVersion>
  <TechFooterDated>z</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10.0.43105.0</Version>
    <Date>2022-03-13T15:55:04</Date>
    <Language>EN</Language>
    <Note/>
  </Created>
  <Edited>
    <Version/>
    <Date/>
  </Edited>
  <DocumentModel>
    <Id>34954475-997f-4cb0-a95b-7f65298f3d8c</Id>
    <Name>Report (long)</Name>
  </DocumentModel>
  <DocumentDate>2022-03-13T15:55:04</DocumentDate>
  <DocumentVersion>0.1</DocumentVersion>
  <CompatibilityMode>Eurolook10</CompatibilityMode>
  <DocumentMetadata>
    <EC_SecurityDateMarking MetadataSerializationType="SimpleValue"/>
    <EC_SecurityMarking MetadataSerializationType="SimpleValue"/>
    <EC_SecurityDistributionSpecialHandling MetadataSerializationType="SimpleValue"/>
    <EC_SecurityDistributionSensitive MetadataSerializationType="SimpleValue"/>
    <EC_SecurityDistributionDG MetadataSerializationType="SimpleValue"/>
    <EC_SecurityDistributionWorkingGroup MetadataSerializationType="SimpleValue"/>
    <EC_SecurityDateMarkingEvent MetadataSerializationType="SimpleValue"/>
    <EC_SecurityDateMarkingDate MetadataSerializationType="SimpleValue"/>
    <EC_SecurityReleasability MetadataSerializationType="SimpleValue"/>
  </DocumentMetadata>
</EurolookProperties>
</file>

<file path=customXml/item3.xml><?xml version="1.0" encoding="utf-8"?>
<Author Role="Creator" AuthorRoleName="Writer" AuthorRoleId="a4fbaff4-b07c-48b4-a21e-e7b9eedf3796">
  <Id>706087fe-e8d4-4d77-905a-f26bb79d7b3d</Id>
  <Names>
    <Latin>
      <FirstName>Aneta</FirstName>
      <LastName>SIEJKA</LastName>
    </Latin>
    <Greek>
      <FirstName/>
      <LastName/>
    </Greek>
    <Cyrillic>
      <FirstName/>
      <LastName/>
    </Cyrillic>
    <DocumentScript>
      <FirstName>Aneta</FirstName>
      <LastName>SIEJKA</LastName>
      <FullName>Aneta SIEJKA</FullName>
    </DocumentScript>
  </Names>
  <Initials>AS</Initials>
  <Gender>f</Gender>
  <Email>Aneta.SIEJKA@ec.europa.eu</Email>
  <Service>BUDG.E.4</Service>
  <Function ADCode="" ShowInSignature="true" ShowInHeader="false" HeaderText="">Legal and Policy Officer</Function>
  <WebAddress/>
  <FunctionalMailbox/>
  <InheritedWebAddress>WebAddress</InheritedWebAddress>
  <OrgaEntity1>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1>
  <OrgaEntity2>
    <Id>548f3404-e19f-4f73-9736-d9d5440b19fb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2>
  <OrgaEntity3>
    <Id>6c01fc0c-f504-4682-877b-86573fbed281</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3>
  <Hierarchy>
    <OrgaEntity>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
    <OrgaEntity>
      <Id>548f3404-e19f-4f73-9736-d9d5440b19fb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
    <OrgaEntity>
      <Id>6c01fc0c-f504-4682-877b-86573fbed281</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4301-38884</Phone>
    <Office>DRB- B3/079</Office>
  </MainWorkplace>
  <Workplaces>
    <Workplace IsMain="true">
      <AddressId>1264fb81-f6bb-475e-9f9d-a937d3be6ee2</AddressId>
      <Fax/>
      <Phone>+352 4301-38884</Phone>
      <Office>DRB- B3/079</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A45D19BE-C041-4E07-8088-259DFAE7D30D}">
  <ds:schemaRefs/>
</ds:datastoreItem>
</file>

<file path=customXml/itemProps4.xml><?xml version="1.0" encoding="utf-8"?>
<ds:datastoreItem xmlns:ds="http://schemas.openxmlformats.org/officeDocument/2006/customXml" ds:itemID="{0147F6EA-587D-4B5B-87FC-C11B82F3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3307</Words>
  <Characters>18555</Characters>
  <Application>Microsoft Office Word</Application>
  <DocSecurity>0</DocSecurity>
  <PresentationFormat>Microsoft Word 14.0</PresentationFormat>
  <Lines>356</Lines>
  <Paragraphs>166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2023-05-12T05:50:00Z</dcterms:created>
  <dcterms:modified xsi:type="dcterms:W3CDTF">2023-06-01T06:33:00Z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tech.dot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9.0, Build 20230317</vt:lpwstr>
  </property>
  <property fmtid="{D5CDD505-2E9C-101B-9397-08002B2CF9AE}" pid="10" name="Created using">
    <vt:lpwstr>LW 7.0.1, Build 20200226</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2023-03-09T12:45:07Z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94caedbe-2754-4608-948c-c961d332b491</vt:lpwstr>
  </property>
  <property fmtid="{D5CDD505-2E9C-101B-9397-08002B2CF9AE}" pid="17" name="MSIP_Label_6bd9ddd1-4d20-43f6-abfa-fc3c07406f94_ContentBits">
    <vt:lpwstr>0</vt:lpwstr>
  </property>
</Properties>
</file>