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F916E" w14:textId="7EFFCAED" w:rsidR="005B3330" w:rsidRPr="00C8711F" w:rsidRDefault="00E321BE" w:rsidP="00E321BE">
      <w:pPr>
        <w:pStyle w:val="Pagedecouverture"/>
        <w:rPr>
          <w:noProof/>
        </w:rPr>
      </w:pPr>
      <w:r>
        <w:rPr>
          <w:noProof/>
        </w:rPr>
        <w:pict w14:anchorId="4E73E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D7080A6-3B98-4963-94C9-7BBABCCF93B4" style="width:455.25pt;height:399pt">
            <v:imagedata r:id="rId11" o:title=""/>
          </v:shape>
        </w:pict>
      </w:r>
    </w:p>
    <w:p w14:paraId="0D3B0AE5" w14:textId="77777777" w:rsidR="005B3330" w:rsidRPr="00C8711F" w:rsidRDefault="005B3330" w:rsidP="005B3330">
      <w:pPr>
        <w:rPr>
          <w:noProof/>
        </w:rPr>
        <w:sectPr w:rsidR="005B3330" w:rsidRPr="00C8711F" w:rsidSect="00E321BE">
          <w:footerReference w:type="default" r:id="rId12"/>
          <w:pgSz w:w="11907" w:h="16839"/>
          <w:pgMar w:top="1134" w:right="1417" w:bottom="1134" w:left="1417" w:header="709" w:footer="709" w:gutter="0"/>
          <w:pgNumType w:start="0"/>
          <w:cols w:space="720"/>
          <w:docGrid w:linePitch="360"/>
        </w:sectPr>
      </w:pPr>
    </w:p>
    <w:p w14:paraId="2D1DB62E" w14:textId="77777777" w:rsidR="005B3330" w:rsidRPr="00C8711F" w:rsidRDefault="005B3330" w:rsidP="007800DD">
      <w:pPr>
        <w:pStyle w:val="Exposdesmotifstitre"/>
        <w:rPr>
          <w:noProof/>
        </w:rPr>
      </w:pPr>
      <w:bookmarkStart w:id="0" w:name="_GoBack"/>
      <w:bookmarkEnd w:id="0"/>
      <w:r w:rsidRPr="00C8711F">
        <w:rPr>
          <w:noProof/>
        </w:rPr>
        <w:lastRenderedPageBreak/>
        <w:t>EXPLANATORY MEMORANDUM</w:t>
      </w:r>
    </w:p>
    <w:p w14:paraId="67E2C505" w14:textId="77777777" w:rsidR="005B3330" w:rsidRPr="00C8711F" w:rsidRDefault="005B3330" w:rsidP="007800DD">
      <w:pPr>
        <w:pStyle w:val="ManualHeading1"/>
        <w:rPr>
          <w:noProof/>
        </w:rPr>
      </w:pPr>
      <w:r w:rsidRPr="00C8711F">
        <w:rPr>
          <w:noProof/>
        </w:rPr>
        <w:t>1.</w:t>
      </w:r>
      <w:r w:rsidRPr="00C8711F">
        <w:rPr>
          <w:noProof/>
        </w:rPr>
        <w:tab/>
        <w:t>CONTEXT OF THE PROPOSAL</w:t>
      </w:r>
    </w:p>
    <w:p w14:paraId="01AD4782" w14:textId="77777777" w:rsidR="005B3330" w:rsidRPr="00C8711F" w:rsidRDefault="005B3330" w:rsidP="007800DD">
      <w:pPr>
        <w:pStyle w:val="ManualHeading2"/>
        <w:rPr>
          <w:rFonts w:eastAsia="Arial Unicode MS"/>
          <w:noProof/>
        </w:rPr>
      </w:pPr>
      <w:r w:rsidRPr="00C8711F">
        <w:rPr>
          <w:rFonts w:eastAsia="Arial Unicode MS"/>
          <w:noProof/>
          <w:color w:val="000000"/>
          <w:u w:color="000000"/>
          <w:bdr w:val="nil"/>
          <w:lang w:val="en-US" w:eastAsia="en-GB"/>
        </w:rPr>
        <w:t>•</w:t>
      </w:r>
      <w:r w:rsidRPr="00C8711F">
        <w:rPr>
          <w:rFonts w:eastAsia="Arial Unicode MS"/>
          <w:noProof/>
          <w:color w:val="000000"/>
          <w:u w:color="000000"/>
          <w:bdr w:val="nil"/>
          <w:lang w:val="en-US" w:eastAsia="en-GB"/>
        </w:rPr>
        <w:tab/>
      </w:r>
      <w:r w:rsidRPr="00C8711F">
        <w:rPr>
          <w:rFonts w:eastAsia="Arial Unicode MS"/>
          <w:noProof/>
        </w:rPr>
        <w:t>Reasons for and objectives of the proposal</w:t>
      </w:r>
    </w:p>
    <w:p w14:paraId="6F9CEEE9" w14:textId="77777777" w:rsidR="00FB1146" w:rsidRPr="00C8711F" w:rsidRDefault="00FB1146" w:rsidP="006A1DB1">
      <w:pPr>
        <w:pBdr>
          <w:top w:val="nil"/>
          <w:left w:val="nil"/>
          <w:bottom w:val="nil"/>
          <w:right w:val="nil"/>
          <w:between w:val="nil"/>
          <w:bar w:val="nil"/>
        </w:pBdr>
        <w:spacing w:before="0" w:after="240"/>
        <w:rPr>
          <w:rFonts w:eastAsia="Arial Unicode MS"/>
          <w:noProof/>
        </w:rPr>
      </w:pPr>
      <w:r w:rsidRPr="00C8711F">
        <w:rPr>
          <w:rFonts w:eastAsia="Arial Unicode MS"/>
          <w:noProof/>
        </w:rPr>
        <w:t>This proposal concerns a</w:t>
      </w:r>
      <w:r w:rsidR="006A1DB1">
        <w:rPr>
          <w:rFonts w:eastAsia="Arial Unicode MS"/>
          <w:noProof/>
        </w:rPr>
        <w:t xml:space="preserve">n amendment </w:t>
      </w:r>
      <w:r w:rsidRPr="00C8711F">
        <w:rPr>
          <w:rFonts w:eastAsia="Arial Unicode MS"/>
          <w:noProof/>
        </w:rPr>
        <w:t xml:space="preserve">of </w:t>
      </w:r>
      <w:r w:rsidR="00BC7CD6" w:rsidRPr="00BC7CD6">
        <w:rPr>
          <w:rFonts w:eastAsia="Arial Unicode MS"/>
          <w:noProof/>
        </w:rPr>
        <w:t>Directive 2009/1</w:t>
      </w:r>
      <w:r w:rsidR="00ED761E">
        <w:rPr>
          <w:rFonts w:eastAsia="Arial Unicode MS"/>
          <w:noProof/>
        </w:rPr>
        <w:t>6</w:t>
      </w:r>
      <w:r w:rsidR="00BC7CD6" w:rsidRPr="00BC7CD6">
        <w:rPr>
          <w:rFonts w:eastAsia="Arial Unicode MS"/>
          <w:noProof/>
        </w:rPr>
        <w:t xml:space="preserve">/EC of the European Parliament and of the Council of 23 April 2009 </w:t>
      </w:r>
      <w:r w:rsidR="003B48CD">
        <w:rPr>
          <w:rFonts w:eastAsia="Arial Unicode MS"/>
          <w:noProof/>
        </w:rPr>
        <w:t>on port State control</w:t>
      </w:r>
      <w:r w:rsidR="00BC7CD6" w:rsidRPr="00D24830">
        <w:rPr>
          <w:rStyle w:val="FootnoteReference"/>
          <w:noProof/>
        </w:rPr>
        <w:footnoteReference w:id="1"/>
      </w:r>
      <w:r w:rsidRPr="00D24830">
        <w:rPr>
          <w:rStyle w:val="FootnoteReference"/>
          <w:noProof/>
        </w:rPr>
        <w:t>.</w:t>
      </w:r>
    </w:p>
    <w:p w14:paraId="728652AF" w14:textId="77777777" w:rsidR="00FC38B5" w:rsidRDefault="00BC7CD6" w:rsidP="005840B3">
      <w:pPr>
        <w:pBdr>
          <w:top w:val="nil"/>
          <w:left w:val="nil"/>
          <w:bottom w:val="nil"/>
          <w:right w:val="nil"/>
          <w:between w:val="nil"/>
          <w:bar w:val="nil"/>
        </w:pBdr>
        <w:spacing w:before="0" w:after="240"/>
        <w:rPr>
          <w:rFonts w:eastAsia="Arial Unicode MS"/>
          <w:noProof/>
        </w:rPr>
      </w:pPr>
      <w:r>
        <w:rPr>
          <w:rFonts w:eastAsia="Arial Unicode MS"/>
          <w:noProof/>
        </w:rPr>
        <w:t>Directive 2009/1</w:t>
      </w:r>
      <w:r w:rsidR="00C2477A">
        <w:rPr>
          <w:rFonts w:eastAsia="Arial Unicode MS"/>
          <w:noProof/>
        </w:rPr>
        <w:t>6</w:t>
      </w:r>
      <w:r>
        <w:rPr>
          <w:rFonts w:eastAsia="Arial Unicode MS"/>
          <w:noProof/>
        </w:rPr>
        <w:t xml:space="preserve">/EC (hereinafter the </w:t>
      </w:r>
      <w:r w:rsidR="00866BB3">
        <w:rPr>
          <w:rFonts w:eastAsia="Arial Unicode MS"/>
          <w:noProof/>
        </w:rPr>
        <w:t>D</w:t>
      </w:r>
      <w:r w:rsidRPr="00BC7CD6">
        <w:rPr>
          <w:rFonts w:eastAsia="Arial Unicode MS"/>
          <w:noProof/>
        </w:rPr>
        <w:t>irective</w:t>
      </w:r>
      <w:r>
        <w:rPr>
          <w:rFonts w:eastAsia="Arial Unicode MS"/>
          <w:noProof/>
        </w:rPr>
        <w:t xml:space="preserve">) </w:t>
      </w:r>
      <w:r w:rsidR="00725DD0">
        <w:rPr>
          <w:rFonts w:eastAsia="Arial Unicode MS"/>
          <w:noProof/>
        </w:rPr>
        <w:t xml:space="preserve">regulates port State control inspections at </w:t>
      </w:r>
      <w:r w:rsidR="006A1DB1">
        <w:rPr>
          <w:rFonts w:eastAsia="Arial Unicode MS"/>
          <w:noProof/>
        </w:rPr>
        <w:t>EU</w:t>
      </w:r>
      <w:r w:rsidR="00725DD0">
        <w:rPr>
          <w:rFonts w:eastAsia="Arial Unicode MS"/>
          <w:noProof/>
        </w:rPr>
        <w:t xml:space="preserve"> level. </w:t>
      </w:r>
      <w:r w:rsidR="00725DD0" w:rsidRPr="00725DD0">
        <w:rPr>
          <w:rFonts w:eastAsia="Arial Unicode MS"/>
          <w:noProof/>
        </w:rPr>
        <w:t>P</w:t>
      </w:r>
      <w:r w:rsidR="00BC0E23">
        <w:rPr>
          <w:rFonts w:eastAsia="Arial Unicode MS"/>
          <w:noProof/>
        </w:rPr>
        <w:t>ort State control</w:t>
      </w:r>
      <w:r w:rsidR="00725DD0" w:rsidRPr="00725DD0">
        <w:rPr>
          <w:rFonts w:eastAsia="Arial Unicode MS"/>
          <w:noProof/>
        </w:rPr>
        <w:t xml:space="preserve"> </w:t>
      </w:r>
      <w:r w:rsidR="00BC0E23">
        <w:rPr>
          <w:rFonts w:eastAsia="Arial Unicode MS"/>
          <w:noProof/>
        </w:rPr>
        <w:t xml:space="preserve">(PSC) </w:t>
      </w:r>
      <w:r w:rsidR="00725DD0">
        <w:rPr>
          <w:rFonts w:eastAsia="Arial Unicode MS"/>
          <w:noProof/>
        </w:rPr>
        <w:t xml:space="preserve">is a system </w:t>
      </w:r>
      <w:r w:rsidR="00E852AA">
        <w:rPr>
          <w:rFonts w:eastAsia="Arial Unicode MS"/>
          <w:noProof/>
        </w:rPr>
        <w:t xml:space="preserve">of inspection </w:t>
      </w:r>
      <w:r w:rsidR="00725DD0">
        <w:rPr>
          <w:rFonts w:eastAsia="Arial Unicode MS"/>
          <w:noProof/>
        </w:rPr>
        <w:t xml:space="preserve">of </w:t>
      </w:r>
      <w:r w:rsidR="00725DD0" w:rsidRPr="00725DD0">
        <w:rPr>
          <w:rFonts w:eastAsia="Arial Unicode MS"/>
          <w:noProof/>
        </w:rPr>
        <w:t xml:space="preserve">foreign ships in ports of states other than the flag state by PSC officers to verify that the competency of the master, officers and crew on board, the condition of a ship, and its equipment comply with the requirements of international conventions </w:t>
      </w:r>
      <w:r w:rsidR="00FC38B5">
        <w:rPr>
          <w:rFonts w:eastAsia="Arial Unicode MS"/>
          <w:noProof/>
        </w:rPr>
        <w:t xml:space="preserve"> </w:t>
      </w:r>
      <w:r w:rsidR="00725DD0" w:rsidRPr="00725DD0">
        <w:rPr>
          <w:rFonts w:eastAsia="Arial Unicode MS"/>
          <w:noProof/>
        </w:rPr>
        <w:t xml:space="preserve">- and in the European Union, </w:t>
      </w:r>
      <w:r w:rsidR="005840B3">
        <w:rPr>
          <w:rFonts w:eastAsia="Arial Unicode MS"/>
          <w:noProof/>
        </w:rPr>
        <w:t xml:space="preserve">with </w:t>
      </w:r>
      <w:r w:rsidR="00725DD0" w:rsidRPr="00725DD0">
        <w:rPr>
          <w:rFonts w:eastAsia="Arial Unicode MS"/>
          <w:noProof/>
        </w:rPr>
        <w:t xml:space="preserve">applicable EU law. </w:t>
      </w:r>
      <w:r w:rsidR="00FC38B5" w:rsidRPr="00725DD0">
        <w:rPr>
          <w:rFonts w:eastAsia="Arial Unicode MS"/>
          <w:noProof/>
        </w:rPr>
        <w:t xml:space="preserve">As such, PSC is important </w:t>
      </w:r>
      <w:r w:rsidR="005840B3">
        <w:rPr>
          <w:rFonts w:eastAsia="Arial Unicode MS"/>
          <w:noProof/>
        </w:rPr>
        <w:t>in</w:t>
      </w:r>
      <w:r w:rsidR="00FC38B5" w:rsidRPr="00725DD0">
        <w:rPr>
          <w:rFonts w:eastAsia="Arial Unicode MS"/>
          <w:noProof/>
        </w:rPr>
        <w:t xml:space="preserve"> ensuring maritime safety and </w:t>
      </w:r>
      <w:r w:rsidR="005840B3">
        <w:rPr>
          <w:rFonts w:eastAsia="Arial Unicode MS"/>
          <w:noProof/>
        </w:rPr>
        <w:t xml:space="preserve">in </w:t>
      </w:r>
      <w:r w:rsidR="00FC38B5" w:rsidRPr="00725DD0">
        <w:rPr>
          <w:rFonts w:eastAsia="Arial Unicode MS"/>
          <w:noProof/>
        </w:rPr>
        <w:t xml:space="preserve">protecting the marine environment. </w:t>
      </w:r>
    </w:p>
    <w:p w14:paraId="261F0607" w14:textId="77777777" w:rsidR="00FC38B5" w:rsidRDefault="00FC38B5" w:rsidP="005840B3">
      <w:pPr>
        <w:pBdr>
          <w:top w:val="nil"/>
          <w:left w:val="nil"/>
          <w:bottom w:val="nil"/>
          <w:right w:val="nil"/>
          <w:between w:val="nil"/>
          <w:bar w:val="nil"/>
        </w:pBdr>
        <w:spacing w:before="0" w:after="240"/>
        <w:rPr>
          <w:rFonts w:eastAsia="Arial Unicode MS"/>
          <w:noProof/>
        </w:rPr>
      </w:pPr>
      <w:r w:rsidRPr="00FC38B5">
        <w:rPr>
          <w:rFonts w:eastAsia="Arial Unicode MS"/>
          <w:noProof/>
        </w:rPr>
        <w:t xml:space="preserve">Due to its history and international nature, maritime transport has developed a specific regulatory structure. At global level, </w:t>
      </w:r>
      <w:r>
        <w:rPr>
          <w:rFonts w:eastAsia="Arial Unicode MS"/>
          <w:noProof/>
        </w:rPr>
        <w:t xml:space="preserve">the </w:t>
      </w:r>
      <w:r w:rsidRPr="00FC38B5">
        <w:rPr>
          <w:rFonts w:eastAsia="Arial Unicode MS"/>
          <w:noProof/>
        </w:rPr>
        <w:t xml:space="preserve">international legal framework </w:t>
      </w:r>
      <w:r w:rsidR="005840B3">
        <w:rPr>
          <w:rFonts w:eastAsia="Arial Unicode MS"/>
          <w:noProof/>
        </w:rPr>
        <w:t>was</w:t>
      </w:r>
      <w:r>
        <w:rPr>
          <w:rFonts w:eastAsia="Arial Unicode MS"/>
          <w:noProof/>
        </w:rPr>
        <w:t xml:space="preserve"> </w:t>
      </w:r>
      <w:r w:rsidRPr="00FC38B5">
        <w:rPr>
          <w:rFonts w:eastAsia="Arial Unicode MS"/>
          <w:noProof/>
        </w:rPr>
        <w:t xml:space="preserve">adopted under the auspices of the International Maritime </w:t>
      </w:r>
      <w:r w:rsidR="003951E3" w:rsidRPr="00FC38B5">
        <w:rPr>
          <w:rFonts w:eastAsia="Arial Unicode MS"/>
          <w:noProof/>
        </w:rPr>
        <w:t>Organi</w:t>
      </w:r>
      <w:r w:rsidR="005840B3">
        <w:rPr>
          <w:rFonts w:eastAsia="Arial Unicode MS"/>
          <w:noProof/>
        </w:rPr>
        <w:t>z</w:t>
      </w:r>
      <w:r w:rsidR="003951E3" w:rsidRPr="00FC38B5">
        <w:rPr>
          <w:rFonts w:eastAsia="Arial Unicode MS"/>
          <w:noProof/>
        </w:rPr>
        <w:t xml:space="preserve">ation </w:t>
      </w:r>
      <w:r w:rsidRPr="00D24830">
        <w:rPr>
          <w:rStyle w:val="FootnoteReference"/>
          <w:noProof/>
        </w:rPr>
        <w:footnoteReference w:id="2"/>
      </w:r>
      <w:r w:rsidRPr="00D24830">
        <w:rPr>
          <w:rStyle w:val="FootnoteReference"/>
          <w:noProof/>
        </w:rPr>
        <w:t xml:space="preserve"> </w:t>
      </w:r>
      <w:r>
        <w:rPr>
          <w:rFonts w:eastAsia="Arial Unicode MS"/>
          <w:noProof/>
        </w:rPr>
        <w:t>(IMO</w:t>
      </w:r>
      <w:r w:rsidRPr="00FC38B5">
        <w:rPr>
          <w:rFonts w:eastAsia="Arial Unicode MS"/>
          <w:noProof/>
        </w:rPr>
        <w:t>)</w:t>
      </w:r>
      <w:r>
        <w:rPr>
          <w:rFonts w:eastAsia="Arial Unicode MS"/>
          <w:noProof/>
        </w:rPr>
        <w:t xml:space="preserve"> </w:t>
      </w:r>
      <w:r w:rsidR="005840B3">
        <w:rPr>
          <w:rFonts w:eastAsia="Arial Unicode MS"/>
          <w:noProof/>
        </w:rPr>
        <w:t xml:space="preserve">and the </w:t>
      </w:r>
      <w:r w:rsidRPr="00FC38B5">
        <w:rPr>
          <w:rFonts w:eastAsia="Arial Unicode MS"/>
          <w:noProof/>
        </w:rPr>
        <w:t xml:space="preserve">rules </w:t>
      </w:r>
      <w:r w:rsidR="005840B3">
        <w:rPr>
          <w:rFonts w:eastAsia="Arial Unicode MS"/>
          <w:noProof/>
        </w:rPr>
        <w:t>governing</w:t>
      </w:r>
      <w:r w:rsidRPr="00FC38B5">
        <w:rPr>
          <w:rFonts w:eastAsia="Arial Unicode MS"/>
          <w:noProof/>
        </w:rPr>
        <w:t xml:space="preserve"> working and living conditions on-board ships are promulgated by another UN agency, the International Labour Organi</w:t>
      </w:r>
      <w:r w:rsidR="005840B3">
        <w:rPr>
          <w:rFonts w:eastAsia="Arial Unicode MS"/>
          <w:noProof/>
        </w:rPr>
        <w:t>z</w:t>
      </w:r>
      <w:r w:rsidRPr="00FC38B5">
        <w:rPr>
          <w:rFonts w:eastAsia="Arial Unicode MS"/>
          <w:noProof/>
        </w:rPr>
        <w:t>ation (ILO).</w:t>
      </w:r>
    </w:p>
    <w:p w14:paraId="0F36F72A" w14:textId="77777777" w:rsidR="008212D9" w:rsidRDefault="00FC38B5" w:rsidP="005840B3">
      <w:pPr>
        <w:spacing w:before="0" w:after="240"/>
        <w:rPr>
          <w:noProof/>
          <w:szCs w:val="24"/>
        </w:rPr>
      </w:pPr>
      <w:r w:rsidRPr="00FC38B5">
        <w:rPr>
          <w:noProof/>
          <w:szCs w:val="24"/>
        </w:rPr>
        <w:t xml:space="preserve">The primary responsibility for monitoring the compliance of ships with IMO </w:t>
      </w:r>
      <w:r>
        <w:rPr>
          <w:noProof/>
          <w:szCs w:val="24"/>
        </w:rPr>
        <w:t xml:space="preserve">and ILO </w:t>
      </w:r>
      <w:r w:rsidRPr="00FC38B5">
        <w:rPr>
          <w:noProof/>
          <w:szCs w:val="24"/>
        </w:rPr>
        <w:t>standards lies with the State where the ship is registered and whose nationality the ship holds – the flag State. However, flag State rules only apply to vessels that fly that flag</w:t>
      </w:r>
      <w:r w:rsidR="00D54FCC">
        <w:rPr>
          <w:noProof/>
          <w:szCs w:val="24"/>
        </w:rPr>
        <w:t xml:space="preserve">. </w:t>
      </w:r>
      <w:r w:rsidR="005840B3">
        <w:rPr>
          <w:noProof/>
          <w:szCs w:val="24"/>
        </w:rPr>
        <w:t>There</w:t>
      </w:r>
      <w:r w:rsidR="00D54FCC">
        <w:rPr>
          <w:noProof/>
          <w:szCs w:val="24"/>
        </w:rPr>
        <w:t xml:space="preserve"> continue to be </w:t>
      </w:r>
      <w:r w:rsidRPr="00FC38B5">
        <w:rPr>
          <w:noProof/>
          <w:szCs w:val="24"/>
        </w:rPr>
        <w:t xml:space="preserve">flag States </w:t>
      </w:r>
      <w:r>
        <w:rPr>
          <w:noProof/>
          <w:szCs w:val="24"/>
        </w:rPr>
        <w:t xml:space="preserve">willing to </w:t>
      </w:r>
      <w:r w:rsidRPr="00FC38B5">
        <w:rPr>
          <w:noProof/>
          <w:szCs w:val="24"/>
        </w:rPr>
        <w:t>allow substandard vessels to operate under their flags or unable to adequately enforce the international rules</w:t>
      </w:r>
      <w:r w:rsidR="00C2477A">
        <w:rPr>
          <w:noProof/>
          <w:szCs w:val="24"/>
        </w:rPr>
        <w:t>. Therefore,</w:t>
      </w:r>
      <w:r>
        <w:rPr>
          <w:noProof/>
          <w:szCs w:val="24"/>
        </w:rPr>
        <w:t xml:space="preserve"> </w:t>
      </w:r>
      <w:r w:rsidRPr="00FC38B5">
        <w:rPr>
          <w:noProof/>
          <w:szCs w:val="24"/>
        </w:rPr>
        <w:t>many of the IMO's most important technical conventions contain provisions for ships to be inspected when the vessels visit foreign ports to ensure that they meet the international requirements</w:t>
      </w:r>
      <w:r>
        <w:rPr>
          <w:noProof/>
          <w:szCs w:val="24"/>
        </w:rPr>
        <w:t xml:space="preserve">. </w:t>
      </w:r>
    </w:p>
    <w:p w14:paraId="4AB4B7B6" w14:textId="77777777" w:rsidR="00A31F84" w:rsidRDefault="008212D9" w:rsidP="00351037">
      <w:pPr>
        <w:spacing w:before="0" w:after="240"/>
        <w:rPr>
          <w:noProof/>
        </w:rPr>
      </w:pPr>
      <w:r w:rsidRPr="008212D9">
        <w:rPr>
          <w:noProof/>
          <w:spacing w:val="-4"/>
          <w:szCs w:val="24"/>
        </w:rPr>
        <w:t xml:space="preserve">To improve effectiveness, port States carrying out PSC inspections </w:t>
      </w:r>
      <w:r>
        <w:rPr>
          <w:noProof/>
          <w:spacing w:val="-4"/>
          <w:szCs w:val="24"/>
        </w:rPr>
        <w:t xml:space="preserve">began to </w:t>
      </w:r>
      <w:r w:rsidRPr="008212D9">
        <w:rPr>
          <w:noProof/>
          <w:spacing w:val="-4"/>
          <w:szCs w:val="24"/>
        </w:rPr>
        <w:t>coordinate their work</w:t>
      </w:r>
      <w:r>
        <w:rPr>
          <w:noProof/>
          <w:spacing w:val="-4"/>
          <w:szCs w:val="24"/>
        </w:rPr>
        <w:t xml:space="preserve"> system</w:t>
      </w:r>
      <w:r w:rsidR="00A31F84">
        <w:rPr>
          <w:noProof/>
          <w:spacing w:val="-4"/>
          <w:szCs w:val="24"/>
        </w:rPr>
        <w:t xml:space="preserve">atically </w:t>
      </w:r>
      <w:r w:rsidR="005840B3">
        <w:rPr>
          <w:noProof/>
          <w:spacing w:val="-4"/>
          <w:szCs w:val="24"/>
        </w:rPr>
        <w:t xml:space="preserve">at </w:t>
      </w:r>
      <w:r w:rsidRPr="008212D9">
        <w:rPr>
          <w:noProof/>
          <w:spacing w:val="-4"/>
          <w:szCs w:val="24"/>
        </w:rPr>
        <w:t xml:space="preserve">regional </w:t>
      </w:r>
      <w:r w:rsidR="005840B3">
        <w:rPr>
          <w:noProof/>
          <w:spacing w:val="-4"/>
          <w:szCs w:val="24"/>
        </w:rPr>
        <w:t>level</w:t>
      </w:r>
      <w:r w:rsidRPr="008212D9">
        <w:rPr>
          <w:noProof/>
          <w:spacing w:val="-4"/>
          <w:szCs w:val="24"/>
        </w:rPr>
        <w:t xml:space="preserve">. The </w:t>
      </w:r>
      <w:r w:rsidRPr="008212D9">
        <w:rPr>
          <w:bCs/>
          <w:noProof/>
          <w:spacing w:val="-4"/>
          <w:szCs w:val="24"/>
        </w:rPr>
        <w:t>Paris Memorandum of Understanding on port State control</w:t>
      </w:r>
      <w:r w:rsidRPr="00D24830">
        <w:rPr>
          <w:rStyle w:val="FootnoteReference"/>
          <w:noProof/>
        </w:rPr>
        <w:footnoteReference w:id="3"/>
      </w:r>
      <w:r w:rsidRPr="008212D9">
        <w:rPr>
          <w:noProof/>
          <w:spacing w:val="-4"/>
          <w:szCs w:val="24"/>
        </w:rPr>
        <w:t xml:space="preserve"> (hereinafter the </w:t>
      </w:r>
      <w:r w:rsidR="005840B3">
        <w:rPr>
          <w:noProof/>
          <w:spacing w:val="-4"/>
          <w:szCs w:val="24"/>
        </w:rPr>
        <w:t>‘</w:t>
      </w:r>
      <w:r w:rsidRPr="008212D9">
        <w:rPr>
          <w:bCs/>
          <w:noProof/>
          <w:spacing w:val="-4"/>
          <w:szCs w:val="24"/>
        </w:rPr>
        <w:t>Paris M</w:t>
      </w:r>
      <w:r w:rsidR="00351037">
        <w:rPr>
          <w:bCs/>
          <w:noProof/>
          <w:spacing w:val="-4"/>
          <w:szCs w:val="24"/>
        </w:rPr>
        <w:t>O</w:t>
      </w:r>
      <w:r w:rsidRPr="008212D9">
        <w:rPr>
          <w:bCs/>
          <w:noProof/>
          <w:spacing w:val="-4"/>
          <w:szCs w:val="24"/>
        </w:rPr>
        <w:t>U</w:t>
      </w:r>
      <w:r w:rsidR="005840B3">
        <w:rPr>
          <w:bCs/>
          <w:noProof/>
          <w:spacing w:val="-4"/>
          <w:szCs w:val="24"/>
        </w:rPr>
        <w:t>’</w:t>
      </w:r>
      <w:r w:rsidRPr="008212D9">
        <w:rPr>
          <w:noProof/>
          <w:spacing w:val="-4"/>
          <w:szCs w:val="24"/>
        </w:rPr>
        <w:t xml:space="preserve">) </w:t>
      </w:r>
      <w:r w:rsidR="005840B3">
        <w:rPr>
          <w:noProof/>
          <w:spacing w:val="-4"/>
          <w:szCs w:val="24"/>
        </w:rPr>
        <w:t>drawn up</w:t>
      </w:r>
      <w:r w:rsidRPr="008212D9">
        <w:rPr>
          <w:noProof/>
          <w:spacing w:val="-4"/>
          <w:szCs w:val="24"/>
        </w:rPr>
        <w:t xml:space="preserve"> in 1982 is the first of nine intergovernmental structures</w:t>
      </w:r>
      <w:r w:rsidR="00100B02">
        <w:rPr>
          <w:noProof/>
          <w:spacing w:val="-4"/>
          <w:szCs w:val="24"/>
        </w:rPr>
        <w:t xml:space="preserve"> across the world</w:t>
      </w:r>
      <w:r w:rsidRPr="008212D9">
        <w:rPr>
          <w:noProof/>
          <w:spacing w:val="-4"/>
          <w:szCs w:val="24"/>
        </w:rPr>
        <w:t xml:space="preserve">. </w:t>
      </w:r>
      <w:r w:rsidR="00A31F84" w:rsidRPr="00586426">
        <w:rPr>
          <w:noProof/>
        </w:rPr>
        <w:t>All 24 E</w:t>
      </w:r>
      <w:r w:rsidR="00DD493E">
        <w:rPr>
          <w:noProof/>
        </w:rPr>
        <w:t xml:space="preserve">uropean </w:t>
      </w:r>
      <w:r w:rsidR="00A31F84" w:rsidRPr="00586426">
        <w:rPr>
          <w:noProof/>
        </w:rPr>
        <w:t>E</w:t>
      </w:r>
      <w:r w:rsidR="00DD493E">
        <w:rPr>
          <w:noProof/>
        </w:rPr>
        <w:t xml:space="preserve">conomic </w:t>
      </w:r>
      <w:r w:rsidR="00A31F84" w:rsidRPr="00586426">
        <w:rPr>
          <w:noProof/>
        </w:rPr>
        <w:t>A</w:t>
      </w:r>
      <w:r w:rsidR="00DD493E">
        <w:rPr>
          <w:noProof/>
        </w:rPr>
        <w:t>rea (EEA)</w:t>
      </w:r>
      <w:r w:rsidR="00A31F84" w:rsidRPr="00586426">
        <w:rPr>
          <w:noProof/>
        </w:rPr>
        <w:t xml:space="preserve"> Member States with seaports, as well as Canada, the Russian Federation</w:t>
      </w:r>
      <w:r w:rsidR="00CE41A1">
        <w:rPr>
          <w:rStyle w:val="FootnoteReference"/>
          <w:noProof/>
        </w:rPr>
        <w:footnoteReference w:id="4"/>
      </w:r>
      <w:r w:rsidR="00A31F84" w:rsidRPr="00586426">
        <w:rPr>
          <w:noProof/>
        </w:rPr>
        <w:t xml:space="preserve"> and the United Kingdom, are </w:t>
      </w:r>
      <w:r w:rsidR="005840B3">
        <w:rPr>
          <w:noProof/>
        </w:rPr>
        <w:t>signatories to</w:t>
      </w:r>
      <w:r w:rsidR="00A31F84" w:rsidRPr="00586426">
        <w:rPr>
          <w:noProof/>
        </w:rPr>
        <w:t xml:space="preserve"> the Paris MoU</w:t>
      </w:r>
      <w:r w:rsidR="00C2477A">
        <w:rPr>
          <w:noProof/>
        </w:rPr>
        <w:t>.</w:t>
      </w:r>
      <w:r w:rsidR="00A31F84" w:rsidRPr="00586426">
        <w:rPr>
          <w:noProof/>
        </w:rPr>
        <w:t xml:space="preserve"> The </w:t>
      </w:r>
      <w:r w:rsidR="005840B3">
        <w:rPr>
          <w:noProof/>
        </w:rPr>
        <w:t>EU</w:t>
      </w:r>
      <w:r w:rsidR="00A31F84" w:rsidRPr="00586426">
        <w:rPr>
          <w:noProof/>
        </w:rPr>
        <w:t xml:space="preserve"> is not a member.</w:t>
      </w:r>
      <w:r w:rsidR="00A31F84">
        <w:rPr>
          <w:noProof/>
        </w:rPr>
        <w:t xml:space="preserve"> </w:t>
      </w:r>
    </w:p>
    <w:p w14:paraId="11F89677" w14:textId="77777777" w:rsidR="008212D9" w:rsidRPr="008212D9" w:rsidRDefault="008212D9" w:rsidP="00351037">
      <w:pPr>
        <w:spacing w:before="0" w:after="240"/>
        <w:rPr>
          <w:noProof/>
          <w:szCs w:val="24"/>
        </w:rPr>
      </w:pPr>
      <w:r w:rsidRPr="008212D9">
        <w:rPr>
          <w:noProof/>
          <w:szCs w:val="24"/>
        </w:rPr>
        <w:t xml:space="preserve">The PSC Directive incorporates the procedures and tools of the Paris MoU as agreed in 2009. The Paris MoU and the PSC Directive </w:t>
      </w:r>
      <w:r w:rsidR="005840B3">
        <w:rPr>
          <w:noProof/>
          <w:szCs w:val="24"/>
        </w:rPr>
        <w:t xml:space="preserve">are based on the concepts of </w:t>
      </w:r>
      <w:r w:rsidRPr="008212D9">
        <w:rPr>
          <w:noProof/>
          <w:szCs w:val="24"/>
        </w:rPr>
        <w:t>shared burden and targeted</w:t>
      </w:r>
      <w:r w:rsidR="005840B3">
        <w:rPr>
          <w:noProof/>
          <w:szCs w:val="24"/>
        </w:rPr>
        <w:t>,</w:t>
      </w:r>
      <w:r w:rsidRPr="008212D9">
        <w:rPr>
          <w:noProof/>
          <w:szCs w:val="24"/>
        </w:rPr>
        <w:t xml:space="preserve"> harmonised inspections. The Commission, assisted by the European Maritime Safety Agency (EMSA), provides all EEA and Paris M</w:t>
      </w:r>
      <w:r w:rsidR="00351037">
        <w:rPr>
          <w:noProof/>
          <w:szCs w:val="24"/>
        </w:rPr>
        <w:t>O</w:t>
      </w:r>
      <w:r w:rsidRPr="008212D9">
        <w:rPr>
          <w:noProof/>
          <w:szCs w:val="24"/>
        </w:rPr>
        <w:t>U Member States with the technical support ne</w:t>
      </w:r>
      <w:r w:rsidR="005840B3">
        <w:rPr>
          <w:noProof/>
          <w:szCs w:val="24"/>
        </w:rPr>
        <w:t>eded</w:t>
      </w:r>
      <w:r w:rsidRPr="008212D9">
        <w:rPr>
          <w:noProof/>
          <w:szCs w:val="24"/>
        </w:rPr>
        <w:t xml:space="preserve"> to decide which vessels to inspect, and to report and share the results of PSC inspections via the THETIS database </w:t>
      </w:r>
      <w:r w:rsidR="00100B02">
        <w:rPr>
          <w:noProof/>
          <w:szCs w:val="24"/>
        </w:rPr>
        <w:t xml:space="preserve">(hosted by EMSA) </w:t>
      </w:r>
      <w:r w:rsidRPr="008212D9">
        <w:rPr>
          <w:noProof/>
          <w:szCs w:val="24"/>
        </w:rPr>
        <w:t xml:space="preserve">and training on how to carry out inspections. EEA Member States are also provided with information </w:t>
      </w:r>
      <w:r w:rsidR="005840B3">
        <w:rPr>
          <w:noProof/>
          <w:szCs w:val="24"/>
        </w:rPr>
        <w:t xml:space="preserve">on the </w:t>
      </w:r>
      <w:r w:rsidRPr="008212D9">
        <w:rPr>
          <w:noProof/>
          <w:szCs w:val="24"/>
        </w:rPr>
        <w:t xml:space="preserve">vessels scheduled to call </w:t>
      </w:r>
      <w:r w:rsidR="005840B3">
        <w:rPr>
          <w:noProof/>
          <w:szCs w:val="24"/>
        </w:rPr>
        <w:t>at</w:t>
      </w:r>
      <w:r w:rsidRPr="008212D9">
        <w:rPr>
          <w:noProof/>
          <w:szCs w:val="24"/>
        </w:rPr>
        <w:t xml:space="preserve"> their ports </w:t>
      </w:r>
      <w:r w:rsidR="005840B3">
        <w:rPr>
          <w:noProof/>
          <w:szCs w:val="24"/>
        </w:rPr>
        <w:t>via the</w:t>
      </w:r>
      <w:r w:rsidRPr="008212D9">
        <w:rPr>
          <w:noProof/>
          <w:szCs w:val="24"/>
        </w:rPr>
        <w:t xml:space="preserve"> Union maritime information exchange system 'SafeSeaNet'</w:t>
      </w:r>
      <w:r w:rsidRPr="00D24830">
        <w:rPr>
          <w:rStyle w:val="FootnoteReference"/>
          <w:noProof/>
        </w:rPr>
        <w:footnoteReference w:id="5"/>
      </w:r>
      <w:r w:rsidRPr="008212D9">
        <w:rPr>
          <w:noProof/>
          <w:szCs w:val="24"/>
        </w:rPr>
        <w:t xml:space="preserve"> to allow them to plan their inspections. </w:t>
      </w:r>
    </w:p>
    <w:p w14:paraId="08B10270" w14:textId="77777777" w:rsidR="005840B3" w:rsidRDefault="0027697F" w:rsidP="00866BB3">
      <w:pPr>
        <w:rPr>
          <w:noProof/>
        </w:rPr>
      </w:pPr>
      <w:r w:rsidRPr="0027697F">
        <w:rPr>
          <w:noProof/>
        </w:rPr>
        <w:t>The main objectives of the PSC Directive are</w:t>
      </w:r>
      <w:r w:rsidR="005840B3">
        <w:rPr>
          <w:noProof/>
        </w:rPr>
        <w:t xml:space="preserve"> to</w:t>
      </w:r>
      <w:r w:rsidRPr="0027697F">
        <w:rPr>
          <w:noProof/>
        </w:rPr>
        <w:t xml:space="preserve">: </w:t>
      </w:r>
    </w:p>
    <w:p w14:paraId="09B746CD" w14:textId="77777777" w:rsidR="005840B3" w:rsidRDefault="001C5481" w:rsidP="001C5481">
      <w:pPr>
        <w:pStyle w:val="Point1"/>
        <w:rPr>
          <w:noProof/>
        </w:rPr>
      </w:pPr>
      <w:r>
        <w:rPr>
          <w:noProof/>
        </w:rPr>
        <w:t>(i)</w:t>
      </w:r>
      <w:r w:rsidRPr="001C5481">
        <w:rPr>
          <w:noProof/>
        </w:rPr>
        <w:tab/>
      </w:r>
      <w:r w:rsidR="0027697F" w:rsidRPr="0027697F">
        <w:rPr>
          <w:noProof/>
        </w:rPr>
        <w:t>continuous</w:t>
      </w:r>
      <w:r w:rsidR="005840B3">
        <w:rPr>
          <w:noProof/>
        </w:rPr>
        <w:t xml:space="preserve">ly </w:t>
      </w:r>
      <w:r w:rsidR="0027697F" w:rsidRPr="0027697F">
        <w:rPr>
          <w:noProof/>
        </w:rPr>
        <w:t xml:space="preserve">improve maritime safety and security; </w:t>
      </w:r>
    </w:p>
    <w:p w14:paraId="5723DE38" w14:textId="77777777" w:rsidR="005840B3" w:rsidRDefault="001C5481" w:rsidP="001C5481">
      <w:pPr>
        <w:pStyle w:val="Point1"/>
        <w:rPr>
          <w:noProof/>
        </w:rPr>
      </w:pPr>
      <w:r>
        <w:rPr>
          <w:noProof/>
        </w:rPr>
        <w:t>(ii)</w:t>
      </w:r>
      <w:r w:rsidRPr="001C5481">
        <w:rPr>
          <w:noProof/>
        </w:rPr>
        <w:tab/>
      </w:r>
      <w:r w:rsidR="0027697F" w:rsidRPr="0027697F">
        <w:rPr>
          <w:noProof/>
        </w:rPr>
        <w:t>continuous</w:t>
      </w:r>
      <w:r w:rsidR="005840B3">
        <w:rPr>
          <w:noProof/>
        </w:rPr>
        <w:t>ly</w:t>
      </w:r>
      <w:r w:rsidR="0027697F" w:rsidRPr="0027697F">
        <w:rPr>
          <w:noProof/>
        </w:rPr>
        <w:t xml:space="preserve"> improve of pollution prevention and of environmental impact; </w:t>
      </w:r>
    </w:p>
    <w:p w14:paraId="1610E995" w14:textId="77777777" w:rsidR="005840B3" w:rsidRDefault="001C5481" w:rsidP="001C5481">
      <w:pPr>
        <w:pStyle w:val="Point1"/>
        <w:rPr>
          <w:noProof/>
        </w:rPr>
      </w:pPr>
      <w:r>
        <w:rPr>
          <w:noProof/>
        </w:rPr>
        <w:t>(iii)</w:t>
      </w:r>
      <w:r w:rsidRPr="001C5481">
        <w:rPr>
          <w:noProof/>
        </w:rPr>
        <w:tab/>
      </w:r>
      <w:r w:rsidR="0027697F" w:rsidRPr="0027697F">
        <w:rPr>
          <w:noProof/>
        </w:rPr>
        <w:t>continuous</w:t>
      </w:r>
      <w:r w:rsidR="005840B3">
        <w:rPr>
          <w:noProof/>
        </w:rPr>
        <w:t>ly</w:t>
      </w:r>
      <w:r w:rsidR="0027697F" w:rsidRPr="0027697F">
        <w:rPr>
          <w:noProof/>
        </w:rPr>
        <w:t xml:space="preserve"> improve on-board living and working conditions; </w:t>
      </w:r>
    </w:p>
    <w:p w14:paraId="21DDA770" w14:textId="77777777" w:rsidR="005840B3" w:rsidRDefault="001C5481" w:rsidP="001C5481">
      <w:pPr>
        <w:pStyle w:val="Point1"/>
        <w:rPr>
          <w:noProof/>
        </w:rPr>
      </w:pPr>
      <w:r>
        <w:rPr>
          <w:noProof/>
        </w:rPr>
        <w:t>(iv)</w:t>
      </w:r>
      <w:r w:rsidRPr="001C5481">
        <w:rPr>
          <w:noProof/>
        </w:rPr>
        <w:tab/>
      </w:r>
      <w:r w:rsidR="0027697F" w:rsidRPr="0027697F">
        <w:rPr>
          <w:noProof/>
        </w:rPr>
        <w:t xml:space="preserve">the avoidance of distortions of competition. </w:t>
      </w:r>
    </w:p>
    <w:p w14:paraId="4F6D30E7" w14:textId="77777777" w:rsidR="005840B3" w:rsidRDefault="0027697F" w:rsidP="005840B3">
      <w:pPr>
        <w:rPr>
          <w:noProof/>
        </w:rPr>
      </w:pPr>
      <w:r w:rsidRPr="0027697F">
        <w:rPr>
          <w:noProof/>
        </w:rPr>
        <w:t>T</w:t>
      </w:r>
      <w:r w:rsidR="005840B3">
        <w:rPr>
          <w:noProof/>
        </w:rPr>
        <w:t xml:space="preserve">o this end, the </w:t>
      </w:r>
      <w:r w:rsidRPr="0027697F">
        <w:rPr>
          <w:noProof/>
        </w:rPr>
        <w:t xml:space="preserve">key elements of the EU PSC regime </w:t>
      </w:r>
      <w:r w:rsidR="005840B3">
        <w:rPr>
          <w:noProof/>
        </w:rPr>
        <w:t>are</w:t>
      </w:r>
      <w:r w:rsidRPr="0027697F">
        <w:rPr>
          <w:noProof/>
        </w:rPr>
        <w:t xml:space="preserve">: </w:t>
      </w:r>
    </w:p>
    <w:p w14:paraId="2AF9F71E" w14:textId="77777777" w:rsidR="005840B3" w:rsidRDefault="001C5481" w:rsidP="001C5481">
      <w:pPr>
        <w:pStyle w:val="Point1"/>
        <w:rPr>
          <w:noProof/>
        </w:rPr>
      </w:pPr>
      <w:r>
        <w:rPr>
          <w:noProof/>
        </w:rPr>
        <w:t>(i)</w:t>
      </w:r>
      <w:r w:rsidRPr="001C5481">
        <w:rPr>
          <w:noProof/>
        </w:rPr>
        <w:tab/>
      </w:r>
      <w:r w:rsidR="005840B3">
        <w:rPr>
          <w:noProof/>
        </w:rPr>
        <w:t xml:space="preserve">to take </w:t>
      </w:r>
      <w:r w:rsidR="0027697F" w:rsidRPr="0027697F">
        <w:rPr>
          <w:noProof/>
        </w:rPr>
        <w:t xml:space="preserve">a harmonised approach to inspections and detentions; </w:t>
      </w:r>
    </w:p>
    <w:p w14:paraId="528A14A3" w14:textId="77777777" w:rsidR="005840B3" w:rsidRDefault="001C5481" w:rsidP="001C5481">
      <w:pPr>
        <w:pStyle w:val="Point1"/>
        <w:rPr>
          <w:noProof/>
        </w:rPr>
      </w:pPr>
      <w:r>
        <w:rPr>
          <w:noProof/>
        </w:rPr>
        <w:t>(ii)</w:t>
      </w:r>
      <w:r w:rsidRPr="001C5481">
        <w:rPr>
          <w:noProof/>
        </w:rPr>
        <w:tab/>
      </w:r>
      <w:r w:rsidR="005840B3">
        <w:rPr>
          <w:noProof/>
        </w:rPr>
        <w:t>for each</w:t>
      </w:r>
      <w:r w:rsidR="0027697F" w:rsidRPr="0027697F">
        <w:rPr>
          <w:noProof/>
        </w:rPr>
        <w:t xml:space="preserve"> Member State</w:t>
      </w:r>
      <w:r w:rsidR="005840B3">
        <w:rPr>
          <w:noProof/>
        </w:rPr>
        <w:t xml:space="preserve"> to commit to an annual inspection commitment </w:t>
      </w:r>
    </w:p>
    <w:p w14:paraId="164689C8" w14:textId="77777777" w:rsidR="005840B3" w:rsidRDefault="001C5481" w:rsidP="001C5481">
      <w:pPr>
        <w:pStyle w:val="Point1"/>
        <w:rPr>
          <w:noProof/>
        </w:rPr>
      </w:pPr>
      <w:r>
        <w:rPr>
          <w:noProof/>
        </w:rPr>
        <w:t>(iii)</w:t>
      </w:r>
      <w:r w:rsidRPr="001C5481">
        <w:rPr>
          <w:noProof/>
        </w:rPr>
        <w:tab/>
      </w:r>
      <w:r w:rsidR="005840B3">
        <w:rPr>
          <w:noProof/>
        </w:rPr>
        <w:t>to</w:t>
      </w:r>
      <w:r w:rsidR="0027697F" w:rsidRPr="0027697F">
        <w:rPr>
          <w:noProof/>
        </w:rPr>
        <w:t xml:space="preserve"> target ships for inspection based on a ship risk profile (SRP) for each individual ship and</w:t>
      </w:r>
    </w:p>
    <w:p w14:paraId="2B208BF5" w14:textId="77777777" w:rsidR="0027697F" w:rsidRDefault="001C5481" w:rsidP="001C5481">
      <w:pPr>
        <w:pStyle w:val="Point1"/>
        <w:rPr>
          <w:noProof/>
        </w:rPr>
      </w:pPr>
      <w:r>
        <w:rPr>
          <w:noProof/>
        </w:rPr>
        <w:t>(iv)</w:t>
      </w:r>
      <w:r w:rsidRPr="001C5481">
        <w:rPr>
          <w:noProof/>
        </w:rPr>
        <w:tab/>
      </w:r>
      <w:r w:rsidR="0027697F" w:rsidRPr="0027697F">
        <w:rPr>
          <w:noProof/>
        </w:rPr>
        <w:t>record keeping and information sharing (inspection database).</w:t>
      </w:r>
    </w:p>
    <w:p w14:paraId="1AA608BA" w14:textId="77777777" w:rsidR="00A31F84" w:rsidRDefault="00D54FCC" w:rsidP="00351037">
      <w:pPr>
        <w:widowControl w:val="0"/>
        <w:spacing w:before="0" w:after="240"/>
        <w:rPr>
          <w:noProof/>
          <w:szCs w:val="24"/>
        </w:rPr>
      </w:pPr>
      <w:r>
        <w:rPr>
          <w:noProof/>
          <w:szCs w:val="24"/>
        </w:rPr>
        <w:t>Since it ent</w:t>
      </w:r>
      <w:r w:rsidR="005840B3">
        <w:rPr>
          <w:noProof/>
          <w:szCs w:val="24"/>
        </w:rPr>
        <w:t>ered</w:t>
      </w:r>
      <w:r>
        <w:rPr>
          <w:noProof/>
          <w:szCs w:val="24"/>
        </w:rPr>
        <w:t xml:space="preserve"> into force,</w:t>
      </w:r>
      <w:r w:rsidR="00A31F84">
        <w:rPr>
          <w:noProof/>
          <w:szCs w:val="24"/>
        </w:rPr>
        <w:t xml:space="preserve"> the </w:t>
      </w:r>
      <w:r w:rsidR="00A31F84" w:rsidRPr="00A31F84">
        <w:rPr>
          <w:noProof/>
          <w:szCs w:val="24"/>
        </w:rPr>
        <w:t>Directive has been amended to enforce the Maritime Labour Convention</w:t>
      </w:r>
      <w:r w:rsidR="00C2477A">
        <w:rPr>
          <w:noProof/>
          <w:szCs w:val="24"/>
        </w:rPr>
        <w:t>,</w:t>
      </w:r>
      <w:r w:rsidR="00A31F84" w:rsidRPr="00A31F84">
        <w:rPr>
          <w:noProof/>
          <w:szCs w:val="24"/>
        </w:rPr>
        <w:t xml:space="preserve"> 2006 (MLC</w:t>
      </w:r>
      <w:r w:rsidR="00C2477A">
        <w:rPr>
          <w:noProof/>
          <w:szCs w:val="24"/>
        </w:rPr>
        <w:t>,</w:t>
      </w:r>
      <w:r w:rsidR="00A31F84" w:rsidRPr="00A31F84">
        <w:rPr>
          <w:noProof/>
          <w:szCs w:val="24"/>
        </w:rPr>
        <w:t xml:space="preserve"> 2006)</w:t>
      </w:r>
      <w:r w:rsidR="00A31F84" w:rsidRPr="00D24830">
        <w:rPr>
          <w:rStyle w:val="FootnoteReference"/>
          <w:noProof/>
        </w:rPr>
        <w:footnoteReference w:id="6"/>
      </w:r>
      <w:r w:rsidR="00A31F84" w:rsidRPr="00A31F84">
        <w:rPr>
          <w:noProof/>
          <w:szCs w:val="24"/>
        </w:rPr>
        <w:t xml:space="preserve">. Furthermore, in the </w:t>
      </w:r>
      <w:r>
        <w:rPr>
          <w:noProof/>
          <w:szCs w:val="24"/>
        </w:rPr>
        <w:t>EU,</w:t>
      </w:r>
      <w:r w:rsidR="00A31F84" w:rsidRPr="00A31F84">
        <w:rPr>
          <w:noProof/>
          <w:szCs w:val="24"/>
        </w:rPr>
        <w:t xml:space="preserve"> particular </w:t>
      </w:r>
      <w:r w:rsidR="005840B3">
        <w:rPr>
          <w:noProof/>
          <w:szCs w:val="24"/>
        </w:rPr>
        <w:t xml:space="preserve">specific </w:t>
      </w:r>
      <w:r w:rsidR="00A31F84" w:rsidRPr="00A31F84">
        <w:rPr>
          <w:noProof/>
          <w:szCs w:val="24"/>
        </w:rPr>
        <w:t>rules apply to ferries in regular service,</w:t>
      </w:r>
      <w:r w:rsidR="00A31F84" w:rsidRPr="00D24830">
        <w:rPr>
          <w:rStyle w:val="FootnoteReference"/>
          <w:noProof/>
        </w:rPr>
        <w:footnoteReference w:id="7"/>
      </w:r>
      <w:r w:rsidR="00A31F84" w:rsidRPr="00A31F84">
        <w:rPr>
          <w:noProof/>
          <w:szCs w:val="24"/>
        </w:rPr>
        <w:t xml:space="preserve"> insurance requirements,</w:t>
      </w:r>
      <w:r w:rsidR="00A31F84" w:rsidRPr="00D24830">
        <w:rPr>
          <w:rStyle w:val="FootnoteReference"/>
          <w:noProof/>
        </w:rPr>
        <w:footnoteReference w:id="8"/>
      </w:r>
      <w:r w:rsidR="00A31F84" w:rsidRPr="00D24830">
        <w:rPr>
          <w:rStyle w:val="FootnoteReference"/>
          <w:noProof/>
        </w:rPr>
        <w:t xml:space="preserve"> </w:t>
      </w:r>
      <w:r w:rsidR="00A31F84" w:rsidRPr="00A31F84">
        <w:rPr>
          <w:noProof/>
          <w:szCs w:val="24"/>
        </w:rPr>
        <w:t>the control of ship generated waste and cargo residues</w:t>
      </w:r>
      <w:r w:rsidR="00A31F84" w:rsidRPr="00D24830">
        <w:rPr>
          <w:rStyle w:val="FootnoteReference"/>
          <w:noProof/>
        </w:rPr>
        <w:footnoteReference w:id="9"/>
      </w:r>
      <w:r w:rsidR="00A31F84" w:rsidRPr="00D24830">
        <w:rPr>
          <w:rStyle w:val="FootnoteReference"/>
          <w:noProof/>
        </w:rPr>
        <w:t>,</w:t>
      </w:r>
      <w:r w:rsidR="00A31F84" w:rsidRPr="00A31F84">
        <w:rPr>
          <w:noProof/>
          <w:szCs w:val="24"/>
        </w:rPr>
        <w:t xml:space="preserve"> the safe and environmentally sound recycling of ships</w:t>
      </w:r>
      <w:r w:rsidR="00A31F84" w:rsidRPr="00D24830">
        <w:rPr>
          <w:rStyle w:val="FootnoteReference"/>
          <w:noProof/>
        </w:rPr>
        <w:footnoteReference w:id="10"/>
      </w:r>
      <w:r w:rsidR="00A31F84" w:rsidRPr="00D24830">
        <w:rPr>
          <w:rStyle w:val="FootnoteReference"/>
          <w:noProof/>
        </w:rPr>
        <w:t xml:space="preserve"> </w:t>
      </w:r>
      <w:r w:rsidR="00A31F84" w:rsidRPr="00A31F84">
        <w:rPr>
          <w:noProof/>
          <w:szCs w:val="24"/>
        </w:rPr>
        <w:t>and the monitoring</w:t>
      </w:r>
      <w:r w:rsidR="00AA68A4">
        <w:rPr>
          <w:noProof/>
          <w:szCs w:val="24"/>
        </w:rPr>
        <w:t>,</w:t>
      </w:r>
      <w:r w:rsidR="00A31F84" w:rsidRPr="00A31F84">
        <w:rPr>
          <w:noProof/>
          <w:szCs w:val="24"/>
        </w:rPr>
        <w:t xml:space="preserve"> reporting and verification (MRV) of greenhouse gas (GHG) emissions</w:t>
      </w:r>
      <w:r w:rsidR="00A31F84" w:rsidRPr="00D24830">
        <w:rPr>
          <w:rStyle w:val="FootnoteReference"/>
          <w:noProof/>
        </w:rPr>
        <w:footnoteReference w:id="11"/>
      </w:r>
      <w:r w:rsidR="004C46D1">
        <w:rPr>
          <w:noProof/>
          <w:szCs w:val="24"/>
        </w:rPr>
        <w:t xml:space="preserve"> where PSC inspections check enforce</w:t>
      </w:r>
      <w:r w:rsidR="00A31F84" w:rsidRPr="00A31F84">
        <w:rPr>
          <w:noProof/>
          <w:szCs w:val="24"/>
        </w:rPr>
        <w:t>ment of these rules</w:t>
      </w:r>
      <w:r w:rsidR="004C46D1">
        <w:rPr>
          <w:noProof/>
          <w:szCs w:val="24"/>
        </w:rPr>
        <w:t>.</w:t>
      </w:r>
      <w:r w:rsidR="00A31F84" w:rsidRPr="00A31F84">
        <w:rPr>
          <w:noProof/>
          <w:szCs w:val="24"/>
        </w:rPr>
        <w:t xml:space="preserve"> For other EU legal acts, such as control of the sulphur content of marine fuels, </w:t>
      </w:r>
      <w:r w:rsidR="00AC4262">
        <w:rPr>
          <w:noProof/>
          <w:szCs w:val="24"/>
        </w:rPr>
        <w:t>PSC is also used to check</w:t>
      </w:r>
      <w:r w:rsidR="00A31F84" w:rsidRPr="00A31F84">
        <w:rPr>
          <w:noProof/>
          <w:szCs w:val="24"/>
        </w:rPr>
        <w:t xml:space="preserve"> in the vast majority of the EU Member States by PSC</w:t>
      </w:r>
      <w:r w:rsidR="00A31F84" w:rsidRPr="00D24830">
        <w:rPr>
          <w:rStyle w:val="FootnoteReference"/>
          <w:noProof/>
        </w:rPr>
        <w:footnoteReference w:id="12"/>
      </w:r>
      <w:r w:rsidR="00A31F84" w:rsidRPr="00A31F84">
        <w:rPr>
          <w:noProof/>
          <w:szCs w:val="24"/>
        </w:rPr>
        <w:t xml:space="preserve">.  </w:t>
      </w:r>
      <w:r w:rsidR="00973508">
        <w:rPr>
          <w:noProof/>
          <w:szCs w:val="24"/>
        </w:rPr>
        <w:t>P</w:t>
      </w:r>
      <w:r w:rsidR="00AC4262">
        <w:rPr>
          <w:noProof/>
          <w:szCs w:val="24"/>
        </w:rPr>
        <w:t>ort State control in the EU is la</w:t>
      </w:r>
      <w:r w:rsidR="00973508">
        <w:rPr>
          <w:noProof/>
          <w:szCs w:val="24"/>
        </w:rPr>
        <w:t>rgely based on the rules and procedures of the Paris M</w:t>
      </w:r>
      <w:r w:rsidR="00351037">
        <w:rPr>
          <w:noProof/>
          <w:szCs w:val="24"/>
        </w:rPr>
        <w:t>O</w:t>
      </w:r>
      <w:r w:rsidR="00973508">
        <w:rPr>
          <w:noProof/>
          <w:szCs w:val="24"/>
        </w:rPr>
        <w:t>U</w:t>
      </w:r>
      <w:r w:rsidR="00AC4262">
        <w:rPr>
          <w:noProof/>
          <w:szCs w:val="24"/>
        </w:rPr>
        <w:t xml:space="preserve"> but</w:t>
      </w:r>
      <w:r w:rsidR="00973508">
        <w:rPr>
          <w:noProof/>
          <w:szCs w:val="24"/>
        </w:rPr>
        <w:t xml:space="preserve"> these</w:t>
      </w:r>
      <w:r w:rsidR="00A31F84" w:rsidRPr="00A31F84">
        <w:rPr>
          <w:noProof/>
          <w:szCs w:val="24"/>
        </w:rPr>
        <w:t xml:space="preserve"> EU provisions do not</w:t>
      </w:r>
      <w:r w:rsidR="00A31F84">
        <w:rPr>
          <w:noProof/>
          <w:szCs w:val="24"/>
        </w:rPr>
        <w:t xml:space="preserve"> </w:t>
      </w:r>
      <w:r w:rsidR="00A31F84" w:rsidRPr="00A31F84">
        <w:rPr>
          <w:noProof/>
          <w:szCs w:val="24"/>
        </w:rPr>
        <w:t xml:space="preserve">apply to the non-EEA </w:t>
      </w:r>
      <w:r w:rsidR="00AC4262">
        <w:rPr>
          <w:noProof/>
          <w:szCs w:val="24"/>
        </w:rPr>
        <w:t xml:space="preserve">signatories to </w:t>
      </w:r>
      <w:r w:rsidR="00A31F84" w:rsidRPr="00A31F84">
        <w:rPr>
          <w:noProof/>
          <w:szCs w:val="24"/>
        </w:rPr>
        <w:t>the Paris M</w:t>
      </w:r>
      <w:r w:rsidR="00351037">
        <w:rPr>
          <w:noProof/>
          <w:szCs w:val="24"/>
        </w:rPr>
        <w:t>O</w:t>
      </w:r>
      <w:r w:rsidR="00A31F84" w:rsidRPr="00A31F84">
        <w:rPr>
          <w:noProof/>
          <w:szCs w:val="24"/>
        </w:rPr>
        <w:t>U.</w:t>
      </w:r>
      <w:r w:rsidR="00A31F84" w:rsidRPr="00A31F84" w:rsidDel="003E6F29">
        <w:rPr>
          <w:noProof/>
          <w:szCs w:val="24"/>
          <w:vertAlign w:val="superscript"/>
        </w:rPr>
        <w:t xml:space="preserve"> </w:t>
      </w:r>
      <w:r w:rsidR="00A31F84" w:rsidRPr="00A31F84">
        <w:rPr>
          <w:noProof/>
          <w:szCs w:val="24"/>
        </w:rPr>
        <w:t> </w:t>
      </w:r>
    </w:p>
    <w:p w14:paraId="6EA98F6D" w14:textId="77777777" w:rsidR="00AC4262" w:rsidRDefault="00D54FCC" w:rsidP="00AC4262">
      <w:pPr>
        <w:widowControl w:val="0"/>
        <w:spacing w:before="0" w:after="240"/>
        <w:rPr>
          <w:noProof/>
          <w:szCs w:val="24"/>
        </w:rPr>
      </w:pPr>
      <w:r w:rsidRPr="00D54FCC">
        <w:rPr>
          <w:noProof/>
          <w:szCs w:val="24"/>
        </w:rPr>
        <w:t xml:space="preserve">The Directive was the subject of an ex-post evaluation and </w:t>
      </w:r>
      <w:r w:rsidR="00AC4262">
        <w:rPr>
          <w:noProof/>
          <w:szCs w:val="24"/>
        </w:rPr>
        <w:t>m</w:t>
      </w:r>
      <w:r w:rsidRPr="00D54FCC">
        <w:rPr>
          <w:noProof/>
          <w:szCs w:val="24"/>
        </w:rPr>
        <w:t xml:space="preserve">aritime </w:t>
      </w:r>
      <w:r w:rsidR="00AC4262">
        <w:rPr>
          <w:noProof/>
          <w:szCs w:val="24"/>
        </w:rPr>
        <w:t>f</w:t>
      </w:r>
      <w:r w:rsidRPr="00D54FCC">
        <w:rPr>
          <w:noProof/>
          <w:szCs w:val="24"/>
        </w:rPr>
        <w:t xml:space="preserve">itness </w:t>
      </w:r>
      <w:r w:rsidR="00AC4262">
        <w:rPr>
          <w:noProof/>
          <w:szCs w:val="24"/>
        </w:rPr>
        <w:t>c</w:t>
      </w:r>
      <w:r w:rsidRPr="00D54FCC">
        <w:rPr>
          <w:noProof/>
          <w:szCs w:val="24"/>
        </w:rPr>
        <w:t xml:space="preserve">heck (alongside other pieces of EU </w:t>
      </w:r>
      <w:r w:rsidR="00973508">
        <w:rPr>
          <w:noProof/>
          <w:szCs w:val="24"/>
        </w:rPr>
        <w:t xml:space="preserve">maritime safety </w:t>
      </w:r>
      <w:r w:rsidRPr="00D54FCC">
        <w:rPr>
          <w:noProof/>
          <w:szCs w:val="24"/>
        </w:rPr>
        <w:t xml:space="preserve">legislation) in 2018. Since </w:t>
      </w:r>
      <w:r w:rsidR="00AC4262">
        <w:rPr>
          <w:noProof/>
          <w:szCs w:val="24"/>
        </w:rPr>
        <w:t xml:space="preserve">the </w:t>
      </w:r>
      <w:r w:rsidRPr="00D54FCC">
        <w:rPr>
          <w:noProof/>
          <w:szCs w:val="24"/>
        </w:rPr>
        <w:t xml:space="preserve">Directive </w:t>
      </w:r>
      <w:r w:rsidR="00AC4262">
        <w:rPr>
          <w:noProof/>
          <w:szCs w:val="24"/>
        </w:rPr>
        <w:t>entered into application it has a</w:t>
      </w:r>
      <w:r w:rsidRPr="00D54FCC">
        <w:rPr>
          <w:noProof/>
          <w:szCs w:val="24"/>
        </w:rPr>
        <w:t>lso been continuous</w:t>
      </w:r>
      <w:r w:rsidR="00AC4262">
        <w:rPr>
          <w:noProof/>
          <w:szCs w:val="24"/>
        </w:rPr>
        <w:t>ly</w:t>
      </w:r>
      <w:r w:rsidRPr="00D54FCC">
        <w:rPr>
          <w:noProof/>
          <w:szCs w:val="24"/>
        </w:rPr>
        <w:t xml:space="preserve"> monitor</w:t>
      </w:r>
      <w:r w:rsidR="00AC4262">
        <w:rPr>
          <w:noProof/>
          <w:szCs w:val="24"/>
        </w:rPr>
        <w:t>ed</w:t>
      </w:r>
      <w:r w:rsidRPr="00D54FCC">
        <w:rPr>
          <w:noProof/>
          <w:szCs w:val="24"/>
        </w:rPr>
        <w:t xml:space="preserve"> by the Commission </w:t>
      </w:r>
      <w:r w:rsidR="00AC4262">
        <w:rPr>
          <w:noProof/>
          <w:szCs w:val="24"/>
        </w:rPr>
        <w:t xml:space="preserve">which identified the following problematic </w:t>
      </w:r>
      <w:r w:rsidRPr="00D54FCC">
        <w:rPr>
          <w:noProof/>
          <w:szCs w:val="24"/>
        </w:rPr>
        <w:t xml:space="preserve"> issues</w:t>
      </w:r>
      <w:r w:rsidR="00AC4262">
        <w:rPr>
          <w:noProof/>
          <w:szCs w:val="24"/>
        </w:rPr>
        <w:t>:</w:t>
      </w:r>
    </w:p>
    <w:p w14:paraId="79F029DA" w14:textId="77777777" w:rsidR="00AC4262" w:rsidRPr="00AC4262" w:rsidRDefault="001C5481" w:rsidP="001C5481">
      <w:pPr>
        <w:pStyle w:val="Point1"/>
        <w:rPr>
          <w:noProof/>
        </w:rPr>
      </w:pPr>
      <w:r>
        <w:rPr>
          <w:noProof/>
        </w:rPr>
        <w:t>1)</w:t>
      </w:r>
      <w:r w:rsidRPr="001C5481">
        <w:rPr>
          <w:noProof/>
        </w:rPr>
        <w:tab/>
      </w:r>
      <w:r w:rsidR="00D54FCC" w:rsidRPr="00AC4262">
        <w:rPr>
          <w:noProof/>
        </w:rPr>
        <w:t>current EU requirements are not aligned with new international mandatory rules and new procedures agreed at regional level (International Maritime Organi</w:t>
      </w:r>
      <w:r w:rsidR="00AC4262" w:rsidRPr="00AC4262">
        <w:rPr>
          <w:noProof/>
        </w:rPr>
        <w:t>z</w:t>
      </w:r>
      <w:r w:rsidR="00D54FCC" w:rsidRPr="00AC4262">
        <w:rPr>
          <w:noProof/>
        </w:rPr>
        <w:t>ation – IMO, and Paris M</w:t>
      </w:r>
      <w:r w:rsidR="00351037">
        <w:rPr>
          <w:noProof/>
        </w:rPr>
        <w:t>O</w:t>
      </w:r>
      <w:r w:rsidR="00D54FCC" w:rsidRPr="00AC4262">
        <w:rPr>
          <w:noProof/>
        </w:rPr>
        <w:t xml:space="preserve">U); </w:t>
      </w:r>
    </w:p>
    <w:p w14:paraId="0D8287B6" w14:textId="77777777" w:rsidR="00AC4262" w:rsidRDefault="001C5481" w:rsidP="001C5481">
      <w:pPr>
        <w:pStyle w:val="Point1"/>
        <w:rPr>
          <w:noProof/>
        </w:rPr>
      </w:pPr>
      <w:r>
        <w:rPr>
          <w:noProof/>
        </w:rPr>
        <w:t>2)</w:t>
      </w:r>
      <w:r w:rsidRPr="001C5481">
        <w:rPr>
          <w:noProof/>
        </w:rPr>
        <w:tab/>
      </w:r>
      <w:r w:rsidR="00D54FCC" w:rsidRPr="00D54FCC">
        <w:rPr>
          <w:noProof/>
        </w:rPr>
        <w:t xml:space="preserve">current EU requirements do not apply to fishing vessels – certain international conventions applying to fishing vessels of over 24 metres in length, which could be enforced by PSC, are not inspected or are not inspected in a coordinated manner; </w:t>
      </w:r>
    </w:p>
    <w:p w14:paraId="639CF9CD" w14:textId="77777777" w:rsidR="00AC4262" w:rsidRDefault="001C5481" w:rsidP="001C5481">
      <w:pPr>
        <w:pStyle w:val="Point1"/>
        <w:rPr>
          <w:noProof/>
        </w:rPr>
      </w:pPr>
      <w:r>
        <w:rPr>
          <w:noProof/>
        </w:rPr>
        <w:t>3)</w:t>
      </w:r>
      <w:r w:rsidRPr="001C5481">
        <w:rPr>
          <w:noProof/>
        </w:rPr>
        <w:tab/>
      </w:r>
      <w:r w:rsidR="00D54FCC" w:rsidRPr="00D54FCC">
        <w:rPr>
          <w:noProof/>
        </w:rPr>
        <w:t>there is an un</w:t>
      </w:r>
      <w:r w:rsidR="00AC4262">
        <w:rPr>
          <w:noProof/>
        </w:rPr>
        <w:t>even</w:t>
      </w:r>
      <w:r w:rsidR="00D54FCC" w:rsidRPr="00D54FCC">
        <w:rPr>
          <w:noProof/>
        </w:rPr>
        <w:t xml:space="preserve"> distribution of PSC inspections across EU ports; </w:t>
      </w:r>
    </w:p>
    <w:p w14:paraId="18281F84" w14:textId="77777777" w:rsidR="00AC4262" w:rsidRDefault="001C5481" w:rsidP="001C5481">
      <w:pPr>
        <w:pStyle w:val="Point1"/>
        <w:rPr>
          <w:noProof/>
        </w:rPr>
      </w:pPr>
      <w:r>
        <w:rPr>
          <w:noProof/>
        </w:rPr>
        <w:t>4)</w:t>
      </w:r>
      <w:r w:rsidRPr="001C5481">
        <w:rPr>
          <w:noProof/>
        </w:rPr>
        <w:tab/>
      </w:r>
      <w:r w:rsidR="00D54FCC" w:rsidRPr="00D54FCC">
        <w:rPr>
          <w:noProof/>
        </w:rPr>
        <w:t xml:space="preserve">the current design of the ship risk profile and targeting mechanism used to select ships for inspection, are not up to date; </w:t>
      </w:r>
    </w:p>
    <w:p w14:paraId="564DCFF6" w14:textId="77777777" w:rsidR="00AC4262" w:rsidRDefault="001C5481" w:rsidP="001C5481">
      <w:pPr>
        <w:pStyle w:val="Point1"/>
        <w:rPr>
          <w:noProof/>
        </w:rPr>
      </w:pPr>
      <w:r>
        <w:rPr>
          <w:noProof/>
        </w:rPr>
        <w:t>5)</w:t>
      </w:r>
      <w:r w:rsidRPr="001C5481">
        <w:rPr>
          <w:noProof/>
        </w:rPr>
        <w:tab/>
      </w:r>
      <w:r w:rsidR="00D54FCC" w:rsidRPr="00D54FCC">
        <w:rPr>
          <w:noProof/>
        </w:rPr>
        <w:t xml:space="preserve">the system is too reliant on a cumbersome paper-based certificate system, and </w:t>
      </w:r>
    </w:p>
    <w:p w14:paraId="022FF560" w14:textId="77777777" w:rsidR="00D54FCC" w:rsidRPr="00D54FCC" w:rsidRDefault="001C5481" w:rsidP="001C5481">
      <w:pPr>
        <w:pStyle w:val="Point1"/>
        <w:rPr>
          <w:noProof/>
        </w:rPr>
      </w:pPr>
      <w:r>
        <w:rPr>
          <w:noProof/>
        </w:rPr>
        <w:t>6)</w:t>
      </w:r>
      <w:r w:rsidRPr="001C5481">
        <w:rPr>
          <w:noProof/>
        </w:rPr>
        <w:tab/>
      </w:r>
      <w:r w:rsidR="00D54FCC" w:rsidRPr="00D54FCC">
        <w:rPr>
          <w:noProof/>
        </w:rPr>
        <w:t xml:space="preserve">there are inadequate and inflexible procedures and inadequate PSC resources (skills, training). </w:t>
      </w:r>
    </w:p>
    <w:p w14:paraId="04E511A9" w14:textId="77777777" w:rsidR="00D54FCC" w:rsidRPr="00A31F84" w:rsidRDefault="00D54FCC" w:rsidP="00AC4262">
      <w:pPr>
        <w:widowControl w:val="0"/>
        <w:spacing w:before="0" w:after="240"/>
        <w:rPr>
          <w:noProof/>
          <w:szCs w:val="24"/>
        </w:rPr>
      </w:pPr>
      <w:r w:rsidRPr="00D54FCC">
        <w:rPr>
          <w:noProof/>
          <w:szCs w:val="24"/>
        </w:rPr>
        <w:t xml:space="preserve">The problems </w:t>
      </w:r>
      <w:r w:rsidR="00AC4262" w:rsidRPr="00D54FCC">
        <w:rPr>
          <w:noProof/>
          <w:szCs w:val="24"/>
        </w:rPr>
        <w:t>identified</w:t>
      </w:r>
      <w:r w:rsidR="00AC4262">
        <w:rPr>
          <w:noProof/>
          <w:szCs w:val="24"/>
        </w:rPr>
        <w:t xml:space="preserve"> </w:t>
      </w:r>
      <w:r w:rsidRPr="00D54FCC">
        <w:rPr>
          <w:noProof/>
          <w:szCs w:val="24"/>
        </w:rPr>
        <w:t xml:space="preserve">apply across the EU and have the same underlying causes. </w:t>
      </w:r>
      <w:r w:rsidR="00AC4262">
        <w:rPr>
          <w:noProof/>
          <w:szCs w:val="24"/>
        </w:rPr>
        <w:t xml:space="preserve">In the absence of </w:t>
      </w:r>
      <w:r w:rsidRPr="00D54FCC">
        <w:rPr>
          <w:noProof/>
          <w:szCs w:val="24"/>
        </w:rPr>
        <w:t xml:space="preserve">EU action, Member States </w:t>
      </w:r>
      <w:r w:rsidR="00973508">
        <w:rPr>
          <w:noProof/>
          <w:szCs w:val="24"/>
        </w:rPr>
        <w:t>risk</w:t>
      </w:r>
      <w:r w:rsidRPr="00D54FCC">
        <w:rPr>
          <w:noProof/>
          <w:szCs w:val="24"/>
        </w:rPr>
        <w:t xml:space="preserve"> work</w:t>
      </w:r>
      <w:r w:rsidR="00973508">
        <w:rPr>
          <w:noProof/>
          <w:szCs w:val="24"/>
        </w:rPr>
        <w:t>ing</w:t>
      </w:r>
      <w:r w:rsidRPr="00D54FCC">
        <w:rPr>
          <w:noProof/>
          <w:szCs w:val="24"/>
        </w:rPr>
        <w:t xml:space="preserve"> in an uncoordinated and non-harmonised way. There is clear </w:t>
      </w:r>
      <w:r w:rsidR="00AC4262">
        <w:rPr>
          <w:noProof/>
          <w:szCs w:val="24"/>
        </w:rPr>
        <w:t>EU</w:t>
      </w:r>
      <w:r w:rsidRPr="00D54FCC">
        <w:rPr>
          <w:noProof/>
          <w:szCs w:val="24"/>
        </w:rPr>
        <w:t xml:space="preserve"> </w:t>
      </w:r>
      <w:r w:rsidR="00AC4262">
        <w:rPr>
          <w:noProof/>
          <w:szCs w:val="24"/>
        </w:rPr>
        <w:t>value in i</w:t>
      </w:r>
      <w:r w:rsidRPr="00D54FCC">
        <w:rPr>
          <w:noProof/>
          <w:szCs w:val="24"/>
        </w:rPr>
        <w:t>mproving the Directive to address the problems</w:t>
      </w:r>
      <w:r w:rsidR="00AC4262">
        <w:rPr>
          <w:noProof/>
          <w:szCs w:val="24"/>
        </w:rPr>
        <w:t xml:space="preserve"> identified</w:t>
      </w:r>
      <w:r w:rsidRPr="00D54FCC">
        <w:rPr>
          <w:noProof/>
          <w:szCs w:val="24"/>
        </w:rPr>
        <w:t>.</w:t>
      </w:r>
    </w:p>
    <w:p w14:paraId="62E33332" w14:textId="77777777" w:rsidR="001B6F72" w:rsidRPr="00C8711F" w:rsidRDefault="00D54FCC" w:rsidP="00FE0482">
      <w:pPr>
        <w:pBdr>
          <w:top w:val="nil"/>
          <w:left w:val="nil"/>
          <w:bottom w:val="nil"/>
          <w:right w:val="nil"/>
          <w:between w:val="nil"/>
          <w:bar w:val="nil"/>
        </w:pBdr>
        <w:spacing w:before="0" w:after="240"/>
        <w:rPr>
          <w:noProof/>
        </w:rPr>
      </w:pPr>
      <w:r>
        <w:rPr>
          <w:rFonts w:eastAsia="Arial Unicode MS"/>
          <w:noProof/>
        </w:rPr>
        <w:t>In the light of this,</w:t>
      </w:r>
      <w:r w:rsidR="001B6F72" w:rsidRPr="00C8711F">
        <w:rPr>
          <w:rFonts w:eastAsia="Arial Unicode MS"/>
          <w:noProof/>
        </w:rPr>
        <w:t xml:space="preserve"> </w:t>
      </w:r>
      <w:r w:rsidR="00AC4262">
        <w:rPr>
          <w:rFonts w:eastAsia="Arial Unicode MS"/>
          <w:noProof/>
        </w:rPr>
        <w:t>the Commission has prepared a</w:t>
      </w:r>
      <w:r w:rsidR="001B6F72" w:rsidRPr="00C8711F">
        <w:rPr>
          <w:rFonts w:eastAsia="Arial Unicode MS"/>
          <w:noProof/>
        </w:rPr>
        <w:t xml:space="preserve"> </w:t>
      </w:r>
      <w:r w:rsidR="00294252" w:rsidRPr="00C8711F">
        <w:rPr>
          <w:rFonts w:eastAsia="Arial Unicode MS"/>
          <w:noProof/>
        </w:rPr>
        <w:t xml:space="preserve">proposal to </w:t>
      </w:r>
      <w:r w:rsidR="001B6F72" w:rsidRPr="00C8711F">
        <w:rPr>
          <w:rFonts w:eastAsia="Arial Unicode MS"/>
          <w:noProof/>
        </w:rPr>
        <w:t>amend Directive 200</w:t>
      </w:r>
      <w:r w:rsidR="00774B74">
        <w:rPr>
          <w:rFonts w:eastAsia="Arial Unicode MS"/>
          <w:noProof/>
        </w:rPr>
        <w:t>9</w:t>
      </w:r>
      <w:r w:rsidR="001B6F72" w:rsidRPr="00C8711F">
        <w:rPr>
          <w:rFonts w:eastAsia="Arial Unicode MS"/>
          <w:noProof/>
        </w:rPr>
        <w:t>/</w:t>
      </w:r>
      <w:r w:rsidR="00774B74">
        <w:rPr>
          <w:rFonts w:eastAsia="Arial Unicode MS"/>
          <w:noProof/>
        </w:rPr>
        <w:t>1</w:t>
      </w:r>
      <w:r w:rsidR="00F849F8">
        <w:rPr>
          <w:rFonts w:eastAsia="Arial Unicode MS"/>
          <w:noProof/>
        </w:rPr>
        <w:t>6</w:t>
      </w:r>
      <w:r w:rsidR="001B6F72" w:rsidRPr="00C8711F">
        <w:rPr>
          <w:rFonts w:eastAsia="Arial Unicode MS"/>
          <w:noProof/>
        </w:rPr>
        <w:t xml:space="preserve">/EC. </w:t>
      </w:r>
      <w:r w:rsidR="00774B74">
        <w:rPr>
          <w:rFonts w:eastAsia="Arial Unicode MS"/>
          <w:noProof/>
        </w:rPr>
        <w:t>The s</w:t>
      </w:r>
      <w:r w:rsidR="001B6F72" w:rsidRPr="00C8711F">
        <w:rPr>
          <w:rFonts w:eastAsia="Arial Unicode MS"/>
          <w:noProof/>
        </w:rPr>
        <w:t xml:space="preserve">pecific objectives of </w:t>
      </w:r>
      <w:r w:rsidR="00FE0482">
        <w:rPr>
          <w:rFonts w:eastAsia="Arial Unicode MS"/>
          <w:noProof/>
        </w:rPr>
        <w:t>the proposal are to:</w:t>
      </w:r>
    </w:p>
    <w:p w14:paraId="412FFBD7" w14:textId="77777777" w:rsidR="00F849F8" w:rsidRDefault="00FE0482" w:rsidP="00351037">
      <w:pPr>
        <w:pStyle w:val="Tiret0"/>
        <w:numPr>
          <w:ilvl w:val="0"/>
          <w:numId w:val="7"/>
        </w:numPr>
        <w:rPr>
          <w:noProof/>
        </w:rPr>
      </w:pPr>
      <w:r>
        <w:rPr>
          <w:noProof/>
        </w:rPr>
        <w:t>U</w:t>
      </w:r>
      <w:r w:rsidR="0041008C">
        <w:rPr>
          <w:noProof/>
        </w:rPr>
        <w:t>pdate</w:t>
      </w:r>
      <w:r w:rsidR="00F849F8">
        <w:rPr>
          <w:noProof/>
        </w:rPr>
        <w:t xml:space="preserve"> and </w:t>
      </w:r>
      <w:r w:rsidR="0041008C">
        <w:rPr>
          <w:noProof/>
        </w:rPr>
        <w:t>align</w:t>
      </w:r>
      <w:r w:rsidR="00F849F8">
        <w:rPr>
          <w:noProof/>
        </w:rPr>
        <w:t xml:space="preserve"> EU legislation with </w:t>
      </w:r>
      <w:r w:rsidR="0041008C">
        <w:rPr>
          <w:noProof/>
        </w:rPr>
        <w:t>international</w:t>
      </w:r>
      <w:r w:rsidR="00F849F8">
        <w:rPr>
          <w:noProof/>
        </w:rPr>
        <w:t xml:space="preserve"> rules and </w:t>
      </w:r>
      <w:r w:rsidR="0041008C">
        <w:rPr>
          <w:noProof/>
        </w:rPr>
        <w:t>procedures</w:t>
      </w:r>
      <w:r w:rsidR="00AA68A4">
        <w:rPr>
          <w:noProof/>
        </w:rPr>
        <w:t>,</w:t>
      </w:r>
      <w:r w:rsidR="0041008C">
        <w:rPr>
          <w:noProof/>
        </w:rPr>
        <w:t xml:space="preserve"> </w:t>
      </w:r>
      <w:r>
        <w:rPr>
          <w:noProof/>
        </w:rPr>
        <w:t xml:space="preserve">set by the </w:t>
      </w:r>
      <w:r w:rsidR="00F849F8">
        <w:rPr>
          <w:noProof/>
        </w:rPr>
        <w:t>IMO/IL</w:t>
      </w:r>
      <w:r w:rsidR="0041008C">
        <w:rPr>
          <w:noProof/>
        </w:rPr>
        <w:t>O</w:t>
      </w:r>
      <w:r w:rsidR="00F849F8">
        <w:rPr>
          <w:noProof/>
        </w:rPr>
        <w:t xml:space="preserve"> or the Paris M</w:t>
      </w:r>
      <w:r w:rsidR="00351037">
        <w:rPr>
          <w:noProof/>
        </w:rPr>
        <w:t>O</w:t>
      </w:r>
      <w:r w:rsidR="00F849F8">
        <w:rPr>
          <w:noProof/>
        </w:rPr>
        <w:t>U</w:t>
      </w:r>
      <w:r w:rsidR="0041008C">
        <w:rPr>
          <w:noProof/>
        </w:rPr>
        <w:t>;</w:t>
      </w:r>
      <w:r w:rsidR="00F849F8">
        <w:rPr>
          <w:noProof/>
        </w:rPr>
        <w:t xml:space="preserve"> </w:t>
      </w:r>
    </w:p>
    <w:p w14:paraId="68DD4D3B" w14:textId="77777777" w:rsidR="001B6F72" w:rsidRPr="00C8711F" w:rsidRDefault="00FE0482" w:rsidP="00FE0482">
      <w:pPr>
        <w:pStyle w:val="Tiret0"/>
        <w:numPr>
          <w:ilvl w:val="0"/>
          <w:numId w:val="7"/>
        </w:numPr>
        <w:rPr>
          <w:noProof/>
        </w:rPr>
      </w:pPr>
      <w:r>
        <w:rPr>
          <w:noProof/>
        </w:rPr>
        <w:t>P</w:t>
      </w:r>
      <w:r w:rsidR="00774B74">
        <w:rPr>
          <w:noProof/>
        </w:rPr>
        <w:t>rotect f</w:t>
      </w:r>
      <w:r w:rsidR="00774B74" w:rsidRPr="00774B74">
        <w:rPr>
          <w:noProof/>
        </w:rPr>
        <w:t xml:space="preserve">ishing vessels, their crew and the environment. </w:t>
      </w:r>
      <w:r w:rsidR="00F849F8">
        <w:rPr>
          <w:noProof/>
        </w:rPr>
        <w:t xml:space="preserve">Larger </w:t>
      </w:r>
      <w:r w:rsidR="00774B74" w:rsidRPr="00774B74">
        <w:rPr>
          <w:noProof/>
        </w:rPr>
        <w:t xml:space="preserve">fishing vessels of </w:t>
      </w:r>
      <w:r w:rsidR="00F849F8">
        <w:rPr>
          <w:noProof/>
        </w:rPr>
        <w:t xml:space="preserve">more than 24 metres in length are </w:t>
      </w:r>
      <w:r w:rsidR="00774B74">
        <w:rPr>
          <w:noProof/>
        </w:rPr>
        <w:t xml:space="preserve">not included in the scope of </w:t>
      </w:r>
      <w:r w:rsidR="00F849F8">
        <w:rPr>
          <w:noProof/>
        </w:rPr>
        <w:t>port State control</w:t>
      </w:r>
      <w:r w:rsidR="00774B74">
        <w:rPr>
          <w:noProof/>
        </w:rPr>
        <w:t xml:space="preserve">. </w:t>
      </w:r>
      <w:r w:rsidR="0041008C">
        <w:rPr>
          <w:noProof/>
        </w:rPr>
        <w:t xml:space="preserve">A </w:t>
      </w:r>
      <w:r w:rsidR="00D54FCC">
        <w:rPr>
          <w:noProof/>
        </w:rPr>
        <w:t xml:space="preserve">voluntary </w:t>
      </w:r>
      <w:r w:rsidR="0041008C">
        <w:rPr>
          <w:noProof/>
        </w:rPr>
        <w:t xml:space="preserve">system of control for this </w:t>
      </w:r>
      <w:r w:rsidR="00D54FCC">
        <w:rPr>
          <w:noProof/>
        </w:rPr>
        <w:t xml:space="preserve">type of </w:t>
      </w:r>
      <w:r w:rsidR="0041008C">
        <w:rPr>
          <w:noProof/>
        </w:rPr>
        <w:t xml:space="preserve">vessel – </w:t>
      </w:r>
      <w:r w:rsidR="00D54FCC">
        <w:rPr>
          <w:noProof/>
        </w:rPr>
        <w:t>s</w:t>
      </w:r>
      <w:r w:rsidR="0041008C" w:rsidRPr="0041008C">
        <w:rPr>
          <w:noProof/>
        </w:rPr>
        <w:t>hould increase the level of compliance with international standards of safety and environmental protection app</w:t>
      </w:r>
      <w:r w:rsidR="0041008C">
        <w:rPr>
          <w:noProof/>
        </w:rPr>
        <w:t xml:space="preserve">licable to these vessels; </w:t>
      </w:r>
    </w:p>
    <w:p w14:paraId="0CE8C061" w14:textId="77777777" w:rsidR="00D54FCC" w:rsidRPr="00D54FCC" w:rsidRDefault="00D54FCC" w:rsidP="00B42332">
      <w:pPr>
        <w:pStyle w:val="Tiret0"/>
        <w:rPr>
          <w:noProof/>
        </w:rPr>
      </w:pPr>
      <w:r w:rsidRPr="00D54FCC">
        <w:rPr>
          <w:noProof/>
        </w:rPr>
        <w:t xml:space="preserve">Ensure a higher uptake of digital solutions. In particular, it encourages the uptake and use of electronic statutory certificates by linking their use with the </w:t>
      </w:r>
      <w:r w:rsidR="00FE0482">
        <w:rPr>
          <w:noProof/>
        </w:rPr>
        <w:t xml:space="preserve">ship risk profile used to </w:t>
      </w:r>
      <w:r w:rsidRPr="00D54FCC">
        <w:rPr>
          <w:noProof/>
        </w:rPr>
        <w:t>target and select ships for inspection.</w:t>
      </w:r>
    </w:p>
    <w:p w14:paraId="58290AF3" w14:textId="77777777" w:rsidR="0041008C" w:rsidRDefault="0041008C" w:rsidP="00B42332">
      <w:pPr>
        <w:pStyle w:val="Tiret0"/>
        <w:rPr>
          <w:noProof/>
        </w:rPr>
      </w:pPr>
      <w:r w:rsidRPr="0041008C">
        <w:rPr>
          <w:noProof/>
        </w:rPr>
        <w:t>Ensur</w:t>
      </w:r>
      <w:r w:rsidR="00FE0482">
        <w:rPr>
          <w:noProof/>
        </w:rPr>
        <w:t>e</w:t>
      </w:r>
      <w:r>
        <w:rPr>
          <w:noProof/>
        </w:rPr>
        <w:t xml:space="preserve"> an</w:t>
      </w:r>
      <w:r w:rsidRPr="0041008C">
        <w:rPr>
          <w:noProof/>
        </w:rPr>
        <w:t xml:space="preserve"> efficient and harmonised approach </w:t>
      </w:r>
      <w:r w:rsidR="00FE0482">
        <w:rPr>
          <w:noProof/>
        </w:rPr>
        <w:t>to carrying out</w:t>
      </w:r>
      <w:r w:rsidRPr="0041008C">
        <w:rPr>
          <w:noProof/>
        </w:rPr>
        <w:t xml:space="preserve"> PSC inspections</w:t>
      </w:r>
      <w:r w:rsidR="00D54FCC">
        <w:rPr>
          <w:noProof/>
        </w:rPr>
        <w:t>. This</w:t>
      </w:r>
      <w:r>
        <w:rPr>
          <w:noProof/>
        </w:rPr>
        <w:t xml:space="preserve"> includes </w:t>
      </w:r>
      <w:r w:rsidRPr="0041008C">
        <w:rPr>
          <w:noProof/>
        </w:rPr>
        <w:t>better targeting of vessels for inspection by restructuring out-dated aspects of the ship risk profile and add</w:t>
      </w:r>
      <w:r>
        <w:rPr>
          <w:noProof/>
        </w:rPr>
        <w:t>ing</w:t>
      </w:r>
      <w:r w:rsidRPr="0041008C">
        <w:rPr>
          <w:noProof/>
        </w:rPr>
        <w:t xml:space="preserve"> new components to it</w:t>
      </w:r>
      <w:r>
        <w:rPr>
          <w:noProof/>
        </w:rPr>
        <w:t xml:space="preserve">. </w:t>
      </w:r>
      <w:r w:rsidRPr="0041008C">
        <w:rPr>
          <w:noProof/>
        </w:rPr>
        <w:t xml:space="preserve"> </w:t>
      </w:r>
    </w:p>
    <w:p w14:paraId="3995F195" w14:textId="77777777" w:rsidR="001B6F72" w:rsidRPr="00C8711F" w:rsidRDefault="001B6F72" w:rsidP="00FE0482">
      <w:pPr>
        <w:pStyle w:val="NormalLeft"/>
        <w:rPr>
          <w:noProof/>
        </w:rPr>
      </w:pPr>
      <w:r w:rsidRPr="00C8711F">
        <w:rPr>
          <w:noProof/>
        </w:rPr>
        <w:t xml:space="preserve">For the sake of clarity and consistency, </w:t>
      </w:r>
      <w:r w:rsidR="00294252" w:rsidRPr="00C8711F">
        <w:rPr>
          <w:noProof/>
        </w:rPr>
        <w:t xml:space="preserve">this proposal also updates </w:t>
      </w:r>
      <w:r w:rsidR="008F410E">
        <w:rPr>
          <w:noProof/>
        </w:rPr>
        <w:t>a number of d</w:t>
      </w:r>
      <w:r w:rsidRPr="00C8711F">
        <w:rPr>
          <w:noProof/>
        </w:rPr>
        <w:t>efinitions and references to rel</w:t>
      </w:r>
      <w:r w:rsidR="00FE0482">
        <w:rPr>
          <w:noProof/>
        </w:rPr>
        <w:t>ated</w:t>
      </w:r>
      <w:r w:rsidRPr="00C8711F">
        <w:rPr>
          <w:noProof/>
        </w:rPr>
        <w:t xml:space="preserve"> EU legislation and </w:t>
      </w:r>
      <w:r w:rsidR="008F410E">
        <w:rPr>
          <w:noProof/>
        </w:rPr>
        <w:t xml:space="preserve">IMO </w:t>
      </w:r>
      <w:r w:rsidR="00FE0482">
        <w:rPr>
          <w:noProof/>
        </w:rPr>
        <w:t>r</w:t>
      </w:r>
      <w:r w:rsidRPr="00C8711F">
        <w:rPr>
          <w:noProof/>
        </w:rPr>
        <w:t>egulations.</w:t>
      </w:r>
    </w:p>
    <w:p w14:paraId="4861AAC9" w14:textId="77777777" w:rsidR="005B3330" w:rsidRPr="00C8711F" w:rsidRDefault="005B3330" w:rsidP="007800DD">
      <w:pPr>
        <w:pStyle w:val="ManualHeading2"/>
        <w:rPr>
          <w:rFonts w:eastAsia="Arial Unicode MS"/>
          <w:noProof/>
          <w:color w:val="000000"/>
          <w:u w:color="000000"/>
          <w:bdr w:val="nil"/>
          <w:lang w:val="en-US" w:eastAsia="en-GB"/>
        </w:rPr>
      </w:pPr>
      <w:r w:rsidRPr="00C8711F">
        <w:rPr>
          <w:rFonts w:eastAsia="Arial Unicode MS"/>
          <w:noProof/>
          <w:color w:val="000000"/>
          <w:u w:color="000000"/>
          <w:bdr w:val="nil"/>
          <w:lang w:val="en-US" w:eastAsia="en-GB"/>
        </w:rPr>
        <w:t>•</w:t>
      </w:r>
      <w:r w:rsidRPr="00C8711F">
        <w:rPr>
          <w:rFonts w:eastAsia="Arial Unicode MS"/>
          <w:noProof/>
          <w:color w:val="000000"/>
          <w:u w:color="000000"/>
          <w:bdr w:val="nil"/>
          <w:lang w:val="en-US" w:eastAsia="en-GB"/>
        </w:rPr>
        <w:tab/>
      </w:r>
      <w:r w:rsidRPr="00C8711F">
        <w:rPr>
          <w:rFonts w:eastAsia="Arial Unicode MS"/>
          <w:noProof/>
        </w:rPr>
        <w:t>Consistency with existing policy provisions in the policy area</w:t>
      </w:r>
    </w:p>
    <w:p w14:paraId="65E1A9B3" w14:textId="77777777" w:rsidR="008F410E" w:rsidRDefault="001B6F72" w:rsidP="00FE0482">
      <w:pPr>
        <w:pBdr>
          <w:top w:val="nil"/>
          <w:left w:val="nil"/>
          <w:bottom w:val="nil"/>
          <w:right w:val="nil"/>
          <w:between w:val="nil"/>
          <w:bar w:val="nil"/>
        </w:pBdr>
        <w:spacing w:before="0" w:after="240"/>
        <w:rPr>
          <w:rFonts w:eastAsia="Arial Unicode MS"/>
          <w:noProof/>
        </w:rPr>
      </w:pPr>
      <w:r w:rsidRPr="00C8711F">
        <w:rPr>
          <w:rFonts w:eastAsia="Arial Unicode MS"/>
          <w:noProof/>
        </w:rPr>
        <w:t xml:space="preserve">The proposal is fully consistent with </w:t>
      </w:r>
      <w:r w:rsidR="008F410E">
        <w:rPr>
          <w:rFonts w:eastAsia="Arial Unicode MS"/>
          <w:noProof/>
        </w:rPr>
        <w:t>Directive 2009/1</w:t>
      </w:r>
      <w:r w:rsidR="0041008C">
        <w:rPr>
          <w:rFonts w:eastAsia="Arial Unicode MS"/>
          <w:noProof/>
        </w:rPr>
        <w:t>8</w:t>
      </w:r>
      <w:r w:rsidR="008F410E">
        <w:rPr>
          <w:rFonts w:eastAsia="Arial Unicode MS"/>
          <w:noProof/>
        </w:rPr>
        <w:t>/EC</w:t>
      </w:r>
      <w:r w:rsidR="008F410E" w:rsidRPr="00C8711F">
        <w:rPr>
          <w:rStyle w:val="FootnoteReference"/>
          <w:rFonts w:eastAsia="Arial Unicode MS"/>
          <w:noProof/>
        </w:rPr>
        <w:footnoteReference w:id="13"/>
      </w:r>
      <w:r w:rsidR="008F410E">
        <w:rPr>
          <w:rFonts w:eastAsia="Arial Unicode MS"/>
          <w:noProof/>
        </w:rPr>
        <w:t xml:space="preserve"> on </w:t>
      </w:r>
      <w:r w:rsidR="0041008C">
        <w:rPr>
          <w:rFonts w:eastAsia="Arial Unicode MS"/>
          <w:noProof/>
        </w:rPr>
        <w:t xml:space="preserve">maritime accident investigation </w:t>
      </w:r>
      <w:r w:rsidR="008F410E">
        <w:rPr>
          <w:rFonts w:eastAsia="Arial Unicode MS"/>
          <w:noProof/>
        </w:rPr>
        <w:t>and Directive 2009/21/EC</w:t>
      </w:r>
      <w:r w:rsidR="008F410E" w:rsidRPr="00D24830">
        <w:rPr>
          <w:rStyle w:val="FootnoteReference"/>
          <w:noProof/>
        </w:rPr>
        <w:footnoteReference w:id="14"/>
      </w:r>
      <w:r w:rsidR="008F410E">
        <w:rPr>
          <w:rFonts w:eastAsia="Arial Unicode MS"/>
          <w:noProof/>
        </w:rPr>
        <w:t xml:space="preserve"> on flag </w:t>
      </w:r>
      <w:r w:rsidR="00FE0482">
        <w:rPr>
          <w:rFonts w:eastAsia="Arial Unicode MS"/>
          <w:noProof/>
        </w:rPr>
        <w:t>S</w:t>
      </w:r>
      <w:r w:rsidR="008F410E">
        <w:rPr>
          <w:rFonts w:eastAsia="Arial Unicode MS"/>
          <w:noProof/>
        </w:rPr>
        <w:t>tate requirements</w:t>
      </w:r>
      <w:r w:rsidR="00BA263E">
        <w:rPr>
          <w:rFonts w:eastAsia="Arial Unicode MS"/>
          <w:noProof/>
        </w:rPr>
        <w:t xml:space="preserve">. </w:t>
      </w:r>
      <w:r w:rsidR="008F410E" w:rsidRPr="008F410E">
        <w:rPr>
          <w:rFonts w:eastAsia="Arial Unicode MS"/>
          <w:noProof/>
        </w:rPr>
        <w:t xml:space="preserve">All three </w:t>
      </w:r>
      <w:r w:rsidR="00BA263E">
        <w:rPr>
          <w:rFonts w:eastAsia="Arial Unicode MS"/>
          <w:noProof/>
        </w:rPr>
        <w:t xml:space="preserve">of these </w:t>
      </w:r>
      <w:r w:rsidR="008F410E" w:rsidRPr="008F410E">
        <w:rPr>
          <w:rFonts w:eastAsia="Arial Unicode MS"/>
          <w:noProof/>
        </w:rPr>
        <w:t xml:space="preserve">EU maritime safety </w:t>
      </w:r>
      <w:r w:rsidR="00FE0482">
        <w:rPr>
          <w:rFonts w:eastAsia="Arial Unicode MS"/>
          <w:noProof/>
        </w:rPr>
        <w:t>d</w:t>
      </w:r>
      <w:r w:rsidR="008F410E" w:rsidRPr="008F410E">
        <w:rPr>
          <w:rFonts w:eastAsia="Arial Unicode MS"/>
          <w:noProof/>
        </w:rPr>
        <w:t xml:space="preserve">irectives are based on the rules and standards </w:t>
      </w:r>
      <w:r w:rsidR="00FE0482">
        <w:rPr>
          <w:rFonts w:eastAsia="Arial Unicode MS"/>
          <w:noProof/>
        </w:rPr>
        <w:t>set</w:t>
      </w:r>
      <w:r w:rsidR="008F410E" w:rsidRPr="008F410E">
        <w:rPr>
          <w:rFonts w:eastAsia="Arial Unicode MS"/>
          <w:noProof/>
        </w:rPr>
        <w:t xml:space="preserve"> by the IMO at international level</w:t>
      </w:r>
      <w:r w:rsidR="00973508" w:rsidRPr="00973508">
        <w:rPr>
          <w:rFonts w:eastAsia="Arial Unicode MS"/>
          <w:noProof/>
        </w:rPr>
        <w:t xml:space="preserve">, and </w:t>
      </w:r>
      <w:r w:rsidR="00FE0482">
        <w:rPr>
          <w:rFonts w:eastAsia="Arial Unicode MS"/>
          <w:noProof/>
        </w:rPr>
        <w:t>together they form</w:t>
      </w:r>
      <w:r w:rsidR="00973508" w:rsidRPr="00973508">
        <w:rPr>
          <w:rFonts w:eastAsia="Arial Unicode MS"/>
          <w:noProof/>
        </w:rPr>
        <w:t xml:space="preserve"> the </w:t>
      </w:r>
      <w:r w:rsidR="00FE0482">
        <w:rPr>
          <w:rFonts w:eastAsia="Arial Unicode MS"/>
          <w:noProof/>
        </w:rPr>
        <w:t>basis</w:t>
      </w:r>
      <w:r w:rsidR="00973508" w:rsidRPr="00973508">
        <w:rPr>
          <w:rFonts w:eastAsia="Arial Unicode MS"/>
          <w:noProof/>
        </w:rPr>
        <w:t xml:space="preserve"> for the EU system </w:t>
      </w:r>
      <w:r w:rsidR="00FE0482">
        <w:rPr>
          <w:rFonts w:eastAsia="Arial Unicode MS"/>
          <w:noProof/>
        </w:rPr>
        <w:t>of</w:t>
      </w:r>
      <w:r w:rsidR="00973508" w:rsidRPr="00973508">
        <w:rPr>
          <w:rFonts w:eastAsia="Arial Unicode MS"/>
          <w:noProof/>
        </w:rPr>
        <w:t xml:space="preserve"> ensuring the safety of maritime operations in </w:t>
      </w:r>
      <w:r w:rsidR="00FE0482">
        <w:rPr>
          <w:rFonts w:eastAsia="Arial Unicode MS"/>
          <w:noProof/>
        </w:rPr>
        <w:t>E</w:t>
      </w:r>
      <w:r w:rsidR="00973508" w:rsidRPr="00973508">
        <w:rPr>
          <w:rFonts w:eastAsia="Arial Unicode MS"/>
          <w:noProof/>
        </w:rPr>
        <w:t>U waters</w:t>
      </w:r>
      <w:r w:rsidR="00D54FCC">
        <w:rPr>
          <w:rFonts w:eastAsia="Arial Unicode MS"/>
          <w:noProof/>
        </w:rPr>
        <w:t>.</w:t>
      </w:r>
      <w:r w:rsidR="008F410E" w:rsidRPr="008F410E">
        <w:rPr>
          <w:rFonts w:eastAsia="Arial Unicode MS"/>
          <w:noProof/>
        </w:rPr>
        <w:t xml:space="preserve">   </w:t>
      </w:r>
    </w:p>
    <w:p w14:paraId="1D381936" w14:textId="77777777" w:rsidR="005B3330" w:rsidRPr="00C8711F" w:rsidRDefault="005B3330" w:rsidP="00FE0482">
      <w:pPr>
        <w:pStyle w:val="ManualHeading2"/>
        <w:rPr>
          <w:rFonts w:eastAsia="Arial Unicode MS"/>
          <w:noProof/>
        </w:rPr>
      </w:pPr>
      <w:r w:rsidRPr="00C8711F">
        <w:rPr>
          <w:rFonts w:eastAsia="Arial Unicode MS"/>
          <w:noProof/>
          <w:color w:val="000000"/>
          <w:u w:color="000000"/>
          <w:bdr w:val="nil"/>
          <w:lang w:val="en-US" w:eastAsia="en-GB"/>
        </w:rPr>
        <w:t>•</w:t>
      </w:r>
      <w:r w:rsidRPr="00C8711F">
        <w:rPr>
          <w:rFonts w:eastAsia="Arial Unicode MS"/>
          <w:noProof/>
          <w:color w:val="000000"/>
          <w:u w:color="000000"/>
          <w:bdr w:val="nil"/>
          <w:lang w:val="en-US" w:eastAsia="en-GB"/>
        </w:rPr>
        <w:tab/>
      </w:r>
      <w:r w:rsidRPr="00C8711F">
        <w:rPr>
          <w:rFonts w:eastAsia="Arial Unicode MS"/>
          <w:noProof/>
        </w:rPr>
        <w:t xml:space="preserve">Consistency with other </w:t>
      </w:r>
      <w:r w:rsidR="00FE0482">
        <w:rPr>
          <w:rFonts w:eastAsia="Arial Unicode MS"/>
          <w:noProof/>
        </w:rPr>
        <w:t>E</w:t>
      </w:r>
      <w:r w:rsidRPr="00C8711F">
        <w:rPr>
          <w:rFonts w:eastAsia="Arial Unicode MS"/>
          <w:noProof/>
        </w:rPr>
        <w:t>U policies</w:t>
      </w:r>
    </w:p>
    <w:p w14:paraId="0C2BF6A6" w14:textId="77777777" w:rsidR="00BA263E" w:rsidRPr="00BA263E" w:rsidRDefault="001B6F72" w:rsidP="00FE0482">
      <w:pPr>
        <w:spacing w:after="240"/>
        <w:rPr>
          <w:rFonts w:eastAsia="Times New Roman"/>
          <w:noProof/>
          <w:szCs w:val="20"/>
        </w:rPr>
      </w:pPr>
      <w:r w:rsidRPr="00C8711F">
        <w:rPr>
          <w:noProof/>
        </w:rPr>
        <w:t xml:space="preserve">The proposal </w:t>
      </w:r>
      <w:r w:rsidR="00FE0482">
        <w:rPr>
          <w:noProof/>
        </w:rPr>
        <w:t xml:space="preserve">comes under </w:t>
      </w:r>
      <w:r w:rsidRPr="00C8711F">
        <w:rPr>
          <w:noProof/>
        </w:rPr>
        <w:t xml:space="preserve">the Commission's REFIT programme and delivers on its </w:t>
      </w:r>
      <w:r w:rsidR="00FE0482">
        <w:rPr>
          <w:noProof/>
        </w:rPr>
        <w:t>b</w:t>
      </w:r>
      <w:r w:rsidRPr="00C8711F">
        <w:rPr>
          <w:noProof/>
        </w:rPr>
        <w:t xml:space="preserve">etter </w:t>
      </w:r>
      <w:r w:rsidR="00FE0482">
        <w:rPr>
          <w:noProof/>
        </w:rPr>
        <w:t>r</w:t>
      </w:r>
      <w:r w:rsidRPr="00C8711F">
        <w:rPr>
          <w:noProof/>
        </w:rPr>
        <w:t xml:space="preserve">egulation agenda by ensuring that existing legislation is simple and clear, does not create unnecessary burden and keeps pace with evolving political, societal and technological developments. </w:t>
      </w:r>
      <w:r w:rsidR="00BA263E" w:rsidRPr="00BA263E">
        <w:rPr>
          <w:rFonts w:eastAsia="Times New Roman"/>
          <w:noProof/>
          <w:szCs w:val="20"/>
        </w:rPr>
        <w:t>Th</w:t>
      </w:r>
      <w:r w:rsidR="00BA263E">
        <w:rPr>
          <w:rFonts w:eastAsia="Times New Roman"/>
          <w:noProof/>
          <w:szCs w:val="20"/>
        </w:rPr>
        <w:t xml:space="preserve">is proposal </w:t>
      </w:r>
      <w:r w:rsidR="00FE0482">
        <w:rPr>
          <w:rFonts w:eastAsia="Times New Roman"/>
          <w:noProof/>
          <w:szCs w:val="20"/>
        </w:rPr>
        <w:t>and related proposals to revise th</w:t>
      </w:r>
      <w:r w:rsidR="00BA263E">
        <w:rPr>
          <w:rFonts w:eastAsia="Times New Roman"/>
          <w:noProof/>
          <w:szCs w:val="20"/>
        </w:rPr>
        <w:t xml:space="preserve">e other maritime safety </w:t>
      </w:r>
      <w:r w:rsidR="00FE0482">
        <w:rPr>
          <w:rFonts w:eastAsia="Times New Roman"/>
          <w:noProof/>
          <w:szCs w:val="20"/>
        </w:rPr>
        <w:t>d</w:t>
      </w:r>
      <w:r w:rsidR="00BA263E">
        <w:rPr>
          <w:rFonts w:eastAsia="Times New Roman"/>
          <w:noProof/>
          <w:szCs w:val="20"/>
        </w:rPr>
        <w:t xml:space="preserve">irectives </w:t>
      </w:r>
      <w:r w:rsidR="00BA263E" w:rsidRPr="00BA263E">
        <w:rPr>
          <w:rFonts w:eastAsia="Times New Roman"/>
          <w:noProof/>
          <w:szCs w:val="20"/>
        </w:rPr>
        <w:t xml:space="preserve">are also part of and have significant interaction with the </w:t>
      </w:r>
      <w:r w:rsidR="00FE0482">
        <w:rPr>
          <w:rFonts w:eastAsia="Times New Roman"/>
          <w:noProof/>
          <w:szCs w:val="20"/>
        </w:rPr>
        <w:t xml:space="preserve">EU’s body of law governing </w:t>
      </w:r>
      <w:r w:rsidR="00BA263E" w:rsidRPr="00BA263E">
        <w:rPr>
          <w:rFonts w:eastAsia="Times New Roman"/>
          <w:noProof/>
          <w:szCs w:val="20"/>
        </w:rPr>
        <w:t>maritime safety which includes the EU vessel traffic monitoring and information system (SafeSeaNet)</w:t>
      </w:r>
      <w:r w:rsidR="00BA263E" w:rsidRPr="00D24830">
        <w:rPr>
          <w:rStyle w:val="FootnoteReference"/>
          <w:noProof/>
        </w:rPr>
        <w:footnoteReference w:id="15"/>
      </w:r>
      <w:r w:rsidR="00BA263E" w:rsidRPr="00D24830">
        <w:rPr>
          <w:rStyle w:val="FootnoteReference"/>
          <w:noProof/>
        </w:rPr>
        <w:t>,</w:t>
      </w:r>
      <w:r w:rsidR="00BA263E" w:rsidRPr="00BA263E">
        <w:rPr>
          <w:rFonts w:eastAsia="Times New Roman"/>
          <w:noProof/>
          <w:szCs w:val="20"/>
        </w:rPr>
        <w:t xml:space="preserve"> the EMSA founding Regulation</w:t>
      </w:r>
      <w:r w:rsidR="00BA263E" w:rsidRPr="00D24830">
        <w:rPr>
          <w:rStyle w:val="FootnoteReference"/>
          <w:noProof/>
        </w:rPr>
        <w:footnoteReference w:id="16"/>
      </w:r>
      <w:r w:rsidR="00BA263E" w:rsidRPr="00BA263E">
        <w:rPr>
          <w:rFonts w:eastAsia="Times New Roman"/>
          <w:noProof/>
          <w:szCs w:val="20"/>
        </w:rPr>
        <w:t>, the fishing vessel safety Directive</w:t>
      </w:r>
      <w:r w:rsidR="00BA263E" w:rsidRPr="00D24830">
        <w:rPr>
          <w:rStyle w:val="FootnoteReference"/>
          <w:noProof/>
        </w:rPr>
        <w:footnoteReference w:id="17"/>
      </w:r>
      <w:r w:rsidR="00BA263E" w:rsidRPr="00BA263E">
        <w:rPr>
          <w:rFonts w:eastAsia="Times New Roman"/>
          <w:noProof/>
          <w:szCs w:val="20"/>
        </w:rPr>
        <w:t>, the EU leg</w:t>
      </w:r>
      <w:r w:rsidR="00FE0482">
        <w:rPr>
          <w:rFonts w:eastAsia="Times New Roman"/>
          <w:noProof/>
          <w:szCs w:val="20"/>
        </w:rPr>
        <w:t>i</w:t>
      </w:r>
      <w:r w:rsidR="00BA263E" w:rsidRPr="00BA263E">
        <w:rPr>
          <w:rFonts w:eastAsia="Times New Roman"/>
          <w:noProof/>
          <w:szCs w:val="20"/>
        </w:rPr>
        <w:t xml:space="preserve">slation relating to </w:t>
      </w:r>
      <w:r w:rsidR="00FE0482">
        <w:rPr>
          <w:rFonts w:eastAsia="Times New Roman"/>
          <w:noProof/>
          <w:szCs w:val="20"/>
        </w:rPr>
        <w:t>r</w:t>
      </w:r>
      <w:r w:rsidR="00BA263E" w:rsidRPr="00BA263E">
        <w:rPr>
          <w:rFonts w:eastAsia="Times New Roman"/>
          <w:noProof/>
          <w:szCs w:val="20"/>
        </w:rPr>
        <w:t xml:space="preserve">ecognised </w:t>
      </w:r>
      <w:r w:rsidR="00FE0482">
        <w:rPr>
          <w:rFonts w:eastAsia="Times New Roman"/>
          <w:noProof/>
          <w:szCs w:val="20"/>
        </w:rPr>
        <w:t>o</w:t>
      </w:r>
      <w:r w:rsidR="00BA263E" w:rsidRPr="00BA263E">
        <w:rPr>
          <w:rFonts w:eastAsia="Times New Roman"/>
          <w:noProof/>
          <w:szCs w:val="20"/>
        </w:rPr>
        <w:t>rganisations</w:t>
      </w:r>
      <w:r w:rsidR="00BA263E" w:rsidRPr="00D24830">
        <w:rPr>
          <w:rStyle w:val="FootnoteReference"/>
          <w:noProof/>
        </w:rPr>
        <w:footnoteReference w:id="18"/>
      </w:r>
      <w:r w:rsidR="00BA263E" w:rsidRPr="00BA263E">
        <w:rPr>
          <w:rFonts w:eastAsia="Times New Roman"/>
          <w:noProof/>
          <w:szCs w:val="20"/>
        </w:rPr>
        <w:t>, the Marine Strategy Framework Directive</w:t>
      </w:r>
      <w:r w:rsidR="00BA263E" w:rsidRPr="00D24830">
        <w:rPr>
          <w:rStyle w:val="FootnoteReference"/>
          <w:noProof/>
        </w:rPr>
        <w:footnoteReference w:id="19"/>
      </w:r>
      <w:r w:rsidR="00BA263E" w:rsidRPr="00BA263E">
        <w:rPr>
          <w:rFonts w:eastAsia="Times New Roman"/>
          <w:noProof/>
          <w:szCs w:val="20"/>
        </w:rPr>
        <w:t xml:space="preserve"> and other EU environmental legislation</w:t>
      </w:r>
      <w:r w:rsidR="00BA263E" w:rsidRPr="00D24830">
        <w:rPr>
          <w:rStyle w:val="FootnoteReference"/>
          <w:noProof/>
        </w:rPr>
        <w:footnoteReference w:id="20"/>
      </w:r>
      <w:r w:rsidR="00BA263E" w:rsidRPr="00BA263E">
        <w:rPr>
          <w:rFonts w:eastAsia="Times New Roman"/>
          <w:noProof/>
          <w:szCs w:val="20"/>
        </w:rPr>
        <w:t xml:space="preserve">.  </w:t>
      </w:r>
    </w:p>
    <w:p w14:paraId="0DA20378" w14:textId="77777777" w:rsidR="005B3330" w:rsidRPr="00C8711F" w:rsidRDefault="005B3330" w:rsidP="007800DD">
      <w:pPr>
        <w:pStyle w:val="ManualHeading1"/>
        <w:rPr>
          <w:noProof/>
        </w:rPr>
      </w:pPr>
      <w:r w:rsidRPr="00C8711F">
        <w:rPr>
          <w:noProof/>
        </w:rPr>
        <w:t>2.</w:t>
      </w:r>
      <w:r w:rsidRPr="00C8711F">
        <w:rPr>
          <w:noProof/>
        </w:rPr>
        <w:tab/>
        <w:t>LEGAL BASIS, SUBSIDIARITY AND PROPORTIONALITY</w:t>
      </w:r>
    </w:p>
    <w:p w14:paraId="1B6BB8CF"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Legal basis</w:t>
      </w:r>
    </w:p>
    <w:p w14:paraId="0E9DA91B" w14:textId="77777777" w:rsidR="005B3330" w:rsidRPr="00C8711F" w:rsidRDefault="001B6F72" w:rsidP="00FE0482">
      <w:pPr>
        <w:pBdr>
          <w:top w:val="nil"/>
          <w:left w:val="nil"/>
          <w:bottom w:val="nil"/>
          <w:right w:val="nil"/>
          <w:between w:val="nil"/>
          <w:bar w:val="nil"/>
        </w:pBdr>
        <w:spacing w:before="0" w:after="240"/>
        <w:rPr>
          <w:rFonts w:eastAsia="Arial Unicode MS"/>
          <w:noProof/>
        </w:rPr>
      </w:pPr>
      <w:r w:rsidRPr="00C8711F">
        <w:rPr>
          <w:rFonts w:eastAsia="Arial Unicode MS"/>
          <w:noProof/>
        </w:rPr>
        <w:t>The legal bas</w:t>
      </w:r>
      <w:r w:rsidR="00FE0482">
        <w:rPr>
          <w:rFonts w:eastAsia="Arial Unicode MS"/>
          <w:noProof/>
        </w:rPr>
        <w:t>is</w:t>
      </w:r>
      <w:r w:rsidRPr="00C8711F">
        <w:rPr>
          <w:rFonts w:eastAsia="Arial Unicode MS"/>
          <w:noProof/>
        </w:rPr>
        <w:t xml:space="preserve"> of the </w:t>
      </w:r>
      <w:r w:rsidR="00FE0482">
        <w:rPr>
          <w:rFonts w:eastAsia="Arial Unicode MS"/>
          <w:noProof/>
        </w:rPr>
        <w:t>a</w:t>
      </w:r>
      <w:r w:rsidRPr="00C8711F">
        <w:rPr>
          <w:rFonts w:eastAsia="Arial Unicode MS"/>
          <w:noProof/>
        </w:rPr>
        <w:t xml:space="preserve">mending </w:t>
      </w:r>
      <w:r w:rsidR="00FE0482">
        <w:rPr>
          <w:rFonts w:eastAsia="Arial Unicode MS"/>
          <w:noProof/>
        </w:rPr>
        <w:t>d</w:t>
      </w:r>
      <w:r w:rsidRPr="00C8711F">
        <w:rPr>
          <w:rFonts w:eastAsia="Arial Unicode MS"/>
          <w:noProof/>
        </w:rPr>
        <w:t>irective is Article 100(2) TFEU, providing for measures to improve transport safety and specific provisions for sea transport.</w:t>
      </w:r>
    </w:p>
    <w:p w14:paraId="516D245C"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 xml:space="preserve">Subsidiarity (for non-exclusive competence) </w:t>
      </w:r>
    </w:p>
    <w:p w14:paraId="6318B60F" w14:textId="77777777" w:rsidR="00BA263E" w:rsidRPr="00BA263E" w:rsidRDefault="00700FF2" w:rsidP="00FE0482">
      <w:pPr>
        <w:spacing w:before="0" w:after="240"/>
        <w:rPr>
          <w:noProof/>
          <w:spacing w:val="-4"/>
          <w:szCs w:val="24"/>
        </w:rPr>
      </w:pPr>
      <w:r>
        <w:rPr>
          <w:noProof/>
          <w:spacing w:val="-4"/>
          <w:szCs w:val="24"/>
        </w:rPr>
        <w:t xml:space="preserve">As the </w:t>
      </w:r>
      <w:r w:rsidRPr="00700FF2">
        <w:rPr>
          <w:noProof/>
          <w:spacing w:val="-4"/>
          <w:szCs w:val="24"/>
        </w:rPr>
        <w:t>international instruments in the field of PSC in the maritime transport sector are an exclusive</w:t>
      </w:r>
      <w:r w:rsidR="00FE0482">
        <w:rPr>
          <w:noProof/>
          <w:spacing w:val="-4"/>
          <w:szCs w:val="24"/>
        </w:rPr>
        <w:t xml:space="preserve"> EU</w:t>
      </w:r>
      <w:r w:rsidRPr="00700FF2">
        <w:rPr>
          <w:noProof/>
          <w:spacing w:val="-4"/>
          <w:szCs w:val="24"/>
        </w:rPr>
        <w:t xml:space="preserve"> competence </w:t>
      </w:r>
      <w:r w:rsidR="00FE0482">
        <w:rPr>
          <w:noProof/>
          <w:spacing w:val="-4"/>
          <w:szCs w:val="24"/>
        </w:rPr>
        <w:t>under</w:t>
      </w:r>
      <w:r w:rsidRPr="00700FF2">
        <w:rPr>
          <w:noProof/>
          <w:spacing w:val="-4"/>
          <w:szCs w:val="24"/>
        </w:rPr>
        <w:t xml:space="preserve"> Article 3(2) TFEU, the subsidiarity principle does not apply, either to those instruments or to </w:t>
      </w:r>
      <w:r w:rsidR="00FE0482">
        <w:rPr>
          <w:noProof/>
          <w:spacing w:val="-4"/>
          <w:szCs w:val="24"/>
        </w:rPr>
        <w:t>the EU</w:t>
      </w:r>
      <w:r w:rsidRPr="00700FF2">
        <w:rPr>
          <w:noProof/>
          <w:spacing w:val="-4"/>
          <w:szCs w:val="24"/>
        </w:rPr>
        <w:t xml:space="preserve"> rules implementing those agreements.</w:t>
      </w:r>
      <w:r>
        <w:rPr>
          <w:noProof/>
          <w:spacing w:val="-4"/>
          <w:szCs w:val="24"/>
        </w:rPr>
        <w:t xml:space="preserve"> </w:t>
      </w:r>
    </w:p>
    <w:p w14:paraId="460D5915"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Proportionality</w:t>
      </w:r>
    </w:p>
    <w:p w14:paraId="091F493B" w14:textId="77777777" w:rsidR="001B6F72" w:rsidRPr="00C8711F" w:rsidRDefault="001B6F72" w:rsidP="000C6A8C">
      <w:pPr>
        <w:pBdr>
          <w:top w:val="nil"/>
          <w:left w:val="nil"/>
          <w:bottom w:val="nil"/>
          <w:right w:val="nil"/>
          <w:between w:val="nil"/>
          <w:bar w:val="nil"/>
        </w:pBdr>
        <w:spacing w:after="240"/>
        <w:rPr>
          <w:rFonts w:eastAsia="Arial Unicode MS"/>
          <w:noProof/>
        </w:rPr>
      </w:pPr>
      <w:r w:rsidRPr="00C8711F">
        <w:rPr>
          <w:rFonts w:eastAsia="Arial Unicode MS"/>
          <w:noProof/>
        </w:rPr>
        <w:t xml:space="preserve">The </w:t>
      </w:r>
      <w:r w:rsidR="00FE0482">
        <w:rPr>
          <w:rFonts w:eastAsia="Arial Unicode MS"/>
          <w:noProof/>
        </w:rPr>
        <w:t xml:space="preserve">Commission prepared the </w:t>
      </w:r>
      <w:r w:rsidRPr="00C8711F">
        <w:rPr>
          <w:rFonts w:eastAsia="Arial Unicode MS"/>
          <w:noProof/>
        </w:rPr>
        <w:t xml:space="preserve">proposal </w:t>
      </w:r>
      <w:r w:rsidR="00FE0482">
        <w:rPr>
          <w:rFonts w:eastAsia="Arial Unicode MS"/>
          <w:noProof/>
        </w:rPr>
        <w:t>to reflect th</w:t>
      </w:r>
      <w:r w:rsidRPr="00C8711F">
        <w:rPr>
          <w:rFonts w:eastAsia="Arial Unicode MS"/>
          <w:noProof/>
        </w:rPr>
        <w:t xml:space="preserve">e latest developments </w:t>
      </w:r>
      <w:r w:rsidR="00AA68A4">
        <w:rPr>
          <w:rFonts w:eastAsia="Arial Unicode MS"/>
          <w:noProof/>
        </w:rPr>
        <w:t>at</w:t>
      </w:r>
      <w:r w:rsidRPr="00C8711F">
        <w:rPr>
          <w:rFonts w:eastAsia="Arial Unicode MS"/>
          <w:noProof/>
        </w:rPr>
        <w:t xml:space="preserve"> international level and </w:t>
      </w:r>
      <w:r w:rsidR="00CC2044" w:rsidRPr="00C8711F">
        <w:rPr>
          <w:rFonts w:eastAsia="Arial Unicode MS"/>
          <w:noProof/>
        </w:rPr>
        <w:t xml:space="preserve">the </w:t>
      </w:r>
      <w:r w:rsidRPr="00C8711F">
        <w:rPr>
          <w:rFonts w:eastAsia="Arial Unicode MS"/>
          <w:noProof/>
        </w:rPr>
        <w:t xml:space="preserve">results of the </w:t>
      </w:r>
      <w:r w:rsidR="00BA263E">
        <w:rPr>
          <w:rFonts w:eastAsia="Arial Unicode MS"/>
          <w:noProof/>
        </w:rPr>
        <w:t xml:space="preserve">2018 ex-post evaluation and REFIT </w:t>
      </w:r>
      <w:r w:rsidR="00FE0482">
        <w:rPr>
          <w:rFonts w:eastAsia="Arial Unicode MS"/>
          <w:noProof/>
        </w:rPr>
        <w:t>procedures</w:t>
      </w:r>
      <w:r w:rsidR="00BA263E">
        <w:rPr>
          <w:rFonts w:eastAsia="Arial Unicode MS"/>
          <w:noProof/>
        </w:rPr>
        <w:t>.  The Commission also carried out an impact assessment to identify</w:t>
      </w:r>
      <w:r w:rsidR="00DD493E">
        <w:rPr>
          <w:rFonts w:eastAsia="Arial Unicode MS"/>
          <w:noProof/>
        </w:rPr>
        <w:t>,</w:t>
      </w:r>
      <w:r w:rsidR="00BA263E">
        <w:rPr>
          <w:rFonts w:eastAsia="Arial Unicode MS"/>
          <w:noProof/>
        </w:rPr>
        <w:t xml:space="preserve"> assess and evaluate </w:t>
      </w:r>
      <w:r w:rsidRPr="00C8711F">
        <w:rPr>
          <w:rFonts w:eastAsia="Arial Unicode MS"/>
          <w:noProof/>
        </w:rPr>
        <w:t xml:space="preserve">alternative measures </w:t>
      </w:r>
      <w:r w:rsidR="00BA263E">
        <w:rPr>
          <w:rFonts w:eastAsia="Arial Unicode MS"/>
          <w:noProof/>
        </w:rPr>
        <w:t xml:space="preserve">to achieve the same objectives. </w:t>
      </w:r>
    </w:p>
    <w:p w14:paraId="104924AB" w14:textId="77777777" w:rsidR="005B3330" w:rsidRPr="00C8711F" w:rsidRDefault="008A5E41" w:rsidP="000C6A8C">
      <w:pPr>
        <w:pBdr>
          <w:top w:val="nil"/>
          <w:left w:val="nil"/>
          <w:bottom w:val="nil"/>
          <w:right w:val="nil"/>
          <w:between w:val="nil"/>
          <w:bar w:val="nil"/>
        </w:pBdr>
        <w:spacing w:after="240"/>
        <w:rPr>
          <w:rFonts w:eastAsia="Arial Unicode MS"/>
          <w:noProof/>
        </w:rPr>
      </w:pPr>
      <w:r>
        <w:rPr>
          <w:rFonts w:eastAsia="Arial Unicode MS"/>
          <w:noProof/>
        </w:rPr>
        <w:t>The obje</w:t>
      </w:r>
      <w:r w:rsidR="00304F61">
        <w:rPr>
          <w:rFonts w:eastAsia="Arial Unicode MS"/>
          <w:noProof/>
        </w:rPr>
        <w:t>ctive of the proposed amendment</w:t>
      </w:r>
      <w:r w:rsidR="003D4EDF">
        <w:rPr>
          <w:rFonts w:eastAsia="Arial Unicode MS"/>
          <w:noProof/>
        </w:rPr>
        <w:t xml:space="preserve"> is to </w:t>
      </w:r>
      <w:r w:rsidRPr="008A5E41">
        <w:rPr>
          <w:rFonts w:eastAsia="Arial Unicode MS"/>
          <w:noProof/>
        </w:rPr>
        <w:t>improve maritime safety</w:t>
      </w:r>
      <w:r>
        <w:rPr>
          <w:rFonts w:eastAsia="Arial Unicode MS"/>
          <w:noProof/>
        </w:rPr>
        <w:t xml:space="preserve"> </w:t>
      </w:r>
      <w:r w:rsidR="003D4EDF">
        <w:rPr>
          <w:rFonts w:eastAsia="Arial Unicode MS"/>
          <w:noProof/>
        </w:rPr>
        <w:t>by having a</w:t>
      </w:r>
      <w:r w:rsidR="00C33DC9">
        <w:rPr>
          <w:rFonts w:eastAsia="Arial Unicode MS"/>
          <w:noProof/>
        </w:rPr>
        <w:t>n up</w:t>
      </w:r>
      <w:r w:rsidR="00AA68A4">
        <w:rPr>
          <w:rFonts w:eastAsia="Arial Unicode MS"/>
          <w:noProof/>
        </w:rPr>
        <w:t>-to-</w:t>
      </w:r>
      <w:r w:rsidR="00C33DC9">
        <w:rPr>
          <w:rFonts w:eastAsia="Arial Unicode MS"/>
          <w:noProof/>
        </w:rPr>
        <w:t xml:space="preserve">date, </w:t>
      </w:r>
      <w:r w:rsidR="003D4EDF">
        <w:rPr>
          <w:rFonts w:eastAsia="Arial Unicode MS"/>
          <w:noProof/>
        </w:rPr>
        <w:t xml:space="preserve">coherent </w:t>
      </w:r>
      <w:r w:rsidR="00C33DC9">
        <w:rPr>
          <w:rFonts w:eastAsia="Arial Unicode MS"/>
          <w:noProof/>
        </w:rPr>
        <w:t xml:space="preserve">and </w:t>
      </w:r>
      <w:r w:rsidR="003D4EDF">
        <w:rPr>
          <w:rFonts w:eastAsia="Arial Unicode MS"/>
          <w:noProof/>
        </w:rPr>
        <w:t xml:space="preserve">harmonised system of PSC inspections </w:t>
      </w:r>
      <w:r w:rsidR="00C33DC9">
        <w:rPr>
          <w:rFonts w:eastAsia="Arial Unicode MS"/>
          <w:noProof/>
        </w:rPr>
        <w:t xml:space="preserve">across the EU to target underperforming shipping and thereby </w:t>
      </w:r>
      <w:r w:rsidR="000C6A8C">
        <w:rPr>
          <w:rFonts w:eastAsia="Arial Unicode MS"/>
          <w:noProof/>
        </w:rPr>
        <w:t xml:space="preserve">to </w:t>
      </w:r>
      <w:r w:rsidR="00C33DC9">
        <w:rPr>
          <w:rFonts w:eastAsia="Arial Unicode MS"/>
          <w:noProof/>
        </w:rPr>
        <w:t xml:space="preserve">improve the safety and environmental performance of </w:t>
      </w:r>
      <w:r w:rsidR="00D54FCC">
        <w:rPr>
          <w:rFonts w:eastAsia="Arial Unicode MS"/>
          <w:noProof/>
        </w:rPr>
        <w:t>vessels</w:t>
      </w:r>
      <w:r w:rsidR="00C33DC9">
        <w:rPr>
          <w:rFonts w:eastAsia="Arial Unicode MS"/>
          <w:noProof/>
        </w:rPr>
        <w:t xml:space="preserve"> operating in EU waters. </w:t>
      </w:r>
      <w:r w:rsidR="000C6A8C">
        <w:rPr>
          <w:rFonts w:eastAsia="Arial Unicode MS"/>
          <w:noProof/>
        </w:rPr>
        <w:t>It considers it appropriate to extend</w:t>
      </w:r>
      <w:r w:rsidR="00D54FCC">
        <w:rPr>
          <w:rFonts w:eastAsia="Arial Unicode MS"/>
          <w:noProof/>
        </w:rPr>
        <w:t xml:space="preserve"> the scope </w:t>
      </w:r>
      <w:r w:rsidR="000C6A8C">
        <w:rPr>
          <w:rFonts w:eastAsia="Arial Unicode MS"/>
          <w:noProof/>
        </w:rPr>
        <w:t xml:space="preserve">of </w:t>
      </w:r>
      <w:r w:rsidR="0017134F">
        <w:rPr>
          <w:rFonts w:eastAsia="Arial Unicode MS"/>
          <w:noProof/>
        </w:rPr>
        <w:t xml:space="preserve">PSC </w:t>
      </w:r>
      <w:r w:rsidR="000C6A8C">
        <w:rPr>
          <w:rFonts w:eastAsia="Arial Unicode MS"/>
          <w:noProof/>
        </w:rPr>
        <w:t>to</w:t>
      </w:r>
      <w:r w:rsidR="0017134F">
        <w:rPr>
          <w:rFonts w:eastAsia="Arial Unicode MS"/>
          <w:noProof/>
        </w:rPr>
        <w:t xml:space="preserve"> larger fishing vessels </w:t>
      </w:r>
      <w:r>
        <w:rPr>
          <w:rFonts w:eastAsia="Arial Unicode MS"/>
          <w:noProof/>
        </w:rPr>
        <w:t>i</w:t>
      </w:r>
      <w:r w:rsidRPr="008A5E41">
        <w:rPr>
          <w:rFonts w:eastAsia="Arial Unicode MS"/>
          <w:noProof/>
        </w:rPr>
        <w:t>s considered proportionate</w:t>
      </w:r>
      <w:r w:rsidR="0017134F">
        <w:rPr>
          <w:rFonts w:eastAsia="Arial Unicode MS"/>
          <w:noProof/>
        </w:rPr>
        <w:t xml:space="preserve"> </w:t>
      </w:r>
      <w:r w:rsidR="00D54FCC">
        <w:rPr>
          <w:rFonts w:eastAsia="Arial Unicode MS"/>
          <w:noProof/>
        </w:rPr>
        <w:t xml:space="preserve">as it will be </w:t>
      </w:r>
      <w:r w:rsidR="0017134F">
        <w:rPr>
          <w:rFonts w:eastAsia="Arial Unicode MS"/>
          <w:noProof/>
        </w:rPr>
        <w:t xml:space="preserve">voluntary for those Member States who wish carry out this type of inspection. This measure should improve the safety, environmental and working and living </w:t>
      </w:r>
      <w:r w:rsidR="0032310D">
        <w:rPr>
          <w:rFonts w:eastAsia="Arial Unicode MS"/>
          <w:noProof/>
        </w:rPr>
        <w:t>conditions</w:t>
      </w:r>
      <w:r w:rsidR="0017134F">
        <w:rPr>
          <w:rFonts w:eastAsia="Arial Unicode MS"/>
          <w:noProof/>
        </w:rPr>
        <w:t xml:space="preserve"> in the fishing sector. </w:t>
      </w:r>
      <w:r w:rsidR="0017134F" w:rsidRPr="00C8711F">
        <w:rPr>
          <w:rFonts w:eastAsia="Arial Unicode MS"/>
          <w:noProof/>
        </w:rPr>
        <w:t xml:space="preserve"> </w:t>
      </w:r>
      <w:r w:rsidRPr="008A5E41">
        <w:rPr>
          <w:rFonts w:eastAsia="Arial Unicode MS"/>
          <w:noProof/>
        </w:rPr>
        <w:t xml:space="preserve">The </w:t>
      </w:r>
      <w:r w:rsidR="0017134F">
        <w:rPr>
          <w:rFonts w:eastAsia="Arial Unicode MS"/>
          <w:noProof/>
        </w:rPr>
        <w:t xml:space="preserve">move towards digitalisation and the use of e-certificates will </w:t>
      </w:r>
      <w:r w:rsidR="00D54FCC">
        <w:rPr>
          <w:rFonts w:eastAsia="Arial Unicode MS"/>
          <w:noProof/>
        </w:rPr>
        <w:t>create</w:t>
      </w:r>
      <w:r w:rsidR="0017134F">
        <w:rPr>
          <w:rFonts w:eastAsia="Arial Unicode MS"/>
          <w:noProof/>
        </w:rPr>
        <w:t xml:space="preserve"> costs but these will be limited and </w:t>
      </w:r>
      <w:r w:rsidR="00D54FCC">
        <w:rPr>
          <w:rFonts w:eastAsia="Arial Unicode MS"/>
          <w:noProof/>
        </w:rPr>
        <w:t xml:space="preserve">will be </w:t>
      </w:r>
      <w:r w:rsidR="0017134F">
        <w:rPr>
          <w:rFonts w:eastAsia="Arial Unicode MS"/>
          <w:noProof/>
        </w:rPr>
        <w:t xml:space="preserve">offset by the </w:t>
      </w:r>
      <w:r w:rsidR="000C6A8C">
        <w:rPr>
          <w:rFonts w:eastAsia="Arial Unicode MS"/>
          <w:noProof/>
        </w:rPr>
        <w:t>expected benefits in terms of greater</w:t>
      </w:r>
      <w:r w:rsidRPr="008A5E41">
        <w:rPr>
          <w:rFonts w:eastAsia="Arial Unicode MS"/>
          <w:noProof/>
        </w:rPr>
        <w:t xml:space="preserve"> safety </w:t>
      </w:r>
      <w:r w:rsidR="0017134F">
        <w:rPr>
          <w:rFonts w:eastAsia="Arial Unicode MS"/>
          <w:noProof/>
        </w:rPr>
        <w:t xml:space="preserve">and efficiency </w:t>
      </w:r>
      <w:r w:rsidRPr="008A5E41">
        <w:rPr>
          <w:rFonts w:eastAsia="Arial Unicode MS"/>
          <w:noProof/>
        </w:rPr>
        <w:t xml:space="preserve">impact </w:t>
      </w:r>
      <w:r w:rsidR="0017134F">
        <w:rPr>
          <w:rFonts w:eastAsia="Arial Unicode MS"/>
          <w:noProof/>
        </w:rPr>
        <w:t xml:space="preserve">they </w:t>
      </w:r>
      <w:r w:rsidR="0032310D">
        <w:rPr>
          <w:rFonts w:eastAsia="Arial Unicode MS"/>
          <w:noProof/>
        </w:rPr>
        <w:t>are expected to</w:t>
      </w:r>
      <w:r w:rsidR="0017134F">
        <w:rPr>
          <w:rFonts w:eastAsia="Arial Unicode MS"/>
          <w:noProof/>
        </w:rPr>
        <w:t xml:space="preserve"> y</w:t>
      </w:r>
      <w:r w:rsidRPr="008A5E41">
        <w:rPr>
          <w:rFonts w:eastAsia="Arial Unicode MS"/>
          <w:noProof/>
        </w:rPr>
        <w:t xml:space="preserve">ield. </w:t>
      </w:r>
      <w:r w:rsidR="00E852AA">
        <w:rPr>
          <w:rFonts w:eastAsia="Arial Unicode MS"/>
          <w:noProof/>
        </w:rPr>
        <w:t xml:space="preserve">Given the international nature of the sector there is </w:t>
      </w:r>
      <w:r w:rsidR="00E852AA" w:rsidRPr="00E852AA">
        <w:rPr>
          <w:rFonts w:eastAsia="Arial Unicode MS"/>
          <w:noProof/>
        </w:rPr>
        <w:t>no alternative measure</w:t>
      </w:r>
      <w:r w:rsidR="00E852AA">
        <w:rPr>
          <w:rFonts w:eastAsia="Arial Unicode MS"/>
          <w:noProof/>
        </w:rPr>
        <w:t xml:space="preserve"> to </w:t>
      </w:r>
      <w:r w:rsidR="00E852AA" w:rsidRPr="00E852AA">
        <w:rPr>
          <w:rFonts w:eastAsia="Arial Unicode MS"/>
          <w:noProof/>
        </w:rPr>
        <w:t>achieve</w:t>
      </w:r>
      <w:r w:rsidR="00E852AA">
        <w:rPr>
          <w:rFonts w:eastAsia="Arial Unicode MS"/>
          <w:noProof/>
        </w:rPr>
        <w:t xml:space="preserve"> these re</w:t>
      </w:r>
      <w:r w:rsidR="00E852AA" w:rsidRPr="00E852AA">
        <w:rPr>
          <w:rFonts w:eastAsia="Arial Unicode MS"/>
          <w:noProof/>
        </w:rPr>
        <w:t>sults</w:t>
      </w:r>
      <w:r w:rsidR="0032310D">
        <w:rPr>
          <w:rFonts w:eastAsia="Arial Unicode MS"/>
          <w:noProof/>
        </w:rPr>
        <w:t xml:space="preserve"> in a more effective and efficient way</w:t>
      </w:r>
      <w:r w:rsidR="00E852AA" w:rsidRPr="00E852AA">
        <w:rPr>
          <w:rFonts w:eastAsia="Arial Unicode MS"/>
          <w:noProof/>
        </w:rPr>
        <w:t xml:space="preserve">. </w:t>
      </w:r>
    </w:p>
    <w:p w14:paraId="61106B7E"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Choice of the instrument</w:t>
      </w:r>
    </w:p>
    <w:p w14:paraId="4DF8A387" w14:textId="77777777" w:rsidR="001C744B" w:rsidRDefault="000615E9" w:rsidP="000C6A8C">
      <w:pPr>
        <w:pStyle w:val="NormalLeft"/>
        <w:jc w:val="both"/>
        <w:rPr>
          <w:noProof/>
        </w:rPr>
      </w:pPr>
      <w:r w:rsidRPr="000615E9">
        <w:rPr>
          <w:noProof/>
        </w:rPr>
        <w:t xml:space="preserve">As </w:t>
      </w:r>
      <w:r w:rsidR="000C6A8C">
        <w:rPr>
          <w:noProof/>
        </w:rPr>
        <w:t xml:space="preserve">the proposal only requires making </w:t>
      </w:r>
      <w:r w:rsidRPr="000615E9">
        <w:rPr>
          <w:noProof/>
        </w:rPr>
        <w:t xml:space="preserve">several amendments </w:t>
      </w:r>
      <w:r>
        <w:rPr>
          <w:noProof/>
        </w:rPr>
        <w:t>to Directive 2009/16</w:t>
      </w:r>
      <w:r w:rsidR="001C744B">
        <w:rPr>
          <w:noProof/>
        </w:rPr>
        <w:t>/EC, an a</w:t>
      </w:r>
      <w:r w:rsidRPr="000615E9">
        <w:rPr>
          <w:noProof/>
        </w:rPr>
        <w:t>mending Directive is the most appropriate legal instrument.</w:t>
      </w:r>
    </w:p>
    <w:p w14:paraId="56A65B51" w14:textId="77777777" w:rsidR="005B3330" w:rsidRPr="00C8711F" w:rsidRDefault="005B3330" w:rsidP="008106DB">
      <w:pPr>
        <w:pStyle w:val="ManualHeading1"/>
        <w:jc w:val="left"/>
        <w:rPr>
          <w:noProof/>
        </w:rPr>
      </w:pPr>
      <w:r w:rsidRPr="00C8711F">
        <w:rPr>
          <w:noProof/>
        </w:rPr>
        <w:t>3.</w:t>
      </w:r>
      <w:r w:rsidRPr="00C8711F">
        <w:rPr>
          <w:noProof/>
        </w:rPr>
        <w:tab/>
        <w:t>RESULTS OF EX-POST EVALUATIONS, STAKEHOLDER CONSULTATIONS AND IMPACT ASSESSMENTS</w:t>
      </w:r>
    </w:p>
    <w:p w14:paraId="470A1422"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Ex-post evaluations/fitness checks of existing legislation</w:t>
      </w:r>
    </w:p>
    <w:p w14:paraId="68B330CB" w14:textId="77777777" w:rsidR="00B62385" w:rsidRDefault="00B62385" w:rsidP="00351037">
      <w:pPr>
        <w:rPr>
          <w:noProof/>
          <w:szCs w:val="24"/>
        </w:rPr>
      </w:pPr>
      <w:r w:rsidRPr="00B62385">
        <w:rPr>
          <w:noProof/>
          <w:szCs w:val="24"/>
        </w:rPr>
        <w:t xml:space="preserve">The 2018 REFIT ex-post evaluation and </w:t>
      </w:r>
      <w:r w:rsidR="000C6A8C">
        <w:rPr>
          <w:noProof/>
          <w:szCs w:val="24"/>
        </w:rPr>
        <w:t>m</w:t>
      </w:r>
      <w:r w:rsidRPr="00B62385">
        <w:rPr>
          <w:noProof/>
          <w:szCs w:val="24"/>
        </w:rPr>
        <w:t xml:space="preserve">aritime </w:t>
      </w:r>
      <w:r w:rsidR="000C6A8C">
        <w:rPr>
          <w:noProof/>
          <w:szCs w:val="24"/>
        </w:rPr>
        <w:t>t</w:t>
      </w:r>
      <w:r w:rsidRPr="00B62385">
        <w:rPr>
          <w:noProof/>
          <w:szCs w:val="24"/>
        </w:rPr>
        <w:t xml:space="preserve">ransport </w:t>
      </w:r>
      <w:r w:rsidR="000C6A8C">
        <w:rPr>
          <w:noProof/>
          <w:szCs w:val="24"/>
        </w:rPr>
        <w:t>f</w:t>
      </w:r>
      <w:r w:rsidRPr="00B62385">
        <w:rPr>
          <w:noProof/>
          <w:szCs w:val="24"/>
        </w:rPr>
        <w:t xml:space="preserve">itness </w:t>
      </w:r>
      <w:r w:rsidR="000C6A8C">
        <w:rPr>
          <w:noProof/>
          <w:szCs w:val="24"/>
        </w:rPr>
        <w:t>c</w:t>
      </w:r>
      <w:r w:rsidRPr="00B62385">
        <w:rPr>
          <w:noProof/>
          <w:szCs w:val="24"/>
        </w:rPr>
        <w:t xml:space="preserve">heck </w:t>
      </w:r>
      <w:r w:rsidRPr="002D7BE6">
        <w:rPr>
          <w:noProof/>
          <w:szCs w:val="24"/>
        </w:rPr>
        <w:t xml:space="preserve">concluded </w:t>
      </w:r>
      <w:r w:rsidRPr="00F849F8">
        <w:rPr>
          <w:noProof/>
          <w:szCs w:val="24"/>
        </w:rPr>
        <w:t xml:space="preserve">that, although the Directive </w:t>
      </w:r>
      <w:r w:rsidR="00CE41A1">
        <w:rPr>
          <w:noProof/>
          <w:szCs w:val="24"/>
        </w:rPr>
        <w:t>constrains</w:t>
      </w:r>
      <w:r w:rsidRPr="00F849F8">
        <w:rPr>
          <w:noProof/>
          <w:szCs w:val="24"/>
        </w:rPr>
        <w:t xml:space="preserve"> the flexibility of the Paris M</w:t>
      </w:r>
      <w:r w:rsidR="00351037">
        <w:rPr>
          <w:noProof/>
          <w:szCs w:val="24"/>
        </w:rPr>
        <w:t>O</w:t>
      </w:r>
      <w:r w:rsidRPr="00F849F8">
        <w:rPr>
          <w:noProof/>
          <w:szCs w:val="24"/>
        </w:rPr>
        <w:t xml:space="preserve">U to some extent, it adds value, by combining a </w:t>
      </w:r>
      <w:r w:rsidR="00BC0E23">
        <w:rPr>
          <w:noProof/>
          <w:szCs w:val="24"/>
        </w:rPr>
        <w:t>port State</w:t>
      </w:r>
      <w:r w:rsidRPr="00F849F8">
        <w:rPr>
          <w:noProof/>
          <w:szCs w:val="24"/>
        </w:rPr>
        <w:t xml:space="preserve"> control framework with a legal enforcement mechanism, to ensure correct and consistent implementation in Member States. This has resulted in pressure to perform and continuously improve, and thus to a better resource allocation at Member State level for </w:t>
      </w:r>
      <w:r w:rsidR="00BC0E23">
        <w:rPr>
          <w:noProof/>
          <w:szCs w:val="24"/>
        </w:rPr>
        <w:t>port State control</w:t>
      </w:r>
      <w:r w:rsidRPr="00F849F8">
        <w:rPr>
          <w:noProof/>
          <w:szCs w:val="24"/>
        </w:rPr>
        <w:t xml:space="preserve">. </w:t>
      </w:r>
      <w:r w:rsidRPr="00B62385">
        <w:rPr>
          <w:noProof/>
          <w:szCs w:val="24"/>
        </w:rPr>
        <w:t xml:space="preserve">The evaluation concluded that the Directive has contributed to the intended objectives to improve maritime safety, security, pollution prevention and </w:t>
      </w:r>
      <w:r w:rsidR="000C6A8C">
        <w:rPr>
          <w:noProof/>
          <w:szCs w:val="24"/>
        </w:rPr>
        <w:t xml:space="preserve">to </w:t>
      </w:r>
      <w:r w:rsidRPr="00B62385">
        <w:rPr>
          <w:noProof/>
          <w:szCs w:val="24"/>
        </w:rPr>
        <w:t>ensuring better working and living conditions on-board.</w:t>
      </w:r>
      <w:r w:rsidR="00595A8D">
        <w:rPr>
          <w:noProof/>
          <w:szCs w:val="24"/>
        </w:rPr>
        <w:t xml:space="preserve"> </w:t>
      </w:r>
    </w:p>
    <w:p w14:paraId="3D63D0C9" w14:textId="77777777" w:rsidR="00B62385" w:rsidRDefault="00B62385" w:rsidP="00351037">
      <w:pPr>
        <w:rPr>
          <w:noProof/>
          <w:szCs w:val="24"/>
        </w:rPr>
      </w:pPr>
      <w:r w:rsidRPr="00B62385">
        <w:rPr>
          <w:noProof/>
          <w:szCs w:val="24"/>
        </w:rPr>
        <w:t xml:space="preserve">EMSA has supported the </w:t>
      </w:r>
      <w:r w:rsidR="00BC0E23">
        <w:rPr>
          <w:noProof/>
          <w:szCs w:val="24"/>
        </w:rPr>
        <w:t>port State control</w:t>
      </w:r>
      <w:r w:rsidR="004B3BDE">
        <w:rPr>
          <w:noProof/>
          <w:szCs w:val="24"/>
        </w:rPr>
        <w:t xml:space="preserve"> regime in important ways.</w:t>
      </w:r>
      <w:r w:rsidRPr="00B62385">
        <w:rPr>
          <w:noProof/>
          <w:szCs w:val="24"/>
        </w:rPr>
        <w:t xml:space="preserve"> Over two-thirds of EU/EEA Member States carrying out inspections exclusively use THETIS </w:t>
      </w:r>
      <w:r w:rsidR="000C6A8C">
        <w:rPr>
          <w:noProof/>
          <w:szCs w:val="24"/>
        </w:rPr>
        <w:t>to select</w:t>
      </w:r>
      <w:r w:rsidRPr="00B62385">
        <w:rPr>
          <w:noProof/>
          <w:szCs w:val="24"/>
        </w:rPr>
        <w:t xml:space="preserve"> which vessels to inspect. The role of EMSA in managing and updating THETIS, a</w:t>
      </w:r>
      <w:r w:rsidR="000C6A8C">
        <w:rPr>
          <w:noProof/>
          <w:szCs w:val="24"/>
        </w:rPr>
        <w:t xml:space="preserve">nd the training </w:t>
      </w:r>
      <w:r w:rsidRPr="00B62385">
        <w:rPr>
          <w:noProof/>
          <w:szCs w:val="24"/>
        </w:rPr>
        <w:t>provi</w:t>
      </w:r>
      <w:r w:rsidR="000C6A8C">
        <w:rPr>
          <w:noProof/>
          <w:szCs w:val="24"/>
        </w:rPr>
        <w:t>ded</w:t>
      </w:r>
      <w:r w:rsidRPr="00B62385">
        <w:rPr>
          <w:noProof/>
          <w:szCs w:val="24"/>
        </w:rPr>
        <w:t xml:space="preserve"> by </w:t>
      </w:r>
      <w:r>
        <w:rPr>
          <w:noProof/>
          <w:szCs w:val="24"/>
        </w:rPr>
        <w:t>EMSA</w:t>
      </w:r>
      <w:r w:rsidRPr="00B62385">
        <w:rPr>
          <w:noProof/>
          <w:szCs w:val="24"/>
        </w:rPr>
        <w:t xml:space="preserve"> </w:t>
      </w:r>
      <w:r w:rsidR="000C6A8C">
        <w:rPr>
          <w:noProof/>
          <w:szCs w:val="24"/>
        </w:rPr>
        <w:t xml:space="preserve">of </w:t>
      </w:r>
      <w:r w:rsidRPr="00B62385">
        <w:rPr>
          <w:noProof/>
          <w:szCs w:val="24"/>
        </w:rPr>
        <w:t>inspectors to harmonise inspections throughout the Paris M</w:t>
      </w:r>
      <w:r w:rsidR="00351037">
        <w:rPr>
          <w:noProof/>
          <w:szCs w:val="24"/>
        </w:rPr>
        <w:t>O</w:t>
      </w:r>
      <w:r w:rsidRPr="00B62385">
        <w:rPr>
          <w:noProof/>
          <w:szCs w:val="24"/>
        </w:rPr>
        <w:t>U region, was also found to be very important.</w:t>
      </w:r>
    </w:p>
    <w:p w14:paraId="394D7E38" w14:textId="77777777" w:rsidR="00B62385" w:rsidRDefault="00B62385" w:rsidP="000C6A8C">
      <w:pPr>
        <w:rPr>
          <w:noProof/>
          <w:szCs w:val="24"/>
        </w:rPr>
      </w:pPr>
      <w:r w:rsidRPr="00B62385">
        <w:rPr>
          <w:noProof/>
          <w:szCs w:val="24"/>
        </w:rPr>
        <w:t xml:space="preserve">In addition, the Commission and EMSA have continuously monitored implementation of the Directive. </w:t>
      </w:r>
      <w:r w:rsidR="000C6A8C">
        <w:rPr>
          <w:noProof/>
          <w:szCs w:val="24"/>
        </w:rPr>
        <w:t xml:space="preserve">Since </w:t>
      </w:r>
      <w:r w:rsidRPr="00B62385">
        <w:rPr>
          <w:noProof/>
          <w:szCs w:val="24"/>
        </w:rPr>
        <w:t xml:space="preserve">PSC inspection reports </w:t>
      </w:r>
      <w:r w:rsidR="000C6A8C">
        <w:rPr>
          <w:noProof/>
          <w:szCs w:val="24"/>
        </w:rPr>
        <w:t xml:space="preserve">must be </w:t>
      </w:r>
      <w:r w:rsidRPr="00B62385">
        <w:rPr>
          <w:noProof/>
          <w:szCs w:val="24"/>
        </w:rPr>
        <w:t xml:space="preserve">uploaded to THETIS as soon as </w:t>
      </w:r>
      <w:r w:rsidR="000C6A8C">
        <w:rPr>
          <w:noProof/>
          <w:szCs w:val="24"/>
        </w:rPr>
        <w:t>an</w:t>
      </w:r>
      <w:r w:rsidRPr="00B62385">
        <w:rPr>
          <w:noProof/>
          <w:szCs w:val="24"/>
        </w:rPr>
        <w:t xml:space="preserve"> inspection is completed</w:t>
      </w:r>
      <w:r w:rsidR="000C6A8C">
        <w:rPr>
          <w:noProof/>
          <w:szCs w:val="24"/>
        </w:rPr>
        <w:t>,</w:t>
      </w:r>
      <w:r w:rsidRPr="00B62385">
        <w:rPr>
          <w:noProof/>
          <w:szCs w:val="24"/>
        </w:rPr>
        <w:t xml:space="preserve"> EMSA has </w:t>
      </w:r>
      <w:r w:rsidR="00AA68A4">
        <w:rPr>
          <w:noProof/>
          <w:szCs w:val="24"/>
        </w:rPr>
        <w:t>almost a</w:t>
      </w:r>
      <w:r w:rsidRPr="00B62385">
        <w:rPr>
          <w:noProof/>
          <w:szCs w:val="24"/>
        </w:rPr>
        <w:t xml:space="preserve"> real-time and detailed overview of all inspections carried out. EMSA also provides a help</w:t>
      </w:r>
      <w:r w:rsidR="000C6A8C">
        <w:rPr>
          <w:noProof/>
          <w:szCs w:val="24"/>
        </w:rPr>
        <w:t xml:space="preserve"> </w:t>
      </w:r>
      <w:r w:rsidRPr="00B62385">
        <w:rPr>
          <w:noProof/>
          <w:szCs w:val="24"/>
        </w:rPr>
        <w:t>desk and technical assistance to Member States w</w:t>
      </w:r>
      <w:r w:rsidR="00595A8D">
        <w:rPr>
          <w:noProof/>
          <w:szCs w:val="24"/>
        </w:rPr>
        <w:t xml:space="preserve">ho require assistance, </w:t>
      </w:r>
      <w:r w:rsidR="000C6A8C">
        <w:rPr>
          <w:noProof/>
          <w:szCs w:val="24"/>
        </w:rPr>
        <w:t xml:space="preserve">and they carry out </w:t>
      </w:r>
      <w:r w:rsidR="00595A8D">
        <w:rPr>
          <w:noProof/>
          <w:szCs w:val="24"/>
        </w:rPr>
        <w:t xml:space="preserve">visits to the </w:t>
      </w:r>
      <w:r w:rsidR="000C6A8C">
        <w:rPr>
          <w:noProof/>
          <w:szCs w:val="24"/>
        </w:rPr>
        <w:t xml:space="preserve">EEA Member </w:t>
      </w:r>
      <w:r w:rsidR="00595A8D">
        <w:rPr>
          <w:noProof/>
          <w:szCs w:val="24"/>
        </w:rPr>
        <w:t>States to verify compliance.</w:t>
      </w:r>
    </w:p>
    <w:p w14:paraId="6CF003F5" w14:textId="77777777" w:rsidR="00520463" w:rsidRDefault="00520463" w:rsidP="000C6A8C">
      <w:pPr>
        <w:rPr>
          <w:noProof/>
          <w:szCs w:val="24"/>
        </w:rPr>
      </w:pPr>
      <w:r>
        <w:rPr>
          <w:noProof/>
          <w:szCs w:val="24"/>
        </w:rPr>
        <w:t xml:space="preserve">However, the </w:t>
      </w:r>
      <w:r w:rsidR="000C6A8C">
        <w:rPr>
          <w:noProof/>
          <w:szCs w:val="24"/>
        </w:rPr>
        <w:t>m</w:t>
      </w:r>
      <w:r>
        <w:rPr>
          <w:noProof/>
          <w:szCs w:val="24"/>
        </w:rPr>
        <w:t xml:space="preserve">aritime </w:t>
      </w:r>
      <w:r w:rsidR="000C6A8C">
        <w:rPr>
          <w:noProof/>
          <w:szCs w:val="24"/>
        </w:rPr>
        <w:t>t</w:t>
      </w:r>
      <w:r>
        <w:rPr>
          <w:noProof/>
          <w:szCs w:val="24"/>
        </w:rPr>
        <w:t xml:space="preserve">ransport </w:t>
      </w:r>
      <w:r w:rsidR="000C6A8C">
        <w:rPr>
          <w:noProof/>
          <w:szCs w:val="24"/>
        </w:rPr>
        <w:t>f</w:t>
      </w:r>
      <w:r>
        <w:rPr>
          <w:noProof/>
          <w:szCs w:val="24"/>
        </w:rPr>
        <w:t xml:space="preserve">itness </w:t>
      </w:r>
      <w:r w:rsidR="000C6A8C">
        <w:rPr>
          <w:noProof/>
          <w:szCs w:val="24"/>
        </w:rPr>
        <w:t>c</w:t>
      </w:r>
      <w:r>
        <w:rPr>
          <w:noProof/>
          <w:szCs w:val="24"/>
        </w:rPr>
        <w:t>heck and the horizontal analysis by EMSA identified several areas that could be improved in the PSC regime.</w:t>
      </w:r>
    </w:p>
    <w:p w14:paraId="4ED4B122"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Stakeholder consultations</w:t>
      </w:r>
    </w:p>
    <w:p w14:paraId="509C4B2E" w14:textId="77777777" w:rsidR="00C04245" w:rsidRPr="000136DF" w:rsidRDefault="00C04245" w:rsidP="00C04245">
      <w:pPr>
        <w:pBdr>
          <w:top w:val="nil"/>
          <w:left w:val="nil"/>
          <w:bottom w:val="nil"/>
          <w:right w:val="nil"/>
          <w:between w:val="nil"/>
          <w:bar w:val="nil"/>
        </w:pBdr>
        <w:spacing w:after="240"/>
        <w:rPr>
          <w:rFonts w:eastAsia="Arial Unicode MS"/>
          <w:noProof/>
        </w:rPr>
      </w:pPr>
      <w:r w:rsidRPr="000136DF">
        <w:rPr>
          <w:rFonts w:eastAsia="Arial Unicode MS"/>
          <w:noProof/>
        </w:rPr>
        <w:t>The main consultation activities included:</w:t>
      </w:r>
    </w:p>
    <w:p w14:paraId="16FCF7C9" w14:textId="77777777" w:rsidR="00C04245" w:rsidRPr="000C6A8C" w:rsidRDefault="00C04245" w:rsidP="00B42332">
      <w:pPr>
        <w:pStyle w:val="Tiret0"/>
        <w:numPr>
          <w:ilvl w:val="0"/>
          <w:numId w:val="18"/>
        </w:numPr>
        <w:rPr>
          <w:noProof/>
        </w:rPr>
      </w:pPr>
      <w:r w:rsidRPr="000C6A8C">
        <w:rPr>
          <w:noProof/>
        </w:rPr>
        <w:t xml:space="preserve">Four exploratory interviews with EU level representatives of key stakeholders, particularly to </w:t>
      </w:r>
      <w:r w:rsidR="000C6A8C">
        <w:rPr>
          <w:noProof/>
        </w:rPr>
        <w:t>feed into</w:t>
      </w:r>
      <w:r w:rsidRPr="000C6A8C">
        <w:rPr>
          <w:noProof/>
        </w:rPr>
        <w:t xml:space="preserve"> and refine the overall problem definition and possible policy options. </w:t>
      </w:r>
    </w:p>
    <w:p w14:paraId="01BA85DB" w14:textId="77777777" w:rsidR="00C04245" w:rsidRPr="000136DF" w:rsidRDefault="00C04245" w:rsidP="00B42332">
      <w:pPr>
        <w:pStyle w:val="Tiret0"/>
        <w:numPr>
          <w:ilvl w:val="0"/>
          <w:numId w:val="18"/>
        </w:numPr>
        <w:rPr>
          <w:noProof/>
        </w:rPr>
      </w:pPr>
      <w:r w:rsidRPr="000136DF">
        <w:rPr>
          <w:noProof/>
        </w:rPr>
        <w:t xml:space="preserve">A targeted stakeholder survey organised by the consultant in charge of the external support study to the </w:t>
      </w:r>
      <w:r w:rsidR="000C6A8C">
        <w:rPr>
          <w:noProof/>
        </w:rPr>
        <w:t>i</w:t>
      </w:r>
      <w:r w:rsidRPr="000136DF">
        <w:rPr>
          <w:noProof/>
        </w:rPr>
        <w:t xml:space="preserve">mpact </w:t>
      </w:r>
      <w:r w:rsidR="000C6A8C">
        <w:rPr>
          <w:noProof/>
        </w:rPr>
        <w:t>a</w:t>
      </w:r>
      <w:r w:rsidRPr="000136DF">
        <w:rPr>
          <w:noProof/>
        </w:rPr>
        <w:t>ssessment, running from 7 September 2021 to 6 October 2021</w:t>
      </w:r>
      <w:r w:rsidR="000C6A8C">
        <w:rPr>
          <w:noProof/>
        </w:rPr>
        <w:t>. The survey was sent to</w:t>
      </w:r>
      <w:r w:rsidRPr="000136DF">
        <w:rPr>
          <w:noProof/>
        </w:rPr>
        <w:t xml:space="preserve"> key stakeholders </w:t>
      </w:r>
      <w:r w:rsidR="000C6A8C">
        <w:rPr>
          <w:noProof/>
        </w:rPr>
        <w:t>with</w:t>
      </w:r>
      <w:r w:rsidRPr="000136DF">
        <w:rPr>
          <w:noProof/>
        </w:rPr>
        <w:t xml:space="preserve"> specific information requests, </w:t>
      </w:r>
      <w:r w:rsidR="000C6A8C">
        <w:rPr>
          <w:noProof/>
        </w:rPr>
        <w:t xml:space="preserve">in particular </w:t>
      </w:r>
      <w:r w:rsidRPr="000136DF">
        <w:rPr>
          <w:noProof/>
        </w:rPr>
        <w:t xml:space="preserve">to </w:t>
      </w:r>
      <w:r w:rsidR="000C6A8C">
        <w:rPr>
          <w:noProof/>
        </w:rPr>
        <w:t>underpin</w:t>
      </w:r>
      <w:r w:rsidRPr="000136DF">
        <w:rPr>
          <w:noProof/>
        </w:rPr>
        <w:t xml:space="preserve"> the assessment of impacts of possible policy measures.</w:t>
      </w:r>
    </w:p>
    <w:p w14:paraId="6BADDFFF" w14:textId="77777777" w:rsidR="00C04245" w:rsidRPr="000136DF" w:rsidRDefault="00C04245" w:rsidP="00B42332">
      <w:pPr>
        <w:pStyle w:val="Tiret0"/>
        <w:numPr>
          <w:ilvl w:val="0"/>
          <w:numId w:val="18"/>
        </w:numPr>
        <w:rPr>
          <w:noProof/>
        </w:rPr>
      </w:pPr>
      <w:r w:rsidRPr="000136DF">
        <w:rPr>
          <w:noProof/>
        </w:rPr>
        <w:t>T</w:t>
      </w:r>
      <w:r w:rsidR="0007713D">
        <w:rPr>
          <w:noProof/>
        </w:rPr>
        <w:t xml:space="preserve">he </w:t>
      </w:r>
      <w:r w:rsidRPr="000136DF">
        <w:rPr>
          <w:noProof/>
        </w:rPr>
        <w:t xml:space="preserve">consultant in charge of the external support study to the </w:t>
      </w:r>
      <w:r w:rsidR="0007713D">
        <w:rPr>
          <w:noProof/>
        </w:rPr>
        <w:t>i</w:t>
      </w:r>
      <w:r w:rsidRPr="000136DF">
        <w:rPr>
          <w:noProof/>
        </w:rPr>
        <w:t xml:space="preserve">mpact </w:t>
      </w:r>
      <w:r w:rsidR="0007713D">
        <w:rPr>
          <w:noProof/>
        </w:rPr>
        <w:t>a</w:t>
      </w:r>
      <w:r w:rsidRPr="000136DF">
        <w:rPr>
          <w:noProof/>
        </w:rPr>
        <w:t xml:space="preserve">ssessment, </w:t>
      </w:r>
      <w:r w:rsidR="0007713D">
        <w:rPr>
          <w:noProof/>
        </w:rPr>
        <w:t xml:space="preserve">held 22 targeted interviews </w:t>
      </w:r>
      <w:r w:rsidRPr="000136DF">
        <w:rPr>
          <w:noProof/>
        </w:rPr>
        <w:t xml:space="preserve">running from 13 July 2021 to 16 September 2021, </w:t>
      </w:r>
      <w:r w:rsidR="0007713D">
        <w:rPr>
          <w:noProof/>
        </w:rPr>
        <w:t xml:space="preserve">with </w:t>
      </w:r>
      <w:r w:rsidRPr="000136DF">
        <w:rPr>
          <w:noProof/>
        </w:rPr>
        <w:t>key stakeholders to fill specific information requests, particularly to support the assessment of impacts of possible policy measures.</w:t>
      </w:r>
    </w:p>
    <w:p w14:paraId="087737BF" w14:textId="77777777" w:rsidR="00C04245" w:rsidRPr="0007713D" w:rsidRDefault="00C04245" w:rsidP="00B42332">
      <w:pPr>
        <w:pStyle w:val="Tiret0"/>
        <w:numPr>
          <w:ilvl w:val="0"/>
          <w:numId w:val="18"/>
        </w:numPr>
        <w:rPr>
          <w:noProof/>
        </w:rPr>
      </w:pPr>
      <w:r w:rsidRPr="0007713D">
        <w:rPr>
          <w:noProof/>
        </w:rPr>
        <w:t xml:space="preserve">Additional consultation activities organised by DG MOVE and the consultant in charge of the external support study to the </w:t>
      </w:r>
      <w:r w:rsidR="0007713D" w:rsidRPr="0007713D">
        <w:rPr>
          <w:noProof/>
        </w:rPr>
        <w:t>i</w:t>
      </w:r>
      <w:r w:rsidRPr="0007713D">
        <w:rPr>
          <w:noProof/>
        </w:rPr>
        <w:t xml:space="preserve">mpact </w:t>
      </w:r>
      <w:r w:rsidR="0007713D" w:rsidRPr="0007713D">
        <w:rPr>
          <w:noProof/>
        </w:rPr>
        <w:t>a</w:t>
      </w:r>
      <w:r w:rsidRPr="0007713D">
        <w:rPr>
          <w:noProof/>
        </w:rPr>
        <w:t xml:space="preserve">ssessment in order to consult the Member States and key stakeholders </w:t>
      </w:r>
      <w:r w:rsidR="0007713D" w:rsidRPr="0007713D">
        <w:rPr>
          <w:noProof/>
        </w:rPr>
        <w:t xml:space="preserve">to elicit </w:t>
      </w:r>
      <w:r w:rsidRPr="0007713D">
        <w:rPr>
          <w:noProof/>
        </w:rPr>
        <w:t xml:space="preserve">their views on the different policy measures </w:t>
      </w:r>
      <w:r w:rsidR="0007713D" w:rsidRPr="0007713D">
        <w:rPr>
          <w:noProof/>
        </w:rPr>
        <w:t xml:space="preserve">and </w:t>
      </w:r>
      <w:r w:rsidRPr="0007713D">
        <w:rPr>
          <w:noProof/>
        </w:rPr>
        <w:t xml:space="preserve">validate the emerging and final results of the support study to the Impact Assessment in terms of the quantification of the impacts. These activities took place </w:t>
      </w:r>
      <w:r w:rsidR="0007713D" w:rsidRPr="0007713D">
        <w:rPr>
          <w:noProof/>
        </w:rPr>
        <w:t xml:space="preserve">during </w:t>
      </w:r>
      <w:r w:rsidRPr="0007713D">
        <w:rPr>
          <w:noProof/>
        </w:rPr>
        <w:t>meetings</w:t>
      </w:r>
      <w:r w:rsidR="0007713D" w:rsidRPr="0007713D">
        <w:rPr>
          <w:noProof/>
        </w:rPr>
        <w:t xml:space="preserve"> </w:t>
      </w:r>
      <w:r w:rsidRPr="0007713D">
        <w:rPr>
          <w:noProof/>
        </w:rPr>
        <w:t xml:space="preserve">of the EU Sectoral Social Dialogue Committee on maritime transport (16 April 2021, 23 September 2021 and 16 December 2021), the EU Sectoral Social Dialogue Committee on Sea Fisheries (29 January 2021, 8 March 2021 and 16 November 2021), the EU Sector Social Dialogue Committee on ports (19 November 2021), an informal meeting of the EU/EEA Maritime Transport Directors (30 November 2021), virtual and in person meetings of the </w:t>
      </w:r>
      <w:r w:rsidR="00513497">
        <w:rPr>
          <w:noProof/>
        </w:rPr>
        <w:t>P</w:t>
      </w:r>
      <w:r w:rsidRPr="0007713D">
        <w:rPr>
          <w:noProof/>
        </w:rPr>
        <w:t>ort State C</w:t>
      </w:r>
      <w:r w:rsidR="00513497">
        <w:rPr>
          <w:noProof/>
        </w:rPr>
        <w:t>ontrol Committee of the Paris MO</w:t>
      </w:r>
      <w:r w:rsidRPr="0007713D">
        <w:rPr>
          <w:noProof/>
        </w:rPr>
        <w:t xml:space="preserve">U (May 2021 and May 2022) meetings of the of the EU Committee on Safe Seas and the Prevention of Pollution from Ships (17 May 2021, 11 November 2021 and 31 May 2022). </w:t>
      </w:r>
    </w:p>
    <w:p w14:paraId="60A25966" w14:textId="77777777" w:rsidR="00C04245" w:rsidRPr="000136DF" w:rsidRDefault="00C04245" w:rsidP="0007713D">
      <w:pPr>
        <w:pBdr>
          <w:top w:val="nil"/>
          <w:left w:val="nil"/>
          <w:bottom w:val="nil"/>
          <w:right w:val="nil"/>
          <w:between w:val="nil"/>
          <w:bar w:val="nil"/>
        </w:pBdr>
        <w:spacing w:after="240"/>
        <w:rPr>
          <w:rFonts w:eastAsia="Arial Unicode MS"/>
          <w:noProof/>
        </w:rPr>
      </w:pPr>
      <w:r w:rsidRPr="000136DF">
        <w:rPr>
          <w:rFonts w:eastAsia="Arial Unicode MS"/>
          <w:noProof/>
        </w:rPr>
        <w:t xml:space="preserve">The information collected from stakeholders was key </w:t>
      </w:r>
      <w:r w:rsidR="0007713D">
        <w:rPr>
          <w:rFonts w:eastAsia="Arial Unicode MS"/>
          <w:noProof/>
        </w:rPr>
        <w:t xml:space="preserve">to enabling </w:t>
      </w:r>
      <w:r w:rsidRPr="000136DF">
        <w:rPr>
          <w:rFonts w:eastAsia="Arial Unicode MS"/>
          <w:noProof/>
        </w:rPr>
        <w:t xml:space="preserve">the Commission to refine the design of the </w:t>
      </w:r>
      <w:r w:rsidR="00C9215D">
        <w:rPr>
          <w:rFonts w:eastAsia="Arial Unicode MS"/>
          <w:noProof/>
        </w:rPr>
        <w:t xml:space="preserve">policy options </w:t>
      </w:r>
      <w:r w:rsidRPr="000136DF">
        <w:rPr>
          <w:rFonts w:eastAsia="Arial Unicode MS"/>
          <w:noProof/>
        </w:rPr>
        <w:t>as well as to assess their economic, social and environmental impacts</w:t>
      </w:r>
      <w:r w:rsidR="0007713D">
        <w:rPr>
          <w:rFonts w:eastAsia="Arial Unicode MS"/>
          <w:noProof/>
        </w:rPr>
        <w:t xml:space="preserve">. It enabled the Commission to </w:t>
      </w:r>
      <w:r w:rsidRPr="000136DF">
        <w:rPr>
          <w:rFonts w:eastAsia="Arial Unicode MS"/>
          <w:noProof/>
        </w:rPr>
        <w:t>compare the</w:t>
      </w:r>
      <w:r w:rsidR="0007713D">
        <w:rPr>
          <w:rFonts w:eastAsia="Arial Unicode MS"/>
          <w:noProof/>
        </w:rPr>
        <w:t xml:space="preserve"> options and ascertain which is likely to strike the optimal cost/benefit </w:t>
      </w:r>
      <w:r w:rsidRPr="000136DF">
        <w:rPr>
          <w:rFonts w:eastAsia="Arial Unicode MS"/>
          <w:noProof/>
        </w:rPr>
        <w:t xml:space="preserve">ratio for society and </w:t>
      </w:r>
      <w:r w:rsidR="0007713D">
        <w:rPr>
          <w:rFonts w:eastAsia="Arial Unicode MS"/>
          <w:noProof/>
        </w:rPr>
        <w:t xml:space="preserve">to help achieve </w:t>
      </w:r>
      <w:r w:rsidRPr="000136DF">
        <w:rPr>
          <w:rFonts w:eastAsia="Arial Unicode MS"/>
          <w:noProof/>
        </w:rPr>
        <w:t xml:space="preserve">a more effective and efficient port State control mechanism </w:t>
      </w:r>
      <w:r w:rsidR="0007713D">
        <w:rPr>
          <w:rFonts w:eastAsia="Arial Unicode MS"/>
          <w:noProof/>
        </w:rPr>
        <w:t xml:space="preserve">that </w:t>
      </w:r>
      <w:r w:rsidRPr="000136DF">
        <w:rPr>
          <w:rFonts w:eastAsia="Arial Unicode MS"/>
          <w:noProof/>
        </w:rPr>
        <w:t>better target</w:t>
      </w:r>
      <w:r w:rsidR="0007713D">
        <w:rPr>
          <w:rFonts w:eastAsia="Arial Unicode MS"/>
          <w:noProof/>
        </w:rPr>
        <w:t>s</w:t>
      </w:r>
      <w:r w:rsidRPr="000136DF">
        <w:rPr>
          <w:rFonts w:eastAsia="Arial Unicode MS"/>
          <w:noProof/>
        </w:rPr>
        <w:t xml:space="preserve"> substandard shipping. Findings from those processes complemented the desk research carried out </w:t>
      </w:r>
      <w:r w:rsidR="0007713D">
        <w:rPr>
          <w:rFonts w:eastAsia="Arial Unicode MS"/>
          <w:noProof/>
        </w:rPr>
        <w:t xml:space="preserve">as part of the work on the </w:t>
      </w:r>
      <w:r w:rsidRPr="000136DF">
        <w:rPr>
          <w:rFonts w:eastAsia="Arial Unicode MS"/>
          <w:noProof/>
        </w:rPr>
        <w:t xml:space="preserve">external support study. </w:t>
      </w:r>
    </w:p>
    <w:p w14:paraId="4F4C950A"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Collection and use of expertise</w:t>
      </w:r>
    </w:p>
    <w:p w14:paraId="47FE8B8E" w14:textId="77777777" w:rsidR="001B6F72" w:rsidRPr="00C8711F" w:rsidRDefault="001B6F72" w:rsidP="0007713D">
      <w:pPr>
        <w:pBdr>
          <w:top w:val="nil"/>
          <w:left w:val="nil"/>
          <w:bottom w:val="nil"/>
          <w:right w:val="nil"/>
          <w:between w:val="nil"/>
          <w:bar w:val="nil"/>
        </w:pBdr>
        <w:spacing w:after="240"/>
        <w:rPr>
          <w:rFonts w:eastAsia="Arial Unicode MS"/>
          <w:noProof/>
        </w:rPr>
      </w:pPr>
      <w:r w:rsidRPr="00C8711F">
        <w:rPr>
          <w:rFonts w:eastAsia="Arial Unicode MS"/>
          <w:noProof/>
        </w:rPr>
        <w:t xml:space="preserve">This review builds primarily on the data collected during the </w:t>
      </w:r>
      <w:r w:rsidR="00AA68A4">
        <w:rPr>
          <w:rFonts w:eastAsia="Arial Unicode MS"/>
          <w:noProof/>
        </w:rPr>
        <w:t>2018 ex-</w:t>
      </w:r>
      <w:r w:rsidR="00F22388">
        <w:rPr>
          <w:rFonts w:eastAsia="Arial Unicode MS"/>
          <w:noProof/>
        </w:rPr>
        <w:t xml:space="preserve">post evaluation and </w:t>
      </w:r>
      <w:r w:rsidR="0007713D">
        <w:rPr>
          <w:rFonts w:eastAsia="Arial Unicode MS"/>
          <w:noProof/>
        </w:rPr>
        <w:t>m</w:t>
      </w:r>
      <w:r w:rsidR="00CE41A1">
        <w:rPr>
          <w:rFonts w:eastAsia="Arial Unicode MS"/>
          <w:noProof/>
        </w:rPr>
        <w:t xml:space="preserve">aritime </w:t>
      </w:r>
      <w:r w:rsidR="0007713D">
        <w:rPr>
          <w:rFonts w:eastAsia="Arial Unicode MS"/>
          <w:noProof/>
        </w:rPr>
        <w:t>t</w:t>
      </w:r>
      <w:r w:rsidR="00CE41A1">
        <w:rPr>
          <w:rFonts w:eastAsia="Arial Unicode MS"/>
          <w:noProof/>
        </w:rPr>
        <w:t xml:space="preserve">ransport </w:t>
      </w:r>
      <w:r w:rsidR="0007713D">
        <w:rPr>
          <w:rFonts w:eastAsia="Arial Unicode MS"/>
          <w:noProof/>
        </w:rPr>
        <w:t>f</w:t>
      </w:r>
      <w:r w:rsidR="00CE41A1">
        <w:rPr>
          <w:rFonts w:eastAsia="Arial Unicode MS"/>
          <w:noProof/>
        </w:rPr>
        <w:t xml:space="preserve">itness </w:t>
      </w:r>
      <w:r w:rsidR="0007713D">
        <w:rPr>
          <w:rFonts w:eastAsia="Arial Unicode MS"/>
          <w:noProof/>
        </w:rPr>
        <w:t>c</w:t>
      </w:r>
      <w:r w:rsidR="00CE41A1">
        <w:rPr>
          <w:rFonts w:eastAsia="Arial Unicode MS"/>
          <w:noProof/>
        </w:rPr>
        <w:t>heck</w:t>
      </w:r>
      <w:r w:rsidRPr="00C8711F">
        <w:rPr>
          <w:rFonts w:eastAsia="Arial Unicode MS"/>
          <w:noProof/>
        </w:rPr>
        <w:t xml:space="preserve"> process</w:t>
      </w:r>
      <w:r w:rsidR="00F22388">
        <w:rPr>
          <w:rFonts w:eastAsia="Arial Unicode MS"/>
          <w:noProof/>
        </w:rPr>
        <w:t xml:space="preserve"> referred to</w:t>
      </w:r>
      <w:r w:rsidR="0007713D">
        <w:rPr>
          <w:rFonts w:eastAsia="Arial Unicode MS"/>
          <w:noProof/>
        </w:rPr>
        <w:t xml:space="preserve"> previously</w:t>
      </w:r>
      <w:r w:rsidR="00F22388">
        <w:rPr>
          <w:rFonts w:eastAsia="Arial Unicode MS"/>
          <w:noProof/>
        </w:rPr>
        <w:t>.</w:t>
      </w:r>
    </w:p>
    <w:p w14:paraId="0B3CA825" w14:textId="77777777" w:rsidR="005B3330" w:rsidRPr="00C8711F" w:rsidRDefault="00C04245" w:rsidP="0007713D">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sidR="001B6F72" w:rsidRPr="00C8711F">
        <w:rPr>
          <w:rFonts w:eastAsia="Arial Unicode MS"/>
          <w:noProof/>
        </w:rPr>
        <w:t xml:space="preserve">preparation of this proposal </w:t>
      </w:r>
      <w:r w:rsidR="00CE41A1">
        <w:rPr>
          <w:rFonts w:eastAsia="Arial Unicode MS"/>
          <w:noProof/>
        </w:rPr>
        <w:t>also required</w:t>
      </w:r>
      <w:r w:rsidR="001B6F72" w:rsidRPr="00C8711F">
        <w:rPr>
          <w:rFonts w:eastAsia="Arial Unicode MS"/>
          <w:noProof/>
        </w:rPr>
        <w:t xml:space="preserve"> input from</w:t>
      </w:r>
      <w:r w:rsidR="00AA68A4">
        <w:rPr>
          <w:rFonts w:eastAsia="Arial Unicode MS"/>
          <w:noProof/>
        </w:rPr>
        <w:t xml:space="preserve"> experts from</w:t>
      </w:r>
      <w:r w:rsidR="001B6F72" w:rsidRPr="00C8711F">
        <w:rPr>
          <w:rFonts w:eastAsia="Arial Unicode MS"/>
          <w:noProof/>
        </w:rPr>
        <w:t xml:space="preserve"> </w:t>
      </w:r>
      <w:r w:rsidR="00CE41A1">
        <w:rPr>
          <w:rFonts w:eastAsia="Arial Unicode MS"/>
          <w:noProof/>
        </w:rPr>
        <w:t xml:space="preserve">the Commission and EMSA </w:t>
      </w:r>
      <w:r w:rsidR="0007713D">
        <w:rPr>
          <w:rFonts w:eastAsia="Arial Unicode MS"/>
          <w:noProof/>
        </w:rPr>
        <w:t xml:space="preserve">on </w:t>
      </w:r>
      <w:r w:rsidR="001B6F72" w:rsidRPr="00C8711F">
        <w:rPr>
          <w:rFonts w:eastAsia="Arial Unicode MS"/>
          <w:noProof/>
        </w:rPr>
        <w:t xml:space="preserve"> the </w:t>
      </w:r>
      <w:r w:rsidR="0007713D">
        <w:rPr>
          <w:rFonts w:eastAsia="Arial Unicode MS"/>
          <w:noProof/>
        </w:rPr>
        <w:t xml:space="preserve">specific </w:t>
      </w:r>
      <w:r w:rsidR="001B6F72" w:rsidRPr="00C8711F">
        <w:rPr>
          <w:rFonts w:eastAsia="Arial Unicode MS"/>
          <w:noProof/>
        </w:rPr>
        <w:t xml:space="preserve">formulation of technical definitions and clear legal drafting. </w:t>
      </w:r>
    </w:p>
    <w:p w14:paraId="310B59F3"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Impact assessment</w:t>
      </w:r>
    </w:p>
    <w:p w14:paraId="1B869632" w14:textId="77777777" w:rsidR="001B6F52" w:rsidRPr="001B6F52" w:rsidRDefault="001B6F52" w:rsidP="0007713D">
      <w:pPr>
        <w:pBdr>
          <w:top w:val="nil"/>
          <w:left w:val="nil"/>
          <w:bottom w:val="nil"/>
          <w:right w:val="nil"/>
          <w:between w:val="nil"/>
          <w:bar w:val="nil"/>
        </w:pBdr>
        <w:spacing w:after="240"/>
        <w:rPr>
          <w:rFonts w:eastAsia="Arial Unicode MS"/>
          <w:noProof/>
        </w:rPr>
      </w:pPr>
      <w:r w:rsidRPr="001B6F52">
        <w:rPr>
          <w:rFonts w:eastAsia="Arial Unicode MS"/>
          <w:noProof/>
        </w:rPr>
        <w:t xml:space="preserve">The impact assessment examined </w:t>
      </w:r>
      <w:r w:rsidR="00CE41A1">
        <w:rPr>
          <w:rFonts w:eastAsia="Arial Unicode MS"/>
          <w:noProof/>
        </w:rPr>
        <w:t>three</w:t>
      </w:r>
      <w:r w:rsidRPr="001B6F52">
        <w:rPr>
          <w:rFonts w:eastAsia="Arial Unicode MS"/>
          <w:noProof/>
        </w:rPr>
        <w:t xml:space="preserve"> policy options </w:t>
      </w:r>
      <w:r w:rsidR="0007713D">
        <w:rPr>
          <w:rFonts w:eastAsia="Arial Unicode MS"/>
          <w:noProof/>
        </w:rPr>
        <w:t>to revise</w:t>
      </w:r>
      <w:r w:rsidRPr="001B6F52">
        <w:rPr>
          <w:rFonts w:eastAsia="Arial Unicode MS"/>
          <w:noProof/>
        </w:rPr>
        <w:t xml:space="preserve"> the Directive, based on the following guiding principles:</w:t>
      </w:r>
    </w:p>
    <w:p w14:paraId="153CCA9E" w14:textId="77777777" w:rsidR="001B6F52" w:rsidRPr="001B6F52" w:rsidRDefault="001B6F52" w:rsidP="001C6FE1">
      <w:pPr>
        <w:pBdr>
          <w:top w:val="nil"/>
          <w:left w:val="nil"/>
          <w:bottom w:val="nil"/>
          <w:right w:val="nil"/>
          <w:between w:val="nil"/>
          <w:bar w:val="nil"/>
        </w:pBdr>
        <w:spacing w:after="240"/>
        <w:rPr>
          <w:rFonts w:eastAsia="Arial Unicode MS"/>
          <w:noProof/>
        </w:rPr>
      </w:pPr>
      <w:r w:rsidRPr="001B6F52">
        <w:rPr>
          <w:rFonts w:eastAsia="Arial Unicode MS"/>
          <w:noProof/>
        </w:rPr>
        <w:t xml:space="preserve">(1) </w:t>
      </w:r>
      <w:r w:rsidR="001C6FE1">
        <w:rPr>
          <w:rFonts w:eastAsia="Arial Unicode MS"/>
          <w:noProof/>
        </w:rPr>
        <w:t>t</w:t>
      </w:r>
      <w:r w:rsidRPr="001B6F52">
        <w:rPr>
          <w:rFonts w:eastAsia="Arial Unicode MS"/>
          <w:noProof/>
        </w:rPr>
        <w:t xml:space="preserve">he </w:t>
      </w:r>
      <w:r>
        <w:rPr>
          <w:rFonts w:eastAsia="Arial Unicode MS"/>
          <w:noProof/>
        </w:rPr>
        <w:t xml:space="preserve">need </w:t>
      </w:r>
      <w:r w:rsidR="001C6FE1">
        <w:rPr>
          <w:rFonts w:eastAsia="Arial Unicode MS"/>
          <w:noProof/>
        </w:rPr>
        <w:t xml:space="preserve">to update and align the Directive </w:t>
      </w:r>
      <w:r>
        <w:rPr>
          <w:rFonts w:eastAsia="Arial Unicode MS"/>
          <w:noProof/>
        </w:rPr>
        <w:t>with international instruments</w:t>
      </w:r>
      <w:r w:rsidR="005B5DDB">
        <w:rPr>
          <w:rFonts w:eastAsia="Arial Unicode MS"/>
          <w:noProof/>
        </w:rPr>
        <w:t xml:space="preserve">; </w:t>
      </w:r>
    </w:p>
    <w:p w14:paraId="5835C9B1" w14:textId="77777777" w:rsidR="001C6FE1" w:rsidRDefault="001B6F52" w:rsidP="001C6FE1">
      <w:pPr>
        <w:pBdr>
          <w:top w:val="nil"/>
          <w:left w:val="nil"/>
          <w:bottom w:val="nil"/>
          <w:right w:val="nil"/>
          <w:between w:val="nil"/>
          <w:bar w:val="nil"/>
        </w:pBdr>
        <w:spacing w:after="240"/>
        <w:rPr>
          <w:rFonts w:eastAsia="Arial Unicode MS"/>
          <w:noProof/>
        </w:rPr>
      </w:pPr>
      <w:r w:rsidRPr="001B6F52">
        <w:rPr>
          <w:rFonts w:eastAsia="Arial Unicode MS"/>
          <w:noProof/>
        </w:rPr>
        <w:t xml:space="preserve">(2) </w:t>
      </w:r>
      <w:r w:rsidR="001C6FE1">
        <w:rPr>
          <w:rFonts w:eastAsia="Arial Unicode MS"/>
          <w:noProof/>
        </w:rPr>
        <w:t>t</w:t>
      </w:r>
      <w:r w:rsidR="00520463" w:rsidRPr="001B6F52">
        <w:rPr>
          <w:rFonts w:eastAsia="Arial Unicode MS"/>
          <w:noProof/>
        </w:rPr>
        <w:t xml:space="preserve">he potential </w:t>
      </w:r>
      <w:r w:rsidR="001C6FE1">
        <w:rPr>
          <w:rFonts w:eastAsia="Arial Unicode MS"/>
          <w:noProof/>
        </w:rPr>
        <w:t xml:space="preserve">to tackle </w:t>
      </w:r>
      <w:r w:rsidR="00520463" w:rsidRPr="001B6F52">
        <w:rPr>
          <w:rFonts w:eastAsia="Arial Unicode MS"/>
          <w:noProof/>
        </w:rPr>
        <w:t xml:space="preserve">the specific problem of </w:t>
      </w:r>
      <w:r w:rsidR="00520463">
        <w:rPr>
          <w:rFonts w:eastAsia="Arial Unicode MS"/>
          <w:noProof/>
        </w:rPr>
        <w:t xml:space="preserve">the fishing vessel fleet by providing for a specific PSC regime for such vessels; </w:t>
      </w:r>
    </w:p>
    <w:p w14:paraId="22877148" w14:textId="77777777" w:rsidR="00416AA6" w:rsidRDefault="001C6FE1" w:rsidP="001C6FE1">
      <w:pPr>
        <w:pBdr>
          <w:top w:val="nil"/>
          <w:left w:val="nil"/>
          <w:bottom w:val="nil"/>
          <w:right w:val="nil"/>
          <w:between w:val="nil"/>
          <w:bar w:val="nil"/>
        </w:pBdr>
        <w:spacing w:after="240"/>
        <w:rPr>
          <w:rFonts w:eastAsia="Arial Unicode MS"/>
          <w:noProof/>
        </w:rPr>
      </w:pPr>
      <w:r>
        <w:rPr>
          <w:rFonts w:eastAsia="Arial Unicode MS"/>
          <w:noProof/>
        </w:rPr>
        <w:t xml:space="preserve">(3) greater </w:t>
      </w:r>
      <w:r w:rsidR="00416AA6">
        <w:rPr>
          <w:rFonts w:eastAsia="Arial Unicode MS"/>
          <w:noProof/>
        </w:rPr>
        <w:t xml:space="preserve">digitalisation of PSC </w:t>
      </w:r>
      <w:r>
        <w:rPr>
          <w:rFonts w:eastAsia="Arial Unicode MS"/>
          <w:noProof/>
        </w:rPr>
        <w:t>methods to</w:t>
      </w:r>
      <w:r w:rsidR="00416AA6">
        <w:rPr>
          <w:rFonts w:eastAsia="Arial Unicode MS"/>
          <w:noProof/>
        </w:rPr>
        <w:t xml:space="preserve"> </w:t>
      </w:r>
      <w:r>
        <w:rPr>
          <w:rFonts w:eastAsia="Arial Unicode MS"/>
          <w:noProof/>
        </w:rPr>
        <w:t xml:space="preserve">allow for </w:t>
      </w:r>
      <w:r w:rsidR="00416AA6">
        <w:rPr>
          <w:rFonts w:eastAsia="Arial Unicode MS"/>
          <w:noProof/>
        </w:rPr>
        <w:t>better prepare</w:t>
      </w:r>
      <w:r>
        <w:rPr>
          <w:rFonts w:eastAsia="Arial Unicode MS"/>
          <w:noProof/>
        </w:rPr>
        <w:t>d</w:t>
      </w:r>
      <w:r w:rsidR="00416AA6">
        <w:rPr>
          <w:rFonts w:eastAsia="Arial Unicode MS"/>
          <w:noProof/>
        </w:rPr>
        <w:t xml:space="preserve"> and more focussed PSC inspections – the directive </w:t>
      </w:r>
      <w:r>
        <w:rPr>
          <w:rFonts w:eastAsia="Arial Unicode MS"/>
          <w:noProof/>
        </w:rPr>
        <w:t xml:space="preserve">must </w:t>
      </w:r>
      <w:r w:rsidR="00416AA6">
        <w:rPr>
          <w:rFonts w:eastAsia="Arial Unicode MS"/>
          <w:noProof/>
        </w:rPr>
        <w:t xml:space="preserve">facilitate and </w:t>
      </w:r>
      <w:r>
        <w:rPr>
          <w:rFonts w:eastAsia="Arial Unicode MS"/>
          <w:noProof/>
        </w:rPr>
        <w:t xml:space="preserve">provide </w:t>
      </w:r>
      <w:r w:rsidR="00416AA6">
        <w:rPr>
          <w:rFonts w:eastAsia="Arial Unicode MS"/>
          <w:noProof/>
        </w:rPr>
        <w:t>incentiv</w:t>
      </w:r>
      <w:r>
        <w:rPr>
          <w:rFonts w:eastAsia="Arial Unicode MS"/>
          <w:noProof/>
        </w:rPr>
        <w:t xml:space="preserve">es for </w:t>
      </w:r>
      <w:r w:rsidR="00416AA6">
        <w:rPr>
          <w:rFonts w:eastAsia="Arial Unicode MS"/>
          <w:noProof/>
        </w:rPr>
        <w:t>the use of electronic statutory certificates;</w:t>
      </w:r>
    </w:p>
    <w:p w14:paraId="411192CD" w14:textId="77777777" w:rsidR="00A4203C" w:rsidRPr="001B6F52" w:rsidRDefault="00416AA6" w:rsidP="001C6FE1">
      <w:pPr>
        <w:pBdr>
          <w:top w:val="nil"/>
          <w:left w:val="nil"/>
          <w:bottom w:val="nil"/>
          <w:right w:val="nil"/>
          <w:between w:val="nil"/>
          <w:bar w:val="nil"/>
        </w:pBdr>
        <w:spacing w:after="240"/>
        <w:rPr>
          <w:rFonts w:eastAsia="Arial Unicode MS"/>
          <w:noProof/>
        </w:rPr>
      </w:pPr>
      <w:r>
        <w:rPr>
          <w:rFonts w:eastAsia="Arial Unicode MS"/>
          <w:noProof/>
        </w:rPr>
        <w:t xml:space="preserve">(4) </w:t>
      </w:r>
      <w:r w:rsidR="001C6FE1">
        <w:rPr>
          <w:rFonts w:eastAsia="Arial Unicode MS"/>
          <w:noProof/>
        </w:rPr>
        <w:t>a</w:t>
      </w:r>
      <w:r w:rsidR="00A4203C" w:rsidRPr="00A4203C">
        <w:rPr>
          <w:rFonts w:eastAsia="Arial Unicode MS"/>
          <w:noProof/>
        </w:rPr>
        <w:t xml:space="preserve">n efficient and harmonised approach </w:t>
      </w:r>
      <w:r w:rsidR="001C6FE1">
        <w:rPr>
          <w:rFonts w:eastAsia="Arial Unicode MS"/>
          <w:noProof/>
        </w:rPr>
        <w:t>to</w:t>
      </w:r>
      <w:r w:rsidR="00A4203C" w:rsidRPr="00A4203C">
        <w:rPr>
          <w:rFonts w:eastAsia="Arial Unicode MS"/>
          <w:noProof/>
        </w:rPr>
        <w:t xml:space="preserve"> PSC inspections</w:t>
      </w:r>
      <w:r>
        <w:rPr>
          <w:rFonts w:eastAsia="Arial Unicode MS"/>
          <w:noProof/>
        </w:rPr>
        <w:t xml:space="preserve">, </w:t>
      </w:r>
      <w:r w:rsidR="001C6FE1">
        <w:rPr>
          <w:rFonts w:eastAsia="Arial Unicode MS"/>
          <w:noProof/>
        </w:rPr>
        <w:t xml:space="preserve">drawing from past experience in </w:t>
      </w:r>
      <w:r>
        <w:rPr>
          <w:rFonts w:eastAsia="Arial Unicode MS"/>
          <w:noProof/>
        </w:rPr>
        <w:t>implement</w:t>
      </w:r>
      <w:r w:rsidR="001C6FE1">
        <w:rPr>
          <w:rFonts w:eastAsia="Arial Unicode MS"/>
          <w:noProof/>
        </w:rPr>
        <w:t>ing the Directive a</w:t>
      </w:r>
      <w:r>
        <w:rPr>
          <w:rFonts w:eastAsia="Arial Unicode MS"/>
          <w:noProof/>
        </w:rPr>
        <w:t xml:space="preserve">nd </w:t>
      </w:r>
      <w:r w:rsidR="00A4203C" w:rsidRPr="00A4203C">
        <w:rPr>
          <w:rFonts w:eastAsia="Arial Unicode MS"/>
          <w:noProof/>
        </w:rPr>
        <w:t>better targeting of vessels for inspection</w:t>
      </w:r>
      <w:r>
        <w:rPr>
          <w:rFonts w:eastAsia="Arial Unicode MS"/>
          <w:noProof/>
        </w:rPr>
        <w:t>.</w:t>
      </w:r>
      <w:r w:rsidR="00A4203C" w:rsidRPr="00A4203C">
        <w:rPr>
          <w:rFonts w:eastAsia="Arial Unicode MS"/>
          <w:noProof/>
        </w:rPr>
        <w:t xml:space="preserve">  </w:t>
      </w:r>
    </w:p>
    <w:p w14:paraId="5A398C6D" w14:textId="77777777" w:rsidR="001C6FE1" w:rsidRDefault="00C04245" w:rsidP="001C6FE1">
      <w:pPr>
        <w:pBdr>
          <w:top w:val="nil"/>
          <w:left w:val="nil"/>
          <w:bottom w:val="nil"/>
          <w:right w:val="nil"/>
          <w:between w:val="nil"/>
          <w:bar w:val="nil"/>
        </w:pBdr>
        <w:spacing w:after="240"/>
        <w:rPr>
          <w:rFonts w:eastAsia="Arial Unicode MS"/>
          <w:noProof/>
        </w:rPr>
      </w:pPr>
      <w:r w:rsidRPr="00C04245">
        <w:rPr>
          <w:rFonts w:eastAsia="Arial Unicode MS"/>
          <w:noProof/>
        </w:rPr>
        <w:t xml:space="preserve">Option A proposes a number of changes to the Directive to better deliver on the goal of improving maritime safety and </w:t>
      </w:r>
      <w:r w:rsidR="001C6FE1">
        <w:rPr>
          <w:rFonts w:eastAsia="Arial Unicode MS"/>
          <w:noProof/>
        </w:rPr>
        <w:t xml:space="preserve">preventing </w:t>
      </w:r>
      <w:r w:rsidRPr="00C04245">
        <w:rPr>
          <w:rFonts w:eastAsia="Arial Unicode MS"/>
          <w:noProof/>
        </w:rPr>
        <w:t xml:space="preserve">pollution. This option is mainly focussed on keeping the Directive aligned with international legal instruments. Most of the other changes proposed are non-regulatory measures </w:t>
      </w:r>
      <w:r w:rsidR="001C6FE1">
        <w:rPr>
          <w:rFonts w:eastAsia="Arial Unicode MS"/>
          <w:noProof/>
        </w:rPr>
        <w:t xml:space="preserve">in the form of </w:t>
      </w:r>
      <w:r w:rsidRPr="00C04245">
        <w:rPr>
          <w:rFonts w:eastAsia="Arial Unicode MS"/>
          <w:noProof/>
        </w:rPr>
        <w:t xml:space="preserve">recommendations, guidelines and workshops organised by Commission and/or EMSA. </w:t>
      </w:r>
    </w:p>
    <w:p w14:paraId="6CCD1626" w14:textId="77777777" w:rsidR="001C6FE1" w:rsidRDefault="00C04245" w:rsidP="001C6FE1">
      <w:pPr>
        <w:pBdr>
          <w:top w:val="nil"/>
          <w:left w:val="nil"/>
          <w:bottom w:val="nil"/>
          <w:right w:val="nil"/>
          <w:between w:val="nil"/>
          <w:bar w:val="nil"/>
        </w:pBdr>
        <w:spacing w:after="240"/>
        <w:rPr>
          <w:rFonts w:eastAsia="Arial Unicode MS"/>
          <w:noProof/>
        </w:rPr>
      </w:pPr>
      <w:r w:rsidRPr="00C04245">
        <w:rPr>
          <w:rFonts w:eastAsia="Arial Unicode MS"/>
          <w:noProof/>
        </w:rPr>
        <w:t xml:space="preserve">Option B </w:t>
      </w:r>
      <w:r w:rsidR="001C6FE1">
        <w:rPr>
          <w:rFonts w:eastAsia="Arial Unicode MS"/>
          <w:noProof/>
        </w:rPr>
        <w:t xml:space="preserve">strikes a balance between giving </w:t>
      </w:r>
      <w:r w:rsidRPr="00C04245">
        <w:rPr>
          <w:rFonts w:eastAsia="Arial Unicode MS"/>
          <w:noProof/>
        </w:rPr>
        <w:t xml:space="preserve">flexibility for PSC administrations is balanced with harmonisation. A voluntary PSC system for those Member States </w:t>
      </w:r>
      <w:r w:rsidR="001C6FE1">
        <w:rPr>
          <w:rFonts w:eastAsia="Arial Unicode MS"/>
          <w:noProof/>
        </w:rPr>
        <w:t>that</w:t>
      </w:r>
      <w:r w:rsidRPr="00C04245">
        <w:rPr>
          <w:rFonts w:eastAsia="Arial Unicode MS"/>
          <w:noProof/>
        </w:rPr>
        <w:t xml:space="preserve"> wish to carry out inspections of fishing vessels of above 24 metres is proposed in parallel to (but outside) the current Directive. </w:t>
      </w:r>
      <w:r w:rsidR="001C6FE1">
        <w:rPr>
          <w:rFonts w:eastAsia="Arial Unicode MS"/>
          <w:noProof/>
        </w:rPr>
        <w:t>It also includes the provision of g</w:t>
      </w:r>
      <w:r w:rsidRPr="00C04245">
        <w:rPr>
          <w:rFonts w:eastAsia="Arial Unicode MS"/>
          <w:noProof/>
        </w:rPr>
        <w:t xml:space="preserve">uidelines, EMSA training and an EMSA inspection database </w:t>
      </w:r>
      <w:r w:rsidR="001C6FE1">
        <w:rPr>
          <w:rFonts w:eastAsia="Arial Unicode MS"/>
          <w:noProof/>
        </w:rPr>
        <w:t>to</w:t>
      </w:r>
      <w:r w:rsidRPr="00C04245">
        <w:rPr>
          <w:rFonts w:eastAsia="Arial Unicode MS"/>
          <w:noProof/>
        </w:rPr>
        <w:t xml:space="preserve"> target ships and report on inspections. </w:t>
      </w:r>
      <w:r w:rsidR="001C6FE1">
        <w:rPr>
          <w:rFonts w:eastAsia="Arial Unicode MS"/>
          <w:noProof/>
        </w:rPr>
        <w:t xml:space="preserve">It encourages the </w:t>
      </w:r>
      <w:r w:rsidRPr="00C04245">
        <w:rPr>
          <w:rFonts w:eastAsia="Arial Unicode MS"/>
          <w:noProof/>
        </w:rPr>
        <w:t xml:space="preserve">use of electronic certificates by linking them with the ship risk profile. </w:t>
      </w:r>
    </w:p>
    <w:p w14:paraId="12D7A6DE" w14:textId="77777777" w:rsidR="00C04245" w:rsidRDefault="00C04245" w:rsidP="001C6FE1">
      <w:pPr>
        <w:pBdr>
          <w:top w:val="nil"/>
          <w:left w:val="nil"/>
          <w:bottom w:val="nil"/>
          <w:right w:val="nil"/>
          <w:between w:val="nil"/>
          <w:bar w:val="nil"/>
        </w:pBdr>
        <w:spacing w:after="240"/>
        <w:rPr>
          <w:rFonts w:eastAsia="Arial Unicode MS"/>
          <w:noProof/>
        </w:rPr>
      </w:pPr>
      <w:r w:rsidRPr="00C04245">
        <w:rPr>
          <w:rFonts w:eastAsia="Arial Unicode MS"/>
          <w:noProof/>
        </w:rPr>
        <w:t xml:space="preserve">Option C </w:t>
      </w:r>
      <w:r w:rsidR="00C9215D">
        <w:rPr>
          <w:rFonts w:eastAsia="Arial Unicode MS"/>
          <w:noProof/>
        </w:rPr>
        <w:t xml:space="preserve">entails the highest increase in </w:t>
      </w:r>
      <w:r w:rsidRPr="00C04245">
        <w:rPr>
          <w:rFonts w:eastAsia="Arial Unicode MS"/>
          <w:noProof/>
        </w:rPr>
        <w:t xml:space="preserve">administrative burden for PSC administrations but it will also ensure the highest level of harmonisation of inspections.  </w:t>
      </w:r>
      <w:r w:rsidR="001C6FE1">
        <w:rPr>
          <w:rFonts w:eastAsia="Arial Unicode MS"/>
          <w:noProof/>
        </w:rPr>
        <w:t>It would fully incorporate P</w:t>
      </w:r>
      <w:r w:rsidRPr="00C04245">
        <w:rPr>
          <w:rFonts w:eastAsia="Arial Unicode MS"/>
          <w:noProof/>
        </w:rPr>
        <w:t>SC for fishing vessels of above 24 metres into the Directive</w:t>
      </w:r>
      <w:r w:rsidR="001C6FE1">
        <w:rPr>
          <w:rFonts w:eastAsia="Arial Unicode MS"/>
          <w:noProof/>
        </w:rPr>
        <w:t xml:space="preserve"> with an </w:t>
      </w:r>
      <w:r w:rsidRPr="00C04245">
        <w:rPr>
          <w:rFonts w:eastAsia="Arial Unicode MS"/>
          <w:noProof/>
        </w:rPr>
        <w:t>impact</w:t>
      </w:r>
      <w:r w:rsidR="001C6FE1">
        <w:rPr>
          <w:rFonts w:eastAsia="Arial Unicode MS"/>
          <w:noProof/>
        </w:rPr>
        <w:t xml:space="preserve"> </w:t>
      </w:r>
      <w:r w:rsidRPr="00C04245">
        <w:rPr>
          <w:rFonts w:eastAsia="Arial Unicode MS"/>
          <w:noProof/>
        </w:rPr>
        <w:t>on the owners/operators of these vessels as well as on Member State PSC administrati</w:t>
      </w:r>
      <w:r w:rsidR="00AA68A4">
        <w:rPr>
          <w:rFonts w:eastAsia="Arial Unicode MS"/>
          <w:noProof/>
        </w:rPr>
        <w:t>ons.</w:t>
      </w:r>
      <w:r w:rsidRPr="00C04245">
        <w:rPr>
          <w:rFonts w:eastAsia="Arial Unicode MS"/>
          <w:noProof/>
        </w:rPr>
        <w:t xml:space="preserve"> </w:t>
      </w:r>
      <w:r w:rsidR="001C6FE1">
        <w:rPr>
          <w:rFonts w:eastAsia="Arial Unicode MS"/>
          <w:noProof/>
        </w:rPr>
        <w:t xml:space="preserve">It would make the </w:t>
      </w:r>
      <w:r w:rsidRPr="00C04245">
        <w:rPr>
          <w:rFonts w:eastAsia="Arial Unicode MS"/>
          <w:noProof/>
        </w:rPr>
        <w:t>use of electronic certificates mandat</w:t>
      </w:r>
      <w:r w:rsidR="001C6FE1">
        <w:rPr>
          <w:rFonts w:eastAsia="Arial Unicode MS"/>
          <w:noProof/>
        </w:rPr>
        <w:t>ory</w:t>
      </w:r>
      <w:r w:rsidRPr="00C04245">
        <w:rPr>
          <w:rFonts w:eastAsia="Arial Unicode MS"/>
          <w:noProof/>
        </w:rPr>
        <w:t xml:space="preserve"> in the Directive and </w:t>
      </w:r>
      <w:r w:rsidR="001C6FE1">
        <w:rPr>
          <w:rFonts w:eastAsia="Arial Unicode MS"/>
          <w:noProof/>
        </w:rPr>
        <w:t xml:space="preserve">provide for the </w:t>
      </w:r>
      <w:r w:rsidRPr="00C04245">
        <w:rPr>
          <w:rFonts w:eastAsia="Arial Unicode MS"/>
          <w:noProof/>
        </w:rPr>
        <w:t>phas</w:t>
      </w:r>
      <w:r w:rsidR="001C6FE1">
        <w:rPr>
          <w:rFonts w:eastAsia="Arial Unicode MS"/>
          <w:noProof/>
        </w:rPr>
        <w:t>ing</w:t>
      </w:r>
      <w:r w:rsidRPr="00C04245">
        <w:rPr>
          <w:rFonts w:eastAsia="Arial Unicode MS"/>
          <w:noProof/>
        </w:rPr>
        <w:t>-out of paper certificates by 2035</w:t>
      </w:r>
      <w:r w:rsidR="001C6FE1">
        <w:rPr>
          <w:rFonts w:eastAsia="Arial Unicode MS"/>
          <w:noProof/>
        </w:rPr>
        <w:t>.</w:t>
      </w:r>
      <w:r w:rsidRPr="00C04245">
        <w:rPr>
          <w:rFonts w:eastAsia="Arial Unicode MS"/>
          <w:noProof/>
        </w:rPr>
        <w:t xml:space="preserve"> </w:t>
      </w:r>
    </w:p>
    <w:p w14:paraId="76295E40" w14:textId="77777777" w:rsidR="007A63AC" w:rsidRDefault="007A63AC" w:rsidP="00B26FDB">
      <w:pPr>
        <w:pBdr>
          <w:top w:val="nil"/>
          <w:left w:val="nil"/>
          <w:bottom w:val="nil"/>
          <w:right w:val="nil"/>
          <w:between w:val="nil"/>
          <w:bar w:val="nil"/>
        </w:pBdr>
        <w:spacing w:after="240"/>
        <w:rPr>
          <w:rFonts w:eastAsia="Arial Unicode MS"/>
          <w:noProof/>
        </w:rPr>
      </w:pPr>
      <w:r w:rsidRPr="007A63AC">
        <w:rPr>
          <w:rFonts w:eastAsia="Arial Unicode MS"/>
          <w:noProof/>
        </w:rPr>
        <w:t xml:space="preserve">The impact assessment was submitted to the Regulatory Scrutiny Board for approval in </w:t>
      </w:r>
      <w:r w:rsidR="005927FD">
        <w:rPr>
          <w:rFonts w:eastAsia="Arial Unicode MS"/>
          <w:noProof/>
        </w:rPr>
        <w:t>July 2022</w:t>
      </w:r>
      <w:r w:rsidRPr="007A63AC">
        <w:rPr>
          <w:rFonts w:eastAsia="Arial Unicode MS"/>
          <w:noProof/>
        </w:rPr>
        <w:t xml:space="preserve">. The Board issued a positive opinion with reservations. </w:t>
      </w:r>
      <w:r w:rsidR="00C04245" w:rsidRPr="00C04245">
        <w:rPr>
          <w:rFonts w:eastAsia="Arial Unicode MS"/>
          <w:noProof/>
        </w:rPr>
        <w:t>The</w:t>
      </w:r>
      <w:r w:rsidR="00CE41A1">
        <w:rPr>
          <w:rFonts w:eastAsia="Arial Unicode MS"/>
          <w:noProof/>
        </w:rPr>
        <w:t xml:space="preserve"> </w:t>
      </w:r>
      <w:r w:rsidR="001C6FE1">
        <w:rPr>
          <w:rFonts w:eastAsia="Arial Unicode MS"/>
          <w:noProof/>
        </w:rPr>
        <w:t>s</w:t>
      </w:r>
      <w:r w:rsidR="00C04245" w:rsidRPr="00C04245">
        <w:rPr>
          <w:rFonts w:eastAsia="Arial Unicode MS"/>
          <w:noProof/>
        </w:rPr>
        <w:t xml:space="preserve">taff </w:t>
      </w:r>
      <w:r w:rsidR="001C6FE1">
        <w:rPr>
          <w:rFonts w:eastAsia="Arial Unicode MS"/>
          <w:noProof/>
        </w:rPr>
        <w:t>w</w:t>
      </w:r>
      <w:r w:rsidR="00C04245" w:rsidRPr="00C04245">
        <w:rPr>
          <w:rFonts w:eastAsia="Arial Unicode MS"/>
          <w:noProof/>
        </w:rPr>
        <w:t xml:space="preserve">orking </w:t>
      </w:r>
      <w:r w:rsidR="001C6FE1">
        <w:rPr>
          <w:rFonts w:eastAsia="Arial Unicode MS"/>
          <w:noProof/>
        </w:rPr>
        <w:t>d</w:t>
      </w:r>
      <w:r w:rsidR="00C04245" w:rsidRPr="00C04245">
        <w:rPr>
          <w:rFonts w:eastAsia="Arial Unicode MS"/>
          <w:noProof/>
        </w:rPr>
        <w:t>ocument accompan</w:t>
      </w:r>
      <w:r w:rsidR="00B26FDB">
        <w:rPr>
          <w:rFonts w:eastAsia="Arial Unicode MS"/>
          <w:noProof/>
        </w:rPr>
        <w:t>ying</w:t>
      </w:r>
      <w:r w:rsidR="00C04245" w:rsidRPr="00C04245">
        <w:rPr>
          <w:rFonts w:eastAsia="Arial Unicode MS"/>
          <w:noProof/>
        </w:rPr>
        <w:t xml:space="preserve"> this legislative proposal</w:t>
      </w:r>
      <w:r w:rsidR="00B26FDB">
        <w:rPr>
          <w:rFonts w:eastAsia="Arial Unicode MS"/>
          <w:noProof/>
        </w:rPr>
        <w:t xml:space="preserve"> addresses the comments made by the Board</w:t>
      </w:r>
      <w:r w:rsidR="00C04245" w:rsidRPr="00C04245">
        <w:rPr>
          <w:rFonts w:eastAsia="Arial Unicode MS"/>
          <w:noProof/>
        </w:rPr>
        <w:t xml:space="preserve">. </w:t>
      </w:r>
    </w:p>
    <w:p w14:paraId="2C11A1A8" w14:textId="77777777" w:rsidR="001C74FF" w:rsidRPr="001C74FF" w:rsidRDefault="001C74FF" w:rsidP="00596E2C">
      <w:pPr>
        <w:pStyle w:val="ListBullet"/>
        <w:rPr>
          <w:noProof/>
        </w:rPr>
      </w:pPr>
      <w:r w:rsidRPr="00596E2C">
        <w:rPr>
          <w:noProof/>
          <w:u w:color="000000"/>
          <w:bdr w:val="nil"/>
          <w:lang w:val="en-US" w:eastAsia="en-GB"/>
        </w:rPr>
        <w:t xml:space="preserve">Application of the ‘one in, one out’ approach </w:t>
      </w:r>
    </w:p>
    <w:p w14:paraId="3B736CCB" w14:textId="77777777" w:rsidR="001C74FF" w:rsidRDefault="001C74FF" w:rsidP="001C74FF">
      <w:pPr>
        <w:pBdr>
          <w:top w:val="nil"/>
          <w:left w:val="nil"/>
          <w:bottom w:val="nil"/>
          <w:right w:val="nil"/>
          <w:between w:val="nil"/>
          <w:bar w:val="nil"/>
        </w:pBdr>
        <w:spacing w:after="240"/>
        <w:rPr>
          <w:rFonts w:eastAsia="Arial Unicode MS"/>
          <w:noProof/>
        </w:rPr>
      </w:pPr>
      <w:r w:rsidRPr="001C74FF">
        <w:rPr>
          <w:rFonts w:eastAsia="Arial Unicode MS"/>
          <w:noProof/>
        </w:rPr>
        <w:t xml:space="preserve">No additional costs (administrative or adjustment costs) have been identified for businesses or citizens. </w:t>
      </w:r>
    </w:p>
    <w:p w14:paraId="56217B84"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Regulatory fitness and simplification</w:t>
      </w:r>
      <w:r w:rsidR="00B26FDB">
        <w:rPr>
          <w:rFonts w:eastAsia="Arial Unicode MS"/>
          <w:noProof/>
          <w:u w:color="000000"/>
          <w:bdr w:val="nil"/>
          <w:lang w:val="en-US" w:eastAsia="en-GB"/>
        </w:rPr>
        <w:t xml:space="preserve"> (REFIT)</w:t>
      </w:r>
    </w:p>
    <w:p w14:paraId="5D8C53A3" w14:textId="77777777" w:rsidR="00AA3996" w:rsidRPr="00AA3996" w:rsidRDefault="00AA3996" w:rsidP="00B26FDB">
      <w:pPr>
        <w:pBdr>
          <w:top w:val="nil"/>
          <w:left w:val="nil"/>
          <w:bottom w:val="nil"/>
          <w:right w:val="nil"/>
          <w:between w:val="nil"/>
          <w:bar w:val="nil"/>
        </w:pBdr>
        <w:spacing w:before="0" w:after="240"/>
        <w:rPr>
          <w:rFonts w:eastAsia="Arial Unicode MS"/>
          <w:noProof/>
          <w:lang w:val="en-US"/>
        </w:rPr>
      </w:pPr>
      <w:r w:rsidRPr="00AA3996">
        <w:rPr>
          <w:rFonts w:eastAsia="Arial Unicode MS"/>
          <w:noProof/>
          <w:lang w:val="en-US"/>
        </w:rPr>
        <w:t xml:space="preserve">The initiative </w:t>
      </w:r>
      <w:r w:rsidR="00B26FDB">
        <w:rPr>
          <w:rFonts w:eastAsia="Arial Unicode MS"/>
          <w:noProof/>
          <w:lang w:val="en-US"/>
        </w:rPr>
        <w:t xml:space="preserve">is relevant to the Commission’s </w:t>
      </w:r>
      <w:r w:rsidRPr="00AA3996">
        <w:rPr>
          <w:rFonts w:eastAsia="Arial Unicode MS"/>
          <w:noProof/>
          <w:lang w:val="en-US"/>
        </w:rPr>
        <w:t xml:space="preserve">REFIT </w:t>
      </w:r>
      <w:r w:rsidR="00B26FDB">
        <w:rPr>
          <w:rFonts w:eastAsia="Arial Unicode MS"/>
          <w:noProof/>
          <w:lang w:val="en-US"/>
        </w:rPr>
        <w:t>programme as it seeks to</w:t>
      </w:r>
      <w:r w:rsidRPr="00AA3996">
        <w:rPr>
          <w:rFonts w:eastAsia="Arial Unicode MS"/>
          <w:noProof/>
          <w:lang w:val="en-US"/>
        </w:rPr>
        <w:t xml:space="preserve"> align and simplif</w:t>
      </w:r>
      <w:r w:rsidR="00B26FDB">
        <w:rPr>
          <w:rFonts w:eastAsia="Arial Unicode MS"/>
          <w:noProof/>
          <w:lang w:val="en-US"/>
        </w:rPr>
        <w:t xml:space="preserve">y maritime </w:t>
      </w:r>
      <w:r w:rsidRPr="00AA3996">
        <w:rPr>
          <w:rFonts w:eastAsia="Arial Unicode MS"/>
          <w:noProof/>
          <w:lang w:val="en-US"/>
        </w:rPr>
        <w:t>safety legislation, improv</w:t>
      </w:r>
      <w:r w:rsidR="00B26FDB">
        <w:rPr>
          <w:rFonts w:eastAsia="Arial Unicode MS"/>
          <w:noProof/>
          <w:lang w:val="en-US"/>
        </w:rPr>
        <w:t>e</w:t>
      </w:r>
      <w:r w:rsidRPr="00AA3996">
        <w:rPr>
          <w:rFonts w:eastAsia="Arial Unicode MS"/>
          <w:noProof/>
          <w:lang w:val="en-US"/>
        </w:rPr>
        <w:t xml:space="preserve"> the safety profile </w:t>
      </w:r>
      <w:r w:rsidR="00B26FDB">
        <w:rPr>
          <w:rFonts w:eastAsia="Arial Unicode MS"/>
          <w:noProof/>
          <w:lang w:val="en-US"/>
        </w:rPr>
        <w:t>(</w:t>
      </w:r>
      <w:r w:rsidRPr="00AA3996">
        <w:rPr>
          <w:rFonts w:eastAsia="Arial Unicode MS"/>
          <w:noProof/>
          <w:lang w:val="en-US"/>
        </w:rPr>
        <w:t xml:space="preserve">in particular of the </w:t>
      </w:r>
      <w:r w:rsidR="00C8420A">
        <w:rPr>
          <w:rFonts w:eastAsia="Arial Unicode MS"/>
          <w:noProof/>
          <w:lang w:val="en-US"/>
        </w:rPr>
        <w:t>larger</w:t>
      </w:r>
      <w:r w:rsidR="00C8420A" w:rsidRPr="00AA3996">
        <w:rPr>
          <w:rFonts w:eastAsia="Arial Unicode MS"/>
          <w:noProof/>
          <w:lang w:val="en-US"/>
        </w:rPr>
        <w:t xml:space="preserve"> </w:t>
      </w:r>
      <w:r w:rsidRPr="00AA3996">
        <w:rPr>
          <w:rFonts w:eastAsia="Arial Unicode MS"/>
          <w:noProof/>
          <w:lang w:val="en-US"/>
        </w:rPr>
        <w:t xml:space="preserve">fishing vessel </w:t>
      </w:r>
      <w:r w:rsidR="00B26FDB">
        <w:rPr>
          <w:rFonts w:eastAsia="Arial Unicode MS"/>
          <w:noProof/>
          <w:lang w:val="en-US"/>
        </w:rPr>
        <w:t xml:space="preserve">fleet </w:t>
      </w:r>
      <w:r w:rsidRPr="00AA3996">
        <w:rPr>
          <w:rFonts w:eastAsia="Arial Unicode MS"/>
          <w:noProof/>
          <w:lang w:val="en-US"/>
        </w:rPr>
        <w:t>segment</w:t>
      </w:r>
      <w:r w:rsidR="00B26FDB">
        <w:rPr>
          <w:rFonts w:eastAsia="Arial Unicode MS"/>
          <w:noProof/>
          <w:lang w:val="en-US"/>
        </w:rPr>
        <w:t>)</w:t>
      </w:r>
      <w:r w:rsidRPr="00AA3996">
        <w:rPr>
          <w:rFonts w:eastAsia="Arial Unicode MS"/>
          <w:noProof/>
          <w:lang w:val="en-US"/>
        </w:rPr>
        <w:t xml:space="preserve"> and of assisting Member State</w:t>
      </w:r>
      <w:r w:rsidR="00C8420A">
        <w:rPr>
          <w:rFonts w:eastAsia="Arial Unicode MS"/>
          <w:noProof/>
          <w:lang w:val="en-US"/>
        </w:rPr>
        <w:t xml:space="preserve"> authorities </w:t>
      </w:r>
      <w:r w:rsidR="00B26FDB">
        <w:rPr>
          <w:rFonts w:eastAsia="Arial Unicode MS"/>
          <w:noProof/>
          <w:lang w:val="en-US"/>
        </w:rPr>
        <w:t>in meeting</w:t>
      </w:r>
      <w:r w:rsidRPr="00AA3996">
        <w:rPr>
          <w:rFonts w:eastAsia="Arial Unicode MS"/>
          <w:noProof/>
          <w:lang w:val="en-US"/>
        </w:rPr>
        <w:t xml:space="preserve"> their </w:t>
      </w:r>
      <w:r w:rsidR="00F026AE">
        <w:rPr>
          <w:rFonts w:eastAsia="Arial Unicode MS"/>
          <w:noProof/>
          <w:lang w:val="en-US"/>
        </w:rPr>
        <w:t xml:space="preserve">inspection and </w:t>
      </w:r>
      <w:r w:rsidRPr="00AA3996">
        <w:rPr>
          <w:rFonts w:eastAsia="Arial Unicode MS"/>
          <w:noProof/>
          <w:lang w:val="en-US"/>
        </w:rPr>
        <w:t xml:space="preserve">reporting  </w:t>
      </w:r>
      <w:r w:rsidR="00F026AE">
        <w:rPr>
          <w:rFonts w:eastAsia="Arial Unicode MS"/>
          <w:noProof/>
          <w:lang w:val="en-US"/>
        </w:rPr>
        <w:t>obligations</w:t>
      </w:r>
      <w:r w:rsidRPr="00AA3996">
        <w:rPr>
          <w:rFonts w:eastAsia="Arial Unicode MS"/>
          <w:noProof/>
          <w:lang w:val="en-US"/>
        </w:rPr>
        <w:t xml:space="preserve">.  </w:t>
      </w:r>
    </w:p>
    <w:p w14:paraId="6B718880" w14:textId="77777777" w:rsidR="005B3330" w:rsidRPr="00C8711F" w:rsidRDefault="00AA3996" w:rsidP="00B26FDB">
      <w:pPr>
        <w:pBdr>
          <w:top w:val="nil"/>
          <w:left w:val="nil"/>
          <w:bottom w:val="nil"/>
          <w:right w:val="nil"/>
          <w:between w:val="nil"/>
          <w:bar w:val="nil"/>
        </w:pBdr>
        <w:spacing w:before="0" w:after="240"/>
        <w:rPr>
          <w:rFonts w:eastAsia="Arial Unicode MS"/>
          <w:noProof/>
        </w:rPr>
      </w:pPr>
      <w:r w:rsidRPr="00AA3996">
        <w:rPr>
          <w:rFonts w:eastAsia="Arial Unicode MS"/>
          <w:noProof/>
          <w:lang w:val="en-US"/>
        </w:rPr>
        <w:t xml:space="preserve">In addition, the preferred policy option includes </w:t>
      </w:r>
      <w:r w:rsidR="00B26FDB">
        <w:rPr>
          <w:rFonts w:eastAsia="Arial Unicode MS"/>
          <w:noProof/>
          <w:lang w:val="en-US"/>
        </w:rPr>
        <w:t>aspects</w:t>
      </w:r>
      <w:r w:rsidRPr="00AA3996">
        <w:rPr>
          <w:rFonts w:eastAsia="Arial Unicode MS"/>
          <w:noProof/>
          <w:lang w:val="en-US"/>
        </w:rPr>
        <w:t xml:space="preserve"> of </w:t>
      </w:r>
      <w:r w:rsidR="00F026AE" w:rsidRPr="00AA3996">
        <w:rPr>
          <w:rFonts w:eastAsia="Arial Unicode MS"/>
          <w:noProof/>
          <w:lang w:val="en-US"/>
        </w:rPr>
        <w:t>simplification,</w:t>
      </w:r>
      <w:r>
        <w:rPr>
          <w:rFonts w:eastAsia="Arial Unicode MS"/>
          <w:noProof/>
          <w:lang w:val="en-US"/>
        </w:rPr>
        <w:t xml:space="preserve"> as it </w:t>
      </w:r>
      <w:r w:rsidR="00C8420A">
        <w:rPr>
          <w:rFonts w:eastAsia="Arial Unicode MS"/>
          <w:noProof/>
          <w:lang w:val="en-US"/>
        </w:rPr>
        <w:t xml:space="preserve">will clarify the situations and circumstances </w:t>
      </w:r>
      <w:r w:rsidR="00B26FDB">
        <w:rPr>
          <w:rFonts w:eastAsia="Arial Unicode MS"/>
          <w:noProof/>
          <w:lang w:val="en-US"/>
        </w:rPr>
        <w:t>under</w:t>
      </w:r>
      <w:r w:rsidR="00C8420A">
        <w:rPr>
          <w:rFonts w:eastAsia="Arial Unicode MS"/>
          <w:noProof/>
          <w:lang w:val="en-US"/>
        </w:rPr>
        <w:t xml:space="preserve"> which PSC inspections can be missed either for </w:t>
      </w:r>
      <w:r w:rsidR="00F026AE">
        <w:rPr>
          <w:rFonts w:eastAsia="Arial Unicode MS"/>
          <w:noProof/>
          <w:lang w:val="en-US"/>
        </w:rPr>
        <w:t>normal</w:t>
      </w:r>
      <w:r w:rsidR="00C8420A">
        <w:rPr>
          <w:rFonts w:eastAsia="Arial Unicode MS"/>
          <w:noProof/>
          <w:lang w:val="en-US"/>
        </w:rPr>
        <w:t xml:space="preserve"> operational reasons or in force majeure situations.</w:t>
      </w:r>
      <w:r w:rsidR="00C8420A" w:rsidRPr="00C8420A">
        <w:rPr>
          <w:noProof/>
        </w:rPr>
        <w:t xml:space="preserve"> </w:t>
      </w:r>
      <w:r w:rsidR="00B26FDB">
        <w:rPr>
          <w:noProof/>
        </w:rPr>
        <w:t xml:space="preserve">It is expected to </w:t>
      </w:r>
      <w:r w:rsidR="00B26FDB" w:rsidRPr="00AA3996">
        <w:rPr>
          <w:rFonts w:eastAsia="Arial Unicode MS"/>
          <w:noProof/>
          <w:lang w:val="en-US"/>
        </w:rPr>
        <w:t>increas</w:t>
      </w:r>
      <w:r w:rsidR="00B26FDB">
        <w:rPr>
          <w:rFonts w:eastAsia="Arial Unicode MS"/>
          <w:noProof/>
          <w:lang w:val="en-US"/>
        </w:rPr>
        <w:t>e</w:t>
      </w:r>
      <w:r w:rsidR="00B26FDB" w:rsidRPr="00AA3996">
        <w:rPr>
          <w:rFonts w:eastAsia="Arial Unicode MS"/>
          <w:noProof/>
          <w:lang w:val="en-US"/>
        </w:rPr>
        <w:t xml:space="preserve"> the harmonization and standardisation across the EU</w:t>
      </w:r>
      <w:r w:rsidR="00B26FDB">
        <w:rPr>
          <w:rFonts w:eastAsia="Arial Unicode MS"/>
          <w:noProof/>
          <w:lang w:val="en-US"/>
        </w:rPr>
        <w:t xml:space="preserve"> via the </w:t>
      </w:r>
      <w:r w:rsidR="00C8420A" w:rsidRPr="00C8420A">
        <w:rPr>
          <w:rFonts w:eastAsia="Arial Unicode MS"/>
          <w:noProof/>
          <w:lang w:val="en-US"/>
        </w:rPr>
        <w:t xml:space="preserve">provision by EMSA of assistance to national PSC authorities with training on how to carry out </w:t>
      </w:r>
      <w:r w:rsidR="00F026AE">
        <w:rPr>
          <w:rFonts w:eastAsia="Arial Unicode MS"/>
          <w:noProof/>
          <w:lang w:val="en-US"/>
        </w:rPr>
        <w:t>inspections</w:t>
      </w:r>
      <w:r w:rsidR="00C8420A" w:rsidRPr="00C8420A">
        <w:rPr>
          <w:rFonts w:eastAsia="Arial Unicode MS"/>
          <w:noProof/>
          <w:lang w:val="en-US"/>
        </w:rPr>
        <w:t xml:space="preserve"> of </w:t>
      </w:r>
      <w:r w:rsidR="00F026AE">
        <w:rPr>
          <w:rFonts w:eastAsia="Arial Unicode MS"/>
          <w:noProof/>
          <w:lang w:val="en-US"/>
        </w:rPr>
        <w:t xml:space="preserve">foreign </w:t>
      </w:r>
      <w:r w:rsidR="00C8420A" w:rsidRPr="00C8420A">
        <w:rPr>
          <w:rFonts w:eastAsia="Arial Unicode MS"/>
          <w:noProof/>
          <w:lang w:val="en-US"/>
        </w:rPr>
        <w:t>fishing vessels, and the provision of a dedicated inspection database to target and select vessels for inspection and to record and share</w:t>
      </w:r>
      <w:r w:rsidR="00C8420A">
        <w:rPr>
          <w:rFonts w:eastAsia="Arial Unicode MS"/>
          <w:noProof/>
          <w:lang w:val="en-US"/>
        </w:rPr>
        <w:t xml:space="preserve"> the results of the inspections </w:t>
      </w:r>
      <w:r w:rsidRPr="00AA3996">
        <w:rPr>
          <w:rFonts w:eastAsia="Arial Unicode MS"/>
          <w:noProof/>
          <w:lang w:val="en-US"/>
        </w:rPr>
        <w:t xml:space="preserve"> </w:t>
      </w:r>
    </w:p>
    <w:p w14:paraId="7D8E931A"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Fundamental rights</w:t>
      </w:r>
    </w:p>
    <w:p w14:paraId="61AE4F58" w14:textId="77777777" w:rsidR="005B3330" w:rsidRPr="00C8711F" w:rsidRDefault="008E4895" w:rsidP="008E4895">
      <w:pPr>
        <w:pBdr>
          <w:top w:val="nil"/>
          <w:left w:val="nil"/>
          <w:bottom w:val="nil"/>
          <w:right w:val="nil"/>
          <w:between w:val="nil"/>
          <w:bar w:val="nil"/>
        </w:pBdr>
        <w:spacing w:before="0" w:after="240"/>
        <w:rPr>
          <w:rFonts w:eastAsia="Arial Unicode MS"/>
          <w:noProof/>
        </w:rPr>
      </w:pPr>
      <w:r w:rsidRPr="00C8711F">
        <w:rPr>
          <w:noProof/>
        </w:rPr>
        <w:t>The proposal has no consequences for the protection of fundamental rights.</w:t>
      </w:r>
    </w:p>
    <w:p w14:paraId="7726C965" w14:textId="77777777" w:rsidR="005B3330" w:rsidRPr="00C8711F" w:rsidRDefault="005B3330" w:rsidP="007800DD">
      <w:pPr>
        <w:pStyle w:val="ManualHeading1"/>
        <w:rPr>
          <w:noProof/>
        </w:rPr>
      </w:pPr>
      <w:r w:rsidRPr="00C8711F">
        <w:rPr>
          <w:noProof/>
        </w:rPr>
        <w:t>4.</w:t>
      </w:r>
      <w:r w:rsidRPr="00C8711F">
        <w:rPr>
          <w:noProof/>
        </w:rPr>
        <w:tab/>
        <w:t>BUDGETARY IMPLICATIONS</w:t>
      </w:r>
    </w:p>
    <w:p w14:paraId="26090D25" w14:textId="77777777" w:rsidR="001E1EB3" w:rsidRDefault="008E4895" w:rsidP="001E1EB3">
      <w:pPr>
        <w:pBdr>
          <w:top w:val="nil"/>
          <w:left w:val="nil"/>
          <w:bottom w:val="nil"/>
          <w:right w:val="nil"/>
          <w:between w:val="nil"/>
          <w:bar w:val="nil"/>
        </w:pBdr>
        <w:spacing w:before="0" w:after="240"/>
        <w:rPr>
          <w:noProof/>
        </w:rPr>
      </w:pPr>
      <w:r w:rsidRPr="00C8711F">
        <w:rPr>
          <w:noProof/>
        </w:rPr>
        <w:t xml:space="preserve">The proposal </w:t>
      </w:r>
      <w:r w:rsidR="00B26FDB">
        <w:rPr>
          <w:noProof/>
        </w:rPr>
        <w:t xml:space="preserve">gives raise to </w:t>
      </w:r>
      <w:r w:rsidR="00FB5F55">
        <w:rPr>
          <w:noProof/>
        </w:rPr>
        <w:t xml:space="preserve">net present costs for </w:t>
      </w:r>
      <w:r w:rsidR="00B078F3">
        <w:rPr>
          <w:noProof/>
        </w:rPr>
        <w:t xml:space="preserve">the Union Budget of </w:t>
      </w:r>
      <w:r w:rsidR="00B078F3" w:rsidRPr="00B078F3">
        <w:rPr>
          <w:noProof/>
        </w:rPr>
        <w:t xml:space="preserve">EUR </w:t>
      </w:r>
      <w:r w:rsidR="00FB5F55">
        <w:rPr>
          <w:noProof/>
        </w:rPr>
        <w:t>6.479</w:t>
      </w:r>
      <w:r w:rsidR="00B078F3" w:rsidRPr="00B078F3">
        <w:rPr>
          <w:noProof/>
        </w:rPr>
        <w:t xml:space="preserve"> million </w:t>
      </w:r>
      <w:r w:rsidR="00FB5F55">
        <w:rPr>
          <w:noProof/>
        </w:rPr>
        <w:t>over the period 2025-2050</w:t>
      </w:r>
      <w:r w:rsidR="00B078F3">
        <w:rPr>
          <w:noProof/>
        </w:rPr>
        <w:t>.</w:t>
      </w:r>
      <w:r w:rsidR="001E1EB3">
        <w:rPr>
          <w:noProof/>
        </w:rPr>
        <w:t xml:space="preserve"> The budget impact of the proposal is described in more detail in the Legislative Financial Statement annexed to this proposal for information. The budget impact of the proposal is already included in the Commission’s Proposal for a Regulation of the European Parliament and of the Council on the European Maritime Safety Agency and repealing Regulation (EC) No 1406/2002.</w:t>
      </w:r>
    </w:p>
    <w:p w14:paraId="444A1C2F" w14:textId="77777777" w:rsidR="005B3330" w:rsidRPr="00C8711F" w:rsidRDefault="001E1EB3" w:rsidP="001E1EB3">
      <w:pPr>
        <w:pBdr>
          <w:top w:val="nil"/>
          <w:left w:val="nil"/>
          <w:bottom w:val="nil"/>
          <w:right w:val="nil"/>
          <w:between w:val="nil"/>
          <w:bar w:val="nil"/>
        </w:pBdr>
        <w:spacing w:before="0" w:after="240"/>
        <w:rPr>
          <w:rFonts w:eastAsia="Arial Unicode MS"/>
          <w:noProof/>
        </w:rPr>
      </w:pPr>
      <w:r>
        <w:rPr>
          <w:noProof/>
        </w:rPr>
        <w:t>The budget impact beyond the current MFF is an indicative overview, without prejudice to the future MFF Agreement.</w:t>
      </w:r>
    </w:p>
    <w:p w14:paraId="6A280572" w14:textId="77777777" w:rsidR="005B3330" w:rsidRPr="00C8711F" w:rsidRDefault="005B3330" w:rsidP="007800DD">
      <w:pPr>
        <w:pStyle w:val="ManualHeading1"/>
        <w:rPr>
          <w:noProof/>
        </w:rPr>
      </w:pPr>
      <w:r w:rsidRPr="00C8711F">
        <w:rPr>
          <w:noProof/>
        </w:rPr>
        <w:t>5.</w:t>
      </w:r>
      <w:r w:rsidRPr="00C8711F">
        <w:rPr>
          <w:noProof/>
        </w:rPr>
        <w:tab/>
        <w:t>OTHER ELEMENTS</w:t>
      </w:r>
    </w:p>
    <w:p w14:paraId="1C65E678" w14:textId="77777777" w:rsidR="005B3330" w:rsidRPr="00C8711F" w:rsidRDefault="005B3330" w:rsidP="00C9215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r>
      <w:r w:rsidR="00C9215D">
        <w:rPr>
          <w:rFonts w:eastAsia="Arial Unicode MS"/>
          <w:noProof/>
          <w:u w:color="000000"/>
          <w:bdr w:val="nil"/>
          <w:lang w:val="en-US" w:eastAsia="en-GB"/>
        </w:rPr>
        <w:t>Monitoring</w:t>
      </w:r>
      <w:r w:rsidRPr="00C8711F">
        <w:rPr>
          <w:rFonts w:eastAsia="Arial Unicode MS"/>
          <w:noProof/>
          <w:u w:color="000000"/>
          <w:bdr w:val="nil"/>
          <w:lang w:val="en-US" w:eastAsia="en-GB"/>
        </w:rPr>
        <w:t>, evaluation and reporting arrangements</w:t>
      </w:r>
    </w:p>
    <w:p w14:paraId="0C474D55" w14:textId="77777777" w:rsidR="00AA3996" w:rsidRDefault="00AA3996" w:rsidP="00C04245">
      <w:pPr>
        <w:pBdr>
          <w:top w:val="nil"/>
          <w:left w:val="nil"/>
          <w:bottom w:val="nil"/>
          <w:right w:val="nil"/>
          <w:between w:val="nil"/>
          <w:bar w:val="nil"/>
        </w:pBdr>
        <w:spacing w:after="240"/>
        <w:rPr>
          <w:rFonts w:eastAsia="Arial Unicode MS"/>
          <w:noProof/>
        </w:rPr>
      </w:pPr>
      <w:r w:rsidRPr="00AA3996">
        <w:rPr>
          <w:rFonts w:eastAsia="Arial Unicode MS"/>
          <w:noProof/>
        </w:rPr>
        <w:t xml:space="preserve">Adequate monitoring and reporting arrangements have been identified. EMSA </w:t>
      </w:r>
      <w:r w:rsidR="00C04245">
        <w:rPr>
          <w:rFonts w:eastAsia="Arial Unicode MS"/>
          <w:noProof/>
        </w:rPr>
        <w:t xml:space="preserve">will </w:t>
      </w:r>
      <w:r w:rsidRPr="00AA3996">
        <w:rPr>
          <w:rFonts w:eastAsia="Arial Unicode MS"/>
          <w:noProof/>
        </w:rPr>
        <w:t>play an important role in this process, as the Agency is in charge of the development and operation of electronic data systems for maritime transport</w:t>
      </w:r>
      <w:r w:rsidR="00FB5F55">
        <w:rPr>
          <w:rFonts w:eastAsia="Arial Unicode MS"/>
          <w:noProof/>
        </w:rPr>
        <w:t xml:space="preserve">, in particular the THETIS targeting and </w:t>
      </w:r>
      <w:r w:rsidR="00572511">
        <w:rPr>
          <w:rFonts w:eastAsia="Arial Unicode MS"/>
          <w:noProof/>
        </w:rPr>
        <w:t>inspection</w:t>
      </w:r>
      <w:r w:rsidR="00FB5F55">
        <w:rPr>
          <w:rFonts w:eastAsia="Arial Unicode MS"/>
          <w:noProof/>
        </w:rPr>
        <w:t xml:space="preserve"> report</w:t>
      </w:r>
      <w:r w:rsidR="00572511">
        <w:rPr>
          <w:rFonts w:eastAsia="Arial Unicode MS"/>
          <w:noProof/>
        </w:rPr>
        <w:t>ing</w:t>
      </w:r>
      <w:r w:rsidR="00FB5F55">
        <w:rPr>
          <w:rFonts w:eastAsia="Arial Unicode MS"/>
          <w:noProof/>
        </w:rPr>
        <w:t xml:space="preserve"> database.</w:t>
      </w:r>
    </w:p>
    <w:p w14:paraId="266E7126" w14:textId="77777777" w:rsidR="00285256" w:rsidRDefault="00285256" w:rsidP="00151230">
      <w:pPr>
        <w:spacing w:before="0" w:after="240"/>
        <w:rPr>
          <w:noProof/>
          <w:szCs w:val="24"/>
        </w:rPr>
      </w:pPr>
      <w:r>
        <w:rPr>
          <w:noProof/>
          <w:szCs w:val="24"/>
        </w:rPr>
        <w:t xml:space="preserve">The </w:t>
      </w:r>
      <w:r w:rsidRPr="00285256">
        <w:rPr>
          <w:noProof/>
          <w:szCs w:val="24"/>
        </w:rPr>
        <w:t xml:space="preserve">implementation </w:t>
      </w:r>
      <w:r>
        <w:rPr>
          <w:noProof/>
          <w:szCs w:val="24"/>
        </w:rPr>
        <w:t xml:space="preserve">can be monitored by means of </w:t>
      </w:r>
      <w:r w:rsidR="00C04245">
        <w:rPr>
          <w:noProof/>
          <w:szCs w:val="24"/>
        </w:rPr>
        <w:t xml:space="preserve">the </w:t>
      </w:r>
      <w:r w:rsidRPr="00285256">
        <w:rPr>
          <w:noProof/>
          <w:szCs w:val="24"/>
        </w:rPr>
        <w:t>Commission</w:t>
      </w:r>
      <w:r w:rsidR="00C04245">
        <w:rPr>
          <w:noProof/>
          <w:szCs w:val="24"/>
        </w:rPr>
        <w:t xml:space="preserve"> and/or </w:t>
      </w:r>
      <w:r w:rsidRPr="00285256">
        <w:rPr>
          <w:noProof/>
          <w:szCs w:val="24"/>
        </w:rPr>
        <w:t xml:space="preserve">EMSA monitoring of </w:t>
      </w:r>
      <w:r w:rsidR="00572511">
        <w:rPr>
          <w:noProof/>
          <w:szCs w:val="24"/>
        </w:rPr>
        <w:t xml:space="preserve">the THETIS </w:t>
      </w:r>
      <w:r w:rsidRPr="00285256">
        <w:rPr>
          <w:noProof/>
          <w:szCs w:val="24"/>
        </w:rPr>
        <w:t xml:space="preserve">database to verify that </w:t>
      </w:r>
      <w:r w:rsidR="00572511">
        <w:rPr>
          <w:noProof/>
          <w:szCs w:val="24"/>
        </w:rPr>
        <w:t xml:space="preserve">ships are being correctly </w:t>
      </w:r>
      <w:r w:rsidR="00BC2354">
        <w:rPr>
          <w:noProof/>
          <w:szCs w:val="24"/>
        </w:rPr>
        <w:t>targeted</w:t>
      </w:r>
      <w:r w:rsidR="00572511">
        <w:rPr>
          <w:noProof/>
          <w:szCs w:val="24"/>
        </w:rPr>
        <w:t xml:space="preserve"> for inspection and that </w:t>
      </w:r>
      <w:r w:rsidR="00BC2354">
        <w:rPr>
          <w:noProof/>
          <w:szCs w:val="24"/>
        </w:rPr>
        <w:t>inspections</w:t>
      </w:r>
      <w:r w:rsidR="00572511">
        <w:rPr>
          <w:noProof/>
          <w:szCs w:val="24"/>
        </w:rPr>
        <w:t xml:space="preserve"> are being correctly carried out and that the inspection reports </w:t>
      </w:r>
      <w:r w:rsidRPr="00285256">
        <w:rPr>
          <w:noProof/>
          <w:szCs w:val="24"/>
        </w:rPr>
        <w:t>are uploaded to the database</w:t>
      </w:r>
      <w:r>
        <w:rPr>
          <w:noProof/>
          <w:szCs w:val="24"/>
        </w:rPr>
        <w:t>. EMSA also carries out cycles of vis</w:t>
      </w:r>
      <w:r w:rsidRPr="00285256">
        <w:rPr>
          <w:noProof/>
          <w:szCs w:val="24"/>
        </w:rPr>
        <w:t>its to Member States to v</w:t>
      </w:r>
      <w:r>
        <w:rPr>
          <w:noProof/>
          <w:szCs w:val="24"/>
        </w:rPr>
        <w:t xml:space="preserve">erify operations on the ground </w:t>
      </w:r>
      <w:r w:rsidRPr="00285256">
        <w:rPr>
          <w:noProof/>
          <w:szCs w:val="24"/>
        </w:rPr>
        <w:t>as part of EMSA’s support role to the Commission</w:t>
      </w:r>
      <w:r w:rsidRPr="00D24830">
        <w:rPr>
          <w:rStyle w:val="FootnoteReference"/>
          <w:noProof/>
        </w:rPr>
        <w:footnoteReference w:id="21"/>
      </w:r>
      <w:r w:rsidRPr="00285256">
        <w:rPr>
          <w:noProof/>
          <w:szCs w:val="24"/>
        </w:rPr>
        <w:t xml:space="preserve">. </w:t>
      </w:r>
      <w:r>
        <w:rPr>
          <w:noProof/>
          <w:szCs w:val="24"/>
        </w:rPr>
        <w:t>M</w:t>
      </w:r>
      <w:r w:rsidRPr="00285256">
        <w:rPr>
          <w:noProof/>
          <w:szCs w:val="24"/>
        </w:rPr>
        <w:t xml:space="preserve">ember States will have to have a </w:t>
      </w:r>
      <w:r w:rsidR="00C04245">
        <w:rPr>
          <w:noProof/>
          <w:szCs w:val="24"/>
        </w:rPr>
        <w:t>quality management system (</w:t>
      </w:r>
      <w:r w:rsidRPr="00285256">
        <w:rPr>
          <w:noProof/>
          <w:szCs w:val="24"/>
        </w:rPr>
        <w:t>QMS</w:t>
      </w:r>
      <w:r w:rsidR="00C04245">
        <w:rPr>
          <w:noProof/>
          <w:szCs w:val="24"/>
        </w:rPr>
        <w:t>)</w:t>
      </w:r>
      <w:r w:rsidRPr="00285256">
        <w:rPr>
          <w:noProof/>
          <w:szCs w:val="24"/>
        </w:rPr>
        <w:t xml:space="preserve"> to certify its organisation, policies, processes, resources and documentation are appropriate to achieve its objectives. This will have to be certified and subsequently subject to </w:t>
      </w:r>
      <w:r>
        <w:rPr>
          <w:noProof/>
          <w:szCs w:val="24"/>
        </w:rPr>
        <w:t>periodic</w:t>
      </w:r>
      <w:r w:rsidRPr="00285256">
        <w:rPr>
          <w:noProof/>
          <w:szCs w:val="24"/>
        </w:rPr>
        <w:t xml:space="preserve"> audit. </w:t>
      </w:r>
      <w:r w:rsidR="00572511">
        <w:rPr>
          <w:noProof/>
          <w:szCs w:val="24"/>
        </w:rPr>
        <w:t xml:space="preserve">Member States </w:t>
      </w:r>
      <w:r w:rsidRPr="00285256">
        <w:rPr>
          <w:noProof/>
          <w:szCs w:val="24"/>
        </w:rPr>
        <w:t xml:space="preserve">will </w:t>
      </w:r>
      <w:r w:rsidR="00151230">
        <w:rPr>
          <w:noProof/>
          <w:szCs w:val="24"/>
        </w:rPr>
        <w:t>be required</w:t>
      </w:r>
      <w:r w:rsidRPr="00285256">
        <w:rPr>
          <w:noProof/>
          <w:szCs w:val="24"/>
        </w:rPr>
        <w:t xml:space="preserve"> to share with Commission/EMSA the results of the audits carried out by the accredited body such that the </w:t>
      </w:r>
      <w:r w:rsidR="00F026AE">
        <w:rPr>
          <w:noProof/>
          <w:szCs w:val="24"/>
        </w:rPr>
        <w:t xml:space="preserve">national port State control authorities </w:t>
      </w:r>
      <w:r w:rsidRPr="00285256">
        <w:rPr>
          <w:noProof/>
          <w:szCs w:val="24"/>
        </w:rPr>
        <w:t xml:space="preserve">can retain </w:t>
      </w:r>
      <w:r w:rsidR="00F026AE">
        <w:rPr>
          <w:noProof/>
          <w:szCs w:val="24"/>
        </w:rPr>
        <w:t>their</w:t>
      </w:r>
      <w:r w:rsidRPr="00285256">
        <w:rPr>
          <w:noProof/>
          <w:szCs w:val="24"/>
        </w:rPr>
        <w:t xml:space="preserve"> QMS certification. </w:t>
      </w:r>
    </w:p>
    <w:p w14:paraId="75F78C47" w14:textId="77777777" w:rsidR="00285256" w:rsidRPr="00285256" w:rsidRDefault="00285256" w:rsidP="00285256">
      <w:pPr>
        <w:spacing w:before="0" w:after="240"/>
        <w:rPr>
          <w:noProof/>
          <w:szCs w:val="24"/>
        </w:rPr>
      </w:pPr>
      <w:r w:rsidRPr="00285256">
        <w:rPr>
          <w:noProof/>
          <w:szCs w:val="24"/>
        </w:rPr>
        <w:t>Given that the full cycle of envisaged EMSA implementation visits is scheduled to last 5 years</w:t>
      </w:r>
      <w:r w:rsidRPr="00D24830">
        <w:rPr>
          <w:rStyle w:val="FootnoteReference"/>
          <w:noProof/>
        </w:rPr>
        <w:footnoteReference w:id="22"/>
      </w:r>
      <w:r w:rsidRPr="00285256">
        <w:rPr>
          <w:noProof/>
          <w:szCs w:val="24"/>
        </w:rPr>
        <w:t xml:space="preserve">, </w:t>
      </w:r>
      <w:r>
        <w:rPr>
          <w:noProof/>
          <w:szCs w:val="24"/>
        </w:rPr>
        <w:t xml:space="preserve">it is proposed that the </w:t>
      </w:r>
      <w:r w:rsidRPr="00285256">
        <w:rPr>
          <w:noProof/>
          <w:szCs w:val="24"/>
        </w:rPr>
        <w:t>evaluation cycle of the Directive is set at seven-year intervals.</w:t>
      </w:r>
    </w:p>
    <w:p w14:paraId="34CD78F4" w14:textId="77777777" w:rsidR="005B3330" w:rsidRPr="00C8711F"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Explanatory documents (for directives)</w:t>
      </w:r>
    </w:p>
    <w:p w14:paraId="49A5F78A" w14:textId="77777777" w:rsidR="005B3330" w:rsidRPr="00C8711F" w:rsidRDefault="00285256" w:rsidP="00285256">
      <w:pPr>
        <w:pBdr>
          <w:top w:val="nil"/>
          <w:left w:val="nil"/>
          <w:bottom w:val="nil"/>
          <w:right w:val="nil"/>
          <w:between w:val="nil"/>
          <w:bar w:val="nil"/>
        </w:pBdr>
        <w:spacing w:before="0" w:after="240"/>
        <w:rPr>
          <w:rFonts w:eastAsia="Arial Unicode MS"/>
          <w:noProof/>
        </w:rPr>
      </w:pPr>
      <w:r w:rsidRPr="00285256">
        <w:rPr>
          <w:noProof/>
        </w:rPr>
        <w:t>Explanatory documents are not required as the proposal aims to simplify and clarify the existing regime.</w:t>
      </w:r>
    </w:p>
    <w:p w14:paraId="7F164D3C" w14:textId="77777777" w:rsidR="005B3330" w:rsidRDefault="005B3330" w:rsidP="007800DD">
      <w:pPr>
        <w:pStyle w:val="ManualHeading2"/>
        <w:rPr>
          <w:rFonts w:eastAsia="Arial Unicode MS"/>
          <w:noProof/>
          <w:u w:color="000000"/>
          <w:bdr w:val="nil"/>
          <w:lang w:val="en-US" w:eastAsia="en-GB"/>
        </w:rPr>
      </w:pPr>
      <w:r w:rsidRPr="00C8711F">
        <w:rPr>
          <w:rFonts w:eastAsia="Arial Unicode MS"/>
          <w:noProof/>
          <w:u w:color="000000"/>
          <w:bdr w:val="nil"/>
          <w:lang w:val="en-US" w:eastAsia="en-GB"/>
        </w:rPr>
        <w:t>•</w:t>
      </w:r>
      <w:r w:rsidRPr="00C8711F">
        <w:rPr>
          <w:rFonts w:eastAsia="Arial Unicode MS"/>
          <w:noProof/>
          <w:u w:color="000000"/>
          <w:bdr w:val="nil"/>
          <w:lang w:val="en-US" w:eastAsia="en-GB"/>
        </w:rPr>
        <w:tab/>
        <w:t>Detailed explanation of the specific provisions of the proposal</w:t>
      </w:r>
    </w:p>
    <w:p w14:paraId="159DEA6A" w14:textId="77777777" w:rsidR="00F026AE" w:rsidRPr="00F026AE" w:rsidRDefault="00F026AE" w:rsidP="00F026AE">
      <w:pPr>
        <w:pStyle w:val="Text1"/>
        <w:ind w:left="0"/>
        <w:rPr>
          <w:noProof/>
          <w:lang w:val="en-US" w:eastAsia="en-GB"/>
        </w:rPr>
      </w:pPr>
      <w:r>
        <w:rPr>
          <w:noProof/>
          <w:lang w:val="en-US" w:eastAsia="en-GB"/>
        </w:rPr>
        <w:t xml:space="preserve">Recital 11 encourages all EU Member States which are eligible (Spain, Greece, France, Croatia, Italy and Slovenia) to become members of the Mediterranean Memorandum of Understanding on port State control to improve the quality and quantity of port State control inspections carried out in the Mediterranean basin.   </w:t>
      </w:r>
    </w:p>
    <w:p w14:paraId="6636A279" w14:textId="77777777" w:rsidR="008E4895" w:rsidRPr="00C8711F" w:rsidRDefault="008E4895" w:rsidP="00572511">
      <w:pPr>
        <w:pBdr>
          <w:top w:val="nil"/>
          <w:left w:val="nil"/>
          <w:bottom w:val="nil"/>
          <w:right w:val="nil"/>
          <w:between w:val="nil"/>
          <w:bar w:val="nil"/>
        </w:pBdr>
        <w:spacing w:after="240"/>
        <w:rPr>
          <w:b/>
          <w:i/>
          <w:noProof/>
        </w:rPr>
      </w:pPr>
      <w:r w:rsidRPr="00C8711F">
        <w:rPr>
          <w:noProof/>
        </w:rPr>
        <w:t xml:space="preserve">Article 1 of the </w:t>
      </w:r>
      <w:r w:rsidR="002000AA" w:rsidRPr="00C8711F">
        <w:rPr>
          <w:noProof/>
        </w:rPr>
        <w:t xml:space="preserve">draft </w:t>
      </w:r>
      <w:r w:rsidRPr="00C8711F">
        <w:rPr>
          <w:noProof/>
        </w:rPr>
        <w:t>amending Directive forms its main part and contains amendments to numerous provisions of Directive 200</w:t>
      </w:r>
      <w:r w:rsidR="00DE56A5">
        <w:rPr>
          <w:noProof/>
        </w:rPr>
        <w:t>9</w:t>
      </w:r>
      <w:r w:rsidRPr="00C8711F">
        <w:rPr>
          <w:noProof/>
        </w:rPr>
        <w:t>/</w:t>
      </w:r>
      <w:r w:rsidR="00DE56A5">
        <w:rPr>
          <w:noProof/>
        </w:rPr>
        <w:t>1</w:t>
      </w:r>
      <w:r w:rsidR="00572511">
        <w:rPr>
          <w:noProof/>
        </w:rPr>
        <w:t>6</w:t>
      </w:r>
      <w:r w:rsidRPr="00C8711F">
        <w:rPr>
          <w:noProof/>
        </w:rPr>
        <w:t>/EC.</w:t>
      </w:r>
      <w:r w:rsidRPr="00C8711F">
        <w:rPr>
          <w:b/>
          <w:i/>
          <w:noProof/>
        </w:rPr>
        <w:t xml:space="preserve"> </w:t>
      </w:r>
    </w:p>
    <w:p w14:paraId="5903DE1D" w14:textId="77777777" w:rsidR="008E4895" w:rsidRPr="00C8711F" w:rsidRDefault="008E4895" w:rsidP="00BC2354">
      <w:pPr>
        <w:pBdr>
          <w:top w:val="nil"/>
          <w:left w:val="nil"/>
          <w:bottom w:val="nil"/>
          <w:right w:val="nil"/>
          <w:between w:val="nil"/>
          <w:bar w:val="nil"/>
        </w:pBdr>
        <w:spacing w:after="0"/>
        <w:rPr>
          <w:b/>
          <w:i/>
          <w:noProof/>
        </w:rPr>
      </w:pPr>
      <w:r w:rsidRPr="00C8711F">
        <w:rPr>
          <w:b/>
          <w:i/>
          <w:noProof/>
        </w:rPr>
        <w:t>Purpose</w:t>
      </w:r>
      <w:r w:rsidR="00BC2354">
        <w:rPr>
          <w:b/>
          <w:i/>
          <w:noProof/>
        </w:rPr>
        <w:t>, definition and scope</w:t>
      </w:r>
      <w:r w:rsidRPr="00C8711F">
        <w:rPr>
          <w:b/>
          <w:i/>
          <w:noProof/>
        </w:rPr>
        <w:t xml:space="preserve"> </w:t>
      </w:r>
    </w:p>
    <w:p w14:paraId="046CD66E" w14:textId="77777777" w:rsidR="004B57A2" w:rsidRDefault="008E4895" w:rsidP="00513497">
      <w:pPr>
        <w:pBdr>
          <w:top w:val="nil"/>
          <w:left w:val="nil"/>
          <w:bottom w:val="nil"/>
          <w:right w:val="nil"/>
          <w:between w:val="nil"/>
          <w:bar w:val="nil"/>
        </w:pBdr>
        <w:spacing w:after="240"/>
        <w:rPr>
          <w:noProof/>
        </w:rPr>
      </w:pPr>
      <w:r w:rsidRPr="00C8711F">
        <w:rPr>
          <w:noProof/>
        </w:rPr>
        <w:t>In poin</w:t>
      </w:r>
      <w:r w:rsidRPr="00F026AE">
        <w:rPr>
          <w:noProof/>
        </w:rPr>
        <w:t>t 1</w:t>
      </w:r>
      <w:r w:rsidR="000C535B" w:rsidRPr="00F026AE">
        <w:rPr>
          <w:noProof/>
        </w:rPr>
        <w:t>,</w:t>
      </w:r>
      <w:r w:rsidR="000C535B">
        <w:rPr>
          <w:noProof/>
        </w:rPr>
        <w:t xml:space="preserve"> Article 2 </w:t>
      </w:r>
      <w:r w:rsidR="002864AB">
        <w:rPr>
          <w:noProof/>
        </w:rPr>
        <w:t xml:space="preserve">is amended and the </w:t>
      </w:r>
      <w:r w:rsidR="000C535B">
        <w:rPr>
          <w:noProof/>
        </w:rPr>
        <w:t xml:space="preserve">scope of the </w:t>
      </w:r>
      <w:r w:rsidR="002864AB">
        <w:rPr>
          <w:noProof/>
        </w:rPr>
        <w:t>D</w:t>
      </w:r>
      <w:r w:rsidR="000C535B">
        <w:rPr>
          <w:noProof/>
        </w:rPr>
        <w:t xml:space="preserve">irective is hereby partially extended to </w:t>
      </w:r>
      <w:r w:rsidR="002864AB">
        <w:rPr>
          <w:noProof/>
        </w:rPr>
        <w:t xml:space="preserve">bring a number of international conventions within the </w:t>
      </w:r>
      <w:r w:rsidR="004B57A2">
        <w:rPr>
          <w:noProof/>
        </w:rPr>
        <w:t>scope</w:t>
      </w:r>
      <w:r w:rsidR="002864AB">
        <w:rPr>
          <w:noProof/>
        </w:rPr>
        <w:t xml:space="preserve"> of port State control </w:t>
      </w:r>
      <w:r w:rsidR="004B57A2">
        <w:rPr>
          <w:noProof/>
        </w:rPr>
        <w:t>inspections</w:t>
      </w:r>
      <w:r w:rsidR="002864AB">
        <w:rPr>
          <w:noProof/>
        </w:rPr>
        <w:t xml:space="preserve">. </w:t>
      </w:r>
      <w:r w:rsidR="004B57A2">
        <w:rPr>
          <w:noProof/>
        </w:rPr>
        <w:t xml:space="preserve">These are the </w:t>
      </w:r>
      <w:r w:rsidR="004B57A2" w:rsidRPr="004B57A2">
        <w:rPr>
          <w:noProof/>
        </w:rPr>
        <w:t>International Convention for the Control and Management of Ships' Ballast Water and Sediments (BWM</w:t>
      </w:r>
      <w:r w:rsidR="00894990">
        <w:rPr>
          <w:noProof/>
        </w:rPr>
        <w:t xml:space="preserve"> Convention</w:t>
      </w:r>
      <w:r w:rsidR="004B57A2" w:rsidRPr="004B57A2">
        <w:rPr>
          <w:noProof/>
        </w:rPr>
        <w:t>)</w:t>
      </w:r>
      <w:r w:rsidR="004B57A2">
        <w:rPr>
          <w:noProof/>
        </w:rPr>
        <w:t xml:space="preserve"> and the </w:t>
      </w:r>
      <w:r w:rsidR="004B57A2" w:rsidRPr="004B57A2">
        <w:rPr>
          <w:noProof/>
        </w:rPr>
        <w:t>International Convention on the Removal of Wrecks (Nairobi)</w:t>
      </w:r>
      <w:r w:rsidR="004B57A2">
        <w:rPr>
          <w:noProof/>
        </w:rPr>
        <w:t xml:space="preserve"> both of which are in force and have been adopted as relevant instruments by the Paris M</w:t>
      </w:r>
      <w:r w:rsidR="00513497">
        <w:rPr>
          <w:noProof/>
        </w:rPr>
        <w:t>O</w:t>
      </w:r>
      <w:r w:rsidR="004B57A2">
        <w:rPr>
          <w:noProof/>
        </w:rPr>
        <w:t xml:space="preserve">U. </w:t>
      </w:r>
    </w:p>
    <w:p w14:paraId="5E6AEFE8" w14:textId="77777777" w:rsidR="00BC2354" w:rsidRPr="006F21E5" w:rsidRDefault="000C535B" w:rsidP="00D1674B">
      <w:pPr>
        <w:pBdr>
          <w:top w:val="nil"/>
          <w:left w:val="nil"/>
          <w:bottom w:val="nil"/>
          <w:right w:val="nil"/>
          <w:between w:val="nil"/>
          <w:bar w:val="nil"/>
        </w:pBdr>
        <w:spacing w:after="240"/>
        <w:rPr>
          <w:noProof/>
        </w:rPr>
      </w:pPr>
      <w:r>
        <w:rPr>
          <w:noProof/>
        </w:rPr>
        <w:t xml:space="preserve">In </w:t>
      </w:r>
      <w:r w:rsidRPr="006F21E5">
        <w:rPr>
          <w:noProof/>
        </w:rPr>
        <w:t>point 2</w:t>
      </w:r>
      <w:r w:rsidR="00C04245">
        <w:rPr>
          <w:noProof/>
        </w:rPr>
        <w:t>,</w:t>
      </w:r>
      <w:r w:rsidRPr="006F21E5">
        <w:rPr>
          <w:noProof/>
        </w:rPr>
        <w:t xml:space="preserve"> </w:t>
      </w:r>
      <w:r w:rsidR="00BC2354" w:rsidRPr="006F21E5">
        <w:rPr>
          <w:noProof/>
        </w:rPr>
        <w:t xml:space="preserve">the scope is amended so that fishing vessels of above 24 metres in length can be inspected under </w:t>
      </w:r>
      <w:r w:rsidR="00AA68A4">
        <w:rPr>
          <w:noProof/>
        </w:rPr>
        <w:t>PSC by those M</w:t>
      </w:r>
      <w:r w:rsidR="00BC2354" w:rsidRPr="006F21E5">
        <w:rPr>
          <w:noProof/>
        </w:rPr>
        <w:t xml:space="preserve">ember States who wish to carry out these inspections. </w:t>
      </w:r>
    </w:p>
    <w:p w14:paraId="47828F17" w14:textId="77777777" w:rsidR="001503E7" w:rsidRPr="006F21E5" w:rsidRDefault="00461A76" w:rsidP="00461A76">
      <w:pPr>
        <w:pBdr>
          <w:top w:val="nil"/>
          <w:left w:val="nil"/>
          <w:bottom w:val="nil"/>
          <w:right w:val="nil"/>
          <w:between w:val="nil"/>
          <w:bar w:val="nil"/>
        </w:pBdr>
        <w:spacing w:after="240"/>
        <w:rPr>
          <w:b/>
          <w:i/>
          <w:noProof/>
        </w:rPr>
      </w:pPr>
      <w:r w:rsidRPr="006F21E5">
        <w:rPr>
          <w:b/>
          <w:i/>
          <w:noProof/>
        </w:rPr>
        <w:t xml:space="preserve">Inspection commitment  </w:t>
      </w:r>
    </w:p>
    <w:p w14:paraId="76B85033" w14:textId="77777777" w:rsidR="00B96FAE" w:rsidRDefault="008E4895" w:rsidP="00513497">
      <w:pPr>
        <w:pBdr>
          <w:top w:val="nil"/>
          <w:left w:val="nil"/>
          <w:bottom w:val="nil"/>
          <w:right w:val="nil"/>
          <w:between w:val="nil"/>
          <w:bar w:val="nil"/>
        </w:pBdr>
        <w:spacing w:after="240"/>
        <w:rPr>
          <w:noProof/>
        </w:rPr>
      </w:pPr>
      <w:r w:rsidRPr="006F21E5">
        <w:rPr>
          <w:noProof/>
        </w:rPr>
        <w:t>Point</w:t>
      </w:r>
      <w:r w:rsidR="00775DDC" w:rsidRPr="006F21E5">
        <w:rPr>
          <w:noProof/>
        </w:rPr>
        <w:t xml:space="preserve"> </w:t>
      </w:r>
      <w:r w:rsidR="00DD53CE" w:rsidRPr="006F21E5">
        <w:rPr>
          <w:noProof/>
        </w:rPr>
        <w:t>3</w:t>
      </w:r>
      <w:r w:rsidRPr="006F21E5">
        <w:rPr>
          <w:noProof/>
        </w:rPr>
        <w:t xml:space="preserve"> </w:t>
      </w:r>
      <w:r w:rsidR="00C51B6B" w:rsidRPr="006F21E5">
        <w:rPr>
          <w:noProof/>
        </w:rPr>
        <w:t>makes changes to</w:t>
      </w:r>
      <w:r w:rsidR="00AA68A4">
        <w:rPr>
          <w:noProof/>
        </w:rPr>
        <w:t xml:space="preserve"> the</w:t>
      </w:r>
      <w:r w:rsidR="00C51B6B" w:rsidRPr="006F21E5">
        <w:rPr>
          <w:noProof/>
        </w:rPr>
        <w:t xml:space="preserve"> </w:t>
      </w:r>
      <w:r w:rsidR="00A05108" w:rsidRPr="006F21E5">
        <w:rPr>
          <w:noProof/>
        </w:rPr>
        <w:t xml:space="preserve">inspection commitment (the so-called </w:t>
      </w:r>
      <w:r w:rsidR="00B96FAE" w:rsidRPr="006F21E5">
        <w:rPr>
          <w:noProof/>
        </w:rPr>
        <w:t>“</w:t>
      </w:r>
      <w:r w:rsidR="00A05108" w:rsidRPr="006F21E5">
        <w:rPr>
          <w:noProof/>
        </w:rPr>
        <w:t>fair share</w:t>
      </w:r>
      <w:r w:rsidR="00B96FAE" w:rsidRPr="006F21E5">
        <w:rPr>
          <w:noProof/>
        </w:rPr>
        <w:t>”)</w:t>
      </w:r>
      <w:r w:rsidR="00A05108" w:rsidRPr="006F21E5">
        <w:rPr>
          <w:noProof/>
        </w:rPr>
        <w:t xml:space="preserve"> and the way that this is</w:t>
      </w:r>
      <w:r w:rsidR="00A05108">
        <w:rPr>
          <w:noProof/>
        </w:rPr>
        <w:t xml:space="preserve"> calculated</w:t>
      </w:r>
      <w:r w:rsidR="00B96FAE">
        <w:rPr>
          <w:noProof/>
        </w:rPr>
        <w:t xml:space="preserve"> and complied with by Member States. Currently</w:t>
      </w:r>
      <w:r w:rsidR="00AA68A4">
        <w:rPr>
          <w:noProof/>
        </w:rPr>
        <w:t>,</w:t>
      </w:r>
      <w:r w:rsidR="00B96FAE">
        <w:rPr>
          <w:noProof/>
        </w:rPr>
        <w:t xml:space="preserve"> the inspection commitment is</w:t>
      </w:r>
      <w:r w:rsidR="00B96FAE" w:rsidRPr="00A05108">
        <w:rPr>
          <w:noProof/>
        </w:rPr>
        <w:t xml:space="preserve"> based on a three</w:t>
      </w:r>
      <w:r w:rsidR="00CD79E9">
        <w:rPr>
          <w:noProof/>
        </w:rPr>
        <w:t>-</w:t>
      </w:r>
      <w:r w:rsidR="00B96FAE" w:rsidRPr="00A05108">
        <w:rPr>
          <w:noProof/>
        </w:rPr>
        <w:t xml:space="preserve">year rolling average of all inspections carried out in </w:t>
      </w:r>
      <w:r w:rsidR="00B96FAE" w:rsidRPr="004B3BDE">
        <w:rPr>
          <w:noProof/>
        </w:rPr>
        <w:t>the Paris M</w:t>
      </w:r>
      <w:r w:rsidR="00513497">
        <w:rPr>
          <w:noProof/>
        </w:rPr>
        <w:t>O</w:t>
      </w:r>
      <w:r w:rsidR="00B96FAE" w:rsidRPr="004B3BDE">
        <w:rPr>
          <w:noProof/>
        </w:rPr>
        <w:t>U region. This means that</w:t>
      </w:r>
      <w:r w:rsidR="00AA68A4" w:rsidRPr="004B3BDE">
        <w:rPr>
          <w:noProof/>
        </w:rPr>
        <w:t>,</w:t>
      </w:r>
      <w:r w:rsidR="00B96FAE" w:rsidRPr="004B3BDE">
        <w:rPr>
          <w:noProof/>
        </w:rPr>
        <w:t xml:space="preserve"> when </w:t>
      </w:r>
      <w:r w:rsidR="00A05108" w:rsidRPr="004B3BDE">
        <w:rPr>
          <w:noProof/>
        </w:rPr>
        <w:t xml:space="preserve">Member States inspect </w:t>
      </w:r>
      <w:r w:rsidR="00B96FAE" w:rsidRPr="004B3BDE">
        <w:rPr>
          <w:noProof/>
        </w:rPr>
        <w:t xml:space="preserve">significantly more </w:t>
      </w:r>
      <w:r w:rsidR="00A05108" w:rsidRPr="004B3BDE">
        <w:rPr>
          <w:noProof/>
        </w:rPr>
        <w:t>vessels than their inspection commitment provides for</w:t>
      </w:r>
      <w:r w:rsidR="00AA68A4" w:rsidRPr="004B3BDE">
        <w:rPr>
          <w:noProof/>
        </w:rPr>
        <w:t>,</w:t>
      </w:r>
      <w:r w:rsidR="00B96FAE" w:rsidRPr="004B3BDE">
        <w:rPr>
          <w:noProof/>
        </w:rPr>
        <w:t xml:space="preserve"> this </w:t>
      </w:r>
      <w:r w:rsidR="00AA68A4" w:rsidRPr="004B3BDE">
        <w:rPr>
          <w:noProof/>
        </w:rPr>
        <w:t>will</w:t>
      </w:r>
      <w:r w:rsidR="00C84DE3">
        <w:rPr>
          <w:noProof/>
        </w:rPr>
        <w:t>,</w:t>
      </w:r>
      <w:r w:rsidR="00B96FAE" w:rsidRPr="004B3BDE">
        <w:rPr>
          <w:noProof/>
        </w:rPr>
        <w:t xml:space="preserve"> over time</w:t>
      </w:r>
      <w:r w:rsidR="00C84DE3">
        <w:rPr>
          <w:noProof/>
        </w:rPr>
        <w:t>,</w:t>
      </w:r>
      <w:r w:rsidR="00B96FAE" w:rsidRPr="004B3BDE">
        <w:rPr>
          <w:noProof/>
        </w:rPr>
        <w:t xml:space="preserve"> </w:t>
      </w:r>
      <w:r w:rsidR="00A05108" w:rsidRPr="004B3BDE">
        <w:rPr>
          <w:noProof/>
        </w:rPr>
        <w:t xml:space="preserve">cumulatively </w:t>
      </w:r>
      <w:r w:rsidR="00B96FAE" w:rsidRPr="004B3BDE">
        <w:rPr>
          <w:noProof/>
        </w:rPr>
        <w:t>incre</w:t>
      </w:r>
      <w:r w:rsidR="00AA68A4" w:rsidRPr="004B3BDE">
        <w:rPr>
          <w:noProof/>
        </w:rPr>
        <w:t>ase</w:t>
      </w:r>
      <w:r w:rsidR="00B96FAE" w:rsidRPr="004B3BDE">
        <w:rPr>
          <w:noProof/>
        </w:rPr>
        <w:t xml:space="preserve"> the inspection commitment for all Member States</w:t>
      </w:r>
      <w:r w:rsidR="00AA68A4" w:rsidRPr="004B3BDE">
        <w:rPr>
          <w:noProof/>
        </w:rPr>
        <w:t>. T</w:t>
      </w:r>
      <w:r w:rsidR="00B96FAE" w:rsidRPr="004B3BDE">
        <w:rPr>
          <w:noProof/>
        </w:rPr>
        <w:t xml:space="preserve">his increase has been calculated </w:t>
      </w:r>
      <w:r w:rsidR="00C04245" w:rsidRPr="004B3BDE">
        <w:rPr>
          <w:noProof/>
        </w:rPr>
        <w:t xml:space="preserve">by EMSA </w:t>
      </w:r>
      <w:r w:rsidR="00B96FAE" w:rsidRPr="004B3BDE">
        <w:rPr>
          <w:noProof/>
        </w:rPr>
        <w:t xml:space="preserve">at </w:t>
      </w:r>
      <w:r w:rsidR="00A05108" w:rsidRPr="004B3BDE">
        <w:rPr>
          <w:noProof/>
        </w:rPr>
        <w:t>1-2% per year</w:t>
      </w:r>
      <w:r w:rsidR="00B96FAE" w:rsidRPr="004B3BDE">
        <w:rPr>
          <w:noProof/>
        </w:rPr>
        <w:t xml:space="preserve">. This measure is designed to address this </w:t>
      </w:r>
      <w:r w:rsidR="00C04245" w:rsidRPr="004B3BDE">
        <w:rPr>
          <w:noProof/>
        </w:rPr>
        <w:t>additional and unnecessary burden on the Member States</w:t>
      </w:r>
      <w:r w:rsidR="00B96FAE" w:rsidRPr="004B3BDE">
        <w:rPr>
          <w:noProof/>
        </w:rPr>
        <w:t>.</w:t>
      </w:r>
    </w:p>
    <w:p w14:paraId="17E9B57B" w14:textId="77777777" w:rsidR="00B014D9" w:rsidRPr="00F24AB2" w:rsidRDefault="00D758EA" w:rsidP="00513497">
      <w:pPr>
        <w:pBdr>
          <w:top w:val="nil"/>
          <w:left w:val="nil"/>
          <w:bottom w:val="nil"/>
          <w:right w:val="nil"/>
          <w:between w:val="nil"/>
          <w:bar w:val="nil"/>
        </w:pBdr>
        <w:spacing w:after="240"/>
        <w:rPr>
          <w:noProof/>
        </w:rPr>
      </w:pPr>
      <w:r w:rsidRPr="00F24AB2">
        <w:rPr>
          <w:noProof/>
        </w:rPr>
        <w:t xml:space="preserve">Point </w:t>
      </w:r>
      <w:r w:rsidR="00464E9F" w:rsidRPr="00F24AB2">
        <w:rPr>
          <w:noProof/>
        </w:rPr>
        <w:t xml:space="preserve">4 and </w:t>
      </w:r>
      <w:r w:rsidR="00B014D9" w:rsidRPr="00F24AB2">
        <w:rPr>
          <w:noProof/>
        </w:rPr>
        <w:t xml:space="preserve">5 </w:t>
      </w:r>
      <w:r w:rsidRPr="00F24AB2">
        <w:rPr>
          <w:noProof/>
        </w:rPr>
        <w:t xml:space="preserve">aligns the </w:t>
      </w:r>
      <w:r w:rsidR="00B014D9" w:rsidRPr="00F24AB2">
        <w:rPr>
          <w:noProof/>
        </w:rPr>
        <w:t>D</w:t>
      </w:r>
      <w:r w:rsidRPr="00F24AB2">
        <w:rPr>
          <w:noProof/>
        </w:rPr>
        <w:t xml:space="preserve">irective </w:t>
      </w:r>
      <w:r w:rsidR="00AA68A4">
        <w:rPr>
          <w:noProof/>
        </w:rPr>
        <w:t>with</w:t>
      </w:r>
      <w:r w:rsidRPr="00F24AB2">
        <w:rPr>
          <w:noProof/>
        </w:rPr>
        <w:t xml:space="preserve"> changes</w:t>
      </w:r>
      <w:r w:rsidR="00AA68A4">
        <w:rPr>
          <w:noProof/>
        </w:rPr>
        <w:t xml:space="preserve"> in the Paris M</w:t>
      </w:r>
      <w:r w:rsidR="00513497">
        <w:rPr>
          <w:noProof/>
        </w:rPr>
        <w:t>O</w:t>
      </w:r>
      <w:r w:rsidR="00AA68A4">
        <w:rPr>
          <w:noProof/>
        </w:rPr>
        <w:t>U</w:t>
      </w:r>
      <w:r w:rsidRPr="00F24AB2">
        <w:rPr>
          <w:noProof/>
        </w:rPr>
        <w:t xml:space="preserve"> as regards the inspection commitment</w:t>
      </w:r>
      <w:r w:rsidR="00AA68A4">
        <w:rPr>
          <w:noProof/>
        </w:rPr>
        <w:t xml:space="preserve"> and </w:t>
      </w:r>
      <w:r w:rsidR="00B014D9" w:rsidRPr="00F24AB2">
        <w:rPr>
          <w:noProof/>
        </w:rPr>
        <w:t>to allow more flexibility for missed inspections</w:t>
      </w:r>
      <w:r w:rsidR="00AA68A4">
        <w:rPr>
          <w:noProof/>
        </w:rPr>
        <w:t xml:space="preserve"> (either for operational or force majeure reasons)</w:t>
      </w:r>
      <w:r w:rsidRPr="00F24AB2">
        <w:rPr>
          <w:noProof/>
        </w:rPr>
        <w:t xml:space="preserve">. </w:t>
      </w:r>
      <w:r w:rsidR="00B014D9" w:rsidRPr="00F24AB2">
        <w:rPr>
          <w:noProof/>
        </w:rPr>
        <w:t xml:space="preserve"> </w:t>
      </w:r>
    </w:p>
    <w:p w14:paraId="7BE3FA62" w14:textId="77777777" w:rsidR="00B014D9" w:rsidRPr="00F24AB2" w:rsidRDefault="00B014D9" w:rsidP="00C04245">
      <w:pPr>
        <w:pBdr>
          <w:top w:val="nil"/>
          <w:left w:val="nil"/>
          <w:bottom w:val="nil"/>
          <w:right w:val="nil"/>
          <w:between w:val="nil"/>
          <w:bar w:val="nil"/>
        </w:pBdr>
        <w:spacing w:after="240"/>
        <w:rPr>
          <w:noProof/>
        </w:rPr>
      </w:pPr>
      <w:r w:rsidRPr="00F24AB2">
        <w:rPr>
          <w:noProof/>
        </w:rPr>
        <w:t xml:space="preserve">Point </w:t>
      </w:r>
      <w:r w:rsidR="00464E9F" w:rsidRPr="00F24AB2">
        <w:rPr>
          <w:noProof/>
        </w:rPr>
        <w:t>6</w:t>
      </w:r>
      <w:r w:rsidR="003A6E5A" w:rsidRPr="00F24AB2">
        <w:rPr>
          <w:noProof/>
        </w:rPr>
        <w:t xml:space="preserve"> </w:t>
      </w:r>
      <w:r w:rsidR="00943833">
        <w:rPr>
          <w:noProof/>
        </w:rPr>
        <w:t>also amends the Directive</w:t>
      </w:r>
      <w:r w:rsidRPr="00F24AB2">
        <w:rPr>
          <w:noProof/>
        </w:rPr>
        <w:t xml:space="preserve"> to allow more flexibility for missed inspections and to comply with the inspection commitment.  </w:t>
      </w:r>
    </w:p>
    <w:p w14:paraId="74098579" w14:textId="77777777" w:rsidR="00B71E28" w:rsidRPr="00F24AB2" w:rsidRDefault="00B71E28" w:rsidP="00B014D9">
      <w:pPr>
        <w:pBdr>
          <w:top w:val="nil"/>
          <w:left w:val="nil"/>
          <w:bottom w:val="nil"/>
          <w:right w:val="nil"/>
          <w:between w:val="nil"/>
          <w:bar w:val="nil"/>
        </w:pBdr>
        <w:spacing w:after="240"/>
        <w:rPr>
          <w:b/>
          <w:bCs/>
          <w:i/>
          <w:iCs/>
          <w:noProof/>
        </w:rPr>
      </w:pPr>
      <w:r w:rsidRPr="00F24AB2">
        <w:rPr>
          <w:b/>
          <w:bCs/>
          <w:i/>
          <w:iCs/>
          <w:noProof/>
        </w:rPr>
        <w:t xml:space="preserve">Force majeure situations </w:t>
      </w:r>
    </w:p>
    <w:p w14:paraId="2C52672C" w14:textId="77777777" w:rsidR="003A6E5A" w:rsidRPr="00F24AB2" w:rsidRDefault="00B014D9" w:rsidP="00C04245">
      <w:pPr>
        <w:pBdr>
          <w:top w:val="nil"/>
          <w:left w:val="nil"/>
          <w:bottom w:val="nil"/>
          <w:right w:val="nil"/>
          <w:between w:val="nil"/>
          <w:bar w:val="nil"/>
        </w:pBdr>
        <w:spacing w:after="240"/>
        <w:rPr>
          <w:noProof/>
        </w:rPr>
      </w:pPr>
      <w:r w:rsidRPr="00F24AB2">
        <w:rPr>
          <w:noProof/>
        </w:rPr>
        <w:t xml:space="preserve">Point </w:t>
      </w:r>
      <w:r w:rsidR="00D974C7" w:rsidRPr="00F24AB2">
        <w:rPr>
          <w:noProof/>
        </w:rPr>
        <w:t>7</w:t>
      </w:r>
      <w:r w:rsidR="003A6E5A" w:rsidRPr="00F24AB2">
        <w:rPr>
          <w:noProof/>
        </w:rPr>
        <w:t xml:space="preserve"> addresses the issue of lack of flexibility of the PSC regime in cases of crisis or unexpected events, such as the COVID-19 pandemic. In order to make the regime more resilient, a new Article 8a </w:t>
      </w:r>
      <w:r w:rsidR="00930E79" w:rsidRPr="00F24AB2">
        <w:rPr>
          <w:noProof/>
        </w:rPr>
        <w:t>is introduced. T</w:t>
      </w:r>
      <w:r w:rsidR="003A6E5A" w:rsidRPr="00F24AB2">
        <w:rPr>
          <w:noProof/>
        </w:rPr>
        <w:t xml:space="preserve">he measure allows more flexibility to Member States, </w:t>
      </w:r>
      <w:r w:rsidR="00C04245">
        <w:rPr>
          <w:noProof/>
        </w:rPr>
        <w:t xml:space="preserve">as it allows them </w:t>
      </w:r>
      <w:r w:rsidR="003A6E5A" w:rsidRPr="00F24AB2">
        <w:rPr>
          <w:noProof/>
        </w:rPr>
        <w:t xml:space="preserve">to miss inspections in cases of force majeure, provided that the missed inspection is recorded and the reason for missing the inspection is documented. </w:t>
      </w:r>
    </w:p>
    <w:p w14:paraId="704CD255" w14:textId="77777777" w:rsidR="00B71E28" w:rsidRPr="00F24AB2" w:rsidRDefault="00B71E28" w:rsidP="003A6E5A">
      <w:pPr>
        <w:pBdr>
          <w:top w:val="nil"/>
          <w:left w:val="nil"/>
          <w:bottom w:val="nil"/>
          <w:right w:val="nil"/>
          <w:between w:val="nil"/>
          <w:bar w:val="nil"/>
        </w:pBdr>
        <w:spacing w:after="240"/>
        <w:rPr>
          <w:b/>
          <w:bCs/>
          <w:i/>
          <w:iCs/>
          <w:noProof/>
        </w:rPr>
      </w:pPr>
      <w:r w:rsidRPr="00F24AB2">
        <w:rPr>
          <w:b/>
          <w:bCs/>
          <w:i/>
          <w:iCs/>
          <w:noProof/>
        </w:rPr>
        <w:t xml:space="preserve">Pre-arrival notification </w:t>
      </w:r>
    </w:p>
    <w:p w14:paraId="4E2DEE6E" w14:textId="77777777" w:rsidR="003A6E5A" w:rsidRDefault="003A6E5A" w:rsidP="00513497">
      <w:pPr>
        <w:pBdr>
          <w:top w:val="nil"/>
          <w:left w:val="nil"/>
          <w:bottom w:val="nil"/>
          <w:right w:val="nil"/>
          <w:between w:val="nil"/>
          <w:bar w:val="nil"/>
        </w:pBdr>
        <w:spacing w:after="240"/>
        <w:rPr>
          <w:noProof/>
        </w:rPr>
      </w:pPr>
      <w:r w:rsidRPr="00F24AB2">
        <w:rPr>
          <w:noProof/>
        </w:rPr>
        <w:t>Point</w:t>
      </w:r>
      <w:r w:rsidR="0049786D" w:rsidRPr="00F24AB2">
        <w:rPr>
          <w:noProof/>
        </w:rPr>
        <w:t>s</w:t>
      </w:r>
      <w:r w:rsidRPr="00F24AB2">
        <w:rPr>
          <w:noProof/>
        </w:rPr>
        <w:t xml:space="preserve"> </w:t>
      </w:r>
      <w:r w:rsidR="00D974C7" w:rsidRPr="00F24AB2">
        <w:rPr>
          <w:noProof/>
        </w:rPr>
        <w:t>8</w:t>
      </w:r>
      <w:r w:rsidR="0049786D" w:rsidRPr="00F24AB2">
        <w:rPr>
          <w:noProof/>
        </w:rPr>
        <w:t xml:space="preserve"> and 1</w:t>
      </w:r>
      <w:r w:rsidR="00BB5999">
        <w:rPr>
          <w:noProof/>
        </w:rPr>
        <w:t>0</w:t>
      </w:r>
      <w:r w:rsidRPr="00F24AB2">
        <w:rPr>
          <w:noProof/>
        </w:rPr>
        <w:t xml:space="preserve"> align the Directive to the Paris M</w:t>
      </w:r>
      <w:r w:rsidR="00513497">
        <w:rPr>
          <w:noProof/>
        </w:rPr>
        <w:t>O</w:t>
      </w:r>
      <w:r w:rsidRPr="00F24AB2">
        <w:rPr>
          <w:noProof/>
        </w:rPr>
        <w:t>U changes abolishing the 72</w:t>
      </w:r>
      <w:r w:rsidR="00A25043">
        <w:rPr>
          <w:noProof/>
        </w:rPr>
        <w:t>-</w:t>
      </w:r>
      <w:r w:rsidRPr="00F24AB2">
        <w:rPr>
          <w:noProof/>
        </w:rPr>
        <w:t xml:space="preserve">hour reporting obligation for vessels eligible for an expanded inspection set out in Article 9 </w:t>
      </w:r>
      <w:r w:rsidR="0049786D" w:rsidRPr="00F24AB2">
        <w:rPr>
          <w:noProof/>
        </w:rPr>
        <w:t>and Annex III</w:t>
      </w:r>
      <w:r w:rsidRPr="00F24AB2">
        <w:rPr>
          <w:noProof/>
        </w:rPr>
        <w:t>– Article 9</w:t>
      </w:r>
      <w:r w:rsidR="0049786D" w:rsidRPr="00F24AB2">
        <w:rPr>
          <w:noProof/>
        </w:rPr>
        <w:t xml:space="preserve"> and Annex III</w:t>
      </w:r>
      <w:r w:rsidRPr="00F24AB2">
        <w:rPr>
          <w:noProof/>
        </w:rPr>
        <w:t xml:space="preserve"> </w:t>
      </w:r>
      <w:r w:rsidR="0049786D" w:rsidRPr="00F24AB2">
        <w:rPr>
          <w:noProof/>
        </w:rPr>
        <w:t>are</w:t>
      </w:r>
      <w:r w:rsidRPr="00F24AB2">
        <w:rPr>
          <w:noProof/>
        </w:rPr>
        <w:t xml:space="preserve"> deleted.</w:t>
      </w:r>
      <w:r w:rsidR="00083E1E">
        <w:rPr>
          <w:noProof/>
        </w:rPr>
        <w:t xml:space="preserve"> Points </w:t>
      </w:r>
      <w:r w:rsidR="00BB5999">
        <w:rPr>
          <w:noProof/>
        </w:rPr>
        <w:t>16</w:t>
      </w:r>
      <w:r w:rsidR="00083E1E">
        <w:rPr>
          <w:noProof/>
        </w:rPr>
        <w:t xml:space="preserve"> and </w:t>
      </w:r>
      <w:r w:rsidR="00BB5999">
        <w:rPr>
          <w:noProof/>
        </w:rPr>
        <w:t>23</w:t>
      </w:r>
      <w:r w:rsidR="00083E1E">
        <w:rPr>
          <w:noProof/>
        </w:rPr>
        <w:t xml:space="preserve"> reflect the deletion of Article 9 and Annex III.</w:t>
      </w:r>
    </w:p>
    <w:p w14:paraId="5320CCFF" w14:textId="77777777" w:rsidR="00363592" w:rsidRDefault="00363592" w:rsidP="00513497">
      <w:pPr>
        <w:pBdr>
          <w:top w:val="nil"/>
          <w:left w:val="nil"/>
          <w:bottom w:val="nil"/>
          <w:right w:val="nil"/>
          <w:between w:val="nil"/>
          <w:bar w:val="nil"/>
        </w:pBdr>
        <w:spacing w:after="240"/>
        <w:rPr>
          <w:b/>
          <w:bCs/>
          <w:i/>
          <w:iCs/>
          <w:noProof/>
        </w:rPr>
      </w:pPr>
      <w:r w:rsidRPr="00363592">
        <w:rPr>
          <w:b/>
          <w:bCs/>
          <w:i/>
          <w:iCs/>
          <w:noProof/>
        </w:rPr>
        <w:t>Environmental parameters</w:t>
      </w:r>
    </w:p>
    <w:p w14:paraId="2C654714" w14:textId="77777777" w:rsidR="00363592" w:rsidRPr="00363592" w:rsidRDefault="00363592" w:rsidP="00513497">
      <w:pPr>
        <w:pBdr>
          <w:top w:val="nil"/>
          <w:left w:val="nil"/>
          <w:bottom w:val="nil"/>
          <w:right w:val="nil"/>
          <w:between w:val="nil"/>
          <w:bar w:val="nil"/>
        </w:pBdr>
        <w:spacing w:after="240"/>
        <w:rPr>
          <w:noProof/>
        </w:rPr>
      </w:pPr>
      <w:r w:rsidRPr="00363592">
        <w:rPr>
          <w:noProof/>
        </w:rPr>
        <w:t>Point 9 sets out the environmental parameters which will be taken into account to establish</w:t>
      </w:r>
      <w:r>
        <w:rPr>
          <w:noProof/>
        </w:rPr>
        <w:t xml:space="preserve"> the ship risk profile </w:t>
      </w:r>
      <w:r w:rsidRPr="00363592">
        <w:rPr>
          <w:noProof/>
        </w:rPr>
        <w:t>u</w:t>
      </w:r>
      <w:r>
        <w:rPr>
          <w:noProof/>
        </w:rPr>
        <w:t>s</w:t>
      </w:r>
      <w:r w:rsidRPr="00363592">
        <w:rPr>
          <w:noProof/>
        </w:rPr>
        <w:t>ed to target ships for inspection</w:t>
      </w:r>
    </w:p>
    <w:p w14:paraId="44648815" w14:textId="77777777" w:rsidR="00B71E28" w:rsidRPr="00F24AB2" w:rsidRDefault="00B71E28" w:rsidP="003A6E5A">
      <w:pPr>
        <w:pBdr>
          <w:top w:val="nil"/>
          <w:left w:val="nil"/>
          <w:bottom w:val="nil"/>
          <w:right w:val="nil"/>
          <w:between w:val="nil"/>
          <w:bar w:val="nil"/>
        </w:pBdr>
        <w:spacing w:after="240"/>
        <w:rPr>
          <w:b/>
          <w:bCs/>
          <w:i/>
          <w:iCs/>
          <w:noProof/>
        </w:rPr>
      </w:pPr>
      <w:r w:rsidRPr="00F24AB2">
        <w:rPr>
          <w:b/>
          <w:bCs/>
          <w:i/>
          <w:iCs/>
          <w:noProof/>
        </w:rPr>
        <w:t xml:space="preserve">Expanded inspections </w:t>
      </w:r>
    </w:p>
    <w:p w14:paraId="5FC561D9" w14:textId="77777777" w:rsidR="00B71E28" w:rsidRDefault="00B71E28" w:rsidP="00363592">
      <w:pPr>
        <w:pBdr>
          <w:top w:val="nil"/>
          <w:left w:val="nil"/>
          <w:bottom w:val="nil"/>
          <w:right w:val="nil"/>
          <w:between w:val="nil"/>
          <w:bar w:val="nil"/>
        </w:pBdr>
        <w:spacing w:after="240"/>
        <w:rPr>
          <w:noProof/>
        </w:rPr>
      </w:pPr>
      <w:r w:rsidRPr="00F24AB2">
        <w:rPr>
          <w:noProof/>
        </w:rPr>
        <w:t xml:space="preserve">Point </w:t>
      </w:r>
      <w:r w:rsidR="00363592">
        <w:rPr>
          <w:noProof/>
        </w:rPr>
        <w:t>10</w:t>
      </w:r>
      <w:r w:rsidRPr="00F24AB2">
        <w:rPr>
          <w:noProof/>
        </w:rPr>
        <w:t xml:space="preserve"> provides that</w:t>
      </w:r>
      <w:r w:rsidR="00C04245">
        <w:rPr>
          <w:noProof/>
        </w:rPr>
        <w:t>, because of their complexity,</w:t>
      </w:r>
      <w:r w:rsidRPr="00F24AB2">
        <w:rPr>
          <w:noProof/>
        </w:rPr>
        <w:t xml:space="preserve"> expanded inspections have to be carried out by more than one port State control officer. </w:t>
      </w:r>
    </w:p>
    <w:p w14:paraId="3247A1F7" w14:textId="77777777" w:rsidR="00B71E28" w:rsidRPr="00F24AB2" w:rsidRDefault="00B71E28" w:rsidP="00B71E28">
      <w:pPr>
        <w:pBdr>
          <w:top w:val="nil"/>
          <w:left w:val="nil"/>
          <w:bottom w:val="nil"/>
          <w:right w:val="nil"/>
          <w:between w:val="nil"/>
          <w:bar w:val="nil"/>
        </w:pBdr>
        <w:spacing w:after="240"/>
        <w:rPr>
          <w:b/>
          <w:bCs/>
          <w:i/>
          <w:iCs/>
          <w:noProof/>
        </w:rPr>
      </w:pPr>
      <w:r w:rsidRPr="00F24AB2">
        <w:rPr>
          <w:b/>
          <w:bCs/>
          <w:i/>
          <w:iCs/>
          <w:noProof/>
        </w:rPr>
        <w:t>Refusal of access</w:t>
      </w:r>
    </w:p>
    <w:p w14:paraId="011D5C4C" w14:textId="77777777" w:rsidR="00FF3B3F" w:rsidRPr="00F24AB2" w:rsidRDefault="009F16C3" w:rsidP="002B426B">
      <w:pPr>
        <w:pBdr>
          <w:top w:val="nil"/>
          <w:left w:val="nil"/>
          <w:bottom w:val="nil"/>
          <w:right w:val="nil"/>
          <w:between w:val="nil"/>
          <w:bar w:val="nil"/>
        </w:pBdr>
        <w:spacing w:after="240"/>
        <w:rPr>
          <w:noProof/>
        </w:rPr>
      </w:pPr>
      <w:r w:rsidRPr="00F24AB2">
        <w:rPr>
          <w:noProof/>
        </w:rPr>
        <w:t>Point</w:t>
      </w:r>
      <w:r w:rsidR="00363592">
        <w:rPr>
          <w:noProof/>
        </w:rPr>
        <w:t>s</w:t>
      </w:r>
      <w:r w:rsidR="00913F32" w:rsidRPr="00F24AB2">
        <w:rPr>
          <w:noProof/>
        </w:rPr>
        <w:t xml:space="preserve"> 1</w:t>
      </w:r>
      <w:r w:rsidR="003E5E8F">
        <w:rPr>
          <w:noProof/>
        </w:rPr>
        <w:t>2</w:t>
      </w:r>
      <w:r w:rsidR="00FF3B3F" w:rsidRPr="00F24AB2">
        <w:rPr>
          <w:noProof/>
        </w:rPr>
        <w:t xml:space="preserve"> </w:t>
      </w:r>
      <w:r w:rsidR="00363592">
        <w:rPr>
          <w:noProof/>
        </w:rPr>
        <w:t xml:space="preserve">and 13 </w:t>
      </w:r>
      <w:r w:rsidRPr="00F24AB2">
        <w:rPr>
          <w:noProof/>
        </w:rPr>
        <w:t>amend</w:t>
      </w:r>
      <w:r w:rsidR="00363592">
        <w:rPr>
          <w:noProof/>
        </w:rPr>
        <w:t>s</w:t>
      </w:r>
      <w:r w:rsidRPr="00F24AB2">
        <w:rPr>
          <w:noProof/>
        </w:rPr>
        <w:t xml:space="preserve"> the Directive to align it to the changes adopted by the Paris M</w:t>
      </w:r>
      <w:r w:rsidR="00513497">
        <w:rPr>
          <w:noProof/>
        </w:rPr>
        <w:t>O</w:t>
      </w:r>
      <w:r w:rsidRPr="00F24AB2">
        <w:rPr>
          <w:noProof/>
        </w:rPr>
        <w:t xml:space="preserve">U </w:t>
      </w:r>
      <w:r w:rsidR="00FF3B3F" w:rsidRPr="00F24AB2">
        <w:rPr>
          <w:noProof/>
        </w:rPr>
        <w:t>relating to the refusal of access</w:t>
      </w:r>
      <w:r w:rsidR="00E21FFE" w:rsidRPr="00F24AB2">
        <w:rPr>
          <w:noProof/>
        </w:rPr>
        <w:t xml:space="preserve"> </w:t>
      </w:r>
      <w:r w:rsidR="00FF3B3F" w:rsidRPr="00F24AB2">
        <w:rPr>
          <w:noProof/>
        </w:rPr>
        <w:t>(banning) procedure and the possibility to ban vessels which are on the grey or white lists of the Paris M</w:t>
      </w:r>
      <w:r w:rsidR="00513497">
        <w:rPr>
          <w:noProof/>
        </w:rPr>
        <w:t>O</w:t>
      </w:r>
      <w:r w:rsidR="00FF3B3F" w:rsidRPr="00F24AB2">
        <w:rPr>
          <w:noProof/>
        </w:rPr>
        <w:t>U (flag-blind banning)</w:t>
      </w:r>
      <w:r w:rsidR="00363592">
        <w:rPr>
          <w:noProof/>
        </w:rPr>
        <w:t xml:space="preserve"> as well as provision related to jumped detention or when the </w:t>
      </w:r>
      <w:r w:rsidR="002B426B">
        <w:rPr>
          <w:noProof/>
        </w:rPr>
        <w:t>detained vessel does not proceed to an agreed repair yard</w:t>
      </w:r>
      <w:r w:rsidR="00FF3B3F" w:rsidRPr="00F24AB2">
        <w:rPr>
          <w:noProof/>
        </w:rPr>
        <w:t>.</w:t>
      </w:r>
    </w:p>
    <w:p w14:paraId="5E6A81BC" w14:textId="77777777" w:rsidR="00CD0993" w:rsidRPr="00F24AB2" w:rsidRDefault="00CD0993" w:rsidP="00CD0993">
      <w:pPr>
        <w:pBdr>
          <w:top w:val="nil"/>
          <w:left w:val="nil"/>
          <w:bottom w:val="nil"/>
          <w:right w:val="nil"/>
          <w:between w:val="nil"/>
          <w:bar w:val="nil"/>
        </w:pBdr>
        <w:spacing w:after="240"/>
        <w:rPr>
          <w:b/>
          <w:i/>
          <w:noProof/>
        </w:rPr>
      </w:pPr>
      <w:r w:rsidRPr="00F24AB2">
        <w:rPr>
          <w:b/>
          <w:i/>
          <w:noProof/>
        </w:rPr>
        <w:t>EMSA training</w:t>
      </w:r>
    </w:p>
    <w:p w14:paraId="36FFF6FE" w14:textId="77777777" w:rsidR="00500212" w:rsidRPr="00F24AB2" w:rsidRDefault="00CD0993" w:rsidP="002B426B">
      <w:pPr>
        <w:pBdr>
          <w:top w:val="nil"/>
          <w:left w:val="nil"/>
          <w:bottom w:val="nil"/>
          <w:right w:val="nil"/>
          <w:between w:val="nil"/>
          <w:bar w:val="nil"/>
        </w:pBdr>
        <w:spacing w:after="240"/>
        <w:rPr>
          <w:noProof/>
        </w:rPr>
      </w:pPr>
      <w:r w:rsidRPr="00F24AB2">
        <w:rPr>
          <w:noProof/>
        </w:rPr>
        <w:t xml:space="preserve">Point </w:t>
      </w:r>
      <w:r w:rsidR="00913F32" w:rsidRPr="00F24AB2">
        <w:rPr>
          <w:noProof/>
        </w:rPr>
        <w:t>1</w:t>
      </w:r>
      <w:r w:rsidR="002B426B">
        <w:rPr>
          <w:noProof/>
        </w:rPr>
        <w:t>4</w:t>
      </w:r>
      <w:r w:rsidRPr="00F24AB2">
        <w:rPr>
          <w:noProof/>
        </w:rPr>
        <w:t xml:space="preserve"> sets out the possibilities for EMSA to provide training to the EU Member States to better </w:t>
      </w:r>
      <w:r w:rsidR="00C04245">
        <w:rPr>
          <w:noProof/>
        </w:rPr>
        <w:t xml:space="preserve">fulfil </w:t>
      </w:r>
      <w:r w:rsidRPr="00F24AB2">
        <w:rPr>
          <w:noProof/>
        </w:rPr>
        <w:t>their responsibilities under the Directive</w:t>
      </w:r>
      <w:r w:rsidR="00500212" w:rsidRPr="00F24AB2">
        <w:rPr>
          <w:noProof/>
        </w:rPr>
        <w:t>, g</w:t>
      </w:r>
      <w:r w:rsidRPr="00F24AB2">
        <w:rPr>
          <w:noProof/>
        </w:rPr>
        <w:t xml:space="preserve">iven the widened scope of PSC </w:t>
      </w:r>
      <w:r w:rsidR="00500212" w:rsidRPr="00F24AB2">
        <w:rPr>
          <w:noProof/>
        </w:rPr>
        <w:t xml:space="preserve">and </w:t>
      </w:r>
      <w:r w:rsidRPr="00F24AB2">
        <w:rPr>
          <w:noProof/>
        </w:rPr>
        <w:t xml:space="preserve">improvements in the scope and type of training. </w:t>
      </w:r>
    </w:p>
    <w:p w14:paraId="14B35095" w14:textId="77777777" w:rsidR="00CD0993" w:rsidRPr="00F24AB2" w:rsidRDefault="00CD0993" w:rsidP="00513497">
      <w:pPr>
        <w:pBdr>
          <w:top w:val="nil"/>
          <w:left w:val="nil"/>
          <w:bottom w:val="nil"/>
          <w:right w:val="nil"/>
          <w:between w:val="nil"/>
          <w:bar w:val="nil"/>
        </w:pBdr>
        <w:spacing w:after="240"/>
        <w:rPr>
          <w:noProof/>
        </w:rPr>
      </w:pPr>
      <w:r w:rsidRPr="00F24AB2">
        <w:rPr>
          <w:noProof/>
        </w:rPr>
        <w:t>On this basis, EMSA (together with the Member States and the Paris M</w:t>
      </w:r>
      <w:r w:rsidR="00513497">
        <w:rPr>
          <w:noProof/>
        </w:rPr>
        <w:t>O</w:t>
      </w:r>
      <w:r w:rsidRPr="00F24AB2">
        <w:rPr>
          <w:noProof/>
        </w:rPr>
        <w:t>U) will develop a new professional development and training program</w:t>
      </w:r>
      <w:r w:rsidR="00C04245">
        <w:rPr>
          <w:noProof/>
        </w:rPr>
        <w:t>me</w:t>
      </w:r>
      <w:r w:rsidRPr="00F24AB2">
        <w:rPr>
          <w:noProof/>
        </w:rPr>
        <w:t xml:space="preserve"> for </w:t>
      </w:r>
      <w:r w:rsidR="00500212" w:rsidRPr="00F24AB2">
        <w:rPr>
          <w:noProof/>
        </w:rPr>
        <w:t>inspectors</w:t>
      </w:r>
      <w:r w:rsidRPr="00F24AB2">
        <w:rPr>
          <w:noProof/>
        </w:rPr>
        <w:t>, to be a made up of a (i) syllabus of competence and a (ii) professional development scheme. Once these aspects are in place</w:t>
      </w:r>
      <w:r w:rsidR="004B3BDE">
        <w:rPr>
          <w:noProof/>
        </w:rPr>
        <w:t>,</w:t>
      </w:r>
      <w:r w:rsidRPr="00F24AB2">
        <w:rPr>
          <w:noProof/>
        </w:rPr>
        <w:t xml:space="preserve"> the Agency should identify and provide new training needs to amend the curricula, syllabi and content of the professional development and training program for inspectors, especially as regards new technologies and in relation to the additional obligations arising from new IMO conventions.</w:t>
      </w:r>
    </w:p>
    <w:p w14:paraId="3E272398" w14:textId="77777777" w:rsidR="00FF3B3F" w:rsidRPr="00F24AB2" w:rsidRDefault="00FF3B3F" w:rsidP="00FF3B3F">
      <w:pPr>
        <w:pBdr>
          <w:top w:val="nil"/>
          <w:left w:val="nil"/>
          <w:bottom w:val="nil"/>
          <w:right w:val="nil"/>
          <w:between w:val="nil"/>
          <w:bar w:val="nil"/>
        </w:pBdr>
        <w:spacing w:after="240"/>
        <w:rPr>
          <w:b/>
          <w:bCs/>
          <w:i/>
          <w:iCs/>
          <w:noProof/>
        </w:rPr>
      </w:pPr>
      <w:r w:rsidRPr="00F24AB2">
        <w:rPr>
          <w:b/>
          <w:bCs/>
          <w:i/>
          <w:iCs/>
          <w:noProof/>
        </w:rPr>
        <w:t>Database, information sharing and electronic certificates</w:t>
      </w:r>
    </w:p>
    <w:p w14:paraId="7E8D5249" w14:textId="77777777" w:rsidR="00FF3B3F" w:rsidRPr="00F24AB2" w:rsidRDefault="00FF3B3F" w:rsidP="002B426B">
      <w:pPr>
        <w:pBdr>
          <w:top w:val="nil"/>
          <w:left w:val="nil"/>
          <w:bottom w:val="nil"/>
          <w:right w:val="nil"/>
          <w:between w:val="nil"/>
          <w:bar w:val="nil"/>
        </w:pBdr>
        <w:spacing w:after="240"/>
        <w:rPr>
          <w:noProof/>
        </w:rPr>
      </w:pPr>
      <w:r w:rsidRPr="00F24AB2">
        <w:rPr>
          <w:noProof/>
        </w:rPr>
        <w:t xml:space="preserve">Point </w:t>
      </w:r>
      <w:r w:rsidR="0004052B">
        <w:rPr>
          <w:noProof/>
        </w:rPr>
        <w:t>1</w:t>
      </w:r>
      <w:r w:rsidR="002B426B">
        <w:rPr>
          <w:noProof/>
        </w:rPr>
        <w:t>5</w:t>
      </w:r>
      <w:r w:rsidRPr="00F24AB2">
        <w:rPr>
          <w:noProof/>
        </w:rPr>
        <w:t xml:space="preserve"> amends</w:t>
      </w:r>
      <w:r>
        <w:rPr>
          <w:noProof/>
        </w:rPr>
        <w:t xml:space="preserve"> the Directive to clarify</w:t>
      </w:r>
      <w:r w:rsidRPr="00FF3B3F">
        <w:rPr>
          <w:noProof/>
        </w:rPr>
        <w:t xml:space="preserve"> and fix the time</w:t>
      </w:r>
      <w:r w:rsidR="004B3BDE">
        <w:rPr>
          <w:noProof/>
        </w:rPr>
        <w:t xml:space="preserve"> </w:t>
      </w:r>
      <w:r w:rsidRPr="00FF3B3F">
        <w:rPr>
          <w:noProof/>
        </w:rPr>
        <w:t>frame within which the ship arrival and departure notifications have to be c</w:t>
      </w:r>
      <w:r>
        <w:rPr>
          <w:noProof/>
        </w:rPr>
        <w:t xml:space="preserve">ommunicated to SafeSeaNet. </w:t>
      </w:r>
      <w:r w:rsidRPr="00FF3B3F">
        <w:rPr>
          <w:noProof/>
        </w:rPr>
        <w:t xml:space="preserve">Article 24(2) of the Directive requires Member States to ensure that this data is "transferred within a reasonable time to the inspection database”. </w:t>
      </w:r>
      <w:r>
        <w:rPr>
          <w:noProof/>
        </w:rPr>
        <w:t xml:space="preserve">The </w:t>
      </w:r>
      <w:r w:rsidR="00C27994">
        <w:rPr>
          <w:noProof/>
        </w:rPr>
        <w:t>D</w:t>
      </w:r>
      <w:r>
        <w:rPr>
          <w:noProof/>
        </w:rPr>
        <w:t xml:space="preserve">irective will be amended </w:t>
      </w:r>
      <w:r w:rsidR="00BB5EBE">
        <w:rPr>
          <w:noProof/>
        </w:rPr>
        <w:t xml:space="preserve">to include </w:t>
      </w:r>
      <w:r w:rsidRPr="00FF3B3F">
        <w:rPr>
          <w:noProof/>
        </w:rPr>
        <w:t xml:space="preserve">what </w:t>
      </w:r>
      <w:r w:rsidR="00BB5EBE">
        <w:rPr>
          <w:noProof/>
        </w:rPr>
        <w:t>a</w:t>
      </w:r>
      <w:r w:rsidRPr="00FF3B3F">
        <w:rPr>
          <w:noProof/>
        </w:rPr>
        <w:t xml:space="preserve"> reasonable time </w:t>
      </w:r>
      <w:r w:rsidR="002E180B">
        <w:rPr>
          <w:noProof/>
        </w:rPr>
        <w:t xml:space="preserve">means </w:t>
      </w:r>
      <w:r w:rsidR="004B3BDE">
        <w:rPr>
          <w:noProof/>
        </w:rPr>
        <w:t>so</w:t>
      </w:r>
      <w:r w:rsidRPr="00FF3B3F">
        <w:rPr>
          <w:noProof/>
        </w:rPr>
        <w:t xml:space="preserve"> that the reporting of </w:t>
      </w:r>
      <w:r>
        <w:rPr>
          <w:noProof/>
        </w:rPr>
        <w:t>actual times of arrival and departure is reported</w:t>
      </w:r>
      <w:r w:rsidRPr="00FF3B3F">
        <w:rPr>
          <w:noProof/>
        </w:rPr>
        <w:t xml:space="preserve"> within three hours. </w:t>
      </w:r>
      <w:r w:rsidR="002E180B">
        <w:rPr>
          <w:noProof/>
        </w:rPr>
        <w:t xml:space="preserve">It also provides that </w:t>
      </w:r>
      <w:r w:rsidR="002E180B" w:rsidRPr="002E180B">
        <w:rPr>
          <w:noProof/>
        </w:rPr>
        <w:t xml:space="preserve">all PSC inspection reports </w:t>
      </w:r>
      <w:r w:rsidR="002E180B" w:rsidRPr="004B3BDE">
        <w:rPr>
          <w:noProof/>
        </w:rPr>
        <w:t>are validated by a</w:t>
      </w:r>
      <w:r w:rsidR="002E180B" w:rsidRPr="002E180B">
        <w:rPr>
          <w:noProof/>
        </w:rPr>
        <w:t xml:space="preserve"> </w:t>
      </w:r>
      <w:r w:rsidR="00D1674B">
        <w:rPr>
          <w:noProof/>
        </w:rPr>
        <w:t>person</w:t>
      </w:r>
      <w:r w:rsidR="002E180B" w:rsidRPr="002E180B">
        <w:rPr>
          <w:noProof/>
        </w:rPr>
        <w:t xml:space="preserve"> </w:t>
      </w:r>
      <w:r w:rsidR="00C04245">
        <w:rPr>
          <w:noProof/>
        </w:rPr>
        <w:t xml:space="preserve">(either another port State control inspector or a supervisor) </w:t>
      </w:r>
      <w:r w:rsidR="002E180B" w:rsidRPr="002E180B">
        <w:rPr>
          <w:noProof/>
        </w:rPr>
        <w:t>other than the inspe</w:t>
      </w:r>
      <w:r w:rsidR="002E180B" w:rsidRPr="00F24AB2">
        <w:rPr>
          <w:noProof/>
        </w:rPr>
        <w:t>ctor who carried out the inspection before the inspection report is transferred to the database</w:t>
      </w:r>
      <w:r w:rsidR="0049786D" w:rsidRPr="00F24AB2">
        <w:rPr>
          <w:noProof/>
        </w:rPr>
        <w:t>.</w:t>
      </w:r>
    </w:p>
    <w:p w14:paraId="0E9AB315" w14:textId="77777777" w:rsidR="00C74F46" w:rsidRPr="00F24AB2" w:rsidRDefault="00FF3B3F" w:rsidP="002B426B">
      <w:pPr>
        <w:pBdr>
          <w:top w:val="nil"/>
          <w:left w:val="nil"/>
          <w:bottom w:val="nil"/>
          <w:right w:val="nil"/>
          <w:between w:val="nil"/>
          <w:bar w:val="nil"/>
        </w:pBdr>
        <w:spacing w:after="240"/>
        <w:rPr>
          <w:noProof/>
        </w:rPr>
      </w:pPr>
      <w:r w:rsidRPr="00F24AB2">
        <w:rPr>
          <w:noProof/>
        </w:rPr>
        <w:t xml:space="preserve">Point </w:t>
      </w:r>
      <w:r w:rsidR="0004052B">
        <w:rPr>
          <w:noProof/>
        </w:rPr>
        <w:t>1</w:t>
      </w:r>
      <w:r w:rsidR="002B426B">
        <w:rPr>
          <w:noProof/>
        </w:rPr>
        <w:t>6</w:t>
      </w:r>
      <w:r w:rsidRPr="00F24AB2">
        <w:rPr>
          <w:noProof/>
        </w:rPr>
        <w:t xml:space="preserve"> amends the Directive to </w:t>
      </w:r>
      <w:r w:rsidR="00C74F46" w:rsidRPr="00F24AB2">
        <w:rPr>
          <w:noProof/>
        </w:rPr>
        <w:t xml:space="preserve">add a new Article </w:t>
      </w:r>
      <w:r w:rsidRPr="00F24AB2">
        <w:rPr>
          <w:noProof/>
        </w:rPr>
        <w:t>provid</w:t>
      </w:r>
      <w:r w:rsidR="00C74F46" w:rsidRPr="00F24AB2">
        <w:rPr>
          <w:noProof/>
        </w:rPr>
        <w:t>ing</w:t>
      </w:r>
      <w:r w:rsidRPr="00F24AB2">
        <w:rPr>
          <w:noProof/>
        </w:rPr>
        <w:t xml:space="preserve"> for and encourag</w:t>
      </w:r>
      <w:r w:rsidR="002E180B" w:rsidRPr="00F24AB2">
        <w:rPr>
          <w:noProof/>
        </w:rPr>
        <w:t>ing</w:t>
      </w:r>
      <w:r w:rsidRPr="00F24AB2">
        <w:rPr>
          <w:noProof/>
        </w:rPr>
        <w:t xml:space="preserve"> the use of electronic certificates</w:t>
      </w:r>
      <w:r w:rsidR="004B3BDE">
        <w:rPr>
          <w:noProof/>
        </w:rPr>
        <w:t>. These would rely on</w:t>
      </w:r>
      <w:r w:rsidRPr="00F24AB2">
        <w:rPr>
          <w:noProof/>
        </w:rPr>
        <w:t xml:space="preserve"> a common </w:t>
      </w:r>
      <w:r w:rsidR="004B3BDE">
        <w:rPr>
          <w:noProof/>
        </w:rPr>
        <w:t xml:space="preserve">template, use a common </w:t>
      </w:r>
      <w:r w:rsidRPr="00F24AB2">
        <w:rPr>
          <w:noProof/>
        </w:rPr>
        <w:t>validation tool and repository at EU level</w:t>
      </w:r>
      <w:r w:rsidR="004B3BDE">
        <w:rPr>
          <w:noProof/>
        </w:rPr>
        <w:t xml:space="preserve">, which would link </w:t>
      </w:r>
      <w:r w:rsidRPr="00F24AB2">
        <w:rPr>
          <w:noProof/>
        </w:rPr>
        <w:t xml:space="preserve">the use of electronic certificates with the ship risk profile. </w:t>
      </w:r>
      <w:r w:rsidR="00C74F46" w:rsidRPr="00F24AB2">
        <w:rPr>
          <w:noProof/>
        </w:rPr>
        <w:t xml:space="preserve">This measure </w:t>
      </w:r>
      <w:r w:rsidR="004B3BDE">
        <w:rPr>
          <w:noProof/>
        </w:rPr>
        <w:t>will encourage</w:t>
      </w:r>
      <w:r w:rsidRPr="00F24AB2">
        <w:rPr>
          <w:noProof/>
        </w:rPr>
        <w:t xml:space="preserve"> the issuance of electronic certificates by flag States or by R</w:t>
      </w:r>
      <w:r w:rsidR="004B3BDE">
        <w:rPr>
          <w:noProof/>
        </w:rPr>
        <w:t xml:space="preserve">ecognised </w:t>
      </w:r>
      <w:r w:rsidRPr="00F24AB2">
        <w:rPr>
          <w:noProof/>
        </w:rPr>
        <w:t>O</w:t>
      </w:r>
      <w:r w:rsidR="004B3BDE">
        <w:rPr>
          <w:noProof/>
        </w:rPr>
        <w:t>rganisation</w:t>
      </w:r>
      <w:r w:rsidRPr="00F24AB2">
        <w:rPr>
          <w:noProof/>
        </w:rPr>
        <w:t>s</w:t>
      </w:r>
      <w:r w:rsidR="004B3BDE">
        <w:rPr>
          <w:noProof/>
        </w:rPr>
        <w:t xml:space="preserve"> (ROs)</w:t>
      </w:r>
      <w:r w:rsidRPr="00F24AB2">
        <w:rPr>
          <w:noProof/>
        </w:rPr>
        <w:t xml:space="preserve"> acting on their behalf </w:t>
      </w:r>
      <w:r w:rsidR="00C74F46" w:rsidRPr="00F24AB2">
        <w:rPr>
          <w:noProof/>
        </w:rPr>
        <w:t xml:space="preserve">(while permitting their continued use in </w:t>
      </w:r>
      <w:r w:rsidR="004B3BDE">
        <w:rPr>
          <w:noProof/>
        </w:rPr>
        <w:t>PSC</w:t>
      </w:r>
      <w:r w:rsidR="00C74F46" w:rsidRPr="00F24AB2">
        <w:rPr>
          <w:noProof/>
        </w:rPr>
        <w:t xml:space="preserve">) </w:t>
      </w:r>
      <w:r w:rsidRPr="00F24AB2">
        <w:rPr>
          <w:noProof/>
        </w:rPr>
        <w:t xml:space="preserve">by </w:t>
      </w:r>
      <w:r w:rsidR="004B3BDE">
        <w:rPr>
          <w:noProof/>
        </w:rPr>
        <w:t>rewarding these</w:t>
      </w:r>
      <w:r w:rsidRPr="00F24AB2">
        <w:rPr>
          <w:noProof/>
        </w:rPr>
        <w:t xml:space="preserve"> e-certificates with points (adding a parameter to the </w:t>
      </w:r>
      <w:r w:rsidR="00C74F46" w:rsidRPr="00F24AB2">
        <w:rPr>
          <w:noProof/>
        </w:rPr>
        <w:t>ship risk profile</w:t>
      </w:r>
      <w:r w:rsidRPr="00F24AB2">
        <w:rPr>
          <w:noProof/>
        </w:rPr>
        <w:t xml:space="preserve">) towards being considered as a low-risk ships and so being less targeted by </w:t>
      </w:r>
      <w:r w:rsidR="00C04245">
        <w:rPr>
          <w:noProof/>
        </w:rPr>
        <w:t>PSC</w:t>
      </w:r>
      <w:r w:rsidRPr="00F24AB2">
        <w:rPr>
          <w:noProof/>
        </w:rPr>
        <w:t xml:space="preserve"> inspections.</w:t>
      </w:r>
    </w:p>
    <w:p w14:paraId="5FD4EA25" w14:textId="77777777" w:rsidR="00D623B0" w:rsidRPr="00F24AB2" w:rsidRDefault="00D623B0" w:rsidP="00C74F46">
      <w:pPr>
        <w:pBdr>
          <w:top w:val="nil"/>
          <w:left w:val="nil"/>
          <w:bottom w:val="nil"/>
          <w:right w:val="nil"/>
          <w:between w:val="nil"/>
          <w:bar w:val="nil"/>
        </w:pBdr>
        <w:spacing w:after="240"/>
        <w:rPr>
          <w:b/>
          <w:bCs/>
          <w:i/>
          <w:iCs/>
          <w:noProof/>
        </w:rPr>
      </w:pPr>
      <w:r w:rsidRPr="00F24AB2">
        <w:rPr>
          <w:b/>
          <w:bCs/>
          <w:i/>
          <w:iCs/>
          <w:noProof/>
        </w:rPr>
        <w:t xml:space="preserve">Quality management system </w:t>
      </w:r>
    </w:p>
    <w:p w14:paraId="06276C28" w14:textId="77777777" w:rsidR="00B014D9" w:rsidRDefault="00C74F46" w:rsidP="002B426B">
      <w:pPr>
        <w:pBdr>
          <w:top w:val="nil"/>
          <w:left w:val="nil"/>
          <w:bottom w:val="nil"/>
          <w:right w:val="nil"/>
          <w:between w:val="nil"/>
          <w:bar w:val="nil"/>
        </w:pBdr>
        <w:spacing w:after="240"/>
        <w:rPr>
          <w:noProof/>
        </w:rPr>
      </w:pPr>
      <w:r w:rsidRPr="00F24AB2">
        <w:rPr>
          <w:noProof/>
        </w:rPr>
        <w:t xml:space="preserve">Point </w:t>
      </w:r>
      <w:r w:rsidR="00BB5999">
        <w:rPr>
          <w:noProof/>
        </w:rPr>
        <w:t>1</w:t>
      </w:r>
      <w:r w:rsidR="002B426B">
        <w:rPr>
          <w:noProof/>
        </w:rPr>
        <w:t>8</w:t>
      </w:r>
      <w:r w:rsidRPr="00F24AB2">
        <w:rPr>
          <w:noProof/>
        </w:rPr>
        <w:t xml:space="preserve"> </w:t>
      </w:r>
      <w:r w:rsidR="00F70E63" w:rsidRPr="00F24AB2">
        <w:rPr>
          <w:noProof/>
        </w:rPr>
        <w:t>a</w:t>
      </w:r>
      <w:r w:rsidR="00D623B0" w:rsidRPr="00F24AB2">
        <w:rPr>
          <w:noProof/>
        </w:rPr>
        <w:t>mend</w:t>
      </w:r>
      <w:r w:rsidR="00F70E63" w:rsidRPr="00F24AB2">
        <w:rPr>
          <w:noProof/>
        </w:rPr>
        <w:t>s</w:t>
      </w:r>
      <w:r w:rsidR="00D623B0" w:rsidRPr="00F24AB2">
        <w:rPr>
          <w:noProof/>
        </w:rPr>
        <w:t xml:space="preserve"> the Directive to require Member States to develop and apply a </w:t>
      </w:r>
      <w:r w:rsidR="00894990">
        <w:rPr>
          <w:noProof/>
        </w:rPr>
        <w:t>quality management system (</w:t>
      </w:r>
      <w:r w:rsidR="00D623B0" w:rsidRPr="00F24AB2">
        <w:rPr>
          <w:noProof/>
        </w:rPr>
        <w:t>Q</w:t>
      </w:r>
      <w:r w:rsidR="00C04245">
        <w:rPr>
          <w:noProof/>
        </w:rPr>
        <w:t>MS</w:t>
      </w:r>
      <w:r w:rsidR="00894990">
        <w:rPr>
          <w:noProof/>
        </w:rPr>
        <w:t>)</w:t>
      </w:r>
      <w:r w:rsidR="00F70E63" w:rsidRPr="00F24AB2">
        <w:rPr>
          <w:noProof/>
        </w:rPr>
        <w:t xml:space="preserve"> </w:t>
      </w:r>
      <w:r w:rsidR="00D623B0" w:rsidRPr="00F24AB2">
        <w:rPr>
          <w:noProof/>
        </w:rPr>
        <w:t>for the PSC activities</w:t>
      </w:r>
      <w:r w:rsidR="00F70E63" w:rsidRPr="00F24AB2">
        <w:rPr>
          <w:noProof/>
        </w:rPr>
        <w:t xml:space="preserve"> of their maritime administration. This should allow the administrations to</w:t>
      </w:r>
      <w:r w:rsidR="00D623B0" w:rsidRPr="00F24AB2">
        <w:rPr>
          <w:noProof/>
        </w:rPr>
        <w:t xml:space="preserve"> keep pace with the increasing complexity and requirements of PSC inspections</w:t>
      </w:r>
      <w:r w:rsidR="00F70E63" w:rsidRPr="00F24AB2">
        <w:rPr>
          <w:noProof/>
        </w:rPr>
        <w:t xml:space="preserve">, to allow for </w:t>
      </w:r>
      <w:r w:rsidR="00D623B0" w:rsidRPr="00F24AB2">
        <w:rPr>
          <w:noProof/>
        </w:rPr>
        <w:t xml:space="preserve">better quality control and indicate problems such as resource allocation issues. It will apply to all port States that do not </w:t>
      </w:r>
      <w:r w:rsidR="00894990">
        <w:rPr>
          <w:noProof/>
        </w:rPr>
        <w:t xml:space="preserve">already </w:t>
      </w:r>
      <w:r w:rsidR="00D623B0" w:rsidRPr="00F24AB2">
        <w:rPr>
          <w:noProof/>
        </w:rPr>
        <w:t>have an externally certified QMS for their PSC operations.</w:t>
      </w:r>
      <w:r w:rsidR="00B014D9" w:rsidRPr="00F24AB2">
        <w:rPr>
          <w:noProof/>
        </w:rPr>
        <w:t xml:space="preserve"> </w:t>
      </w:r>
    </w:p>
    <w:p w14:paraId="316CDE6C" w14:textId="77777777" w:rsidR="00594529" w:rsidRPr="00594529" w:rsidRDefault="00594529" w:rsidP="003E5E8F">
      <w:pPr>
        <w:pBdr>
          <w:top w:val="nil"/>
          <w:left w:val="nil"/>
          <w:bottom w:val="nil"/>
          <w:right w:val="nil"/>
          <w:between w:val="nil"/>
          <w:bar w:val="nil"/>
        </w:pBdr>
        <w:spacing w:after="240"/>
        <w:rPr>
          <w:b/>
          <w:bCs/>
          <w:i/>
          <w:iCs/>
          <w:noProof/>
        </w:rPr>
      </w:pPr>
      <w:r w:rsidRPr="00594529">
        <w:rPr>
          <w:b/>
          <w:bCs/>
          <w:i/>
          <w:iCs/>
          <w:noProof/>
        </w:rPr>
        <w:t>Delegated acts</w:t>
      </w:r>
    </w:p>
    <w:p w14:paraId="389DAF4D" w14:textId="77777777" w:rsidR="00594529" w:rsidRDefault="00594529" w:rsidP="002B426B">
      <w:pPr>
        <w:pBdr>
          <w:top w:val="nil"/>
          <w:left w:val="nil"/>
          <w:bottom w:val="nil"/>
          <w:right w:val="nil"/>
          <w:between w:val="nil"/>
          <w:bar w:val="nil"/>
        </w:pBdr>
        <w:spacing w:after="240"/>
        <w:rPr>
          <w:noProof/>
        </w:rPr>
      </w:pPr>
      <w:r>
        <w:rPr>
          <w:noProof/>
        </w:rPr>
        <w:t>Point 1</w:t>
      </w:r>
      <w:r w:rsidR="002B426B">
        <w:rPr>
          <w:noProof/>
        </w:rPr>
        <w:t>9</w:t>
      </w:r>
      <w:r>
        <w:rPr>
          <w:noProof/>
        </w:rPr>
        <w:t xml:space="preserve"> provides that the </w:t>
      </w:r>
      <w:r w:rsidRPr="00594529">
        <w:rPr>
          <w:noProof/>
        </w:rPr>
        <w:t xml:space="preserve">Commission </w:t>
      </w:r>
      <w:r>
        <w:rPr>
          <w:noProof/>
        </w:rPr>
        <w:t>is</w:t>
      </w:r>
      <w:r w:rsidRPr="00594529">
        <w:rPr>
          <w:noProof/>
        </w:rPr>
        <w:t xml:space="preserve"> empowered to adopt delegated acts </w:t>
      </w:r>
      <w:r>
        <w:rPr>
          <w:noProof/>
        </w:rPr>
        <w:t>to</w:t>
      </w:r>
      <w:r w:rsidRPr="00594529">
        <w:rPr>
          <w:noProof/>
        </w:rPr>
        <w:t xml:space="preserve"> update the list of Conventions set out in Article 2(1) </w:t>
      </w:r>
      <w:r>
        <w:rPr>
          <w:noProof/>
        </w:rPr>
        <w:t xml:space="preserve">if </w:t>
      </w:r>
      <w:r w:rsidRPr="00594529">
        <w:rPr>
          <w:noProof/>
        </w:rPr>
        <w:t>such Conventions have been adopted as a relevant instrument by the Paris MoU and to amend Annex VI in order to add and/or update the list of procedures and guidelines relating to port State control adopted by the Paris MoU.</w:t>
      </w:r>
    </w:p>
    <w:p w14:paraId="145ADD30" w14:textId="77777777" w:rsidR="00340D1E" w:rsidRPr="00802B31" w:rsidRDefault="00340D1E" w:rsidP="00340D1E">
      <w:pPr>
        <w:pBdr>
          <w:top w:val="nil"/>
          <w:left w:val="nil"/>
          <w:bottom w:val="nil"/>
          <w:right w:val="nil"/>
          <w:between w:val="nil"/>
          <w:bar w:val="nil"/>
        </w:pBdr>
        <w:spacing w:after="240"/>
        <w:rPr>
          <w:b/>
          <w:i/>
          <w:noProof/>
        </w:rPr>
      </w:pPr>
      <w:r w:rsidRPr="00802B31">
        <w:rPr>
          <w:b/>
          <w:i/>
          <w:noProof/>
        </w:rPr>
        <w:t>Amending powers</w:t>
      </w:r>
    </w:p>
    <w:p w14:paraId="7CE44776" w14:textId="77777777" w:rsidR="00340D1E" w:rsidRDefault="00340D1E" w:rsidP="00340D1E">
      <w:pPr>
        <w:pBdr>
          <w:top w:val="nil"/>
          <w:left w:val="nil"/>
          <w:bottom w:val="nil"/>
          <w:right w:val="nil"/>
          <w:between w:val="nil"/>
          <w:bar w:val="nil"/>
        </w:pBdr>
        <w:spacing w:after="240"/>
        <w:rPr>
          <w:noProof/>
        </w:rPr>
      </w:pPr>
      <w:r w:rsidRPr="00C8711F">
        <w:rPr>
          <w:noProof/>
        </w:rPr>
        <w:t xml:space="preserve">Point </w:t>
      </w:r>
      <w:r>
        <w:rPr>
          <w:noProof/>
        </w:rPr>
        <w:t>20 provides that any updates to the IMO relevant instruments listed in Article 2(1) are subject to the standard non-regression clause. This means that if there are changes at the international level, the standards in the EU instrument are at least maintained at the current level.</w:t>
      </w:r>
      <w:r w:rsidRPr="00C8711F">
        <w:rPr>
          <w:noProof/>
        </w:rPr>
        <w:t xml:space="preserve"> </w:t>
      </w:r>
    </w:p>
    <w:p w14:paraId="5C966F94" w14:textId="77777777" w:rsidR="00FD2919" w:rsidRPr="00FD2919" w:rsidRDefault="00FD2919" w:rsidP="00FD2919">
      <w:pPr>
        <w:pBdr>
          <w:top w:val="nil"/>
          <w:left w:val="nil"/>
          <w:bottom w:val="nil"/>
          <w:right w:val="nil"/>
          <w:between w:val="nil"/>
          <w:bar w:val="nil"/>
        </w:pBdr>
        <w:spacing w:after="240"/>
        <w:rPr>
          <w:b/>
          <w:bCs/>
          <w:i/>
          <w:iCs/>
          <w:noProof/>
        </w:rPr>
      </w:pPr>
      <w:r w:rsidRPr="00FD2919">
        <w:rPr>
          <w:b/>
          <w:bCs/>
          <w:i/>
          <w:iCs/>
          <w:noProof/>
        </w:rPr>
        <w:t>Implementing rules</w:t>
      </w:r>
    </w:p>
    <w:p w14:paraId="12436865" w14:textId="77777777" w:rsidR="00FD2919" w:rsidRPr="00F24AB2" w:rsidRDefault="00FD2919" w:rsidP="00340D1E">
      <w:pPr>
        <w:pBdr>
          <w:top w:val="nil"/>
          <w:left w:val="nil"/>
          <w:bottom w:val="nil"/>
          <w:right w:val="nil"/>
          <w:between w:val="nil"/>
          <w:bar w:val="nil"/>
        </w:pBdr>
        <w:spacing w:after="240"/>
        <w:rPr>
          <w:noProof/>
        </w:rPr>
      </w:pPr>
      <w:r>
        <w:rPr>
          <w:noProof/>
        </w:rPr>
        <w:t xml:space="preserve">Point </w:t>
      </w:r>
      <w:r w:rsidR="002B426B">
        <w:rPr>
          <w:noProof/>
        </w:rPr>
        <w:t>2</w:t>
      </w:r>
      <w:r w:rsidR="00340D1E">
        <w:rPr>
          <w:noProof/>
        </w:rPr>
        <w:t>1</w:t>
      </w:r>
      <w:r>
        <w:rPr>
          <w:noProof/>
        </w:rPr>
        <w:t xml:space="preserve"> sets out that when adopting implementing acts the Commission shall have specific regard to the role and expertise of the Paris MOU and that such acts take into account the expertise and experience gained with the inspection system in the Union.</w:t>
      </w:r>
    </w:p>
    <w:p w14:paraId="3F08A62F" w14:textId="77777777" w:rsidR="00802B31" w:rsidRPr="00F24AB2" w:rsidRDefault="00802B31" w:rsidP="00E7733F">
      <w:pPr>
        <w:pBdr>
          <w:top w:val="nil"/>
          <w:left w:val="nil"/>
          <w:bottom w:val="nil"/>
          <w:right w:val="nil"/>
          <w:between w:val="nil"/>
          <w:bar w:val="nil"/>
        </w:pBdr>
        <w:spacing w:after="240"/>
        <w:rPr>
          <w:b/>
          <w:i/>
          <w:noProof/>
        </w:rPr>
      </w:pPr>
      <w:r w:rsidRPr="00F24AB2">
        <w:rPr>
          <w:b/>
          <w:i/>
          <w:noProof/>
        </w:rPr>
        <w:t xml:space="preserve">Implementation review </w:t>
      </w:r>
    </w:p>
    <w:p w14:paraId="49DC3B74" w14:textId="77777777" w:rsidR="005B3330" w:rsidRDefault="008E4895" w:rsidP="00340D1E">
      <w:pPr>
        <w:pBdr>
          <w:top w:val="nil"/>
          <w:left w:val="nil"/>
          <w:bottom w:val="nil"/>
          <w:right w:val="nil"/>
          <w:between w:val="nil"/>
          <w:bar w:val="nil"/>
        </w:pBdr>
        <w:spacing w:before="0" w:after="240"/>
        <w:rPr>
          <w:noProof/>
        </w:rPr>
      </w:pPr>
      <w:r w:rsidRPr="00F24AB2">
        <w:rPr>
          <w:noProof/>
        </w:rPr>
        <w:t xml:space="preserve">Point </w:t>
      </w:r>
      <w:r w:rsidR="005E66BF">
        <w:rPr>
          <w:noProof/>
        </w:rPr>
        <w:t>2</w:t>
      </w:r>
      <w:r w:rsidR="00340D1E">
        <w:rPr>
          <w:noProof/>
        </w:rPr>
        <w:t>2</w:t>
      </w:r>
      <w:r w:rsidRPr="00F24AB2">
        <w:rPr>
          <w:noProof/>
        </w:rPr>
        <w:t xml:space="preserve"> </w:t>
      </w:r>
      <w:r w:rsidR="003E5B5F" w:rsidRPr="00F24AB2">
        <w:rPr>
          <w:noProof/>
        </w:rPr>
        <w:t>provides that the Commission will produce a review of the implementation of the amended Directive 10 years after adoption</w:t>
      </w:r>
      <w:r w:rsidR="004B3BDE">
        <w:rPr>
          <w:noProof/>
        </w:rPr>
        <w:t>.</w:t>
      </w:r>
      <w:r w:rsidR="003E5B5F" w:rsidRPr="00F24AB2">
        <w:rPr>
          <w:noProof/>
        </w:rPr>
        <w:t xml:space="preserve"> </w:t>
      </w:r>
      <w:r w:rsidR="004B3BDE">
        <w:rPr>
          <w:noProof/>
        </w:rPr>
        <w:t>T</w:t>
      </w:r>
      <w:r w:rsidR="003E5B5F" w:rsidRPr="00F24AB2">
        <w:rPr>
          <w:noProof/>
        </w:rPr>
        <w:t>his tak</w:t>
      </w:r>
      <w:r w:rsidR="003E5B5F">
        <w:rPr>
          <w:noProof/>
        </w:rPr>
        <w:t xml:space="preserve">es account of the time necessary for transposition and the fact that an EMSA review cycle of visits to </w:t>
      </w:r>
      <w:r w:rsidR="00E7733F">
        <w:rPr>
          <w:noProof/>
        </w:rPr>
        <w:t>M</w:t>
      </w:r>
      <w:r w:rsidR="003E5B5F">
        <w:rPr>
          <w:noProof/>
        </w:rPr>
        <w:t xml:space="preserve">ember </w:t>
      </w:r>
      <w:r w:rsidR="00E7733F">
        <w:rPr>
          <w:noProof/>
        </w:rPr>
        <w:t>S</w:t>
      </w:r>
      <w:r w:rsidR="003E5B5F">
        <w:rPr>
          <w:noProof/>
        </w:rPr>
        <w:t xml:space="preserve">tates typically takes no less than 5 years. </w:t>
      </w:r>
    </w:p>
    <w:p w14:paraId="20E1BDF0" w14:textId="77777777" w:rsidR="0049786D" w:rsidRPr="002F0EE3" w:rsidRDefault="0049786D" w:rsidP="002F0EE3">
      <w:pPr>
        <w:pBdr>
          <w:top w:val="nil"/>
          <w:left w:val="nil"/>
          <w:bottom w:val="nil"/>
          <w:right w:val="nil"/>
          <w:between w:val="nil"/>
          <w:bar w:val="nil"/>
        </w:pBdr>
        <w:spacing w:after="240"/>
        <w:rPr>
          <w:b/>
          <w:i/>
          <w:noProof/>
        </w:rPr>
      </w:pPr>
      <w:r w:rsidRPr="002F0EE3">
        <w:rPr>
          <w:b/>
          <w:i/>
          <w:noProof/>
        </w:rPr>
        <w:t>Ship Risk Profile (SRP)</w:t>
      </w:r>
      <w:r w:rsidR="0004052B">
        <w:rPr>
          <w:b/>
          <w:i/>
          <w:noProof/>
        </w:rPr>
        <w:t xml:space="preserve"> – Certificates and documents</w:t>
      </w:r>
    </w:p>
    <w:p w14:paraId="0F407024" w14:textId="77777777" w:rsidR="002F0EE3" w:rsidRDefault="0049786D" w:rsidP="00340D1E">
      <w:pPr>
        <w:pBdr>
          <w:top w:val="nil"/>
          <w:left w:val="nil"/>
          <w:bottom w:val="nil"/>
          <w:right w:val="nil"/>
          <w:between w:val="nil"/>
          <w:bar w:val="nil"/>
        </w:pBdr>
        <w:spacing w:before="0" w:after="240"/>
        <w:rPr>
          <w:noProof/>
        </w:rPr>
      </w:pPr>
      <w:r>
        <w:rPr>
          <w:noProof/>
        </w:rPr>
        <w:t>Point</w:t>
      </w:r>
      <w:r w:rsidR="00375395">
        <w:rPr>
          <w:noProof/>
        </w:rPr>
        <w:t>s</w:t>
      </w:r>
      <w:r>
        <w:rPr>
          <w:noProof/>
        </w:rPr>
        <w:t xml:space="preserve"> </w:t>
      </w:r>
      <w:r w:rsidR="0004052B">
        <w:rPr>
          <w:noProof/>
        </w:rPr>
        <w:t>2</w:t>
      </w:r>
      <w:r w:rsidR="00340D1E">
        <w:rPr>
          <w:noProof/>
        </w:rPr>
        <w:t>3</w:t>
      </w:r>
      <w:r w:rsidR="003E5E8F">
        <w:rPr>
          <w:noProof/>
        </w:rPr>
        <w:t xml:space="preserve"> and 2</w:t>
      </w:r>
      <w:r w:rsidR="00340D1E">
        <w:rPr>
          <w:noProof/>
        </w:rPr>
        <w:t>4</w:t>
      </w:r>
      <w:r w:rsidR="00375395">
        <w:rPr>
          <w:noProof/>
        </w:rPr>
        <w:t xml:space="preserve"> </w:t>
      </w:r>
      <w:r>
        <w:rPr>
          <w:noProof/>
        </w:rPr>
        <w:t>amend Annex</w:t>
      </w:r>
      <w:r w:rsidR="00133872">
        <w:rPr>
          <w:noProof/>
        </w:rPr>
        <w:t>es I</w:t>
      </w:r>
      <w:r w:rsidR="00D9634E">
        <w:rPr>
          <w:noProof/>
        </w:rPr>
        <w:t xml:space="preserve"> and </w:t>
      </w:r>
      <w:r w:rsidR="00133872">
        <w:rPr>
          <w:noProof/>
        </w:rPr>
        <w:t xml:space="preserve">II </w:t>
      </w:r>
      <w:r w:rsidR="00D9634E">
        <w:rPr>
          <w:noProof/>
        </w:rPr>
        <w:t xml:space="preserve">relating to the ship risk profile (SRP). The SRP is </w:t>
      </w:r>
      <w:r w:rsidR="00133872">
        <w:rPr>
          <w:noProof/>
        </w:rPr>
        <w:t xml:space="preserve">amended to take account of changes already agreed in principle by the </w:t>
      </w:r>
      <w:r w:rsidR="00A72B97">
        <w:rPr>
          <w:noProof/>
        </w:rPr>
        <w:t>Paris</w:t>
      </w:r>
      <w:r w:rsidR="00133872">
        <w:rPr>
          <w:noProof/>
        </w:rPr>
        <w:t xml:space="preserve"> M</w:t>
      </w:r>
      <w:r w:rsidR="00894990">
        <w:rPr>
          <w:noProof/>
        </w:rPr>
        <w:t>O</w:t>
      </w:r>
      <w:r w:rsidR="00133872">
        <w:rPr>
          <w:noProof/>
        </w:rPr>
        <w:t>U</w:t>
      </w:r>
      <w:r w:rsidR="00D9634E">
        <w:rPr>
          <w:noProof/>
        </w:rPr>
        <w:t xml:space="preserve">. These include (i) the weighting points applied to certain vessel types and (ii) the </w:t>
      </w:r>
      <w:r w:rsidR="00133872">
        <w:rPr>
          <w:noProof/>
        </w:rPr>
        <w:t xml:space="preserve">IMO Audit </w:t>
      </w:r>
      <w:r w:rsidR="0084402E">
        <w:rPr>
          <w:noProof/>
        </w:rPr>
        <w:t>Scheme, which</w:t>
      </w:r>
      <w:r w:rsidR="00D9634E">
        <w:rPr>
          <w:noProof/>
        </w:rPr>
        <w:t xml:space="preserve"> is no longer a voluntary </w:t>
      </w:r>
      <w:r w:rsidR="002F0EE3">
        <w:rPr>
          <w:noProof/>
        </w:rPr>
        <w:t xml:space="preserve">system, </w:t>
      </w:r>
      <w:r w:rsidR="003951E3">
        <w:rPr>
          <w:noProof/>
        </w:rPr>
        <w:t>but</w:t>
      </w:r>
      <w:r w:rsidR="00D9634E">
        <w:rPr>
          <w:noProof/>
        </w:rPr>
        <w:t xml:space="preserve"> is replaced by a weig</w:t>
      </w:r>
      <w:r w:rsidR="0084402E">
        <w:rPr>
          <w:noProof/>
        </w:rPr>
        <w:t>h</w:t>
      </w:r>
      <w:r w:rsidR="00D9634E">
        <w:rPr>
          <w:noProof/>
        </w:rPr>
        <w:t xml:space="preserve">ting factor to take account of whether the </w:t>
      </w:r>
      <w:r w:rsidR="003951E3">
        <w:rPr>
          <w:noProof/>
        </w:rPr>
        <w:t>F</w:t>
      </w:r>
      <w:r w:rsidR="00D9634E">
        <w:rPr>
          <w:noProof/>
        </w:rPr>
        <w:t xml:space="preserve">lag </w:t>
      </w:r>
      <w:r w:rsidR="003951E3">
        <w:rPr>
          <w:noProof/>
        </w:rPr>
        <w:t>S</w:t>
      </w:r>
      <w:r w:rsidR="00D9634E">
        <w:rPr>
          <w:noProof/>
        </w:rPr>
        <w:t xml:space="preserve">tate has ratified the international conventions.  </w:t>
      </w:r>
    </w:p>
    <w:p w14:paraId="361AC149" w14:textId="77777777" w:rsidR="0049786D" w:rsidRDefault="0084402E" w:rsidP="002B426B">
      <w:pPr>
        <w:pBdr>
          <w:top w:val="nil"/>
          <w:left w:val="nil"/>
          <w:bottom w:val="nil"/>
          <w:right w:val="nil"/>
          <w:between w:val="nil"/>
          <w:bar w:val="nil"/>
        </w:pBdr>
        <w:spacing w:before="0" w:after="240"/>
        <w:rPr>
          <w:noProof/>
        </w:rPr>
      </w:pPr>
      <w:r>
        <w:rPr>
          <w:noProof/>
        </w:rPr>
        <w:t xml:space="preserve">The SRP is also amended for cargo and passenger vessels of over 5000 </w:t>
      </w:r>
      <w:r w:rsidR="00A57F4F">
        <w:rPr>
          <w:noProof/>
        </w:rPr>
        <w:t>gross tonnage</w:t>
      </w:r>
      <w:r>
        <w:rPr>
          <w:noProof/>
        </w:rPr>
        <w:t xml:space="preserve"> (which are regarded as the most polluting)</w:t>
      </w:r>
      <w:r w:rsidR="003951E3">
        <w:rPr>
          <w:noProof/>
        </w:rPr>
        <w:t>,</w:t>
      </w:r>
      <w:r>
        <w:rPr>
          <w:noProof/>
        </w:rPr>
        <w:t xml:space="preserve"> </w:t>
      </w:r>
      <w:r w:rsidR="003951E3">
        <w:rPr>
          <w:noProof/>
        </w:rPr>
        <w:t>for which t</w:t>
      </w:r>
      <w:r>
        <w:rPr>
          <w:noProof/>
        </w:rPr>
        <w:t>he SRP will take account of the vessel’s IMO Carbon Intensity Indicator</w:t>
      </w:r>
      <w:r w:rsidR="00C0587F">
        <w:rPr>
          <w:noProof/>
        </w:rPr>
        <w:t>. F</w:t>
      </w:r>
      <w:r>
        <w:rPr>
          <w:noProof/>
        </w:rPr>
        <w:t>or all ships eligible for port State control</w:t>
      </w:r>
      <w:r w:rsidR="003951E3">
        <w:rPr>
          <w:noProof/>
        </w:rPr>
        <w:t>,</w:t>
      </w:r>
      <w:r>
        <w:rPr>
          <w:noProof/>
        </w:rPr>
        <w:t xml:space="preserve"> it adjusts the weighting factor to attach more importance to</w:t>
      </w:r>
      <w:r w:rsidR="0049786D">
        <w:rPr>
          <w:noProof/>
        </w:rPr>
        <w:t xml:space="preserve"> environmental related deficiencies (MARPOL, B</w:t>
      </w:r>
      <w:r w:rsidR="00C0587F">
        <w:rPr>
          <w:noProof/>
        </w:rPr>
        <w:t xml:space="preserve">allast Water Management Convention </w:t>
      </w:r>
      <w:r w:rsidR="0049786D">
        <w:rPr>
          <w:noProof/>
        </w:rPr>
        <w:t xml:space="preserve">and </w:t>
      </w:r>
      <w:r w:rsidR="00C0587F" w:rsidRPr="00C0587F">
        <w:rPr>
          <w:noProof/>
        </w:rPr>
        <w:t>International Convention on the Control of Harmful Anti-fouling Systems on Ships</w:t>
      </w:r>
      <w:r w:rsidR="00C0587F">
        <w:rPr>
          <w:noProof/>
        </w:rPr>
        <w:t>)</w:t>
      </w:r>
      <w:r w:rsidR="0049786D">
        <w:rPr>
          <w:noProof/>
        </w:rPr>
        <w:t xml:space="preserve"> recorded against that ship in previous PSC inspections carried out in the Paris M</w:t>
      </w:r>
      <w:r w:rsidR="00894990">
        <w:rPr>
          <w:noProof/>
        </w:rPr>
        <w:t>O</w:t>
      </w:r>
      <w:r w:rsidR="0049786D">
        <w:rPr>
          <w:noProof/>
        </w:rPr>
        <w:t xml:space="preserve">U region. </w:t>
      </w:r>
      <w:r w:rsidR="00866D2C">
        <w:rPr>
          <w:noProof/>
        </w:rPr>
        <w:t>The recoded deficiencies and detentions are linked only to the international conventions (the so-called relevant instruments) so that the revised SRP will apply across the Paris M</w:t>
      </w:r>
      <w:r w:rsidR="00894990">
        <w:rPr>
          <w:noProof/>
        </w:rPr>
        <w:t>O</w:t>
      </w:r>
      <w:r w:rsidR="00866D2C">
        <w:rPr>
          <w:noProof/>
        </w:rPr>
        <w:t xml:space="preserve">U region and not just in the EU Member States. </w:t>
      </w:r>
      <w:r w:rsidR="0049786D">
        <w:rPr>
          <w:noProof/>
        </w:rPr>
        <w:t xml:space="preserve">A parameter will also be added to encourage the flag states </w:t>
      </w:r>
      <w:r>
        <w:rPr>
          <w:noProof/>
        </w:rPr>
        <w:t xml:space="preserve">of vessels eligible for PSC </w:t>
      </w:r>
      <w:r w:rsidR="0049786D">
        <w:rPr>
          <w:noProof/>
        </w:rPr>
        <w:t>to use electronic certificates</w:t>
      </w:r>
      <w:r w:rsidR="002B426B">
        <w:rPr>
          <w:noProof/>
        </w:rPr>
        <w:t>.</w:t>
      </w:r>
    </w:p>
    <w:p w14:paraId="3B75EDCE" w14:textId="77777777" w:rsidR="00375395" w:rsidRPr="00375395" w:rsidRDefault="00375395" w:rsidP="00375395">
      <w:pPr>
        <w:pBdr>
          <w:top w:val="nil"/>
          <w:left w:val="nil"/>
          <w:bottom w:val="nil"/>
          <w:right w:val="nil"/>
          <w:between w:val="nil"/>
          <w:bar w:val="nil"/>
        </w:pBdr>
        <w:spacing w:after="240"/>
        <w:rPr>
          <w:b/>
          <w:i/>
          <w:noProof/>
        </w:rPr>
      </w:pPr>
      <w:r w:rsidRPr="00375395">
        <w:rPr>
          <w:b/>
          <w:i/>
          <w:noProof/>
        </w:rPr>
        <w:t xml:space="preserve">Certificates </w:t>
      </w:r>
    </w:p>
    <w:p w14:paraId="3630BAF9" w14:textId="77777777" w:rsidR="0004052B" w:rsidRDefault="0004052B" w:rsidP="00340D1E">
      <w:pPr>
        <w:pBdr>
          <w:top w:val="nil"/>
          <w:left w:val="nil"/>
          <w:bottom w:val="nil"/>
          <w:right w:val="nil"/>
          <w:between w:val="nil"/>
          <w:bar w:val="nil"/>
        </w:pBdr>
        <w:spacing w:before="0" w:after="240"/>
        <w:rPr>
          <w:noProof/>
        </w:rPr>
      </w:pPr>
      <w:r w:rsidRPr="00C0587F">
        <w:rPr>
          <w:noProof/>
        </w:rPr>
        <w:t xml:space="preserve">Point </w:t>
      </w:r>
      <w:r w:rsidR="00BB5999">
        <w:rPr>
          <w:noProof/>
        </w:rPr>
        <w:t>2</w:t>
      </w:r>
      <w:r w:rsidR="00340D1E">
        <w:rPr>
          <w:noProof/>
        </w:rPr>
        <w:t>6</w:t>
      </w:r>
      <w:r w:rsidRPr="00C0587F">
        <w:rPr>
          <w:noProof/>
        </w:rPr>
        <w:t xml:space="preserve"> updates the lists of </w:t>
      </w:r>
      <w:r w:rsidR="00375395">
        <w:rPr>
          <w:noProof/>
        </w:rPr>
        <w:t xml:space="preserve">statutory </w:t>
      </w:r>
      <w:r w:rsidRPr="00C0587F">
        <w:rPr>
          <w:noProof/>
        </w:rPr>
        <w:t xml:space="preserve">certificates and </w:t>
      </w:r>
      <w:r w:rsidR="00375395">
        <w:rPr>
          <w:noProof/>
        </w:rPr>
        <w:t xml:space="preserve">other </w:t>
      </w:r>
      <w:r w:rsidRPr="00C0587F">
        <w:rPr>
          <w:noProof/>
        </w:rPr>
        <w:t xml:space="preserve">documents </w:t>
      </w:r>
      <w:r w:rsidR="00984B33">
        <w:rPr>
          <w:noProof/>
        </w:rPr>
        <w:t xml:space="preserve">in Annex IV </w:t>
      </w:r>
      <w:r w:rsidRPr="00C0587F">
        <w:rPr>
          <w:noProof/>
        </w:rPr>
        <w:t xml:space="preserve">to be </w:t>
      </w:r>
      <w:r w:rsidR="00375395">
        <w:rPr>
          <w:noProof/>
        </w:rPr>
        <w:t xml:space="preserve">checked during inspections </w:t>
      </w:r>
      <w:r w:rsidRPr="00C0587F">
        <w:rPr>
          <w:noProof/>
        </w:rPr>
        <w:t xml:space="preserve">in line with the IMO requirements as </w:t>
      </w:r>
      <w:r w:rsidR="00375395">
        <w:rPr>
          <w:noProof/>
        </w:rPr>
        <w:t xml:space="preserve">previously </w:t>
      </w:r>
      <w:r w:rsidRPr="00C0587F">
        <w:rPr>
          <w:noProof/>
        </w:rPr>
        <w:t>agreed in the Paris M</w:t>
      </w:r>
      <w:r w:rsidR="00894990">
        <w:rPr>
          <w:noProof/>
        </w:rPr>
        <w:t>O</w:t>
      </w:r>
      <w:r w:rsidRPr="00C0587F">
        <w:rPr>
          <w:noProof/>
        </w:rPr>
        <w:t xml:space="preserve">U. </w:t>
      </w:r>
    </w:p>
    <w:p w14:paraId="0681B2B6" w14:textId="77777777" w:rsidR="00375395" w:rsidRPr="00375395" w:rsidRDefault="00375395" w:rsidP="00375395">
      <w:pPr>
        <w:pBdr>
          <w:top w:val="nil"/>
          <w:left w:val="nil"/>
          <w:bottom w:val="nil"/>
          <w:right w:val="nil"/>
          <w:between w:val="nil"/>
          <w:bar w:val="nil"/>
        </w:pBdr>
        <w:spacing w:after="240"/>
        <w:rPr>
          <w:b/>
          <w:i/>
          <w:noProof/>
        </w:rPr>
      </w:pPr>
      <w:r w:rsidRPr="00375395">
        <w:rPr>
          <w:b/>
          <w:i/>
          <w:noProof/>
        </w:rPr>
        <w:t>Inspections procedures and guidelines</w:t>
      </w:r>
    </w:p>
    <w:p w14:paraId="38B191D6" w14:textId="77777777" w:rsidR="00375395" w:rsidRDefault="00984B33" w:rsidP="002B426B">
      <w:pPr>
        <w:pBdr>
          <w:top w:val="nil"/>
          <w:left w:val="nil"/>
          <w:bottom w:val="nil"/>
          <w:right w:val="nil"/>
          <w:between w:val="nil"/>
          <w:bar w:val="nil"/>
        </w:pBdr>
        <w:spacing w:before="0" w:after="240"/>
        <w:rPr>
          <w:noProof/>
        </w:rPr>
      </w:pPr>
      <w:r>
        <w:rPr>
          <w:noProof/>
        </w:rPr>
        <w:t>To allow for an up to date and harmonised system of port State control across the Union, p</w:t>
      </w:r>
      <w:r w:rsidR="00375395">
        <w:rPr>
          <w:noProof/>
        </w:rPr>
        <w:t>oint 2</w:t>
      </w:r>
      <w:r w:rsidR="002B426B">
        <w:rPr>
          <w:noProof/>
        </w:rPr>
        <w:t>6</w:t>
      </w:r>
      <w:r w:rsidR="00375395">
        <w:rPr>
          <w:noProof/>
        </w:rPr>
        <w:t xml:space="preserve"> updates </w:t>
      </w:r>
      <w:r>
        <w:rPr>
          <w:noProof/>
        </w:rPr>
        <w:t xml:space="preserve">Annex VI </w:t>
      </w:r>
      <w:r w:rsidR="00375395">
        <w:rPr>
          <w:noProof/>
        </w:rPr>
        <w:t xml:space="preserve">relating to the </w:t>
      </w:r>
      <w:r w:rsidR="00375395" w:rsidRPr="00375395">
        <w:rPr>
          <w:noProof/>
        </w:rPr>
        <w:t xml:space="preserve">Paris MOU </w:t>
      </w:r>
      <w:r w:rsidR="00375395">
        <w:rPr>
          <w:noProof/>
        </w:rPr>
        <w:t>inspection guidelines and i</w:t>
      </w:r>
      <w:r w:rsidR="00375395" w:rsidRPr="00375395">
        <w:rPr>
          <w:noProof/>
        </w:rPr>
        <w:t>nstructions</w:t>
      </w:r>
      <w:r>
        <w:rPr>
          <w:noProof/>
        </w:rPr>
        <w:t xml:space="preserve"> to be followed during inspections</w:t>
      </w:r>
      <w:r w:rsidR="00375395">
        <w:rPr>
          <w:noProof/>
        </w:rPr>
        <w:t>,</w:t>
      </w:r>
      <w:r w:rsidR="00375395" w:rsidRPr="00375395">
        <w:rPr>
          <w:noProof/>
        </w:rPr>
        <w:t xml:space="preserve"> in their up-to-date version</w:t>
      </w:r>
      <w:r>
        <w:rPr>
          <w:noProof/>
        </w:rPr>
        <w:t>.</w:t>
      </w:r>
    </w:p>
    <w:p w14:paraId="0F348E8B" w14:textId="77777777" w:rsidR="00984B33" w:rsidRPr="00984B33" w:rsidRDefault="00984B33" w:rsidP="00984B33">
      <w:pPr>
        <w:pBdr>
          <w:top w:val="nil"/>
          <w:left w:val="nil"/>
          <w:bottom w:val="nil"/>
          <w:right w:val="nil"/>
          <w:between w:val="nil"/>
          <w:bar w:val="nil"/>
        </w:pBdr>
        <w:spacing w:after="240"/>
        <w:rPr>
          <w:b/>
          <w:i/>
          <w:noProof/>
        </w:rPr>
      </w:pPr>
      <w:r w:rsidRPr="00984B33">
        <w:rPr>
          <w:b/>
          <w:i/>
          <w:noProof/>
        </w:rPr>
        <w:t>Refusal of access</w:t>
      </w:r>
    </w:p>
    <w:p w14:paraId="6E4D2F21" w14:textId="77777777" w:rsidR="00984B33" w:rsidRDefault="00984B33" w:rsidP="00340D1E">
      <w:pPr>
        <w:spacing w:before="0" w:after="0"/>
        <w:rPr>
          <w:noProof/>
        </w:rPr>
      </w:pPr>
      <w:r>
        <w:rPr>
          <w:noProof/>
        </w:rPr>
        <w:t>Point 2</w:t>
      </w:r>
      <w:r w:rsidR="00340D1E">
        <w:rPr>
          <w:noProof/>
        </w:rPr>
        <w:t>8</w:t>
      </w:r>
      <w:r>
        <w:rPr>
          <w:noProof/>
        </w:rPr>
        <w:t xml:space="preserve"> updates Annex VIII concerning the refusal of access (banning) procedures referred to in Article 16 to align these with the changes already agreed in the Paris MOU. </w:t>
      </w:r>
    </w:p>
    <w:p w14:paraId="2215ED84" w14:textId="77777777" w:rsidR="005E66BF" w:rsidRDefault="005E66BF" w:rsidP="00984B33">
      <w:pPr>
        <w:spacing w:before="0" w:after="0"/>
        <w:rPr>
          <w:noProof/>
        </w:rPr>
      </w:pPr>
    </w:p>
    <w:p w14:paraId="3E45A36A" w14:textId="77777777" w:rsidR="005E66BF" w:rsidRDefault="005E66BF">
      <w:pPr>
        <w:spacing w:before="0" w:after="200" w:line="276" w:lineRule="auto"/>
        <w:jc w:val="left"/>
        <w:rPr>
          <w:noProof/>
        </w:rPr>
      </w:pPr>
      <w:r>
        <w:rPr>
          <w:noProof/>
        </w:rPr>
        <w:br w:type="page"/>
      </w:r>
    </w:p>
    <w:p w14:paraId="109AF7C5" w14:textId="77777777" w:rsidR="00984B33" w:rsidRDefault="00984B33" w:rsidP="00984B33">
      <w:pPr>
        <w:spacing w:before="0" w:after="0"/>
        <w:rPr>
          <w:noProof/>
        </w:rPr>
      </w:pPr>
    </w:p>
    <w:p w14:paraId="7CE141C4" w14:textId="7BF51ECF" w:rsidR="00A85338" w:rsidRDefault="00A85338" w:rsidP="00A85338">
      <w:pPr>
        <w:pStyle w:val="Rfrenceinterinstitutionnelle"/>
        <w:rPr>
          <w:noProof/>
        </w:rPr>
      </w:pPr>
      <w:r w:rsidRPr="00A85338">
        <w:t>2023/0165 (COD)</w:t>
      </w:r>
    </w:p>
    <w:p w14:paraId="24200760" w14:textId="1DA5CE1F" w:rsidR="000E625C" w:rsidRPr="000E625C" w:rsidRDefault="00E5667E" w:rsidP="00E5667E">
      <w:pPr>
        <w:pStyle w:val="Statut"/>
        <w:rPr>
          <w:noProof/>
        </w:rPr>
      </w:pPr>
      <w:r w:rsidRPr="00E5667E">
        <w:rPr>
          <w:noProof/>
        </w:rPr>
        <w:t>Proposal for a</w:t>
      </w:r>
    </w:p>
    <w:p w14:paraId="7BC7BA4C" w14:textId="77777777" w:rsidR="005B3330" w:rsidRPr="00C8711F" w:rsidRDefault="00E5667E" w:rsidP="00E5667E">
      <w:pPr>
        <w:pStyle w:val="Typedudocument"/>
        <w:rPr>
          <w:noProof/>
        </w:rPr>
      </w:pPr>
      <w:r w:rsidRPr="00E5667E">
        <w:rPr>
          <w:noProof/>
        </w:rPr>
        <w:t>DIRECTIVE OF THE EUROPEAN PARLIAMENT AND OF THE COUNCIL</w:t>
      </w:r>
    </w:p>
    <w:p w14:paraId="3843004D" w14:textId="77777777" w:rsidR="005B3330" w:rsidRPr="00C8711F" w:rsidRDefault="00E5667E" w:rsidP="00E5667E">
      <w:pPr>
        <w:pStyle w:val="Titreobjet"/>
        <w:rPr>
          <w:noProof/>
        </w:rPr>
      </w:pPr>
      <w:r w:rsidRPr="00E5667E">
        <w:rPr>
          <w:noProof/>
        </w:rPr>
        <w:t>amending Directive 2009/16/EC on port State control</w:t>
      </w:r>
    </w:p>
    <w:p w14:paraId="7D6F6C33" w14:textId="77777777" w:rsidR="005B3330" w:rsidRPr="00C8711F" w:rsidRDefault="00E5667E" w:rsidP="00E5667E">
      <w:pPr>
        <w:pStyle w:val="IntrtEEE"/>
        <w:rPr>
          <w:noProof/>
        </w:rPr>
      </w:pPr>
      <w:r w:rsidRPr="00E5667E">
        <w:rPr>
          <w:noProof/>
        </w:rPr>
        <w:t>(Text with EEA relevance)</w:t>
      </w:r>
    </w:p>
    <w:p w14:paraId="3696E5C0" w14:textId="77777777" w:rsidR="005B3330" w:rsidRPr="00C8711F" w:rsidRDefault="005B3330" w:rsidP="007800DD">
      <w:pPr>
        <w:pStyle w:val="Institutionquiagit"/>
        <w:rPr>
          <w:noProof/>
        </w:rPr>
      </w:pPr>
      <w:r w:rsidRPr="00C8711F">
        <w:rPr>
          <w:noProof/>
        </w:rPr>
        <w:t>THE EUROPEAN PARLIAMENT AND THE COUNCIL OF THE EUROPEAN UNION,</w:t>
      </w:r>
    </w:p>
    <w:p w14:paraId="55F8CF17" w14:textId="77777777" w:rsidR="005B3330" w:rsidRPr="00C8711F" w:rsidRDefault="005B3330" w:rsidP="007800DD">
      <w:pPr>
        <w:rPr>
          <w:noProof/>
        </w:rPr>
      </w:pPr>
      <w:r w:rsidRPr="00C8711F">
        <w:rPr>
          <w:noProof/>
        </w:rPr>
        <w:t>Having regard to the Treaty on the Functioning of the European Union, and in particular Article</w:t>
      </w:r>
      <w:r w:rsidR="00E50430" w:rsidRPr="00C8711F">
        <w:rPr>
          <w:noProof/>
        </w:rPr>
        <w:t xml:space="preserve"> 100(2)</w:t>
      </w:r>
      <w:r w:rsidRPr="00C8711F">
        <w:rPr>
          <w:noProof/>
        </w:rPr>
        <w:t xml:space="preserve"> thereof,</w:t>
      </w:r>
    </w:p>
    <w:p w14:paraId="452D851D" w14:textId="77777777" w:rsidR="00951E8E" w:rsidRDefault="005B3330" w:rsidP="007800DD">
      <w:pPr>
        <w:rPr>
          <w:noProof/>
        </w:rPr>
      </w:pPr>
      <w:r w:rsidRPr="00BD09BA">
        <w:rPr>
          <w:noProof/>
        </w:rPr>
        <w:t>Having regard to the proposal from the European Commission,</w:t>
      </w:r>
    </w:p>
    <w:p w14:paraId="7E58889E" w14:textId="77777777" w:rsidR="005B3330" w:rsidRPr="00BD09BA" w:rsidRDefault="005B3330" w:rsidP="007800DD">
      <w:pPr>
        <w:rPr>
          <w:noProof/>
        </w:rPr>
      </w:pPr>
      <w:r w:rsidRPr="00BD09BA">
        <w:rPr>
          <w:noProof/>
        </w:rPr>
        <w:t>Having regard to the opinion of the European Economic and Social Committee</w:t>
      </w:r>
      <w:r w:rsidRPr="00BD09BA">
        <w:rPr>
          <w:rStyle w:val="FootnoteReference"/>
          <w:noProof/>
        </w:rPr>
        <w:footnoteReference w:id="23"/>
      </w:r>
      <w:r w:rsidRPr="00BD09BA">
        <w:rPr>
          <w:noProof/>
        </w:rPr>
        <w:t xml:space="preserve">, </w:t>
      </w:r>
    </w:p>
    <w:p w14:paraId="257E027F" w14:textId="77777777" w:rsidR="005B3330" w:rsidRPr="00BD09BA" w:rsidRDefault="005B3330" w:rsidP="007800DD">
      <w:pPr>
        <w:rPr>
          <w:noProof/>
        </w:rPr>
      </w:pPr>
      <w:r w:rsidRPr="00BD09BA">
        <w:rPr>
          <w:noProof/>
        </w:rPr>
        <w:t>Having regard to the opinion of the Committee of the Regions</w:t>
      </w:r>
      <w:r w:rsidRPr="00BD09BA">
        <w:rPr>
          <w:rStyle w:val="FootnoteReference"/>
          <w:noProof/>
        </w:rPr>
        <w:footnoteReference w:id="24"/>
      </w:r>
      <w:r w:rsidR="00E50430" w:rsidRPr="00BD09BA">
        <w:rPr>
          <w:noProof/>
        </w:rPr>
        <w:t>,</w:t>
      </w:r>
    </w:p>
    <w:p w14:paraId="6E328798" w14:textId="77777777" w:rsidR="005B3330" w:rsidRPr="00BD09BA" w:rsidRDefault="005B3330" w:rsidP="007800DD">
      <w:pPr>
        <w:rPr>
          <w:noProof/>
        </w:rPr>
      </w:pPr>
      <w:r w:rsidRPr="00BD09BA">
        <w:rPr>
          <w:noProof/>
        </w:rPr>
        <w:t>Acting in accordance with the ordinary legislative procedure,</w:t>
      </w:r>
    </w:p>
    <w:p w14:paraId="2388BAAC" w14:textId="77777777" w:rsidR="005B3330" w:rsidRPr="00BD09BA" w:rsidRDefault="005B3330" w:rsidP="007800DD">
      <w:pPr>
        <w:rPr>
          <w:noProof/>
        </w:rPr>
      </w:pPr>
      <w:r w:rsidRPr="00BD09BA">
        <w:rPr>
          <w:noProof/>
        </w:rPr>
        <w:t>Whereas:</w:t>
      </w:r>
      <w:r w:rsidR="0095401B" w:rsidRPr="00BD09BA">
        <w:rPr>
          <w:noProof/>
        </w:rPr>
        <w:t xml:space="preserve"> </w:t>
      </w:r>
    </w:p>
    <w:p w14:paraId="4F6E140D" w14:textId="6405F34C" w:rsidR="004D5F39" w:rsidRDefault="00FE14A2" w:rsidP="00FE14A2">
      <w:pPr>
        <w:pStyle w:val="ManualConsidrant"/>
        <w:rPr>
          <w:noProof/>
        </w:rPr>
      </w:pPr>
      <w:r w:rsidRPr="00FE14A2">
        <w:t>(1)</w:t>
      </w:r>
      <w:r w:rsidRPr="00FE14A2">
        <w:tab/>
      </w:r>
      <w:r w:rsidR="007E6B68">
        <w:rPr>
          <w:noProof/>
        </w:rPr>
        <w:t>Directive 2009/1</w:t>
      </w:r>
      <w:r w:rsidR="00572511">
        <w:rPr>
          <w:noProof/>
        </w:rPr>
        <w:t>6</w:t>
      </w:r>
      <w:r w:rsidR="007E6B68">
        <w:rPr>
          <w:noProof/>
        </w:rPr>
        <w:t>/EC</w:t>
      </w:r>
      <w:r w:rsidR="00894990">
        <w:rPr>
          <w:noProof/>
        </w:rPr>
        <w:t xml:space="preserve"> of the European Parliament and of the Council</w:t>
      </w:r>
      <w:r w:rsidR="007E6B68" w:rsidRPr="00E55A28">
        <w:rPr>
          <w:rStyle w:val="FootnoteReference"/>
          <w:noProof/>
        </w:rPr>
        <w:footnoteReference w:id="25"/>
      </w:r>
      <w:r w:rsidR="007E6B68" w:rsidRPr="00E55A28">
        <w:rPr>
          <w:rStyle w:val="FootnoteReference"/>
          <w:noProof/>
        </w:rPr>
        <w:t xml:space="preserve"> </w:t>
      </w:r>
      <w:r w:rsidR="00894990">
        <w:rPr>
          <w:noProof/>
        </w:rPr>
        <w:t>sets out rules on the system for p</w:t>
      </w:r>
      <w:r w:rsidR="004D5F39" w:rsidRPr="004D5F39">
        <w:rPr>
          <w:noProof/>
        </w:rPr>
        <w:t>ort State control</w:t>
      </w:r>
      <w:r w:rsidR="004D5E0B">
        <w:rPr>
          <w:noProof/>
        </w:rPr>
        <w:t xml:space="preserve"> insp</w:t>
      </w:r>
      <w:r w:rsidR="003951E3">
        <w:rPr>
          <w:noProof/>
        </w:rPr>
        <w:t>e</w:t>
      </w:r>
      <w:r w:rsidR="004D5E0B">
        <w:rPr>
          <w:noProof/>
        </w:rPr>
        <w:t>ctions</w:t>
      </w:r>
      <w:r w:rsidR="004D5F39">
        <w:rPr>
          <w:noProof/>
        </w:rPr>
        <w:t>,</w:t>
      </w:r>
      <w:r w:rsidR="004D5F39" w:rsidRPr="004D5F39">
        <w:rPr>
          <w:noProof/>
        </w:rPr>
        <w:t xml:space="preserve"> wh</w:t>
      </w:r>
      <w:r w:rsidR="004D5F39">
        <w:rPr>
          <w:noProof/>
        </w:rPr>
        <w:t xml:space="preserve">ereby eligible ships calling in </w:t>
      </w:r>
      <w:r w:rsidR="00894990">
        <w:rPr>
          <w:noProof/>
        </w:rPr>
        <w:t>Union</w:t>
      </w:r>
      <w:r w:rsidR="004D5F39">
        <w:rPr>
          <w:noProof/>
        </w:rPr>
        <w:t xml:space="preserve"> </w:t>
      </w:r>
      <w:r w:rsidR="00894990">
        <w:rPr>
          <w:noProof/>
        </w:rPr>
        <w:t xml:space="preserve">ports </w:t>
      </w:r>
      <w:r w:rsidR="004D5F39">
        <w:rPr>
          <w:noProof/>
        </w:rPr>
        <w:t xml:space="preserve">are inspected to verify </w:t>
      </w:r>
      <w:r w:rsidR="00930E79">
        <w:rPr>
          <w:noProof/>
        </w:rPr>
        <w:t xml:space="preserve">if </w:t>
      </w:r>
      <w:r w:rsidR="004D5F39" w:rsidRPr="004D5F39">
        <w:rPr>
          <w:noProof/>
        </w:rPr>
        <w:t xml:space="preserve">the competency of the crew on board and the condition of the ship and its equipment comply with the requirements of international conventions on the safety of life at sea and on the protection of marine environment. </w:t>
      </w:r>
    </w:p>
    <w:p w14:paraId="4D042012" w14:textId="3F4C0FC6" w:rsidR="004D5F39" w:rsidRDefault="00FE14A2" w:rsidP="00FE14A2">
      <w:pPr>
        <w:pStyle w:val="ManualConsidrant"/>
        <w:rPr>
          <w:noProof/>
        </w:rPr>
      </w:pPr>
      <w:r w:rsidRPr="00FE14A2">
        <w:t>(2)</w:t>
      </w:r>
      <w:r w:rsidRPr="00FE14A2">
        <w:tab/>
      </w:r>
      <w:r w:rsidR="004D5F39" w:rsidRPr="004D5F39">
        <w:rPr>
          <w:noProof/>
        </w:rPr>
        <w:t xml:space="preserve">Directive </w:t>
      </w:r>
      <w:r w:rsidR="00894990">
        <w:rPr>
          <w:noProof/>
        </w:rPr>
        <w:t xml:space="preserve">2009/16/EC </w:t>
      </w:r>
      <w:r w:rsidR="004D5F39" w:rsidRPr="004D5F39">
        <w:rPr>
          <w:noProof/>
        </w:rPr>
        <w:t xml:space="preserve">is based on the pre-existing voluntary intergovernmental structure of the Paris Memorandum of Understanding </w:t>
      </w:r>
      <w:r w:rsidR="004D5F39">
        <w:rPr>
          <w:rFonts w:eastAsia="Calibri"/>
          <w:noProof/>
          <w:lang w:eastAsia="en-GB"/>
        </w:rPr>
        <w:t xml:space="preserve">on port State control </w:t>
      </w:r>
      <w:r w:rsidR="004D5F39" w:rsidRPr="004D5F39">
        <w:rPr>
          <w:noProof/>
        </w:rPr>
        <w:t>(Paris M</w:t>
      </w:r>
      <w:r w:rsidR="00616E0C">
        <w:rPr>
          <w:noProof/>
        </w:rPr>
        <w:t>O</w:t>
      </w:r>
      <w:r w:rsidR="004D5F39" w:rsidRPr="004D5F39">
        <w:rPr>
          <w:noProof/>
        </w:rPr>
        <w:t>U)</w:t>
      </w:r>
      <w:r w:rsidR="004D5F39">
        <w:rPr>
          <w:noProof/>
        </w:rPr>
        <w:t xml:space="preserve"> and the </w:t>
      </w:r>
      <w:r w:rsidR="004D5F39" w:rsidRPr="004D5F39">
        <w:rPr>
          <w:noProof/>
        </w:rPr>
        <w:t>notions of a shared inspection burden, risk-based tar</w:t>
      </w:r>
      <w:r w:rsidR="004D5F39">
        <w:rPr>
          <w:noProof/>
        </w:rPr>
        <w:t>geting of ships for inspections,</w:t>
      </w:r>
      <w:r w:rsidR="004D5F39" w:rsidRPr="004D5F39">
        <w:rPr>
          <w:noProof/>
        </w:rPr>
        <w:t xml:space="preserve"> harmonised inspections and the sharing of inspection results.  </w:t>
      </w:r>
    </w:p>
    <w:p w14:paraId="324F3B37" w14:textId="1802D257" w:rsidR="007E6B68" w:rsidRDefault="00FE14A2" w:rsidP="00FE14A2">
      <w:pPr>
        <w:pStyle w:val="ManualConsidrant"/>
        <w:rPr>
          <w:noProof/>
          <w:lang w:eastAsia="en-GB"/>
        </w:rPr>
      </w:pPr>
      <w:r w:rsidRPr="00FE14A2">
        <w:t>(3)</w:t>
      </w:r>
      <w:r w:rsidRPr="00FE14A2">
        <w:tab/>
      </w:r>
      <w:r w:rsidR="005B1CCB" w:rsidRPr="000615E9">
        <w:rPr>
          <w:noProof/>
          <w:lang w:eastAsia="en-GB"/>
        </w:rPr>
        <w:t>Since t</w:t>
      </w:r>
      <w:r w:rsidR="007E6B68" w:rsidRPr="000615E9">
        <w:rPr>
          <w:noProof/>
          <w:lang w:eastAsia="en-GB"/>
        </w:rPr>
        <w:t xml:space="preserve">he Directive </w:t>
      </w:r>
      <w:r w:rsidR="000615E9" w:rsidRPr="000615E9">
        <w:rPr>
          <w:noProof/>
          <w:lang w:eastAsia="en-GB"/>
        </w:rPr>
        <w:t>2009/16/EC entered into force, there have been changes in the international regulatory environment (in particular in the Paris M</w:t>
      </w:r>
      <w:r w:rsidR="00616E0C">
        <w:rPr>
          <w:noProof/>
          <w:lang w:eastAsia="en-GB"/>
        </w:rPr>
        <w:t>O</w:t>
      </w:r>
      <w:r w:rsidR="000615E9" w:rsidRPr="000615E9">
        <w:rPr>
          <w:noProof/>
          <w:lang w:eastAsia="en-GB"/>
        </w:rPr>
        <w:t>U and the International Maritime Organisation)</w:t>
      </w:r>
      <w:r w:rsidR="000615E9">
        <w:rPr>
          <w:noProof/>
          <w:lang w:eastAsia="en-GB"/>
        </w:rPr>
        <w:t xml:space="preserve"> </w:t>
      </w:r>
      <w:r w:rsidR="000615E9" w:rsidRPr="000615E9">
        <w:rPr>
          <w:noProof/>
          <w:lang w:eastAsia="en-GB"/>
        </w:rPr>
        <w:t>and technological develop</w:t>
      </w:r>
      <w:r w:rsidR="000615E9">
        <w:rPr>
          <w:noProof/>
          <w:lang w:eastAsia="en-GB"/>
        </w:rPr>
        <w:t xml:space="preserve">ments. </w:t>
      </w:r>
      <w:r w:rsidR="000615E9" w:rsidRPr="000615E9">
        <w:rPr>
          <w:noProof/>
          <w:lang w:eastAsia="en-GB"/>
        </w:rPr>
        <w:t>Th</w:t>
      </w:r>
      <w:r w:rsidR="00894990">
        <w:rPr>
          <w:noProof/>
          <w:lang w:eastAsia="en-GB"/>
        </w:rPr>
        <w:t>ose</w:t>
      </w:r>
      <w:r w:rsidR="000615E9" w:rsidRPr="000615E9">
        <w:rPr>
          <w:noProof/>
          <w:lang w:eastAsia="en-GB"/>
        </w:rPr>
        <w:t xml:space="preserve"> changes as well as the </w:t>
      </w:r>
      <w:r w:rsidR="00894990">
        <w:rPr>
          <w:noProof/>
          <w:lang w:eastAsia="en-GB"/>
        </w:rPr>
        <w:t>experience gained from</w:t>
      </w:r>
      <w:r w:rsidR="000615E9" w:rsidRPr="000615E9">
        <w:rPr>
          <w:noProof/>
          <w:lang w:eastAsia="en-GB"/>
        </w:rPr>
        <w:t xml:space="preserve"> implementation of Directive 2009/1</w:t>
      </w:r>
      <w:r w:rsidR="000615E9">
        <w:rPr>
          <w:noProof/>
          <w:lang w:eastAsia="en-GB"/>
        </w:rPr>
        <w:t>6</w:t>
      </w:r>
      <w:r w:rsidR="000615E9" w:rsidRPr="000615E9">
        <w:rPr>
          <w:noProof/>
          <w:lang w:eastAsia="en-GB"/>
        </w:rPr>
        <w:t xml:space="preserve">/EC </w:t>
      </w:r>
      <w:r w:rsidR="001C74FF">
        <w:rPr>
          <w:noProof/>
          <w:lang w:eastAsia="en-GB"/>
        </w:rPr>
        <w:t>should</w:t>
      </w:r>
      <w:r w:rsidR="000615E9" w:rsidRPr="000615E9">
        <w:rPr>
          <w:noProof/>
          <w:lang w:eastAsia="en-GB"/>
        </w:rPr>
        <w:t xml:space="preserve"> be taken into account. </w:t>
      </w:r>
      <w:r w:rsidR="004D5F39" w:rsidRPr="000615E9">
        <w:rPr>
          <w:noProof/>
          <w:lang w:eastAsia="en-GB"/>
        </w:rPr>
        <w:t xml:space="preserve"> </w:t>
      </w:r>
    </w:p>
    <w:p w14:paraId="249F7D4E" w14:textId="6B683695" w:rsidR="00616E0C" w:rsidRDefault="00FE14A2" w:rsidP="00FE14A2">
      <w:pPr>
        <w:pStyle w:val="ManualConsidrant"/>
        <w:rPr>
          <w:noProof/>
          <w:lang w:eastAsia="en-GB"/>
        </w:rPr>
      </w:pPr>
      <w:r w:rsidRPr="00FE14A2">
        <w:t>(4)</w:t>
      </w:r>
      <w:r w:rsidRPr="00FE14A2">
        <w:tab/>
      </w:r>
      <w:r w:rsidR="00616E0C" w:rsidRPr="00616E0C">
        <w:rPr>
          <w:noProof/>
          <w:lang w:eastAsia="en-GB"/>
        </w:rPr>
        <w:t>A number of international conventions have entered into force and been ratified by the Member States since 2011. These are the International Convention for the Control and Management of Ships' Ballast Water and Sediments (BWM</w:t>
      </w:r>
      <w:r w:rsidR="00894990">
        <w:rPr>
          <w:noProof/>
          <w:lang w:eastAsia="en-GB"/>
        </w:rPr>
        <w:t xml:space="preserve"> Convention</w:t>
      </w:r>
      <w:r w:rsidR="00616E0C" w:rsidRPr="00616E0C">
        <w:rPr>
          <w:noProof/>
          <w:lang w:eastAsia="en-GB"/>
        </w:rPr>
        <w:t xml:space="preserve">) </w:t>
      </w:r>
      <w:r w:rsidR="00616E0C">
        <w:rPr>
          <w:noProof/>
          <w:lang w:eastAsia="en-GB"/>
        </w:rPr>
        <w:t xml:space="preserve">and the </w:t>
      </w:r>
      <w:r w:rsidR="00616E0C" w:rsidRPr="00616E0C">
        <w:rPr>
          <w:noProof/>
          <w:lang w:eastAsia="en-GB"/>
        </w:rPr>
        <w:t>Nairobi International Convention on the Removal of Wrecks (Nairobi Convention)</w:t>
      </w:r>
      <w:r w:rsidR="00616E0C">
        <w:rPr>
          <w:noProof/>
          <w:lang w:eastAsia="en-GB"/>
        </w:rPr>
        <w:t xml:space="preserve">. Therefore, they should be included in the list of the Conventions </w:t>
      </w:r>
      <w:r w:rsidR="001C74FF">
        <w:rPr>
          <w:noProof/>
          <w:lang w:eastAsia="en-GB"/>
        </w:rPr>
        <w:t>covered by Directive</w:t>
      </w:r>
      <w:r w:rsidR="00894990">
        <w:rPr>
          <w:noProof/>
          <w:lang w:eastAsia="en-GB"/>
        </w:rPr>
        <w:t xml:space="preserve"> 2009/16/EC</w:t>
      </w:r>
      <w:r w:rsidR="001C74FF">
        <w:rPr>
          <w:noProof/>
          <w:lang w:eastAsia="en-GB"/>
        </w:rPr>
        <w:t xml:space="preserve">, </w:t>
      </w:r>
      <w:r w:rsidR="006E7DED">
        <w:rPr>
          <w:noProof/>
          <w:lang w:eastAsia="en-GB"/>
        </w:rPr>
        <w:t xml:space="preserve">to allow them to be </w:t>
      </w:r>
      <w:r w:rsidR="00616E0C">
        <w:rPr>
          <w:noProof/>
          <w:lang w:eastAsia="en-GB"/>
        </w:rPr>
        <w:t xml:space="preserve">enforced as a part </w:t>
      </w:r>
      <w:r w:rsidR="006E7DED">
        <w:rPr>
          <w:noProof/>
          <w:lang w:eastAsia="en-GB"/>
        </w:rPr>
        <w:t xml:space="preserve">the </w:t>
      </w:r>
      <w:r w:rsidR="00894990">
        <w:rPr>
          <w:noProof/>
          <w:lang w:eastAsia="en-GB"/>
        </w:rPr>
        <w:t>p</w:t>
      </w:r>
      <w:r w:rsidR="00616E0C">
        <w:rPr>
          <w:noProof/>
          <w:lang w:eastAsia="en-GB"/>
        </w:rPr>
        <w:t xml:space="preserve">ort State </w:t>
      </w:r>
      <w:r w:rsidR="006E7DED">
        <w:rPr>
          <w:noProof/>
          <w:lang w:eastAsia="en-GB"/>
        </w:rPr>
        <w:t>c</w:t>
      </w:r>
      <w:r w:rsidR="00616E0C">
        <w:rPr>
          <w:noProof/>
          <w:lang w:eastAsia="en-GB"/>
        </w:rPr>
        <w:t>ontrol</w:t>
      </w:r>
      <w:r w:rsidR="006E7DED">
        <w:rPr>
          <w:noProof/>
          <w:lang w:eastAsia="en-GB"/>
        </w:rPr>
        <w:t xml:space="preserve"> system</w:t>
      </w:r>
      <w:r w:rsidR="00616E0C">
        <w:rPr>
          <w:noProof/>
          <w:lang w:eastAsia="en-GB"/>
        </w:rPr>
        <w:t>.</w:t>
      </w:r>
    </w:p>
    <w:p w14:paraId="1596E863" w14:textId="09465CF1" w:rsidR="00616E0C" w:rsidRPr="00616E0C" w:rsidRDefault="00FE14A2" w:rsidP="00FE14A2">
      <w:pPr>
        <w:pStyle w:val="ManualConsidrant"/>
        <w:rPr>
          <w:noProof/>
          <w:lang w:eastAsia="en-GB"/>
        </w:rPr>
      </w:pPr>
      <w:r w:rsidRPr="00FE14A2">
        <w:t>(5)</w:t>
      </w:r>
      <w:r w:rsidRPr="00FE14A2">
        <w:tab/>
      </w:r>
      <w:r w:rsidR="006E7DED">
        <w:rPr>
          <w:noProof/>
          <w:lang w:eastAsia="en-GB"/>
        </w:rPr>
        <w:t xml:space="preserve">To allow for an up to date and harmonised system of port State control </w:t>
      </w:r>
      <w:r w:rsidR="00894990">
        <w:rPr>
          <w:noProof/>
          <w:lang w:eastAsia="en-GB"/>
        </w:rPr>
        <w:t xml:space="preserve">it is necessary to have a swifter way </w:t>
      </w:r>
      <w:r w:rsidR="00616E0C">
        <w:rPr>
          <w:noProof/>
          <w:lang w:eastAsia="en-GB"/>
        </w:rPr>
        <w:t>to update th</w:t>
      </w:r>
      <w:r w:rsidR="006E7DED">
        <w:rPr>
          <w:noProof/>
          <w:lang w:eastAsia="en-GB"/>
        </w:rPr>
        <w:t>e</w:t>
      </w:r>
      <w:r w:rsidR="00616E0C">
        <w:rPr>
          <w:noProof/>
          <w:lang w:eastAsia="en-GB"/>
        </w:rPr>
        <w:t xml:space="preserve"> list </w:t>
      </w:r>
      <w:r w:rsidR="006E7DED">
        <w:rPr>
          <w:noProof/>
          <w:lang w:eastAsia="en-GB"/>
        </w:rPr>
        <w:t xml:space="preserve">of international conventions enforced by port State control </w:t>
      </w:r>
      <w:r w:rsidR="00616E0C">
        <w:rPr>
          <w:noProof/>
          <w:lang w:eastAsia="en-GB"/>
        </w:rPr>
        <w:t xml:space="preserve">without a need for amending the whole Directive. </w:t>
      </w:r>
      <w:r w:rsidR="006E7DED">
        <w:rPr>
          <w:noProof/>
          <w:lang w:eastAsia="en-GB"/>
        </w:rPr>
        <w:t xml:space="preserve">Therefore once an international Convention has entered into force – meaning that it has reached an agreed level of ratification - and following its adoption by the Members of the Paris MoU as a relevant instrument the list of Conventions in the </w:t>
      </w:r>
      <w:r w:rsidR="001C74FF">
        <w:rPr>
          <w:noProof/>
          <w:lang w:eastAsia="en-GB"/>
        </w:rPr>
        <w:t>D</w:t>
      </w:r>
      <w:r w:rsidR="006E7DED">
        <w:rPr>
          <w:noProof/>
          <w:lang w:eastAsia="en-GB"/>
        </w:rPr>
        <w:t xml:space="preserve">irective </w:t>
      </w:r>
      <w:r w:rsidR="001C74FF">
        <w:rPr>
          <w:noProof/>
          <w:lang w:eastAsia="en-GB"/>
        </w:rPr>
        <w:t>should</w:t>
      </w:r>
      <w:r w:rsidR="006E7DED">
        <w:rPr>
          <w:noProof/>
          <w:lang w:eastAsia="en-GB"/>
        </w:rPr>
        <w:t xml:space="preserve"> be updated</w:t>
      </w:r>
      <w:r w:rsidR="00894990">
        <w:rPr>
          <w:noProof/>
          <w:lang w:eastAsia="en-GB"/>
        </w:rPr>
        <w:t xml:space="preserve"> by the Commission</w:t>
      </w:r>
      <w:r w:rsidR="006E7DED">
        <w:rPr>
          <w:noProof/>
          <w:lang w:eastAsia="en-GB"/>
        </w:rPr>
        <w:t xml:space="preserve">. </w:t>
      </w:r>
    </w:p>
    <w:p w14:paraId="595DE9A4" w14:textId="1FF4B166" w:rsidR="00285C45" w:rsidRDefault="00FE14A2" w:rsidP="00FE14A2">
      <w:pPr>
        <w:pStyle w:val="ManualConsidrant"/>
        <w:rPr>
          <w:noProof/>
          <w:lang w:eastAsia="en-GB"/>
        </w:rPr>
      </w:pPr>
      <w:r w:rsidRPr="00FE14A2">
        <w:t>(6)</w:t>
      </w:r>
      <w:r w:rsidRPr="00FE14A2">
        <w:tab/>
      </w:r>
      <w:r w:rsidR="00616E0C" w:rsidRPr="00285C45">
        <w:rPr>
          <w:noProof/>
          <w:lang w:eastAsia="en-GB"/>
        </w:rPr>
        <w:t>Due to their small size, most fishing vessels in the EU operate in territorial waters</w:t>
      </w:r>
      <w:r w:rsidR="001C74FF" w:rsidRPr="00285C45">
        <w:rPr>
          <w:noProof/>
          <w:lang w:eastAsia="en-GB"/>
        </w:rPr>
        <w:t>, and are not susceptible to being inspected in foreign ports</w:t>
      </w:r>
      <w:r w:rsidR="00616E0C" w:rsidRPr="00285C45">
        <w:rPr>
          <w:noProof/>
          <w:lang w:eastAsia="en-GB"/>
        </w:rPr>
        <w:t xml:space="preserve">. This means that in general, only larger fishing vessels above 24 meters in length </w:t>
      </w:r>
      <w:r w:rsidR="001C74FF" w:rsidRPr="00285C45">
        <w:rPr>
          <w:noProof/>
          <w:lang w:eastAsia="en-GB"/>
        </w:rPr>
        <w:t xml:space="preserve">(which are also the fishing vessels which are most subject to international conventions) </w:t>
      </w:r>
      <w:r w:rsidR="00616E0C" w:rsidRPr="00285C45">
        <w:rPr>
          <w:noProof/>
          <w:lang w:eastAsia="en-GB"/>
        </w:rPr>
        <w:t xml:space="preserve">are likely to engage in international waters and call at ports different than those in the country where they are registered and therefore be subject to PSC. </w:t>
      </w:r>
      <w:r w:rsidR="00285C45">
        <w:rPr>
          <w:noProof/>
          <w:lang w:eastAsia="en-GB"/>
        </w:rPr>
        <w:t xml:space="preserve">As the majority of the international conventions applicable to larger fishing vessels are different to those which are currently enforced through port State control and to avoid undesirable spill over effects onto the current port state control system a parallel system of port state control for fishing vessels is being proposed. </w:t>
      </w:r>
    </w:p>
    <w:p w14:paraId="02D923F4" w14:textId="610F386E" w:rsidR="00616E0C" w:rsidRPr="00285C45" w:rsidRDefault="00FE14A2" w:rsidP="00FE14A2">
      <w:pPr>
        <w:pStyle w:val="ManualConsidrant"/>
        <w:rPr>
          <w:noProof/>
          <w:lang w:eastAsia="en-GB"/>
        </w:rPr>
      </w:pPr>
      <w:r w:rsidRPr="00FE14A2">
        <w:t>(7)</w:t>
      </w:r>
      <w:r w:rsidRPr="00FE14A2">
        <w:tab/>
      </w:r>
      <w:r w:rsidR="00285C45" w:rsidRPr="00285C45">
        <w:rPr>
          <w:noProof/>
          <w:lang w:eastAsia="en-GB"/>
        </w:rPr>
        <w:t xml:space="preserve">However, due to the patterns of fishing not all EU Member States are visited by these larger fishing vessels. </w:t>
      </w:r>
      <w:r w:rsidR="00616E0C" w:rsidRPr="00285C45">
        <w:rPr>
          <w:noProof/>
          <w:lang w:eastAsia="en-GB"/>
        </w:rPr>
        <w:t xml:space="preserve">Therefore, </w:t>
      </w:r>
      <w:r w:rsidR="00285C45" w:rsidRPr="00ED094B">
        <w:rPr>
          <w:noProof/>
          <w:lang w:eastAsia="en-GB"/>
        </w:rPr>
        <w:t>a voluntary system</w:t>
      </w:r>
      <w:r w:rsidR="00ED094B" w:rsidRPr="00ED094B">
        <w:rPr>
          <w:noProof/>
          <w:lang w:eastAsia="en-GB"/>
        </w:rPr>
        <w:t xml:space="preserve"> for those EU Member States that wish to carry out these inspections and </w:t>
      </w:r>
      <w:r w:rsidR="00285C45" w:rsidRPr="00ED094B">
        <w:rPr>
          <w:noProof/>
          <w:lang w:eastAsia="en-GB"/>
        </w:rPr>
        <w:t xml:space="preserve">which is separate from the current port state control regime is being proposed to allow for flexibility and the way that standards are developed in port State control. </w:t>
      </w:r>
      <w:r w:rsidR="00ED094B" w:rsidRPr="00ED094B">
        <w:rPr>
          <w:noProof/>
          <w:lang w:eastAsia="en-GB"/>
        </w:rPr>
        <w:t>This system of port State control of fishing vessel of over 24 metres in length can</w:t>
      </w:r>
      <w:r w:rsidR="00285C45" w:rsidRPr="00ED094B">
        <w:rPr>
          <w:noProof/>
          <w:lang w:eastAsia="en-GB"/>
        </w:rPr>
        <w:t xml:space="preserve"> therefore be developed organically by Member States, the </w:t>
      </w:r>
      <w:r w:rsidR="00ED094B" w:rsidRPr="00ED094B">
        <w:rPr>
          <w:noProof/>
          <w:lang w:eastAsia="en-GB"/>
        </w:rPr>
        <w:t xml:space="preserve">Paris MoU and the </w:t>
      </w:r>
      <w:r w:rsidR="00285C45" w:rsidRPr="00ED094B">
        <w:rPr>
          <w:noProof/>
          <w:lang w:eastAsia="en-GB"/>
        </w:rPr>
        <w:t>Commission</w:t>
      </w:r>
      <w:r w:rsidR="00ED094B" w:rsidRPr="00ED094B">
        <w:rPr>
          <w:noProof/>
          <w:lang w:eastAsia="en-GB"/>
        </w:rPr>
        <w:t xml:space="preserve">. </w:t>
      </w:r>
    </w:p>
    <w:p w14:paraId="5F450647" w14:textId="6E08C234" w:rsidR="00EC33A0" w:rsidRDefault="00FE14A2" w:rsidP="00FE14A2">
      <w:pPr>
        <w:pStyle w:val="ManualConsidrant"/>
        <w:rPr>
          <w:noProof/>
          <w:lang w:eastAsia="en-GB"/>
        </w:rPr>
      </w:pPr>
      <w:r w:rsidRPr="00FE14A2">
        <w:t>(8)</w:t>
      </w:r>
      <w:r w:rsidRPr="00FE14A2">
        <w:tab/>
      </w:r>
      <w:r w:rsidR="00F0030F" w:rsidRPr="00D23A8D">
        <w:rPr>
          <w:noProof/>
          <w:lang w:eastAsia="en-GB"/>
        </w:rPr>
        <w:t xml:space="preserve">The fair share mechanism provides </w:t>
      </w:r>
      <w:r w:rsidR="00650588">
        <w:rPr>
          <w:noProof/>
          <w:lang w:eastAsia="en-GB"/>
        </w:rPr>
        <w:t xml:space="preserve">a distribution of the inspection </w:t>
      </w:r>
      <w:r w:rsidR="00F0030F" w:rsidRPr="00D23A8D">
        <w:rPr>
          <w:noProof/>
          <w:lang w:eastAsia="en-GB"/>
        </w:rPr>
        <w:t>burden among the Member States of the Paris MOU</w:t>
      </w:r>
      <w:r w:rsidR="00650588">
        <w:rPr>
          <w:noProof/>
          <w:lang w:eastAsia="en-GB"/>
        </w:rPr>
        <w:t>.</w:t>
      </w:r>
      <w:r w:rsidR="00F0030F">
        <w:rPr>
          <w:noProof/>
          <w:lang w:eastAsia="en-GB"/>
        </w:rPr>
        <w:t xml:space="preserve"> </w:t>
      </w:r>
      <w:r w:rsidR="00EC33A0">
        <w:rPr>
          <w:noProof/>
          <w:lang w:eastAsia="en-GB"/>
        </w:rPr>
        <w:t xml:space="preserve">Each Member State is allocated a certain number of inspections – its inspection commitment or </w:t>
      </w:r>
      <w:r w:rsidR="00EC33A0" w:rsidRPr="00D23A8D">
        <w:rPr>
          <w:noProof/>
          <w:lang w:eastAsia="en-GB"/>
        </w:rPr>
        <w:t>'fair share'</w:t>
      </w:r>
      <w:r w:rsidR="00EC33A0">
        <w:rPr>
          <w:noProof/>
          <w:lang w:eastAsia="en-GB"/>
        </w:rPr>
        <w:t xml:space="preserve"> - to be carried out each year.  </w:t>
      </w:r>
      <w:r w:rsidR="001C74FF">
        <w:rPr>
          <w:noProof/>
          <w:lang w:eastAsia="en-GB"/>
        </w:rPr>
        <w:t xml:space="preserve">Eligibility for inspection is </w:t>
      </w:r>
      <w:r w:rsidR="00AD0E94">
        <w:rPr>
          <w:noProof/>
          <w:lang w:eastAsia="en-GB"/>
        </w:rPr>
        <w:t xml:space="preserve">primarily </w:t>
      </w:r>
      <w:r w:rsidR="001C74FF">
        <w:rPr>
          <w:noProof/>
          <w:lang w:eastAsia="en-GB"/>
        </w:rPr>
        <w:t>determined by the length of time which has passed since the last inspection</w:t>
      </w:r>
      <w:r w:rsidR="00715814">
        <w:rPr>
          <w:noProof/>
          <w:lang w:eastAsia="en-GB"/>
        </w:rPr>
        <w:t>.</w:t>
      </w:r>
      <w:r w:rsidR="001C74FF">
        <w:rPr>
          <w:noProof/>
          <w:lang w:eastAsia="en-GB"/>
        </w:rPr>
        <w:t xml:space="preserve"> </w:t>
      </w:r>
      <w:r w:rsidR="00AD0E94">
        <w:rPr>
          <w:noProof/>
          <w:lang w:eastAsia="en-GB"/>
        </w:rPr>
        <w:t xml:space="preserve">Priority II ships may be inspected while Priority I vessels shall be inspected. </w:t>
      </w:r>
    </w:p>
    <w:p w14:paraId="760ECC4D" w14:textId="59780FF3" w:rsidR="00012E16" w:rsidRPr="00012E16" w:rsidRDefault="00FE14A2" w:rsidP="00FE14A2">
      <w:pPr>
        <w:pStyle w:val="ManualConsidrant"/>
        <w:rPr>
          <w:noProof/>
          <w:lang w:eastAsia="en-GB"/>
        </w:rPr>
      </w:pPr>
      <w:r w:rsidRPr="00FE14A2">
        <w:t>(9)</w:t>
      </w:r>
      <w:r w:rsidRPr="00FE14A2">
        <w:tab/>
      </w:r>
      <w:r w:rsidR="00B228E5" w:rsidRPr="00012E16">
        <w:rPr>
          <w:noProof/>
          <w:lang w:eastAsia="en-GB"/>
        </w:rPr>
        <w:t xml:space="preserve">Member States are </w:t>
      </w:r>
      <w:r w:rsidR="00B228E5" w:rsidRPr="00BD7E0C">
        <w:rPr>
          <w:noProof/>
          <w:lang w:eastAsia="en-GB"/>
        </w:rPr>
        <w:t>permitted to miss a certain number of “</w:t>
      </w:r>
      <w:r w:rsidR="00B228E5" w:rsidRPr="00782C61">
        <w:rPr>
          <w:noProof/>
          <w:lang w:eastAsia="en-GB"/>
        </w:rPr>
        <w:t>Priority” i</w:t>
      </w:r>
      <w:r w:rsidR="00B228E5" w:rsidRPr="00B46D8A">
        <w:rPr>
          <w:noProof/>
          <w:lang w:eastAsia="en-GB"/>
        </w:rPr>
        <w:t xml:space="preserve">nspections and still </w:t>
      </w:r>
      <w:r w:rsidR="00B228E5" w:rsidRPr="00012E16">
        <w:rPr>
          <w:noProof/>
          <w:lang w:eastAsia="en-GB"/>
        </w:rPr>
        <w:t xml:space="preserve">comply with their </w:t>
      </w:r>
      <w:r w:rsidR="00650588">
        <w:rPr>
          <w:noProof/>
          <w:lang w:eastAsia="en-GB"/>
        </w:rPr>
        <w:t>inspection commitment</w:t>
      </w:r>
      <w:r w:rsidR="00715814">
        <w:rPr>
          <w:noProof/>
          <w:lang w:eastAsia="en-GB"/>
        </w:rPr>
        <w:t>.</w:t>
      </w:r>
      <w:r w:rsidR="00B228E5">
        <w:rPr>
          <w:noProof/>
          <w:lang w:eastAsia="en-GB"/>
        </w:rPr>
        <w:t xml:space="preserve"> </w:t>
      </w:r>
      <w:r w:rsidR="00EC33A0" w:rsidRPr="00012E16">
        <w:rPr>
          <w:noProof/>
          <w:lang w:eastAsia="en-GB"/>
        </w:rPr>
        <w:t>However, for some Member S</w:t>
      </w:r>
      <w:r w:rsidR="00EC33A0" w:rsidRPr="00BD7E0C">
        <w:rPr>
          <w:noProof/>
          <w:lang w:eastAsia="en-GB"/>
        </w:rPr>
        <w:t xml:space="preserve">tates </w:t>
      </w:r>
      <w:r w:rsidR="00EC33A0" w:rsidRPr="00782C61">
        <w:rPr>
          <w:noProof/>
          <w:lang w:eastAsia="en-GB"/>
        </w:rPr>
        <w:t xml:space="preserve">the number of ship calls that actually </w:t>
      </w:r>
      <w:r w:rsidR="00EC33A0" w:rsidRPr="00B46D8A">
        <w:rPr>
          <w:noProof/>
          <w:lang w:eastAsia="en-GB"/>
        </w:rPr>
        <w:t>occur</w:t>
      </w:r>
      <w:r w:rsidR="00EC33A0" w:rsidRPr="00012E16">
        <w:rPr>
          <w:noProof/>
          <w:lang w:eastAsia="en-GB"/>
        </w:rPr>
        <w:t xml:space="preserve"> during a given year can either exceed or be less than the allocated inspection commitment</w:t>
      </w:r>
      <w:r w:rsidR="00B228E5" w:rsidRPr="00012E16">
        <w:rPr>
          <w:noProof/>
          <w:lang w:eastAsia="en-GB"/>
        </w:rPr>
        <w:t>. An alternative method of compliance to the fair share obligation for these</w:t>
      </w:r>
      <w:r w:rsidR="00EC33A0" w:rsidRPr="00012E16">
        <w:rPr>
          <w:noProof/>
          <w:lang w:eastAsia="en-GB"/>
        </w:rPr>
        <w:t xml:space="preserve"> (over-burdened or under-burdened)</w:t>
      </w:r>
      <w:r w:rsidR="00650588">
        <w:rPr>
          <w:noProof/>
          <w:lang w:eastAsia="en-GB"/>
        </w:rPr>
        <w:t xml:space="preserve"> Member States</w:t>
      </w:r>
      <w:r w:rsidR="00B228E5" w:rsidRPr="00012E16">
        <w:rPr>
          <w:noProof/>
          <w:lang w:eastAsia="en-GB"/>
        </w:rPr>
        <w:t xml:space="preserve"> was found to be inflexible</w:t>
      </w:r>
      <w:r w:rsidR="00715814">
        <w:rPr>
          <w:noProof/>
          <w:lang w:eastAsia="en-GB"/>
        </w:rPr>
        <w:t>,</w:t>
      </w:r>
      <w:r w:rsidR="00B228E5" w:rsidRPr="00012E16">
        <w:rPr>
          <w:noProof/>
          <w:lang w:eastAsia="en-GB"/>
        </w:rPr>
        <w:t xml:space="preserve"> </w:t>
      </w:r>
      <w:r w:rsidR="00ED094B">
        <w:rPr>
          <w:noProof/>
          <w:lang w:eastAsia="en-GB"/>
        </w:rPr>
        <w:t xml:space="preserve">therefore it is necessary to align the provisions concerned with the revised </w:t>
      </w:r>
      <w:r w:rsidR="00B228E5" w:rsidRPr="00012E16">
        <w:rPr>
          <w:noProof/>
          <w:lang w:eastAsia="en-GB"/>
        </w:rPr>
        <w:t xml:space="preserve">Paris MOU </w:t>
      </w:r>
      <w:r w:rsidR="00ED094B">
        <w:rPr>
          <w:noProof/>
          <w:lang w:eastAsia="en-GB"/>
        </w:rPr>
        <w:t>provisions.</w:t>
      </w:r>
    </w:p>
    <w:p w14:paraId="30C09624" w14:textId="73B3F2D7" w:rsidR="0043453C" w:rsidRPr="0043453C" w:rsidRDefault="00FE14A2" w:rsidP="00FE14A2">
      <w:pPr>
        <w:pStyle w:val="ManualConsidrant"/>
        <w:rPr>
          <w:noProof/>
        </w:rPr>
      </w:pPr>
      <w:r w:rsidRPr="00FE14A2">
        <w:t>(10)</w:t>
      </w:r>
      <w:r w:rsidRPr="00FE14A2">
        <w:tab/>
      </w:r>
      <w:r w:rsidR="00012E16" w:rsidRPr="00D23A8D">
        <w:rPr>
          <w:noProof/>
          <w:lang w:eastAsia="en-GB"/>
        </w:rPr>
        <w:t xml:space="preserve">Member States </w:t>
      </w:r>
      <w:r w:rsidR="00ED094B">
        <w:rPr>
          <w:noProof/>
          <w:lang w:eastAsia="en-GB"/>
        </w:rPr>
        <w:t xml:space="preserve">are also allowed </w:t>
      </w:r>
      <w:r w:rsidR="00012E16" w:rsidRPr="00D23A8D">
        <w:rPr>
          <w:noProof/>
          <w:lang w:eastAsia="en-GB"/>
        </w:rPr>
        <w:t xml:space="preserve">to postpone inspections </w:t>
      </w:r>
      <w:r w:rsidR="00715814">
        <w:rPr>
          <w:noProof/>
          <w:lang w:eastAsia="en-GB"/>
        </w:rPr>
        <w:t xml:space="preserve">of </w:t>
      </w:r>
      <w:r w:rsidR="00012E16" w:rsidRPr="00D23A8D">
        <w:rPr>
          <w:noProof/>
          <w:lang w:eastAsia="en-GB"/>
        </w:rPr>
        <w:t>ships under certain circumstances</w:t>
      </w:r>
      <w:r w:rsidR="00012E16">
        <w:rPr>
          <w:noProof/>
          <w:lang w:eastAsia="en-GB"/>
        </w:rPr>
        <w:t>, provided that the vessel is inspected in the next port of call or within 15 days</w:t>
      </w:r>
      <w:r w:rsidR="00F0030F">
        <w:rPr>
          <w:noProof/>
          <w:lang w:eastAsia="en-GB"/>
        </w:rPr>
        <w:t xml:space="preserve"> and this possibility is modified so that it can availed of by all Member States</w:t>
      </w:r>
      <w:r w:rsidR="00012E16">
        <w:rPr>
          <w:noProof/>
          <w:lang w:eastAsia="en-GB"/>
        </w:rPr>
        <w:t xml:space="preserve">. </w:t>
      </w:r>
      <w:r w:rsidR="00ED094B">
        <w:rPr>
          <w:noProof/>
          <w:lang w:eastAsia="en-GB"/>
        </w:rPr>
        <w:t>C</w:t>
      </w:r>
      <w:r w:rsidR="00F0030F" w:rsidRPr="00650588">
        <w:rPr>
          <w:noProof/>
          <w:lang w:eastAsia="en-GB"/>
        </w:rPr>
        <w:t>ertain cat</w:t>
      </w:r>
      <w:r w:rsidR="00C23D2D" w:rsidRPr="00522C38">
        <w:rPr>
          <w:noProof/>
          <w:lang w:eastAsia="en-GB"/>
        </w:rPr>
        <w:t>e</w:t>
      </w:r>
      <w:r w:rsidR="00F0030F" w:rsidRPr="00650588">
        <w:rPr>
          <w:noProof/>
          <w:lang w:eastAsia="en-GB"/>
        </w:rPr>
        <w:t xml:space="preserve">gories of vessels which </w:t>
      </w:r>
      <w:r w:rsidR="00C23D2D" w:rsidRPr="00650588">
        <w:rPr>
          <w:noProof/>
          <w:lang w:eastAsia="en-GB"/>
        </w:rPr>
        <w:t>are</w:t>
      </w:r>
      <w:r w:rsidR="00F0030F" w:rsidRPr="00650588">
        <w:rPr>
          <w:noProof/>
          <w:lang w:eastAsia="en-GB"/>
        </w:rPr>
        <w:t xml:space="preserve"> perceived to present a higher risk and which are therefore eligible for an expanded inspection </w:t>
      </w:r>
      <w:r w:rsidR="00ED094B">
        <w:rPr>
          <w:noProof/>
          <w:lang w:eastAsia="en-GB"/>
        </w:rPr>
        <w:t xml:space="preserve">are required </w:t>
      </w:r>
      <w:r w:rsidR="00F0030F" w:rsidRPr="00650588">
        <w:rPr>
          <w:noProof/>
          <w:lang w:eastAsia="en-GB"/>
        </w:rPr>
        <w:t>to notify their estimated time of arrival to a port 72 hours in advance of their arrival. However after a number of years</w:t>
      </w:r>
      <w:r w:rsidR="00715814" w:rsidRPr="00650588">
        <w:rPr>
          <w:noProof/>
          <w:lang w:eastAsia="en-GB"/>
        </w:rPr>
        <w:t>,</w:t>
      </w:r>
      <w:r w:rsidR="00F0030F" w:rsidRPr="00650588">
        <w:rPr>
          <w:noProof/>
          <w:lang w:eastAsia="en-GB"/>
        </w:rPr>
        <w:t xml:space="preserve"> </w:t>
      </w:r>
      <w:r w:rsidR="00ED094B">
        <w:rPr>
          <w:noProof/>
          <w:lang w:eastAsia="en-GB"/>
        </w:rPr>
        <w:t xml:space="preserve">it was concluded </w:t>
      </w:r>
      <w:r w:rsidR="00F0030F" w:rsidRPr="00650588">
        <w:rPr>
          <w:noProof/>
          <w:lang w:eastAsia="en-GB"/>
        </w:rPr>
        <w:t>that this obligation was too burdensome on operator</w:t>
      </w:r>
      <w:r w:rsidR="00650588" w:rsidRPr="00650588">
        <w:rPr>
          <w:noProof/>
          <w:lang w:eastAsia="en-GB"/>
        </w:rPr>
        <w:t xml:space="preserve">s and </w:t>
      </w:r>
      <w:r w:rsidR="00F0030F" w:rsidRPr="00650588">
        <w:rPr>
          <w:noProof/>
          <w:lang w:eastAsia="en-GB"/>
        </w:rPr>
        <w:t xml:space="preserve">added no value as the </w:t>
      </w:r>
      <w:r w:rsidR="00650588" w:rsidRPr="00650588">
        <w:rPr>
          <w:noProof/>
          <w:lang w:eastAsia="en-GB"/>
        </w:rPr>
        <w:t>national</w:t>
      </w:r>
      <w:r w:rsidR="00F0030F" w:rsidRPr="00650588">
        <w:rPr>
          <w:noProof/>
          <w:lang w:eastAsia="en-GB"/>
        </w:rPr>
        <w:t xml:space="preserve"> authorities already have the information required more easily available in the THETIS database. On this basis the Paris M</w:t>
      </w:r>
      <w:r w:rsidR="00ED094B">
        <w:rPr>
          <w:noProof/>
          <w:lang w:eastAsia="en-GB"/>
        </w:rPr>
        <w:t>O</w:t>
      </w:r>
      <w:r w:rsidR="00F0030F" w:rsidRPr="00650588">
        <w:rPr>
          <w:noProof/>
          <w:lang w:eastAsia="en-GB"/>
        </w:rPr>
        <w:t xml:space="preserve">U abolished this pre-arrival notification obligation </w:t>
      </w:r>
      <w:r w:rsidR="00ED094B">
        <w:rPr>
          <w:noProof/>
          <w:lang w:eastAsia="en-GB"/>
        </w:rPr>
        <w:t>therefore Directive 2009/16/EC should be aligned accordingly.</w:t>
      </w:r>
    </w:p>
    <w:p w14:paraId="674CB9C5" w14:textId="3719CC00" w:rsidR="00B27DD2" w:rsidRPr="00B27DD2" w:rsidRDefault="00FE14A2" w:rsidP="00FE14A2">
      <w:pPr>
        <w:pStyle w:val="ManualConsidrant"/>
        <w:rPr>
          <w:noProof/>
        </w:rPr>
      </w:pPr>
      <w:r w:rsidRPr="00FE14A2">
        <w:t>(11)</w:t>
      </w:r>
      <w:r w:rsidRPr="00FE14A2">
        <w:tab/>
      </w:r>
      <w:r w:rsidR="0001549A">
        <w:rPr>
          <w:noProof/>
        </w:rPr>
        <w:t>Over the last decade</w:t>
      </w:r>
      <w:r w:rsidR="00CD79E9">
        <w:rPr>
          <w:noProof/>
        </w:rPr>
        <w:t xml:space="preserve"> and despite increases in the number of vessels calling to EU ports including the </w:t>
      </w:r>
      <w:r w:rsidR="00CD79E9" w:rsidRPr="00CD79E9">
        <w:rPr>
          <w:noProof/>
        </w:rPr>
        <w:t>short sea shipping transport of goods between main ports in the EU Member States and ports situated in geographical Europe or in non-European countries on the Mediterranean and the Black Sea</w:t>
      </w:r>
      <w:r w:rsidR="00CD79E9">
        <w:rPr>
          <w:noProof/>
        </w:rPr>
        <w:t xml:space="preserve">, </w:t>
      </w:r>
      <w:r w:rsidR="0001549A">
        <w:rPr>
          <w:noProof/>
        </w:rPr>
        <w:t xml:space="preserve">the safety profile of vessels calling to EU ports has improved considerably. </w:t>
      </w:r>
      <w:r w:rsidR="00494F05">
        <w:rPr>
          <w:noProof/>
        </w:rPr>
        <w:t>Port State control inspections are</w:t>
      </w:r>
      <w:r w:rsidR="00B27DD2" w:rsidRPr="00B27DD2">
        <w:rPr>
          <w:noProof/>
        </w:rPr>
        <w:t xml:space="preserve"> being increasingly </w:t>
      </w:r>
      <w:r w:rsidR="00494F05">
        <w:rPr>
          <w:noProof/>
        </w:rPr>
        <w:t xml:space="preserve">used </w:t>
      </w:r>
      <w:r w:rsidR="00B27DD2" w:rsidRPr="00B27DD2">
        <w:rPr>
          <w:noProof/>
        </w:rPr>
        <w:t>to enforce environmental legislation</w:t>
      </w:r>
      <w:r w:rsidR="00955968">
        <w:rPr>
          <w:noProof/>
        </w:rPr>
        <w:t xml:space="preserve"> such as in relation to sulphur emissions or the safe and environmental scrapping of ships</w:t>
      </w:r>
      <w:r w:rsidR="00B27DD2" w:rsidRPr="00B27DD2">
        <w:rPr>
          <w:noProof/>
        </w:rPr>
        <w:t>. The “Fit for 55 package</w:t>
      </w:r>
      <w:r w:rsidR="00ED094B">
        <w:rPr>
          <w:noProof/>
        </w:rPr>
        <w:t>”</w:t>
      </w:r>
      <w:r w:rsidR="00B27DD2" w:rsidRPr="00B27DD2">
        <w:rPr>
          <w:noProof/>
        </w:rPr>
        <w:t xml:space="preserve"> aims to reduce the EU’s total </w:t>
      </w:r>
      <w:r w:rsidR="00A57F4F">
        <w:rPr>
          <w:noProof/>
        </w:rPr>
        <w:t>green-house gas</w:t>
      </w:r>
      <w:r w:rsidR="00B27DD2" w:rsidRPr="00B27DD2">
        <w:rPr>
          <w:noProof/>
        </w:rPr>
        <w:t xml:space="preserve"> emissions by 55% by 2030, paving the way to climate neutrality by 2050</w:t>
      </w:r>
      <w:r w:rsidR="00786D33">
        <w:rPr>
          <w:noProof/>
        </w:rPr>
        <w:t xml:space="preserve"> and maritime transport </w:t>
      </w:r>
      <w:r w:rsidR="00B27DD2" w:rsidRPr="00B27DD2">
        <w:rPr>
          <w:noProof/>
        </w:rPr>
        <w:t>is expected to contribute to this effort</w:t>
      </w:r>
      <w:r w:rsidR="00786D33">
        <w:rPr>
          <w:noProof/>
        </w:rPr>
        <w:t xml:space="preserve">. </w:t>
      </w:r>
      <w:r w:rsidR="00383022">
        <w:rPr>
          <w:noProof/>
        </w:rPr>
        <w:t xml:space="preserve">However, the </w:t>
      </w:r>
      <w:r w:rsidR="00383022" w:rsidRPr="0001549A">
        <w:rPr>
          <w:noProof/>
        </w:rPr>
        <w:t xml:space="preserve">ship risk profile devised prior to 2009 had different priorities and is not fully adapted to focus the </w:t>
      </w:r>
      <w:r w:rsidR="00383022">
        <w:rPr>
          <w:noProof/>
        </w:rPr>
        <w:t xml:space="preserve">inspection effort </w:t>
      </w:r>
      <w:r w:rsidR="00383022" w:rsidRPr="0001549A">
        <w:rPr>
          <w:noProof/>
        </w:rPr>
        <w:t>on the least environmentally performing vessels.</w:t>
      </w:r>
    </w:p>
    <w:p w14:paraId="057F9A7B" w14:textId="7D9E25B7" w:rsidR="0001549A" w:rsidRDefault="00FE14A2" w:rsidP="00FE14A2">
      <w:pPr>
        <w:pStyle w:val="ManualConsidrant"/>
        <w:rPr>
          <w:noProof/>
        </w:rPr>
      </w:pPr>
      <w:r w:rsidRPr="00FE14A2">
        <w:t>(12)</w:t>
      </w:r>
      <w:r w:rsidRPr="00FE14A2">
        <w:tab/>
      </w:r>
      <w:r w:rsidR="0001549A" w:rsidRPr="0001549A">
        <w:rPr>
          <w:noProof/>
        </w:rPr>
        <w:t xml:space="preserve">On this basis, the ship risk profile </w:t>
      </w:r>
      <w:r w:rsidR="00B27DD2">
        <w:rPr>
          <w:noProof/>
        </w:rPr>
        <w:t xml:space="preserve">should be updated to </w:t>
      </w:r>
      <w:r w:rsidR="0001549A" w:rsidRPr="0001549A">
        <w:rPr>
          <w:noProof/>
        </w:rPr>
        <w:t xml:space="preserve">reflect environmental issues by attaching more importance to </w:t>
      </w:r>
      <w:r w:rsidR="00786D33">
        <w:rPr>
          <w:noProof/>
        </w:rPr>
        <w:t>the environmental performance</w:t>
      </w:r>
      <w:r w:rsidR="006A1DB1">
        <w:rPr>
          <w:noProof/>
        </w:rPr>
        <w:t>, including the operational carbon intensity</w:t>
      </w:r>
      <w:r w:rsidR="00786D33">
        <w:rPr>
          <w:noProof/>
        </w:rPr>
        <w:t xml:space="preserve"> of the ships being inspected as well as to </w:t>
      </w:r>
      <w:r w:rsidR="0001549A" w:rsidRPr="0001549A">
        <w:rPr>
          <w:noProof/>
        </w:rPr>
        <w:t xml:space="preserve">environmental related deficiencies and detentions. </w:t>
      </w:r>
    </w:p>
    <w:p w14:paraId="0B5600FB" w14:textId="758154C6" w:rsidR="00593403" w:rsidRDefault="00FE14A2" w:rsidP="00FE14A2">
      <w:pPr>
        <w:pStyle w:val="ManualConsidrant"/>
        <w:rPr>
          <w:noProof/>
        </w:rPr>
      </w:pPr>
      <w:r w:rsidRPr="00FE14A2">
        <w:t>(13)</w:t>
      </w:r>
      <w:r w:rsidRPr="00FE14A2">
        <w:tab/>
      </w:r>
      <w:r w:rsidR="00593403">
        <w:rPr>
          <w:noProof/>
        </w:rPr>
        <w:t xml:space="preserve">Digitalisation is </w:t>
      </w:r>
      <w:r w:rsidR="00C949E9">
        <w:rPr>
          <w:noProof/>
        </w:rPr>
        <w:t>an essential aspect</w:t>
      </w:r>
      <w:r w:rsidR="00593403">
        <w:rPr>
          <w:noProof/>
        </w:rPr>
        <w:t xml:space="preserve"> of technological progress in the area of data collection and communication with a view to helping to bring down costs and making efficient use of human resources. </w:t>
      </w:r>
      <w:r w:rsidR="000A1787">
        <w:rPr>
          <w:noProof/>
        </w:rPr>
        <w:t xml:space="preserve">The number of ships </w:t>
      </w:r>
      <w:r w:rsidR="00C949E9">
        <w:rPr>
          <w:noProof/>
        </w:rPr>
        <w:t xml:space="preserve">currently </w:t>
      </w:r>
      <w:r w:rsidR="000A1787">
        <w:rPr>
          <w:noProof/>
        </w:rPr>
        <w:t xml:space="preserve">carrying electronic certificates is on the rise and expected to increase. </w:t>
      </w:r>
      <w:r w:rsidR="00593403">
        <w:rPr>
          <w:noProof/>
        </w:rPr>
        <w:t>T</w:t>
      </w:r>
      <w:r w:rsidR="00BA5598">
        <w:rPr>
          <w:noProof/>
        </w:rPr>
        <w:t xml:space="preserve">herefore </w:t>
      </w:r>
      <w:r w:rsidR="00593403">
        <w:rPr>
          <w:noProof/>
        </w:rPr>
        <w:t>the effectiveness of port State control</w:t>
      </w:r>
      <w:r w:rsidR="00BA5598">
        <w:rPr>
          <w:noProof/>
        </w:rPr>
        <w:t xml:space="preserve"> </w:t>
      </w:r>
      <w:r w:rsidR="00ED094B">
        <w:rPr>
          <w:noProof/>
        </w:rPr>
        <w:t xml:space="preserve">should be enhanced </w:t>
      </w:r>
      <w:r w:rsidR="00BA5598">
        <w:rPr>
          <w:noProof/>
        </w:rPr>
        <w:t xml:space="preserve">by making more use of electronic certificates to allow for more ship focussed better prepared inspections. The uptake and use of these electronic certificates </w:t>
      </w:r>
      <w:r w:rsidR="00383022">
        <w:rPr>
          <w:noProof/>
        </w:rPr>
        <w:t>should</w:t>
      </w:r>
      <w:r w:rsidR="00BA5598">
        <w:rPr>
          <w:noProof/>
        </w:rPr>
        <w:t xml:space="preserve"> be incentivised by their inclusion in the ship risk profile. </w:t>
      </w:r>
    </w:p>
    <w:p w14:paraId="7D705BAC" w14:textId="5DA09BAE" w:rsidR="0001549A" w:rsidRDefault="00FE14A2" w:rsidP="00FE14A2">
      <w:pPr>
        <w:pStyle w:val="ManualConsidrant"/>
        <w:rPr>
          <w:noProof/>
        </w:rPr>
      </w:pPr>
      <w:r w:rsidRPr="00FE14A2">
        <w:t>(14)</w:t>
      </w:r>
      <w:r w:rsidRPr="00FE14A2">
        <w:tab/>
      </w:r>
      <w:r w:rsidR="00383022">
        <w:rPr>
          <w:noProof/>
        </w:rPr>
        <w:t>Port</w:t>
      </w:r>
      <w:r w:rsidR="0001549A">
        <w:rPr>
          <w:noProof/>
        </w:rPr>
        <w:t xml:space="preserve"> State control </w:t>
      </w:r>
      <w:r w:rsidR="00383022">
        <w:rPr>
          <w:noProof/>
        </w:rPr>
        <w:t xml:space="preserve">has been increasing in </w:t>
      </w:r>
      <w:r w:rsidR="0001549A">
        <w:rPr>
          <w:noProof/>
        </w:rPr>
        <w:t>complex</w:t>
      </w:r>
      <w:r w:rsidR="00383022">
        <w:rPr>
          <w:noProof/>
        </w:rPr>
        <w:t>ity</w:t>
      </w:r>
      <w:r w:rsidR="0001549A">
        <w:rPr>
          <w:noProof/>
        </w:rPr>
        <w:t xml:space="preserve"> </w:t>
      </w:r>
      <w:r w:rsidR="0001549A" w:rsidRPr="0001549A">
        <w:rPr>
          <w:noProof/>
        </w:rPr>
        <w:t>as new inspection requirements are added, either by EU law or via the I</w:t>
      </w:r>
      <w:r w:rsidR="000615E9">
        <w:rPr>
          <w:noProof/>
        </w:rPr>
        <w:t xml:space="preserve">nternational </w:t>
      </w:r>
      <w:r w:rsidR="0001549A" w:rsidRPr="0001549A">
        <w:rPr>
          <w:noProof/>
        </w:rPr>
        <w:t>M</w:t>
      </w:r>
      <w:r w:rsidR="000615E9">
        <w:rPr>
          <w:noProof/>
        </w:rPr>
        <w:t xml:space="preserve">aritime </w:t>
      </w:r>
      <w:r w:rsidR="0001549A" w:rsidRPr="0001549A">
        <w:rPr>
          <w:noProof/>
        </w:rPr>
        <w:t>O</w:t>
      </w:r>
      <w:r w:rsidR="000615E9">
        <w:rPr>
          <w:noProof/>
        </w:rPr>
        <w:t>rgani</w:t>
      </w:r>
      <w:r w:rsidR="00ED094B">
        <w:rPr>
          <w:noProof/>
        </w:rPr>
        <w:t>z</w:t>
      </w:r>
      <w:r w:rsidR="000615E9">
        <w:rPr>
          <w:noProof/>
        </w:rPr>
        <w:t>ation</w:t>
      </w:r>
      <w:r w:rsidR="0001549A" w:rsidRPr="0001549A">
        <w:rPr>
          <w:noProof/>
        </w:rPr>
        <w:t>. Th</w:t>
      </w:r>
      <w:r w:rsidR="00241DEF">
        <w:rPr>
          <w:noProof/>
        </w:rPr>
        <w:t xml:space="preserve">ere is therefore a need to </w:t>
      </w:r>
      <w:r w:rsidR="000615E9">
        <w:rPr>
          <w:noProof/>
        </w:rPr>
        <w:t xml:space="preserve">ensure the upskilling and reskilling </w:t>
      </w:r>
      <w:r w:rsidR="00B27DD2">
        <w:rPr>
          <w:noProof/>
        </w:rPr>
        <w:t xml:space="preserve">of the port State control officers </w:t>
      </w:r>
      <w:r w:rsidR="000615E9">
        <w:rPr>
          <w:noProof/>
        </w:rPr>
        <w:t xml:space="preserve">and </w:t>
      </w:r>
      <w:r w:rsidR="00241DEF">
        <w:rPr>
          <w:noProof/>
        </w:rPr>
        <w:t>continuously develop</w:t>
      </w:r>
      <w:r w:rsidR="00B27DD2">
        <w:rPr>
          <w:noProof/>
        </w:rPr>
        <w:t xml:space="preserve"> their</w:t>
      </w:r>
      <w:r w:rsidR="00241DEF">
        <w:rPr>
          <w:noProof/>
        </w:rPr>
        <w:t xml:space="preserve"> training</w:t>
      </w:r>
      <w:r w:rsidR="00B27DD2">
        <w:rPr>
          <w:noProof/>
        </w:rPr>
        <w:t>.</w:t>
      </w:r>
    </w:p>
    <w:p w14:paraId="5A79C20E" w14:textId="25A24793" w:rsidR="00241DEF" w:rsidRDefault="00FE14A2" w:rsidP="00FE14A2">
      <w:pPr>
        <w:pStyle w:val="ManualConsidrant"/>
        <w:rPr>
          <w:noProof/>
        </w:rPr>
      </w:pPr>
      <w:r w:rsidRPr="00FE14A2">
        <w:t>(15)</w:t>
      </w:r>
      <w:r w:rsidRPr="00FE14A2">
        <w:tab/>
      </w:r>
      <w:r w:rsidR="00C67387">
        <w:rPr>
          <w:noProof/>
        </w:rPr>
        <w:t>Union</w:t>
      </w:r>
      <w:r w:rsidR="00241DEF" w:rsidRPr="00241DEF">
        <w:rPr>
          <w:noProof/>
        </w:rPr>
        <w:t xml:space="preserve"> Flag State administrations in line with Directive 2009/21/EC</w:t>
      </w:r>
      <w:r w:rsidR="00241DEF">
        <w:rPr>
          <w:noProof/>
        </w:rPr>
        <w:t xml:space="preserve"> </w:t>
      </w:r>
      <w:r w:rsidR="00C67387">
        <w:rPr>
          <w:noProof/>
        </w:rPr>
        <w:t xml:space="preserve"> </w:t>
      </w:r>
      <w:r w:rsidR="00C67387" w:rsidRPr="00960606">
        <w:rPr>
          <w:noProof/>
          <w:lang w:val="lt-LT"/>
        </w:rPr>
        <w:t>of the Europea</w:t>
      </w:r>
      <w:r w:rsidR="00C67387">
        <w:rPr>
          <w:noProof/>
          <w:lang w:val="lt-LT"/>
        </w:rPr>
        <w:t>n Parliament and of the Council</w:t>
      </w:r>
      <w:r w:rsidR="00C67387">
        <w:rPr>
          <w:rStyle w:val="FootnoteReference"/>
          <w:noProof/>
        </w:rPr>
        <w:footnoteReference w:id="26"/>
      </w:r>
      <w:r w:rsidR="00C67387">
        <w:rPr>
          <w:noProof/>
        </w:rPr>
        <w:t xml:space="preserve"> </w:t>
      </w:r>
      <w:r w:rsidR="00241DEF">
        <w:rPr>
          <w:noProof/>
        </w:rPr>
        <w:t>a</w:t>
      </w:r>
      <w:r w:rsidR="00241DEF" w:rsidRPr="00241DEF">
        <w:rPr>
          <w:noProof/>
        </w:rPr>
        <w:t>re required to have a quality management system</w:t>
      </w:r>
      <w:r w:rsidR="00296CCC">
        <w:rPr>
          <w:noProof/>
        </w:rPr>
        <w:t xml:space="preserve"> in order to help Member States to further improve their performance as flag States and to ensure a level playing field between administrations</w:t>
      </w:r>
      <w:r w:rsidR="00720A4E">
        <w:rPr>
          <w:noProof/>
        </w:rPr>
        <w:t xml:space="preserve">. </w:t>
      </w:r>
      <w:r w:rsidR="00296CCC">
        <w:rPr>
          <w:noProof/>
        </w:rPr>
        <w:t>A</w:t>
      </w:r>
      <w:r w:rsidR="00241DEF">
        <w:rPr>
          <w:noProof/>
        </w:rPr>
        <w:t xml:space="preserve"> similar requirement for the port state control activities should allow Member States </w:t>
      </w:r>
      <w:r w:rsidR="00241DEF" w:rsidRPr="00241DEF">
        <w:rPr>
          <w:noProof/>
        </w:rPr>
        <w:t>to certify</w:t>
      </w:r>
      <w:r w:rsidR="00720A4E">
        <w:rPr>
          <w:noProof/>
        </w:rPr>
        <w:t xml:space="preserve"> that</w:t>
      </w:r>
      <w:r w:rsidR="00241DEF" w:rsidRPr="00241DEF">
        <w:rPr>
          <w:noProof/>
        </w:rPr>
        <w:t xml:space="preserve"> their organisation, </w:t>
      </w:r>
      <w:r w:rsidR="00241DEF">
        <w:rPr>
          <w:noProof/>
        </w:rPr>
        <w:t xml:space="preserve">its </w:t>
      </w:r>
      <w:r w:rsidR="00241DEF" w:rsidRPr="00241DEF">
        <w:rPr>
          <w:noProof/>
        </w:rPr>
        <w:t>policies, processes, resources and documentation are appropriate to achieve its objectives</w:t>
      </w:r>
      <w:r w:rsidR="00241DEF">
        <w:rPr>
          <w:noProof/>
        </w:rPr>
        <w:t xml:space="preserve"> as well as </w:t>
      </w:r>
      <w:r w:rsidR="00241DEF" w:rsidRPr="00241DEF">
        <w:rPr>
          <w:noProof/>
        </w:rPr>
        <w:t xml:space="preserve">identify system problems such as resource or personnel allocation issues before these become problematic. </w:t>
      </w:r>
    </w:p>
    <w:p w14:paraId="0C167492" w14:textId="249FE85F" w:rsidR="00C67387" w:rsidRPr="00C67387" w:rsidRDefault="00FE14A2" w:rsidP="00FE14A2">
      <w:pPr>
        <w:pStyle w:val="ManualConsidrant"/>
        <w:rPr>
          <w:noProof/>
        </w:rPr>
      </w:pPr>
      <w:r w:rsidRPr="00FE14A2">
        <w:t>(16)</w:t>
      </w:r>
      <w:r w:rsidRPr="00FE14A2">
        <w:tab/>
      </w:r>
      <w:r w:rsidR="00C67387" w:rsidRPr="00C67387">
        <w:rPr>
          <w:noProof/>
        </w:rPr>
        <w:t xml:space="preserve">In order to </w:t>
      </w:r>
      <w:r w:rsidR="007E0A64">
        <w:rPr>
          <w:noProof/>
        </w:rPr>
        <w:t>allow for an up-to date application of the provisions of this Directive to allow Member States to fulfil their obligations under international law in compliance with the Directive</w:t>
      </w:r>
      <w:r w:rsidR="00C67387" w:rsidRPr="00C67387">
        <w:rPr>
          <w:noProof/>
        </w:rPr>
        <w:t xml:space="preserve">, the power to adopt acts in accordance with Article 290 of the Treaty on the Functioning of the European Union should be delegated to the Commission in respect of </w:t>
      </w:r>
      <w:r w:rsidR="007E0A64">
        <w:rPr>
          <w:noProof/>
        </w:rPr>
        <w:t xml:space="preserve">updating the </w:t>
      </w:r>
      <w:r w:rsidR="00C67387" w:rsidRPr="00C67387">
        <w:rPr>
          <w:noProof/>
        </w:rPr>
        <w:t xml:space="preserve">Conventions </w:t>
      </w:r>
      <w:r w:rsidR="007E0A64">
        <w:rPr>
          <w:noProof/>
        </w:rPr>
        <w:t>within the</w:t>
      </w:r>
      <w:r w:rsidR="00C67387" w:rsidRPr="00C67387">
        <w:rPr>
          <w:noProof/>
        </w:rPr>
        <w:t xml:space="preserve"> scope of Directive 2009/16/EC and amending the list of procedures and guidelines relating to port State control adopted by the Paris MOU</w:t>
      </w:r>
      <w:r w:rsidR="007E0A64">
        <w:rPr>
          <w:noProof/>
        </w:rPr>
        <w:t>.</w:t>
      </w:r>
      <w:r w:rsidR="00C67387" w:rsidRPr="00C67387">
        <w:rPr>
          <w:noProof/>
        </w:rPr>
        <w:t xml:space="preserve">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007E0A64">
        <w:rPr>
          <w:rStyle w:val="FootnoteReference"/>
          <w:noProof/>
          <w:lang w:val="en-IE"/>
        </w:rPr>
        <w:footnoteReference w:id="27"/>
      </w:r>
      <w:r w:rsidR="007E0A64">
        <w:rPr>
          <w:noProof/>
        </w:rPr>
        <w:t xml:space="preserve">. </w:t>
      </w:r>
      <w:r w:rsidR="00C67387" w:rsidRPr="00C67387">
        <w:rPr>
          <w:noProof/>
        </w:rPr>
        <w:t>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5482C494" w14:textId="31DDCA1F" w:rsidR="000162E9" w:rsidRDefault="00FE14A2" w:rsidP="00FE14A2">
      <w:pPr>
        <w:pStyle w:val="ManualConsidrant"/>
        <w:rPr>
          <w:noProof/>
        </w:rPr>
      </w:pPr>
      <w:r w:rsidRPr="00FE14A2">
        <w:t>(17)</w:t>
      </w:r>
      <w:r w:rsidRPr="00FE14A2">
        <w:tab/>
      </w:r>
      <w:r w:rsidR="000162E9">
        <w:rPr>
          <w:noProof/>
        </w:rPr>
        <w:t>In order to ensure uniform conditions for the implementation of the provisions of Directive</w:t>
      </w:r>
      <w:r w:rsidR="00D74288">
        <w:rPr>
          <w:noProof/>
        </w:rPr>
        <w:t xml:space="preserve"> 2009/16/EC</w:t>
      </w:r>
      <w:r w:rsidR="000162E9">
        <w:rPr>
          <w:noProof/>
        </w:rPr>
        <w:t xml:space="preserve"> concerning the list of Conventions under its scope, the </w:t>
      </w:r>
      <w:r w:rsidR="000162E9" w:rsidRPr="000162E9">
        <w:rPr>
          <w:noProof/>
        </w:rPr>
        <w:t>voluntary port state control regime for fishing vessels above 24 meters length overall</w:t>
      </w:r>
      <w:r w:rsidR="000162E9">
        <w:rPr>
          <w:noProof/>
        </w:rPr>
        <w:t>,</w:t>
      </w:r>
      <w:r w:rsidR="00BC033A">
        <w:rPr>
          <w:noProof/>
        </w:rPr>
        <w:t xml:space="preserve"> the</w:t>
      </w:r>
      <w:r w:rsidR="000162E9">
        <w:rPr>
          <w:noProof/>
        </w:rPr>
        <w:t xml:space="preserve"> </w:t>
      </w:r>
      <w:r w:rsidR="000162E9" w:rsidRPr="000162E9">
        <w:rPr>
          <w:noProof/>
        </w:rPr>
        <w:t>conditions for the application of Annex VII</w:t>
      </w:r>
      <w:r w:rsidR="00296CCC">
        <w:rPr>
          <w:noProof/>
        </w:rPr>
        <w:t xml:space="preserve"> on expanded inspection</w:t>
      </w:r>
      <w:r w:rsidR="000162E9">
        <w:rPr>
          <w:noProof/>
        </w:rPr>
        <w:t>, the uniform set of s</w:t>
      </w:r>
      <w:r w:rsidR="000162E9" w:rsidRPr="000162E9">
        <w:rPr>
          <w:noProof/>
        </w:rPr>
        <w:t>afety and security guidelines and procedures</w:t>
      </w:r>
      <w:r w:rsidR="000162E9">
        <w:rPr>
          <w:noProof/>
        </w:rPr>
        <w:t xml:space="preserve">, as well as the </w:t>
      </w:r>
      <w:r w:rsidR="00BC033A">
        <w:rPr>
          <w:noProof/>
        </w:rPr>
        <w:t xml:space="preserve">requirements for </w:t>
      </w:r>
      <w:r w:rsidR="000162E9">
        <w:rPr>
          <w:noProof/>
        </w:rPr>
        <w:t>electronic certificates, implementing powers should be conferred on the Commission. Those powers should be exercised in accordance with Regulation (EU) No 182/2011 of the European Parliament and of the Council</w:t>
      </w:r>
      <w:r w:rsidR="000162E9">
        <w:rPr>
          <w:rStyle w:val="FootnoteReference"/>
          <w:noProof/>
        </w:rPr>
        <w:footnoteReference w:id="28"/>
      </w:r>
      <w:r w:rsidR="000162E9">
        <w:rPr>
          <w:noProof/>
        </w:rPr>
        <w:t>.</w:t>
      </w:r>
    </w:p>
    <w:p w14:paraId="37BC3CCE" w14:textId="086BFD37" w:rsidR="00D74288" w:rsidRDefault="00FE14A2" w:rsidP="00FE14A2">
      <w:pPr>
        <w:pStyle w:val="ManualConsidrant"/>
        <w:rPr>
          <w:noProof/>
        </w:rPr>
      </w:pPr>
      <w:r w:rsidRPr="00FE14A2">
        <w:t>(18)</w:t>
      </w:r>
      <w:r w:rsidRPr="00FE14A2">
        <w:tab/>
      </w:r>
      <w:r w:rsidR="00241DEF">
        <w:rPr>
          <w:noProof/>
        </w:rPr>
        <w:t xml:space="preserve">In order to </w:t>
      </w:r>
      <w:r w:rsidR="00241DEF" w:rsidRPr="00241DEF">
        <w:rPr>
          <w:noProof/>
        </w:rPr>
        <w:t xml:space="preserve">improve the quality of </w:t>
      </w:r>
      <w:r w:rsidR="00241DEF">
        <w:rPr>
          <w:noProof/>
        </w:rPr>
        <w:t xml:space="preserve">port state control </w:t>
      </w:r>
      <w:r w:rsidR="00241DEF" w:rsidRPr="00241DEF">
        <w:rPr>
          <w:noProof/>
        </w:rPr>
        <w:t xml:space="preserve">inspections in marine areas close to the EU all </w:t>
      </w:r>
      <w:r w:rsidR="00241DEF">
        <w:rPr>
          <w:noProof/>
        </w:rPr>
        <w:t xml:space="preserve">eligible Member States are encouraged to </w:t>
      </w:r>
      <w:r w:rsidR="00241DEF" w:rsidRPr="00241DEF">
        <w:rPr>
          <w:noProof/>
        </w:rPr>
        <w:t>join the Mediterranean MoU on port State control (Med M</w:t>
      </w:r>
      <w:r w:rsidR="00715814">
        <w:rPr>
          <w:noProof/>
        </w:rPr>
        <w:t>O</w:t>
      </w:r>
      <w:r w:rsidR="00241DEF" w:rsidRPr="00241DEF">
        <w:rPr>
          <w:noProof/>
        </w:rPr>
        <w:t xml:space="preserve">U).  </w:t>
      </w:r>
    </w:p>
    <w:p w14:paraId="4B7578E9" w14:textId="3839472B" w:rsidR="007E6B68" w:rsidRDefault="00FE14A2" w:rsidP="00FE14A2">
      <w:pPr>
        <w:pStyle w:val="ManualConsidrant"/>
        <w:rPr>
          <w:noProof/>
        </w:rPr>
      </w:pPr>
      <w:r w:rsidRPr="00FE14A2">
        <w:t>(19)</w:t>
      </w:r>
      <w:r w:rsidRPr="00FE14A2">
        <w:tab/>
      </w:r>
      <w:r w:rsidR="007E6B68" w:rsidRPr="007C6E95">
        <w:rPr>
          <w:noProof/>
        </w:rPr>
        <w:t>In view of the full monitoring cycle of visits to Member States by the European Maritime Safety Agency (EMSA) to monitor the implementation of Directive</w:t>
      </w:r>
      <w:r w:rsidR="00D74288">
        <w:rPr>
          <w:noProof/>
        </w:rPr>
        <w:t xml:space="preserve"> 2009/16/EC</w:t>
      </w:r>
      <w:r w:rsidR="007E6B68" w:rsidRPr="007C6E95">
        <w:rPr>
          <w:noProof/>
        </w:rPr>
        <w:t xml:space="preserve">, the Commission should evaluate the implementation of Directive </w:t>
      </w:r>
      <w:r w:rsidR="00D74288">
        <w:rPr>
          <w:noProof/>
        </w:rPr>
        <w:t xml:space="preserve">2009/16/EC </w:t>
      </w:r>
      <w:r w:rsidR="007E6B68" w:rsidRPr="007C6E95">
        <w:rPr>
          <w:noProof/>
        </w:rPr>
        <w:t>no later than [</w:t>
      </w:r>
      <w:r w:rsidR="00295B8B">
        <w:rPr>
          <w:noProof/>
        </w:rPr>
        <w:t>ten</w:t>
      </w:r>
      <w:r w:rsidR="007E6B68" w:rsidRPr="007C6E95">
        <w:rPr>
          <w:noProof/>
        </w:rPr>
        <w:t xml:space="preserve"> years after its date of application referred to in Article XX)] and report to the European Parliament and the Council thereon. Member States should cooperate with the Commission to gather all information necessary for this evaluation.</w:t>
      </w:r>
    </w:p>
    <w:p w14:paraId="74AC66D2" w14:textId="475F908D" w:rsidR="00D74288" w:rsidRPr="00D74288" w:rsidRDefault="00FE14A2" w:rsidP="00FE14A2">
      <w:pPr>
        <w:pStyle w:val="ManualConsidrant"/>
        <w:rPr>
          <w:noProof/>
        </w:rPr>
      </w:pPr>
      <w:r w:rsidRPr="00FE14A2">
        <w:t>(20)</w:t>
      </w:r>
      <w:r w:rsidRPr="00FE14A2">
        <w:tab/>
      </w:r>
      <w:r w:rsidR="00D74288" w:rsidRPr="00D74288">
        <w:rPr>
          <w:noProof/>
        </w:rPr>
        <w:t xml:space="preserve">Since the objectives of this Directive, cannot be sufficiently achieved by the Member States </w:t>
      </w:r>
      <w:r w:rsidR="00D74288">
        <w:rPr>
          <w:noProof/>
        </w:rPr>
        <w:t xml:space="preserve">because of the international nature of maritime transport </w:t>
      </w:r>
      <w:r w:rsidR="00D74288" w:rsidRPr="00D74288">
        <w:rPr>
          <w:noProof/>
        </w:rPr>
        <w:t xml:space="preserve">but can rather, by reason of </w:t>
      </w:r>
      <w:r w:rsidR="00D74288">
        <w:rPr>
          <w:noProof/>
        </w:rPr>
        <w:t>the network effects of member States acting together</w:t>
      </w:r>
      <w:r w:rsidR="00D74288" w:rsidRPr="00D74288">
        <w:rPr>
          <w:noProof/>
        </w:rPr>
        <w:t xml:space="preserve">,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 </w:t>
      </w:r>
    </w:p>
    <w:p w14:paraId="14F180E0" w14:textId="78DCBD85" w:rsidR="007E6B68" w:rsidRDefault="00FE14A2" w:rsidP="00FE14A2">
      <w:pPr>
        <w:pStyle w:val="ManualConsidrant"/>
        <w:rPr>
          <w:noProof/>
          <w:lang w:eastAsia="en-GB"/>
        </w:rPr>
      </w:pPr>
      <w:r w:rsidRPr="00FE14A2">
        <w:t>(21)</w:t>
      </w:r>
      <w:r w:rsidRPr="00FE14A2">
        <w:tab/>
      </w:r>
      <w:r w:rsidR="007E6B68" w:rsidRPr="008137AC">
        <w:rPr>
          <w:noProof/>
          <w:lang w:eastAsia="en-GB"/>
        </w:rPr>
        <w:t>Directive 2009/1</w:t>
      </w:r>
      <w:r w:rsidR="00575BBD">
        <w:rPr>
          <w:noProof/>
          <w:lang w:eastAsia="en-GB"/>
        </w:rPr>
        <w:t>6</w:t>
      </w:r>
      <w:r w:rsidR="007E6B68" w:rsidRPr="008137AC">
        <w:rPr>
          <w:noProof/>
          <w:lang w:eastAsia="en-GB"/>
        </w:rPr>
        <w:t>/EC should therefore be amended accordingly,</w:t>
      </w:r>
    </w:p>
    <w:p w14:paraId="0FE9CB26" w14:textId="77777777" w:rsidR="00951E8E" w:rsidRPr="008137AC" w:rsidRDefault="00951E8E" w:rsidP="00596E2C">
      <w:pPr>
        <w:rPr>
          <w:noProof/>
          <w:lang w:eastAsia="en-GB"/>
        </w:rPr>
      </w:pPr>
    </w:p>
    <w:p w14:paraId="17232602" w14:textId="77777777" w:rsidR="005B3330" w:rsidRPr="00BD09BA" w:rsidRDefault="005B3330" w:rsidP="007800DD">
      <w:pPr>
        <w:pStyle w:val="Formuledadoption"/>
        <w:rPr>
          <w:noProof/>
        </w:rPr>
      </w:pPr>
      <w:r w:rsidRPr="00BD09BA">
        <w:rPr>
          <w:noProof/>
        </w:rPr>
        <w:t>HAVE ADOPTED THIS DIRECTIVE:</w:t>
      </w:r>
    </w:p>
    <w:p w14:paraId="3A75CCDB" w14:textId="77777777" w:rsidR="005B3330" w:rsidRPr="00BD09BA" w:rsidRDefault="005B3330" w:rsidP="007800DD">
      <w:pPr>
        <w:pStyle w:val="Titrearticle"/>
        <w:rPr>
          <w:noProof/>
        </w:rPr>
      </w:pPr>
      <w:r w:rsidRPr="00BD09BA">
        <w:rPr>
          <w:noProof/>
        </w:rPr>
        <w:t>Article 1</w:t>
      </w:r>
    </w:p>
    <w:p w14:paraId="5440B4E4" w14:textId="77777777" w:rsidR="00F60D5A" w:rsidRPr="003E2BCC" w:rsidRDefault="00F60D5A" w:rsidP="00E02437">
      <w:pPr>
        <w:pStyle w:val="Titrearticle"/>
        <w:rPr>
          <w:b/>
          <w:i w:val="0"/>
          <w:noProof/>
        </w:rPr>
      </w:pPr>
      <w:r w:rsidRPr="003E2BCC">
        <w:rPr>
          <w:b/>
          <w:i w:val="0"/>
          <w:noProof/>
        </w:rPr>
        <w:t>Amendments to Directive 200</w:t>
      </w:r>
      <w:r w:rsidR="00E02437" w:rsidRPr="003E2BCC">
        <w:rPr>
          <w:b/>
          <w:i w:val="0"/>
          <w:noProof/>
        </w:rPr>
        <w:t>9</w:t>
      </w:r>
      <w:r w:rsidRPr="003E2BCC">
        <w:rPr>
          <w:b/>
          <w:i w:val="0"/>
          <w:noProof/>
        </w:rPr>
        <w:t>/</w:t>
      </w:r>
      <w:r w:rsidR="00E02437" w:rsidRPr="003E2BCC">
        <w:rPr>
          <w:b/>
          <w:i w:val="0"/>
          <w:noProof/>
        </w:rPr>
        <w:t>1</w:t>
      </w:r>
      <w:r w:rsidR="00720A4E" w:rsidRPr="003E2BCC">
        <w:rPr>
          <w:b/>
          <w:i w:val="0"/>
          <w:noProof/>
        </w:rPr>
        <w:t>6</w:t>
      </w:r>
      <w:r w:rsidRPr="003E2BCC">
        <w:rPr>
          <w:b/>
          <w:i w:val="0"/>
          <w:noProof/>
        </w:rPr>
        <w:t>/EC</w:t>
      </w:r>
    </w:p>
    <w:p w14:paraId="516865AB" w14:textId="77777777" w:rsidR="009A2248" w:rsidRPr="00BD09BA" w:rsidRDefault="009A2248" w:rsidP="00E02437">
      <w:pPr>
        <w:rPr>
          <w:b/>
          <w:noProof/>
        </w:rPr>
      </w:pPr>
      <w:r w:rsidRPr="00BD09BA">
        <w:rPr>
          <w:noProof/>
        </w:rPr>
        <w:t>Directive 200</w:t>
      </w:r>
      <w:r w:rsidR="00E02437">
        <w:rPr>
          <w:noProof/>
        </w:rPr>
        <w:t>9</w:t>
      </w:r>
      <w:r w:rsidRPr="00BD09BA">
        <w:rPr>
          <w:noProof/>
        </w:rPr>
        <w:t>/</w:t>
      </w:r>
      <w:r w:rsidR="00E02437">
        <w:rPr>
          <w:noProof/>
        </w:rPr>
        <w:t>1</w:t>
      </w:r>
      <w:r w:rsidR="00720A4E">
        <w:rPr>
          <w:noProof/>
        </w:rPr>
        <w:t>6</w:t>
      </w:r>
      <w:r w:rsidRPr="00BD09BA">
        <w:rPr>
          <w:noProof/>
        </w:rPr>
        <w:t xml:space="preserve">/EC is amended as follows: </w:t>
      </w:r>
    </w:p>
    <w:p w14:paraId="2D113EF8" w14:textId="4BF1086B" w:rsidR="00A25043" w:rsidRDefault="00FE14A2" w:rsidP="00FE14A2">
      <w:pPr>
        <w:pStyle w:val="Point0"/>
        <w:rPr>
          <w:noProof/>
        </w:rPr>
      </w:pPr>
      <w:r w:rsidRPr="00FE14A2">
        <w:t>(1)</w:t>
      </w:r>
      <w:r w:rsidRPr="00FE14A2">
        <w:tab/>
      </w:r>
      <w:r w:rsidR="00477B6D">
        <w:rPr>
          <w:noProof/>
        </w:rPr>
        <w:t xml:space="preserve">Article </w:t>
      </w:r>
      <w:r w:rsidR="0073355D">
        <w:rPr>
          <w:noProof/>
        </w:rPr>
        <w:t>2</w:t>
      </w:r>
      <w:r w:rsidR="00477B6D">
        <w:rPr>
          <w:noProof/>
        </w:rPr>
        <w:t xml:space="preserve"> is amended as follows</w:t>
      </w:r>
      <w:r w:rsidR="00D63BC9">
        <w:rPr>
          <w:noProof/>
        </w:rPr>
        <w:t>:</w:t>
      </w:r>
    </w:p>
    <w:p w14:paraId="09A96E83" w14:textId="7EB04918" w:rsidR="0073355D" w:rsidRDefault="00FE14A2" w:rsidP="00FE14A2">
      <w:pPr>
        <w:pStyle w:val="Point1"/>
        <w:rPr>
          <w:noProof/>
        </w:rPr>
      </w:pPr>
      <w:r w:rsidRPr="00FE14A2">
        <w:t>(a)</w:t>
      </w:r>
      <w:r w:rsidRPr="00FE14A2">
        <w:tab/>
      </w:r>
      <w:r w:rsidR="00D63BC9">
        <w:rPr>
          <w:noProof/>
        </w:rPr>
        <w:t xml:space="preserve">in </w:t>
      </w:r>
      <w:r w:rsidR="00CA7C81">
        <w:rPr>
          <w:noProof/>
        </w:rPr>
        <w:t>point</w:t>
      </w:r>
      <w:r w:rsidR="00D63BC9">
        <w:rPr>
          <w:noProof/>
        </w:rPr>
        <w:t xml:space="preserve"> 1 t</w:t>
      </w:r>
      <w:r w:rsidR="0073355D">
        <w:rPr>
          <w:noProof/>
        </w:rPr>
        <w:t xml:space="preserve">he following points </w:t>
      </w:r>
      <w:r w:rsidR="00D74288">
        <w:rPr>
          <w:noProof/>
        </w:rPr>
        <w:t xml:space="preserve">(i) and (m) </w:t>
      </w:r>
      <w:r w:rsidR="0073355D">
        <w:rPr>
          <w:noProof/>
        </w:rPr>
        <w:t>are added</w:t>
      </w:r>
      <w:r w:rsidR="00423CA0">
        <w:rPr>
          <w:noProof/>
        </w:rPr>
        <w:t>:</w:t>
      </w:r>
    </w:p>
    <w:p w14:paraId="440156D4" w14:textId="77777777" w:rsidR="0073355D" w:rsidRDefault="00E55A28" w:rsidP="00D74288">
      <w:pPr>
        <w:pStyle w:val="Point2"/>
        <w:rPr>
          <w:noProof/>
        </w:rPr>
      </w:pPr>
      <w:r>
        <w:rPr>
          <w:noProof/>
        </w:rPr>
        <w:t>‘</w:t>
      </w:r>
      <w:r w:rsidR="0073355D" w:rsidRPr="0073355D">
        <w:rPr>
          <w:noProof/>
        </w:rPr>
        <w:t>(l)</w:t>
      </w:r>
      <w:r w:rsidR="0073355D" w:rsidRPr="0073355D">
        <w:rPr>
          <w:noProof/>
        </w:rPr>
        <w:tab/>
        <w:t>International Convention for the Control and Management of Ships' Ballast Water and Sediments</w:t>
      </w:r>
      <w:r w:rsidR="000466C9">
        <w:rPr>
          <w:noProof/>
        </w:rPr>
        <w:t xml:space="preserve"> (BWM Convention)</w:t>
      </w:r>
      <w:r w:rsidR="0073355D" w:rsidRPr="0073355D">
        <w:rPr>
          <w:noProof/>
        </w:rPr>
        <w:t>;</w:t>
      </w:r>
    </w:p>
    <w:p w14:paraId="026CE88C" w14:textId="77777777" w:rsidR="0073355D" w:rsidRDefault="0073355D" w:rsidP="000466C9">
      <w:pPr>
        <w:pStyle w:val="Point2"/>
        <w:rPr>
          <w:noProof/>
        </w:rPr>
      </w:pPr>
      <w:r w:rsidRPr="0073355D">
        <w:rPr>
          <w:noProof/>
        </w:rPr>
        <w:t>(m)</w:t>
      </w:r>
      <w:r w:rsidRPr="0073355D">
        <w:rPr>
          <w:noProof/>
        </w:rPr>
        <w:tab/>
      </w:r>
      <w:r w:rsidR="000466C9">
        <w:rPr>
          <w:noProof/>
        </w:rPr>
        <w:t xml:space="preserve">Nairobi </w:t>
      </w:r>
      <w:r w:rsidRPr="0073355D">
        <w:rPr>
          <w:noProof/>
        </w:rPr>
        <w:t xml:space="preserve">International Convention on </w:t>
      </w:r>
      <w:r w:rsidR="00CA7C81">
        <w:rPr>
          <w:noProof/>
        </w:rPr>
        <w:t>the Removal of Wrecks</w:t>
      </w:r>
      <w:r w:rsidR="000466C9">
        <w:rPr>
          <w:noProof/>
        </w:rPr>
        <w:t xml:space="preserve"> (Nairobi Convention)</w:t>
      </w:r>
      <w:r w:rsidR="00CA7C81">
        <w:rPr>
          <w:noProof/>
        </w:rPr>
        <w:t>.</w:t>
      </w:r>
      <w:r w:rsidR="00E55A28">
        <w:rPr>
          <w:noProof/>
        </w:rPr>
        <w:t>’</w:t>
      </w:r>
    </w:p>
    <w:p w14:paraId="2721FB0F" w14:textId="2E4DEE00" w:rsidR="00CA7C81" w:rsidRDefault="00FE14A2" w:rsidP="00FE14A2">
      <w:pPr>
        <w:pStyle w:val="Point1"/>
        <w:rPr>
          <w:noProof/>
        </w:rPr>
      </w:pPr>
      <w:r w:rsidRPr="00FE14A2">
        <w:t>(b)</w:t>
      </w:r>
      <w:r w:rsidRPr="00FE14A2">
        <w:tab/>
      </w:r>
      <w:r w:rsidR="00CA7C81">
        <w:rPr>
          <w:noProof/>
        </w:rPr>
        <w:t>point 3 is deleted.</w:t>
      </w:r>
    </w:p>
    <w:p w14:paraId="5DA92AC4" w14:textId="3AD591FA" w:rsidR="003914FB" w:rsidRDefault="00FE14A2" w:rsidP="00FE14A2">
      <w:pPr>
        <w:pStyle w:val="Point0"/>
        <w:rPr>
          <w:noProof/>
        </w:rPr>
      </w:pPr>
      <w:r w:rsidRPr="00FE14A2">
        <w:t>(2)</w:t>
      </w:r>
      <w:r w:rsidRPr="00FE14A2">
        <w:tab/>
      </w:r>
      <w:r w:rsidR="00F60D5A" w:rsidRPr="00BD09BA">
        <w:rPr>
          <w:noProof/>
        </w:rPr>
        <w:t xml:space="preserve">Article </w:t>
      </w:r>
      <w:r w:rsidR="0073355D">
        <w:rPr>
          <w:noProof/>
        </w:rPr>
        <w:t>3</w:t>
      </w:r>
      <w:r w:rsidR="003914FB">
        <w:rPr>
          <w:noProof/>
        </w:rPr>
        <w:t xml:space="preserve"> is amended as follows:</w:t>
      </w:r>
    </w:p>
    <w:p w14:paraId="3DDA9A83" w14:textId="256F5326" w:rsidR="003914FB" w:rsidRDefault="00FE14A2" w:rsidP="00FE14A2">
      <w:pPr>
        <w:pStyle w:val="Point1"/>
        <w:rPr>
          <w:noProof/>
        </w:rPr>
      </w:pPr>
      <w:r w:rsidRPr="00FE14A2">
        <w:t>(a)</w:t>
      </w:r>
      <w:r w:rsidRPr="00FE14A2">
        <w:tab/>
      </w:r>
      <w:r w:rsidR="00DB7D6E">
        <w:rPr>
          <w:noProof/>
        </w:rPr>
        <w:t xml:space="preserve">paragraph </w:t>
      </w:r>
      <w:r w:rsidR="0073355D">
        <w:rPr>
          <w:noProof/>
        </w:rPr>
        <w:t>4</w:t>
      </w:r>
      <w:r w:rsidR="003914FB">
        <w:rPr>
          <w:noProof/>
        </w:rPr>
        <w:t xml:space="preserve"> is replaced by the following:</w:t>
      </w:r>
    </w:p>
    <w:p w14:paraId="0666705B" w14:textId="77777777" w:rsidR="0073355D" w:rsidRDefault="00F5023A" w:rsidP="00E55A28">
      <w:pPr>
        <w:pStyle w:val="Point2"/>
        <w:ind w:left="1417" w:firstLine="0"/>
        <w:rPr>
          <w:noProof/>
        </w:rPr>
      </w:pPr>
      <w:r>
        <w:rPr>
          <w:noProof/>
        </w:rPr>
        <w:t>‘4.</w:t>
      </w:r>
      <w:r>
        <w:rPr>
          <w:noProof/>
        </w:rPr>
        <w:tab/>
      </w:r>
      <w:r w:rsidR="0073355D" w:rsidRPr="0073355D">
        <w:rPr>
          <w:noProof/>
        </w:rPr>
        <w:t>Fishing vessels below 24 meters</w:t>
      </w:r>
      <w:r w:rsidR="00B43027">
        <w:rPr>
          <w:noProof/>
        </w:rPr>
        <w:t xml:space="preserve"> overall</w:t>
      </w:r>
      <w:r w:rsidR="0073355D" w:rsidRPr="0073355D">
        <w:rPr>
          <w:noProof/>
        </w:rPr>
        <w:t>, warships, naval auxiliaries, wooden ships of a primitive build, government ships used for non-commercial purposes and pleasure yachts not engaged in trade shall be excluded from the scope of this Directive.</w:t>
      </w:r>
      <w:r w:rsidR="00E55A28">
        <w:rPr>
          <w:noProof/>
        </w:rPr>
        <w:t>’</w:t>
      </w:r>
    </w:p>
    <w:p w14:paraId="22F10197" w14:textId="7D7FA87A" w:rsidR="0073355D" w:rsidRDefault="00FE14A2" w:rsidP="00FE14A2">
      <w:pPr>
        <w:pStyle w:val="Point1"/>
        <w:rPr>
          <w:noProof/>
        </w:rPr>
      </w:pPr>
      <w:r w:rsidRPr="00FE14A2">
        <w:t>(b)</w:t>
      </w:r>
      <w:r w:rsidRPr="00FE14A2">
        <w:tab/>
      </w:r>
      <w:r w:rsidR="00DB7D6E">
        <w:rPr>
          <w:noProof/>
        </w:rPr>
        <w:t xml:space="preserve"> t</w:t>
      </w:r>
      <w:r w:rsidR="0073355D">
        <w:rPr>
          <w:noProof/>
        </w:rPr>
        <w:t xml:space="preserve">he following </w:t>
      </w:r>
      <w:r w:rsidR="00DB7D6E">
        <w:rPr>
          <w:noProof/>
        </w:rPr>
        <w:t xml:space="preserve">paragraph 4a </w:t>
      </w:r>
      <w:r w:rsidR="0073355D">
        <w:rPr>
          <w:noProof/>
        </w:rPr>
        <w:t>is added</w:t>
      </w:r>
      <w:r w:rsidR="00737023">
        <w:rPr>
          <w:noProof/>
        </w:rPr>
        <w:t>:</w:t>
      </w:r>
      <w:r w:rsidR="0073355D">
        <w:rPr>
          <w:noProof/>
        </w:rPr>
        <w:t xml:space="preserve"> </w:t>
      </w:r>
    </w:p>
    <w:p w14:paraId="12D6CFFB" w14:textId="77777777" w:rsidR="0073355D" w:rsidRDefault="00F5023A" w:rsidP="00D74288">
      <w:pPr>
        <w:pStyle w:val="Point2"/>
        <w:ind w:left="1417" w:firstLine="0"/>
        <w:rPr>
          <w:noProof/>
        </w:rPr>
      </w:pPr>
      <w:r>
        <w:rPr>
          <w:noProof/>
        </w:rPr>
        <w:t>‘4a.</w:t>
      </w:r>
      <w:r>
        <w:rPr>
          <w:noProof/>
        </w:rPr>
        <w:tab/>
      </w:r>
      <w:r w:rsidR="00B43027">
        <w:rPr>
          <w:noProof/>
        </w:rPr>
        <w:t>Member States may carry out port state control inspections of fishing vessels of above 2</w:t>
      </w:r>
      <w:r w:rsidR="00543ED2">
        <w:rPr>
          <w:noProof/>
        </w:rPr>
        <w:t>4</w:t>
      </w:r>
      <w:r w:rsidR="00B43027">
        <w:rPr>
          <w:noProof/>
        </w:rPr>
        <w:t xml:space="preserve"> metres length overall. </w:t>
      </w:r>
      <w:r w:rsidR="0073355D" w:rsidRPr="0073355D">
        <w:rPr>
          <w:noProof/>
        </w:rPr>
        <w:t xml:space="preserve">The Commission </w:t>
      </w:r>
      <w:r w:rsidR="00B43027">
        <w:rPr>
          <w:noProof/>
        </w:rPr>
        <w:t>shall</w:t>
      </w:r>
      <w:r w:rsidR="0073355D" w:rsidRPr="0073355D">
        <w:rPr>
          <w:noProof/>
        </w:rPr>
        <w:t xml:space="preserve"> adopt </w:t>
      </w:r>
      <w:r w:rsidR="00B43027">
        <w:rPr>
          <w:noProof/>
        </w:rPr>
        <w:t xml:space="preserve">implementing acts establishing </w:t>
      </w:r>
      <w:r w:rsidR="0073355D" w:rsidRPr="0073355D">
        <w:rPr>
          <w:noProof/>
        </w:rPr>
        <w:t xml:space="preserve">the modalities of </w:t>
      </w:r>
      <w:r w:rsidR="00B43027">
        <w:rPr>
          <w:noProof/>
        </w:rPr>
        <w:t xml:space="preserve">such </w:t>
      </w:r>
      <w:r w:rsidR="0073355D">
        <w:rPr>
          <w:noProof/>
        </w:rPr>
        <w:t xml:space="preserve">a </w:t>
      </w:r>
      <w:r w:rsidR="00D74288">
        <w:rPr>
          <w:noProof/>
        </w:rPr>
        <w:t xml:space="preserve">specific </w:t>
      </w:r>
      <w:r w:rsidR="0073355D" w:rsidRPr="0073355D">
        <w:rPr>
          <w:noProof/>
        </w:rPr>
        <w:t>port state control regime for fishing vessels above 24 meters</w:t>
      </w:r>
      <w:r w:rsidR="0073355D">
        <w:rPr>
          <w:noProof/>
        </w:rPr>
        <w:t xml:space="preserve"> length overall</w:t>
      </w:r>
      <w:r w:rsidR="0073355D" w:rsidRPr="0073355D">
        <w:rPr>
          <w:noProof/>
        </w:rPr>
        <w:t>. Those implementing acts shall be adopted in accordance with the examination procedure referred to in Article 31(</w:t>
      </w:r>
      <w:r w:rsidR="009E2A2A">
        <w:rPr>
          <w:noProof/>
        </w:rPr>
        <w:t>2</w:t>
      </w:r>
      <w:r w:rsidR="0073355D">
        <w:rPr>
          <w:noProof/>
        </w:rPr>
        <w:t>)</w:t>
      </w:r>
      <w:r w:rsidR="009E2A2A">
        <w:rPr>
          <w:noProof/>
        </w:rPr>
        <w:t>.</w:t>
      </w:r>
      <w:r w:rsidR="00E55A28">
        <w:rPr>
          <w:noProof/>
        </w:rPr>
        <w:t>’</w:t>
      </w:r>
    </w:p>
    <w:p w14:paraId="55F586A8" w14:textId="65FEDD60" w:rsidR="00737023" w:rsidRDefault="00FE14A2" w:rsidP="00FE14A2">
      <w:pPr>
        <w:pStyle w:val="Point0"/>
        <w:rPr>
          <w:noProof/>
        </w:rPr>
      </w:pPr>
      <w:r w:rsidRPr="00FE14A2">
        <w:t>(3)</w:t>
      </w:r>
      <w:r w:rsidRPr="00FE14A2">
        <w:tab/>
      </w:r>
      <w:r w:rsidR="00D74288">
        <w:rPr>
          <w:noProof/>
        </w:rPr>
        <w:t>i</w:t>
      </w:r>
      <w:r w:rsidR="009E2A2A">
        <w:rPr>
          <w:noProof/>
        </w:rPr>
        <w:t xml:space="preserve">n </w:t>
      </w:r>
      <w:r w:rsidR="0073355D">
        <w:rPr>
          <w:noProof/>
        </w:rPr>
        <w:t>Article 5</w:t>
      </w:r>
      <w:r w:rsidR="009E2A2A">
        <w:rPr>
          <w:noProof/>
        </w:rPr>
        <w:t>, the following paragraph 2a</w:t>
      </w:r>
      <w:r w:rsidR="0073355D">
        <w:rPr>
          <w:noProof/>
        </w:rPr>
        <w:t xml:space="preserve"> is </w:t>
      </w:r>
      <w:r w:rsidR="00D74288">
        <w:rPr>
          <w:noProof/>
        </w:rPr>
        <w:t>inserted</w:t>
      </w:r>
      <w:r w:rsidR="00737023">
        <w:rPr>
          <w:noProof/>
        </w:rPr>
        <w:t xml:space="preserve">: </w:t>
      </w:r>
    </w:p>
    <w:p w14:paraId="473BB6E5" w14:textId="77777777" w:rsidR="00737023" w:rsidRDefault="00F5023A" w:rsidP="00D74288">
      <w:pPr>
        <w:pStyle w:val="Point1"/>
        <w:ind w:left="850" w:firstLine="0"/>
        <w:rPr>
          <w:noProof/>
        </w:rPr>
      </w:pPr>
      <w:r>
        <w:rPr>
          <w:noProof/>
        </w:rPr>
        <w:t>‘2a.</w:t>
      </w:r>
      <w:r w:rsidR="00737023" w:rsidRPr="00737023">
        <w:rPr>
          <w:noProof/>
        </w:rPr>
        <w:tab/>
      </w:r>
      <w:r w:rsidR="00B46D8A">
        <w:rPr>
          <w:noProof/>
        </w:rPr>
        <w:t>Inspections</w:t>
      </w:r>
      <w:r w:rsidR="00737023" w:rsidRPr="00737023">
        <w:rPr>
          <w:noProof/>
        </w:rPr>
        <w:t xml:space="preserve"> of Priority II ships carried out by Member States when its annual inspection commitment has been exceeded by more than </w:t>
      </w:r>
      <w:r w:rsidR="005807B7">
        <w:rPr>
          <w:noProof/>
        </w:rPr>
        <w:t>150</w:t>
      </w:r>
      <w:r w:rsidR="00737023" w:rsidRPr="00737023">
        <w:rPr>
          <w:noProof/>
        </w:rPr>
        <w:t xml:space="preserve">% </w:t>
      </w:r>
      <w:r w:rsidR="00B43027">
        <w:rPr>
          <w:noProof/>
        </w:rPr>
        <w:t xml:space="preserve">shall </w:t>
      </w:r>
      <w:r w:rsidR="00737023" w:rsidRPr="00737023">
        <w:rPr>
          <w:noProof/>
        </w:rPr>
        <w:t>not be taken into account in the calculation of the annual inspection commitment of Member States part</w:t>
      </w:r>
      <w:r w:rsidR="00DD53CE">
        <w:rPr>
          <w:noProof/>
        </w:rPr>
        <w:t>ies</w:t>
      </w:r>
      <w:r w:rsidR="00737023" w:rsidRPr="00737023">
        <w:rPr>
          <w:noProof/>
        </w:rPr>
        <w:t xml:space="preserve"> to the </w:t>
      </w:r>
      <w:r w:rsidR="00DD53CE">
        <w:rPr>
          <w:noProof/>
        </w:rPr>
        <w:t>Paris M</w:t>
      </w:r>
      <w:r w:rsidR="00FB0E37">
        <w:rPr>
          <w:noProof/>
        </w:rPr>
        <w:t>O</w:t>
      </w:r>
      <w:r w:rsidR="00DD53CE">
        <w:rPr>
          <w:noProof/>
        </w:rPr>
        <w:t>U</w:t>
      </w:r>
      <w:r w:rsidR="00737023" w:rsidRPr="00737023">
        <w:rPr>
          <w:noProof/>
        </w:rPr>
        <w:t>.</w:t>
      </w:r>
      <w:r w:rsidR="00E55A28">
        <w:rPr>
          <w:noProof/>
        </w:rPr>
        <w:t>’</w:t>
      </w:r>
    </w:p>
    <w:p w14:paraId="58E43D31" w14:textId="61F3EE03" w:rsidR="00737023" w:rsidRDefault="00FE14A2" w:rsidP="00FE14A2">
      <w:pPr>
        <w:pStyle w:val="Point0"/>
        <w:rPr>
          <w:noProof/>
        </w:rPr>
      </w:pPr>
      <w:r w:rsidRPr="00FE14A2">
        <w:t>(4)</w:t>
      </w:r>
      <w:r w:rsidRPr="00FE14A2">
        <w:tab/>
      </w:r>
      <w:r w:rsidR="00737023">
        <w:rPr>
          <w:noProof/>
        </w:rPr>
        <w:t>Article 6 is replaced by the following:</w:t>
      </w:r>
    </w:p>
    <w:p w14:paraId="470C5E03" w14:textId="77777777" w:rsidR="00DD53CE" w:rsidRDefault="00E55A28" w:rsidP="00E55A28">
      <w:pPr>
        <w:pStyle w:val="Titrearticle"/>
        <w:rPr>
          <w:noProof/>
        </w:rPr>
      </w:pPr>
      <w:r>
        <w:rPr>
          <w:noProof/>
        </w:rPr>
        <w:t>‘</w:t>
      </w:r>
      <w:r w:rsidR="00DD53CE">
        <w:rPr>
          <w:noProof/>
        </w:rPr>
        <w:t>Article 6</w:t>
      </w:r>
    </w:p>
    <w:p w14:paraId="407F716E" w14:textId="77777777" w:rsidR="00DD53CE" w:rsidRPr="00DD53CE" w:rsidRDefault="00DD53CE" w:rsidP="00E55A28">
      <w:pPr>
        <w:pStyle w:val="Typeacteprincipal"/>
        <w:rPr>
          <w:noProof/>
        </w:rPr>
      </w:pPr>
      <w:r w:rsidRPr="00DD53CE">
        <w:rPr>
          <w:noProof/>
        </w:rPr>
        <w:t>Modalities of compliance with the inspection commitment</w:t>
      </w:r>
    </w:p>
    <w:p w14:paraId="742F68B7" w14:textId="77777777" w:rsidR="0073355D" w:rsidRDefault="00737023" w:rsidP="00E55A28">
      <w:pPr>
        <w:pStyle w:val="Point1"/>
        <w:ind w:left="850" w:firstLine="0"/>
        <w:rPr>
          <w:noProof/>
        </w:rPr>
      </w:pPr>
      <w:r w:rsidRPr="00737023">
        <w:rPr>
          <w:noProof/>
        </w:rPr>
        <w:t>A Member State which fails to carry out the inspections required in Article 5(2)(a), complies with its commitment in accordance with that provision if such missed inspections do not exceed 10 % of the total number of Priority I ships calling at its ports and anchorages</w:t>
      </w:r>
      <w:r w:rsidR="00387509">
        <w:rPr>
          <w:noProof/>
        </w:rPr>
        <w:t>, irrespective of their risk profile</w:t>
      </w:r>
      <w:r w:rsidR="00ED257A">
        <w:rPr>
          <w:noProof/>
        </w:rPr>
        <w:t>.</w:t>
      </w:r>
    </w:p>
    <w:p w14:paraId="59D139ED" w14:textId="77777777" w:rsidR="00737023" w:rsidRDefault="00737023" w:rsidP="009F36D7">
      <w:pPr>
        <w:pStyle w:val="Point1"/>
        <w:ind w:left="850" w:firstLine="0"/>
        <w:rPr>
          <w:noProof/>
        </w:rPr>
      </w:pPr>
      <w:r>
        <w:rPr>
          <w:noProof/>
        </w:rPr>
        <w:t xml:space="preserve">Notwithstanding the percentages </w:t>
      </w:r>
      <w:r w:rsidR="009F36D7">
        <w:rPr>
          <w:noProof/>
        </w:rPr>
        <w:t>of missed inspections referred to in</w:t>
      </w:r>
      <w:r>
        <w:rPr>
          <w:noProof/>
        </w:rPr>
        <w:t xml:space="preserve"> </w:t>
      </w:r>
      <w:r w:rsidR="00DD53CE">
        <w:rPr>
          <w:noProof/>
        </w:rPr>
        <w:t>the first sub</w:t>
      </w:r>
      <w:r>
        <w:rPr>
          <w:noProof/>
        </w:rPr>
        <w:t>paragraph</w:t>
      </w:r>
      <w:r w:rsidR="00D2324E">
        <w:rPr>
          <w:noProof/>
        </w:rPr>
        <w:t>,</w:t>
      </w:r>
      <w:r>
        <w:rPr>
          <w:noProof/>
        </w:rPr>
        <w:t xml:space="preserve"> Member States shall prioritise inspection of ships, which, according to the information provided by the inspection database, call at ports within the </w:t>
      </w:r>
      <w:r w:rsidR="009F36D7">
        <w:rPr>
          <w:noProof/>
        </w:rPr>
        <w:t>Union</w:t>
      </w:r>
      <w:r>
        <w:rPr>
          <w:noProof/>
        </w:rPr>
        <w:t xml:space="preserve"> infrequently. </w:t>
      </w:r>
    </w:p>
    <w:p w14:paraId="4AA82645" w14:textId="77777777" w:rsidR="003914FB" w:rsidRDefault="00737023" w:rsidP="009F36D7">
      <w:pPr>
        <w:pStyle w:val="Point1"/>
        <w:ind w:left="850" w:firstLine="0"/>
        <w:rPr>
          <w:noProof/>
        </w:rPr>
      </w:pPr>
      <w:r>
        <w:rPr>
          <w:noProof/>
        </w:rPr>
        <w:t xml:space="preserve">Notwithstanding the percentages </w:t>
      </w:r>
      <w:r w:rsidR="009F36D7">
        <w:rPr>
          <w:noProof/>
        </w:rPr>
        <w:t xml:space="preserve">of missed inspections referred to </w:t>
      </w:r>
      <w:r>
        <w:rPr>
          <w:noProof/>
        </w:rPr>
        <w:t xml:space="preserve">in </w:t>
      </w:r>
      <w:r w:rsidR="00DD53CE">
        <w:rPr>
          <w:noProof/>
        </w:rPr>
        <w:t>the first sub</w:t>
      </w:r>
      <w:r>
        <w:rPr>
          <w:noProof/>
        </w:rPr>
        <w:t xml:space="preserve">paragraph, for Priority I ships calling at anchorages, Member States shall prioritise inspection of ships with a high risk profile, which, according to the information provided by the inspection database, call at ports within the </w:t>
      </w:r>
      <w:r w:rsidR="009F36D7">
        <w:rPr>
          <w:noProof/>
        </w:rPr>
        <w:t>Union</w:t>
      </w:r>
      <w:r>
        <w:rPr>
          <w:noProof/>
        </w:rPr>
        <w:t xml:space="preserve"> infrequently.</w:t>
      </w:r>
      <w:r w:rsidR="00E55A28">
        <w:rPr>
          <w:noProof/>
        </w:rPr>
        <w:t>’</w:t>
      </w:r>
    </w:p>
    <w:p w14:paraId="2FD0F17F" w14:textId="4BED1964" w:rsidR="00737023" w:rsidRDefault="00FE14A2" w:rsidP="00FE14A2">
      <w:pPr>
        <w:pStyle w:val="Point0"/>
        <w:rPr>
          <w:noProof/>
        </w:rPr>
      </w:pPr>
      <w:r w:rsidRPr="00FE14A2">
        <w:t>(5)</w:t>
      </w:r>
      <w:r w:rsidRPr="00FE14A2">
        <w:tab/>
      </w:r>
      <w:r w:rsidR="00ED257A">
        <w:rPr>
          <w:noProof/>
        </w:rPr>
        <w:t xml:space="preserve">In </w:t>
      </w:r>
      <w:r w:rsidR="00737023">
        <w:rPr>
          <w:noProof/>
        </w:rPr>
        <w:t>Article 7</w:t>
      </w:r>
      <w:r w:rsidR="00ED257A">
        <w:rPr>
          <w:noProof/>
        </w:rPr>
        <w:t>, paragraph</w:t>
      </w:r>
      <w:r w:rsidR="00737023">
        <w:rPr>
          <w:noProof/>
        </w:rPr>
        <w:t xml:space="preserve"> 2</w:t>
      </w:r>
      <w:r w:rsidR="000D6544">
        <w:rPr>
          <w:noProof/>
        </w:rPr>
        <w:t xml:space="preserve"> is </w:t>
      </w:r>
      <w:r w:rsidR="00737023">
        <w:rPr>
          <w:noProof/>
        </w:rPr>
        <w:t>replaced by the following:</w:t>
      </w:r>
    </w:p>
    <w:p w14:paraId="7DCD5319" w14:textId="77777777" w:rsidR="00737023" w:rsidRDefault="00E55A28" w:rsidP="005807B7">
      <w:pPr>
        <w:pStyle w:val="Point1"/>
        <w:ind w:left="850" w:firstLine="0"/>
        <w:rPr>
          <w:noProof/>
        </w:rPr>
      </w:pPr>
      <w:r>
        <w:rPr>
          <w:noProof/>
        </w:rPr>
        <w:t>‘</w:t>
      </w:r>
      <w:r w:rsidR="00737023" w:rsidRPr="00737023">
        <w:rPr>
          <w:noProof/>
        </w:rPr>
        <w:t>2.</w:t>
      </w:r>
      <w:r w:rsidR="00737023" w:rsidRPr="00737023">
        <w:rPr>
          <w:noProof/>
        </w:rPr>
        <w:tab/>
        <w:t>A Member State, in which the total number of calls of Priority I and Priority II ships is less than 150% of the inspection share referred to in Article 5(2)</w:t>
      </w:r>
      <w:r w:rsidR="009F36D7">
        <w:rPr>
          <w:noProof/>
        </w:rPr>
        <w:t xml:space="preserve"> point </w:t>
      </w:r>
      <w:r w:rsidR="00737023" w:rsidRPr="00737023">
        <w:rPr>
          <w:noProof/>
        </w:rPr>
        <w:t xml:space="preserve">(b), shall be regarded as complying with </w:t>
      </w:r>
      <w:r w:rsidR="005807B7">
        <w:rPr>
          <w:noProof/>
        </w:rPr>
        <w:t>its annual inspection</w:t>
      </w:r>
      <w:r w:rsidR="00737023" w:rsidRPr="00737023">
        <w:rPr>
          <w:noProof/>
        </w:rPr>
        <w:t xml:space="preserve"> commitment, if that Member State carries out inspections of </w:t>
      </w:r>
      <w:r w:rsidR="00325285">
        <w:rPr>
          <w:noProof/>
        </w:rPr>
        <w:t xml:space="preserve">two thirds of </w:t>
      </w:r>
      <w:r w:rsidR="00737023" w:rsidRPr="00737023">
        <w:rPr>
          <w:noProof/>
        </w:rPr>
        <w:t>Priority I and II ships of the total number of Priority I and II ships calling at its ports and anchorages.</w:t>
      </w:r>
      <w:r>
        <w:rPr>
          <w:noProof/>
        </w:rPr>
        <w:t>’</w:t>
      </w:r>
      <w:r w:rsidR="009F36D7">
        <w:rPr>
          <w:noProof/>
        </w:rPr>
        <w:t>,</w:t>
      </w:r>
    </w:p>
    <w:p w14:paraId="48F9EE9A" w14:textId="7D51F33B" w:rsidR="00C23D2D" w:rsidRDefault="00FE14A2" w:rsidP="00FE14A2">
      <w:pPr>
        <w:pStyle w:val="Point0"/>
        <w:rPr>
          <w:noProof/>
        </w:rPr>
      </w:pPr>
      <w:r w:rsidRPr="00FE14A2">
        <w:t>(6)</w:t>
      </w:r>
      <w:r w:rsidRPr="00FE14A2">
        <w:tab/>
      </w:r>
      <w:r w:rsidR="009F36D7">
        <w:rPr>
          <w:noProof/>
        </w:rPr>
        <w:t>i</w:t>
      </w:r>
      <w:r w:rsidR="00957ABA">
        <w:rPr>
          <w:noProof/>
        </w:rPr>
        <w:t xml:space="preserve">n </w:t>
      </w:r>
      <w:r w:rsidR="00737023">
        <w:rPr>
          <w:noProof/>
        </w:rPr>
        <w:t>Article 8</w:t>
      </w:r>
      <w:r w:rsidR="00957ABA">
        <w:rPr>
          <w:noProof/>
        </w:rPr>
        <w:t xml:space="preserve">, </w:t>
      </w:r>
      <w:r w:rsidR="00C23D2D">
        <w:rPr>
          <w:noProof/>
        </w:rPr>
        <w:t>paragraphs 1 and 2 are replaced by the following:</w:t>
      </w:r>
    </w:p>
    <w:p w14:paraId="374361FD" w14:textId="77777777" w:rsidR="00C23D2D" w:rsidRDefault="00715814" w:rsidP="00715814">
      <w:pPr>
        <w:pStyle w:val="Point1"/>
        <w:ind w:left="850" w:firstLine="0"/>
        <w:rPr>
          <w:noProof/>
        </w:rPr>
      </w:pPr>
      <w:r>
        <w:rPr>
          <w:noProof/>
        </w:rPr>
        <w:t>1.</w:t>
      </w:r>
      <w:r w:rsidR="00C23D2D">
        <w:rPr>
          <w:noProof/>
        </w:rPr>
        <w:tab/>
        <w:t>A Member State may decide to postpone the inspection of a Priority I or Priority II ship in the following circumstances:</w:t>
      </w:r>
    </w:p>
    <w:p w14:paraId="2F12EACC" w14:textId="1F363312" w:rsidR="00C23D2D" w:rsidRDefault="00FE14A2" w:rsidP="00FE14A2">
      <w:pPr>
        <w:pStyle w:val="Point1"/>
        <w:rPr>
          <w:noProof/>
        </w:rPr>
      </w:pPr>
      <w:r w:rsidRPr="00FE14A2">
        <w:t>(a)</w:t>
      </w:r>
      <w:r w:rsidRPr="00FE14A2">
        <w:tab/>
      </w:r>
      <w:r w:rsidR="00C23D2D">
        <w:rPr>
          <w:noProof/>
        </w:rPr>
        <w:t xml:space="preserve">if the inspection may be carried out at the next call of the ship in the same Member State, provided that the ship does not call at any other port in the </w:t>
      </w:r>
      <w:r w:rsidR="009F36D7">
        <w:rPr>
          <w:noProof/>
        </w:rPr>
        <w:t>Union</w:t>
      </w:r>
      <w:r w:rsidR="00C23D2D">
        <w:rPr>
          <w:noProof/>
        </w:rPr>
        <w:t xml:space="preserve"> or the Paris MOU region in between and the postponement is not more than 15 days; or</w:t>
      </w:r>
    </w:p>
    <w:p w14:paraId="03C65D51" w14:textId="470829BE" w:rsidR="00C23D2D" w:rsidRDefault="00FE14A2" w:rsidP="00FE14A2">
      <w:pPr>
        <w:pStyle w:val="Point1"/>
        <w:rPr>
          <w:noProof/>
        </w:rPr>
      </w:pPr>
      <w:r w:rsidRPr="00FE14A2">
        <w:t>(b)</w:t>
      </w:r>
      <w:r w:rsidRPr="00FE14A2">
        <w:tab/>
      </w:r>
      <w:r w:rsidR="00C23D2D">
        <w:rPr>
          <w:noProof/>
        </w:rPr>
        <w:t>if the inspection may be carried out in another port of call within the Community or the Paris MOU region within 15 days, provided the State in which such port of call is located has agreed in advance to perform the inspection.</w:t>
      </w:r>
    </w:p>
    <w:p w14:paraId="6BF6B1A8" w14:textId="77777777" w:rsidR="00C23D2D" w:rsidRDefault="00715814" w:rsidP="00715814">
      <w:pPr>
        <w:pStyle w:val="Point1"/>
        <w:ind w:left="850" w:firstLine="0"/>
        <w:rPr>
          <w:noProof/>
        </w:rPr>
      </w:pPr>
      <w:r>
        <w:rPr>
          <w:noProof/>
        </w:rPr>
        <w:t>2.</w:t>
      </w:r>
      <w:r>
        <w:rPr>
          <w:noProof/>
        </w:rPr>
        <w:tab/>
      </w:r>
      <w:r w:rsidR="00C23D2D">
        <w:rPr>
          <w:noProof/>
        </w:rPr>
        <w:t>Where an inspection is not performed on a Priority I or Priority II ship for operational reasons, it shall not be counted as a missed inspection, provided that the reason for missing the inspection is recorded in the inspection database and the following exceptional circumstances occur:</w:t>
      </w:r>
    </w:p>
    <w:p w14:paraId="720A73F0" w14:textId="2D984E7F" w:rsidR="00715814" w:rsidRDefault="00FE14A2" w:rsidP="00FE14A2">
      <w:pPr>
        <w:pStyle w:val="Point1"/>
        <w:rPr>
          <w:noProof/>
        </w:rPr>
      </w:pPr>
      <w:r w:rsidRPr="00FE14A2">
        <w:t>(a)</w:t>
      </w:r>
      <w:r w:rsidRPr="00FE14A2">
        <w:tab/>
      </w:r>
      <w:r w:rsidR="00C23D2D">
        <w:rPr>
          <w:noProof/>
        </w:rPr>
        <w:t>in the judgement of the competent authority the conduct of the inspection would create a risk to the safety of inspectors, the ship, its crew or to the port, or to the marine environment; or</w:t>
      </w:r>
    </w:p>
    <w:p w14:paraId="160EAC69" w14:textId="028E712C" w:rsidR="00C23D2D" w:rsidRDefault="00FE14A2" w:rsidP="00FE14A2">
      <w:pPr>
        <w:pStyle w:val="Point1"/>
        <w:rPr>
          <w:noProof/>
        </w:rPr>
      </w:pPr>
      <w:r w:rsidRPr="00FE14A2">
        <w:t>(b)</w:t>
      </w:r>
      <w:r w:rsidRPr="00FE14A2">
        <w:tab/>
      </w:r>
      <w:r w:rsidR="00C23D2D">
        <w:rPr>
          <w:noProof/>
        </w:rPr>
        <w:t>the ship call takes place only during night time</w:t>
      </w:r>
      <w:r w:rsidR="000466C9">
        <w:rPr>
          <w:noProof/>
        </w:rPr>
        <w:t xml:space="preserve"> (as provided for in Article 2(10))</w:t>
      </w:r>
      <w:r w:rsidR="00C23D2D">
        <w:rPr>
          <w:noProof/>
        </w:rPr>
        <w:t>. In this case Member States shall take the measures necessary to ensure that ships which call regularly during night time are inspected as appropriate</w:t>
      </w:r>
      <w:r w:rsidR="00715814">
        <w:rPr>
          <w:noProof/>
        </w:rPr>
        <w:t>.</w:t>
      </w:r>
      <w:r w:rsidR="00C23D2D">
        <w:rPr>
          <w:noProof/>
        </w:rPr>
        <w:t>’</w:t>
      </w:r>
    </w:p>
    <w:p w14:paraId="4BF8F31D" w14:textId="5F8EC0FC" w:rsidR="003A6E5A" w:rsidRDefault="00FE14A2" w:rsidP="00FE14A2">
      <w:pPr>
        <w:pStyle w:val="Point0"/>
        <w:rPr>
          <w:noProof/>
        </w:rPr>
      </w:pPr>
      <w:r w:rsidRPr="00FE14A2">
        <w:t>(7)</w:t>
      </w:r>
      <w:r w:rsidRPr="00FE14A2">
        <w:tab/>
      </w:r>
      <w:r w:rsidR="000466C9">
        <w:rPr>
          <w:noProof/>
        </w:rPr>
        <w:t>t</w:t>
      </w:r>
      <w:r w:rsidR="003A6E5A">
        <w:rPr>
          <w:noProof/>
        </w:rPr>
        <w:t>he following Article</w:t>
      </w:r>
      <w:r w:rsidR="00FB0E37">
        <w:rPr>
          <w:noProof/>
        </w:rPr>
        <w:t xml:space="preserve"> 8a</w:t>
      </w:r>
      <w:r w:rsidR="003A6E5A">
        <w:rPr>
          <w:noProof/>
        </w:rPr>
        <w:t xml:space="preserve"> is </w:t>
      </w:r>
      <w:r w:rsidR="00FB0E37">
        <w:rPr>
          <w:noProof/>
        </w:rPr>
        <w:t>inserted</w:t>
      </w:r>
      <w:r w:rsidR="003A6E5A">
        <w:rPr>
          <w:noProof/>
        </w:rPr>
        <w:t>:</w:t>
      </w:r>
    </w:p>
    <w:p w14:paraId="28937781" w14:textId="77777777" w:rsidR="00651B36" w:rsidRDefault="006929ED" w:rsidP="00651B36">
      <w:pPr>
        <w:pStyle w:val="Titrearticle"/>
        <w:rPr>
          <w:noProof/>
        </w:rPr>
      </w:pPr>
      <w:r>
        <w:rPr>
          <w:noProof/>
        </w:rPr>
        <w:t>‘</w:t>
      </w:r>
      <w:r w:rsidR="003A6E5A" w:rsidRPr="003A6E5A">
        <w:rPr>
          <w:noProof/>
        </w:rPr>
        <w:t>Article 8a</w:t>
      </w:r>
    </w:p>
    <w:p w14:paraId="3C5C4CC8" w14:textId="77777777" w:rsidR="003A6E5A" w:rsidRDefault="003A6E5A" w:rsidP="00651B36">
      <w:pPr>
        <w:pStyle w:val="Typeacteprincipal"/>
        <w:rPr>
          <w:noProof/>
        </w:rPr>
      </w:pPr>
      <w:r w:rsidRPr="003A6E5A">
        <w:rPr>
          <w:noProof/>
        </w:rPr>
        <w:t>Force majeure</w:t>
      </w:r>
    </w:p>
    <w:p w14:paraId="3BFA61FC" w14:textId="77777777" w:rsidR="003A6E5A" w:rsidRDefault="003A6E5A" w:rsidP="006929ED">
      <w:pPr>
        <w:pStyle w:val="Point1"/>
        <w:ind w:left="850" w:firstLine="0"/>
        <w:rPr>
          <w:noProof/>
        </w:rPr>
      </w:pPr>
      <w:r>
        <w:rPr>
          <w:noProof/>
        </w:rPr>
        <w:t xml:space="preserve">Failure to carry out an inspection for </w:t>
      </w:r>
      <w:r w:rsidRPr="00AE3DED">
        <w:rPr>
          <w:i/>
          <w:iCs/>
          <w:noProof/>
        </w:rPr>
        <w:t>force majeure</w:t>
      </w:r>
      <w:r>
        <w:rPr>
          <w:noProof/>
        </w:rPr>
        <w:t xml:space="preserve"> reasons shall not be counted as a missed inspection provided that the missed inspection and the reasons for not carrying it out are documented and recorded in the inspection database.</w:t>
      </w:r>
      <w:r w:rsidR="006929ED">
        <w:rPr>
          <w:noProof/>
        </w:rPr>
        <w:t>’</w:t>
      </w:r>
    </w:p>
    <w:p w14:paraId="0F8DC569" w14:textId="177E339D" w:rsidR="00AE3DED" w:rsidRDefault="00FE14A2" w:rsidP="00FE14A2">
      <w:pPr>
        <w:pStyle w:val="Point0"/>
        <w:rPr>
          <w:noProof/>
        </w:rPr>
      </w:pPr>
      <w:r w:rsidRPr="00FE14A2">
        <w:t>(8)</w:t>
      </w:r>
      <w:r w:rsidRPr="00FE14A2">
        <w:tab/>
      </w:r>
      <w:r w:rsidR="00AE3DED">
        <w:rPr>
          <w:noProof/>
        </w:rPr>
        <w:t>Article 9 is deleted</w:t>
      </w:r>
      <w:r w:rsidR="000466C9">
        <w:rPr>
          <w:noProof/>
        </w:rPr>
        <w:t>;</w:t>
      </w:r>
    </w:p>
    <w:p w14:paraId="4CDAFDD9" w14:textId="3AD4F9C1" w:rsidR="00A57F4F" w:rsidRDefault="00FE14A2" w:rsidP="00FE14A2">
      <w:pPr>
        <w:pStyle w:val="Point0"/>
        <w:rPr>
          <w:noProof/>
        </w:rPr>
      </w:pPr>
      <w:r w:rsidRPr="00FE14A2">
        <w:t>(9)</w:t>
      </w:r>
      <w:r w:rsidRPr="00FE14A2">
        <w:tab/>
      </w:r>
      <w:r w:rsidR="00A57F4F">
        <w:rPr>
          <w:noProof/>
        </w:rPr>
        <w:t xml:space="preserve">In Article 10(2) the following is added </w:t>
      </w:r>
    </w:p>
    <w:p w14:paraId="08494A39" w14:textId="77777777" w:rsidR="00A57F4F" w:rsidRDefault="00A57F4F" w:rsidP="00415748">
      <w:pPr>
        <w:pStyle w:val="Text1"/>
        <w:rPr>
          <w:noProof/>
        </w:rPr>
      </w:pPr>
      <w:r>
        <w:rPr>
          <w:noProof/>
        </w:rPr>
        <w:t>‘(c) Environmental parameters</w:t>
      </w:r>
    </w:p>
    <w:p w14:paraId="7EB11EC1" w14:textId="77777777" w:rsidR="00A57F4F" w:rsidRDefault="00A57F4F" w:rsidP="00415748">
      <w:pPr>
        <w:pStyle w:val="Text1"/>
        <w:rPr>
          <w:noProof/>
        </w:rPr>
      </w:pPr>
      <w:r w:rsidRPr="00A57F4F">
        <w:rPr>
          <w:noProof/>
        </w:rPr>
        <w:t>Environmental parameters shall be based on the Carbon Intensity Indicator of the ship and the number of deficiencies relating to MARPOL, AFS, BWM</w:t>
      </w:r>
      <w:r w:rsidR="000466C9">
        <w:rPr>
          <w:noProof/>
        </w:rPr>
        <w:t xml:space="preserve"> </w:t>
      </w:r>
      <w:r w:rsidRPr="00A57F4F">
        <w:rPr>
          <w:noProof/>
        </w:rPr>
        <w:t>C</w:t>
      </w:r>
      <w:r w:rsidR="000466C9">
        <w:rPr>
          <w:noProof/>
        </w:rPr>
        <w:t>onvention</w:t>
      </w:r>
      <w:r w:rsidRPr="00A57F4F">
        <w:rPr>
          <w:noProof/>
        </w:rPr>
        <w:t>, CLC 92, Bunkers Convention and Nairobi</w:t>
      </w:r>
      <w:r w:rsidR="000466C9">
        <w:rPr>
          <w:noProof/>
        </w:rPr>
        <w:t xml:space="preserve"> Conventions</w:t>
      </w:r>
      <w:r w:rsidRPr="00A57F4F">
        <w:rPr>
          <w:noProof/>
        </w:rPr>
        <w:t xml:space="preserve"> in accordance with Annex I, Part I.3 and Annex II.</w:t>
      </w:r>
      <w:r>
        <w:rPr>
          <w:noProof/>
        </w:rPr>
        <w:t>’</w:t>
      </w:r>
    </w:p>
    <w:p w14:paraId="6BF5DF33" w14:textId="1B8AE737" w:rsidR="00AE3DED" w:rsidRDefault="00FE14A2" w:rsidP="00FE14A2">
      <w:pPr>
        <w:pStyle w:val="Point0"/>
        <w:rPr>
          <w:noProof/>
        </w:rPr>
      </w:pPr>
      <w:r w:rsidRPr="00FE14A2">
        <w:t>(10)</w:t>
      </w:r>
      <w:r w:rsidRPr="00FE14A2">
        <w:tab/>
      </w:r>
      <w:r w:rsidR="0074344A">
        <w:rPr>
          <w:noProof/>
        </w:rPr>
        <w:t xml:space="preserve">In </w:t>
      </w:r>
      <w:r w:rsidR="00AE3DED">
        <w:rPr>
          <w:noProof/>
        </w:rPr>
        <w:t>Article 14</w:t>
      </w:r>
      <w:r w:rsidR="00913537">
        <w:rPr>
          <w:noProof/>
        </w:rPr>
        <w:t>, paragraph 4 is replaced by the following:</w:t>
      </w:r>
    </w:p>
    <w:p w14:paraId="5280A8ED" w14:textId="77777777" w:rsidR="000D6544" w:rsidRDefault="00715814" w:rsidP="000466C9">
      <w:pPr>
        <w:pStyle w:val="Point1"/>
        <w:ind w:left="850" w:firstLine="0"/>
        <w:rPr>
          <w:noProof/>
        </w:rPr>
      </w:pPr>
      <w:r>
        <w:rPr>
          <w:noProof/>
        </w:rPr>
        <w:t>‘4.</w:t>
      </w:r>
      <w:r>
        <w:rPr>
          <w:noProof/>
        </w:rPr>
        <w:tab/>
      </w:r>
      <w:r w:rsidR="00AE3DED">
        <w:rPr>
          <w:noProof/>
        </w:rPr>
        <w:t>An expanded inspection shall be carried out by no less than two port State control officers</w:t>
      </w:r>
      <w:r w:rsidR="005721DB">
        <w:rPr>
          <w:noProof/>
        </w:rPr>
        <w:t>.</w:t>
      </w:r>
      <w:r w:rsidR="00913537">
        <w:rPr>
          <w:noProof/>
        </w:rPr>
        <w:t xml:space="preserve"> </w:t>
      </w:r>
      <w:r w:rsidR="00913537" w:rsidRPr="00913537">
        <w:rPr>
          <w:noProof/>
        </w:rPr>
        <w:t xml:space="preserve">The scope of an expanded inspection, including the risk areas to be covered, is set out in Annex VII. The Commission </w:t>
      </w:r>
      <w:r w:rsidR="00325285">
        <w:rPr>
          <w:noProof/>
        </w:rPr>
        <w:t>shall</w:t>
      </w:r>
      <w:r w:rsidR="00913537" w:rsidRPr="00913537">
        <w:rPr>
          <w:noProof/>
        </w:rPr>
        <w:t xml:space="preserve"> adopt </w:t>
      </w:r>
      <w:r w:rsidR="000466C9">
        <w:rPr>
          <w:noProof/>
        </w:rPr>
        <w:t>by means of implementing acts deta</w:t>
      </w:r>
      <w:r w:rsidR="00913537" w:rsidRPr="00913537">
        <w:rPr>
          <w:noProof/>
        </w:rPr>
        <w:t>iled measures to ensure uniform conditions for the application of Annex VII. Those implementing acts shall be adopted in accordance with the examination procedure referred to in Article 31(</w:t>
      </w:r>
      <w:r w:rsidR="00913537">
        <w:rPr>
          <w:noProof/>
        </w:rPr>
        <w:t>2</w:t>
      </w:r>
      <w:r w:rsidR="00913537" w:rsidRPr="00913537">
        <w:rPr>
          <w:noProof/>
        </w:rPr>
        <w:t>).</w:t>
      </w:r>
      <w:r w:rsidR="006929ED">
        <w:rPr>
          <w:noProof/>
        </w:rPr>
        <w:t>’</w:t>
      </w:r>
      <w:r w:rsidR="000466C9">
        <w:rPr>
          <w:noProof/>
        </w:rPr>
        <w:t>;</w:t>
      </w:r>
    </w:p>
    <w:p w14:paraId="2CDD809D" w14:textId="059761AD" w:rsidR="0054297B" w:rsidRDefault="00FE14A2" w:rsidP="00FE14A2">
      <w:pPr>
        <w:pStyle w:val="Point0"/>
        <w:rPr>
          <w:noProof/>
        </w:rPr>
      </w:pPr>
      <w:r w:rsidRPr="00FE14A2">
        <w:t>(11)</w:t>
      </w:r>
      <w:r w:rsidRPr="00FE14A2">
        <w:tab/>
      </w:r>
      <w:r w:rsidR="0054297B">
        <w:rPr>
          <w:noProof/>
        </w:rPr>
        <w:t>In Article 14a, paragraph 4 is replaced by the following:</w:t>
      </w:r>
    </w:p>
    <w:p w14:paraId="489BCBD2" w14:textId="77777777" w:rsidR="0054297B" w:rsidRDefault="006929ED" w:rsidP="006929ED">
      <w:pPr>
        <w:pStyle w:val="Point1"/>
        <w:ind w:left="850" w:firstLine="0"/>
        <w:rPr>
          <w:noProof/>
        </w:rPr>
      </w:pPr>
      <w:r>
        <w:rPr>
          <w:noProof/>
        </w:rPr>
        <w:t>‘</w:t>
      </w:r>
      <w:r w:rsidR="0054297B" w:rsidRPr="0054297B">
        <w:rPr>
          <w:noProof/>
        </w:rPr>
        <w:t>4.</w:t>
      </w:r>
      <w:r w:rsidR="0054297B" w:rsidRPr="0054297B">
        <w:rPr>
          <w:noProof/>
        </w:rPr>
        <w:tab/>
        <w:t>Article 11</w:t>
      </w:r>
      <w:r w:rsidR="000466C9">
        <w:rPr>
          <w:noProof/>
        </w:rPr>
        <w:t xml:space="preserve"> point </w:t>
      </w:r>
      <w:r w:rsidR="0054297B" w:rsidRPr="0054297B">
        <w:rPr>
          <w:noProof/>
        </w:rPr>
        <w:t>(a) and Article 14 shall not apply to ro-ro passenger ships and high-speed passenger craft on a regular service inspected under this Article.</w:t>
      </w:r>
      <w:r>
        <w:rPr>
          <w:noProof/>
        </w:rPr>
        <w:t>’</w:t>
      </w:r>
    </w:p>
    <w:p w14:paraId="1BE70764" w14:textId="765DBFE3" w:rsidR="00035B4F" w:rsidRDefault="00FE14A2" w:rsidP="00FE14A2">
      <w:pPr>
        <w:pStyle w:val="Point0"/>
        <w:rPr>
          <w:noProof/>
        </w:rPr>
      </w:pPr>
      <w:r w:rsidRPr="00FE14A2">
        <w:t>(12)</w:t>
      </w:r>
      <w:r w:rsidRPr="00FE14A2">
        <w:tab/>
      </w:r>
      <w:r w:rsidR="00035B4F">
        <w:rPr>
          <w:noProof/>
        </w:rPr>
        <w:t>Article 16 is amended as follows:</w:t>
      </w:r>
    </w:p>
    <w:p w14:paraId="0913417A" w14:textId="7C08BD94" w:rsidR="00AE3DED" w:rsidRDefault="00FE14A2" w:rsidP="00FE14A2">
      <w:pPr>
        <w:pStyle w:val="Point1"/>
        <w:rPr>
          <w:noProof/>
        </w:rPr>
      </w:pPr>
      <w:r w:rsidRPr="00FE14A2">
        <w:t>(a)</w:t>
      </w:r>
      <w:r w:rsidRPr="00FE14A2">
        <w:tab/>
      </w:r>
      <w:r w:rsidR="00035B4F">
        <w:rPr>
          <w:noProof/>
        </w:rPr>
        <w:tab/>
      </w:r>
      <w:r w:rsidR="00AE3DED">
        <w:rPr>
          <w:noProof/>
        </w:rPr>
        <w:t>P</w:t>
      </w:r>
      <w:r w:rsidR="00E21FFE">
        <w:rPr>
          <w:noProof/>
        </w:rPr>
        <w:t>aragraph</w:t>
      </w:r>
      <w:r w:rsidR="00AE3DED">
        <w:rPr>
          <w:noProof/>
        </w:rPr>
        <w:t xml:space="preserve"> 1 is replaced by the following</w:t>
      </w:r>
      <w:r w:rsidR="00035B4F">
        <w:rPr>
          <w:noProof/>
        </w:rPr>
        <w:t>:</w:t>
      </w:r>
    </w:p>
    <w:p w14:paraId="42C396FF" w14:textId="77777777" w:rsidR="00AE3DED" w:rsidRDefault="00715814" w:rsidP="006929ED">
      <w:pPr>
        <w:pStyle w:val="Point2"/>
        <w:ind w:left="1417" w:firstLine="0"/>
        <w:rPr>
          <w:noProof/>
        </w:rPr>
      </w:pPr>
      <w:r>
        <w:rPr>
          <w:noProof/>
        </w:rPr>
        <w:t>‘1.</w:t>
      </w:r>
      <w:r>
        <w:rPr>
          <w:noProof/>
        </w:rPr>
        <w:tab/>
      </w:r>
      <w:r w:rsidR="00AE3DED">
        <w:rPr>
          <w:noProof/>
        </w:rPr>
        <w:t xml:space="preserve">A Member State shall refuse access to its ports and anchorages to any ship which: </w:t>
      </w:r>
    </w:p>
    <w:p w14:paraId="64849EE2" w14:textId="77777777" w:rsidR="00AE3DED" w:rsidRDefault="00AE3DED" w:rsidP="0002208E">
      <w:pPr>
        <w:pStyle w:val="Tiret2"/>
        <w:numPr>
          <w:ilvl w:val="0"/>
          <w:numId w:val="12"/>
        </w:numPr>
        <w:rPr>
          <w:noProof/>
        </w:rPr>
      </w:pPr>
      <w:r>
        <w:rPr>
          <w:noProof/>
        </w:rPr>
        <w:t>flies the flag of a State wh</w:t>
      </w:r>
      <w:r w:rsidR="0073214D">
        <w:rPr>
          <w:noProof/>
        </w:rPr>
        <w:t xml:space="preserve">ich </w:t>
      </w:r>
      <w:r>
        <w:rPr>
          <w:noProof/>
        </w:rPr>
        <w:t xml:space="preserve">falls into the </w:t>
      </w:r>
      <w:r w:rsidR="00896858">
        <w:rPr>
          <w:noProof/>
        </w:rPr>
        <w:t>low performance</w:t>
      </w:r>
      <w:r>
        <w:rPr>
          <w:noProof/>
        </w:rPr>
        <w:t xml:space="preserve"> list, adopted in accordance with the Paris MOU on the basis of information recorded in the inspection database and published annually by the Commission, and has been detained more than twice in the course of the preceding 36 months in a port or anchorage of a Member State or of a State signatory of the Paris MOU, or </w:t>
      </w:r>
    </w:p>
    <w:p w14:paraId="4ED033AB" w14:textId="77777777" w:rsidR="00AE3DED" w:rsidRDefault="00AE3DED" w:rsidP="00B42332">
      <w:pPr>
        <w:pStyle w:val="Tiret2"/>
        <w:rPr>
          <w:noProof/>
        </w:rPr>
      </w:pPr>
      <w:r>
        <w:rPr>
          <w:noProof/>
        </w:rPr>
        <w:t>flies the flag of a State wh</w:t>
      </w:r>
      <w:r w:rsidR="0073214D">
        <w:rPr>
          <w:noProof/>
        </w:rPr>
        <w:t xml:space="preserve">ich </w:t>
      </w:r>
      <w:r>
        <w:rPr>
          <w:noProof/>
        </w:rPr>
        <w:t xml:space="preserve">falls into the </w:t>
      </w:r>
      <w:r w:rsidR="00896858">
        <w:rPr>
          <w:noProof/>
        </w:rPr>
        <w:t>high or medium performance</w:t>
      </w:r>
      <w:r>
        <w:rPr>
          <w:noProof/>
        </w:rPr>
        <w:t xml:space="preserve"> list, adopted in accordance with the Paris MOU on the basis of information recorded in the inspection database and published annually by the Commission, and has been detained more than twice in the course of the preceding 24 months in a port or anchorage of a Member State or of a State signatory of the Paris MOU. </w:t>
      </w:r>
    </w:p>
    <w:p w14:paraId="245B12B8" w14:textId="77777777" w:rsidR="00AE3DED" w:rsidRDefault="00AE3DED" w:rsidP="0002571D">
      <w:pPr>
        <w:pStyle w:val="Point2"/>
        <w:ind w:left="1417" w:firstLine="0"/>
        <w:rPr>
          <w:noProof/>
        </w:rPr>
      </w:pPr>
      <w:r>
        <w:rPr>
          <w:noProof/>
        </w:rPr>
        <w:t xml:space="preserve">The first subparagraph </w:t>
      </w:r>
      <w:r w:rsidR="0002571D">
        <w:rPr>
          <w:noProof/>
        </w:rPr>
        <w:t xml:space="preserve">of this Article </w:t>
      </w:r>
      <w:r>
        <w:rPr>
          <w:noProof/>
        </w:rPr>
        <w:t xml:space="preserve">shall not apply to the situations </w:t>
      </w:r>
      <w:r w:rsidR="0002571D">
        <w:rPr>
          <w:noProof/>
        </w:rPr>
        <w:t>referred to</w:t>
      </w:r>
      <w:r>
        <w:rPr>
          <w:noProof/>
        </w:rPr>
        <w:t xml:space="preserve"> in Article 21(6). </w:t>
      </w:r>
    </w:p>
    <w:p w14:paraId="54E9F063" w14:textId="77777777" w:rsidR="00AE3DED" w:rsidRDefault="00AE3DED" w:rsidP="006929ED">
      <w:pPr>
        <w:pStyle w:val="Point2"/>
        <w:ind w:left="1417" w:firstLine="0"/>
        <w:rPr>
          <w:noProof/>
        </w:rPr>
      </w:pPr>
      <w:r>
        <w:rPr>
          <w:noProof/>
        </w:rPr>
        <w:t>The refusal of access shall be applicable as soon as the ship leaves the port or anchorage where it has been the subject of a third detention and where a refusal o</w:t>
      </w:r>
      <w:r w:rsidR="006929ED">
        <w:rPr>
          <w:noProof/>
        </w:rPr>
        <w:t>f access order has been issued.’</w:t>
      </w:r>
      <w:r w:rsidR="0002571D">
        <w:rPr>
          <w:noProof/>
        </w:rPr>
        <w:t>;</w:t>
      </w:r>
    </w:p>
    <w:p w14:paraId="2DB7F41C" w14:textId="6CBBCF33" w:rsidR="00035B4F" w:rsidRDefault="00FE14A2" w:rsidP="00FE14A2">
      <w:pPr>
        <w:pStyle w:val="Point1"/>
        <w:rPr>
          <w:noProof/>
        </w:rPr>
      </w:pPr>
      <w:r w:rsidRPr="00FE14A2">
        <w:t>(b)</w:t>
      </w:r>
      <w:r w:rsidRPr="00FE14A2">
        <w:tab/>
      </w:r>
      <w:r w:rsidR="006A577E">
        <w:rPr>
          <w:noProof/>
        </w:rPr>
        <w:t xml:space="preserve">Paragraph 3 </w:t>
      </w:r>
      <w:r w:rsidR="00FB6553">
        <w:rPr>
          <w:noProof/>
        </w:rPr>
        <w:t>is</w:t>
      </w:r>
      <w:r w:rsidR="006A577E">
        <w:rPr>
          <w:noProof/>
        </w:rPr>
        <w:t xml:space="preserve"> </w:t>
      </w:r>
      <w:r w:rsidR="00035B4F">
        <w:rPr>
          <w:noProof/>
        </w:rPr>
        <w:t>replaced by the following:</w:t>
      </w:r>
    </w:p>
    <w:p w14:paraId="051CB077" w14:textId="77777777" w:rsidR="006A577E" w:rsidRPr="006A577E" w:rsidRDefault="00715814" w:rsidP="0002571D">
      <w:pPr>
        <w:pStyle w:val="Point2"/>
        <w:ind w:left="1417" w:firstLine="0"/>
        <w:rPr>
          <w:noProof/>
          <w:lang w:val="en-US"/>
        </w:rPr>
      </w:pPr>
      <w:r>
        <w:rPr>
          <w:noProof/>
        </w:rPr>
        <w:t>‘3.</w:t>
      </w:r>
      <w:r>
        <w:rPr>
          <w:noProof/>
        </w:rPr>
        <w:tab/>
      </w:r>
      <w:r w:rsidR="006A577E" w:rsidRPr="006A577E">
        <w:rPr>
          <w:noProof/>
          <w:lang w:val="en-US"/>
        </w:rPr>
        <w:t xml:space="preserve">Any subsequent detention in a port or anchorage within the </w:t>
      </w:r>
      <w:r w:rsidR="0002571D">
        <w:rPr>
          <w:noProof/>
          <w:lang w:val="en-US"/>
        </w:rPr>
        <w:t>Union</w:t>
      </w:r>
      <w:r w:rsidR="006A577E" w:rsidRPr="006A577E">
        <w:rPr>
          <w:noProof/>
          <w:lang w:val="en-US"/>
        </w:rPr>
        <w:t xml:space="preserve"> shall result in the ship being refused access to any port and anchorage within the </w:t>
      </w:r>
      <w:r w:rsidR="0002571D">
        <w:rPr>
          <w:noProof/>
          <w:lang w:val="en-US"/>
        </w:rPr>
        <w:t>Union</w:t>
      </w:r>
      <w:r w:rsidR="006A577E" w:rsidRPr="006A577E">
        <w:rPr>
          <w:noProof/>
          <w:lang w:val="en-US"/>
        </w:rPr>
        <w:t>. This third refusal of access order may be lifted after a period of 24 months has passed from the issue of the order and only if:</w:t>
      </w:r>
    </w:p>
    <w:p w14:paraId="38AA73FD" w14:textId="77777777" w:rsidR="006A577E" w:rsidRPr="006929ED" w:rsidRDefault="0002571D" w:rsidP="00B42332">
      <w:pPr>
        <w:pStyle w:val="Tiret2"/>
        <w:rPr>
          <w:noProof/>
          <w:lang w:val="en-US"/>
        </w:rPr>
      </w:pPr>
      <w:r>
        <w:rPr>
          <w:noProof/>
          <w:lang w:val="en-US"/>
        </w:rPr>
        <w:t xml:space="preserve">(a) </w:t>
      </w:r>
      <w:r w:rsidR="006A577E" w:rsidRPr="006929ED">
        <w:rPr>
          <w:noProof/>
          <w:lang w:val="en-US"/>
        </w:rPr>
        <w:t>the statutory and classification certificates of the ship are issued by an organisation or organisations recognised under Regulation (EC) No 391/2009 of the European Parliament and of the Council</w:t>
      </w:r>
      <w:r w:rsidR="00363592">
        <w:rPr>
          <w:rStyle w:val="FootnoteReference"/>
          <w:noProof/>
          <w:lang w:val="en-US"/>
        </w:rPr>
        <w:footnoteReference w:id="29"/>
      </w:r>
    </w:p>
    <w:p w14:paraId="7E307192" w14:textId="77777777" w:rsidR="006A577E" w:rsidRPr="006929ED" w:rsidRDefault="0002571D" w:rsidP="00B42332">
      <w:pPr>
        <w:pStyle w:val="Tiret2"/>
        <w:rPr>
          <w:noProof/>
          <w:lang w:val="en-US"/>
        </w:rPr>
      </w:pPr>
      <w:r>
        <w:rPr>
          <w:noProof/>
          <w:lang w:val="en-US"/>
        </w:rPr>
        <w:t xml:space="preserve">(b) </w:t>
      </w:r>
      <w:r w:rsidR="006A577E" w:rsidRPr="006929ED">
        <w:rPr>
          <w:noProof/>
          <w:lang w:val="en-US"/>
        </w:rPr>
        <w:t>the ship is managed by a company with a high performance according to Annex I, Part I.1, and</w:t>
      </w:r>
    </w:p>
    <w:p w14:paraId="2381E4E1" w14:textId="77777777" w:rsidR="006A577E" w:rsidRPr="006929ED" w:rsidRDefault="006A577E" w:rsidP="00B42332">
      <w:pPr>
        <w:pStyle w:val="Tiret2"/>
        <w:rPr>
          <w:noProof/>
          <w:lang w:val="en-US"/>
        </w:rPr>
      </w:pPr>
      <w:r w:rsidRPr="006929ED">
        <w:rPr>
          <w:noProof/>
          <w:lang w:val="en-US"/>
        </w:rPr>
        <w:t xml:space="preserve">the conditions </w:t>
      </w:r>
      <w:r w:rsidR="0002571D">
        <w:rPr>
          <w:noProof/>
          <w:lang w:val="en-US"/>
        </w:rPr>
        <w:t xml:space="preserve">listed </w:t>
      </w:r>
      <w:r w:rsidRPr="006929ED">
        <w:rPr>
          <w:noProof/>
          <w:lang w:val="en-US"/>
        </w:rPr>
        <w:t>in paragraphs 3 to 9 of Annex VIII are met.</w:t>
      </w:r>
    </w:p>
    <w:p w14:paraId="49364283" w14:textId="77777777" w:rsidR="00363592" w:rsidRPr="00363592" w:rsidRDefault="006A577E" w:rsidP="00A73A98">
      <w:pPr>
        <w:pStyle w:val="Point2"/>
        <w:ind w:left="1417" w:firstLine="0"/>
        <w:rPr>
          <w:noProof/>
          <w:lang w:val="en-US"/>
        </w:rPr>
      </w:pPr>
      <w:r w:rsidRPr="006A577E">
        <w:rPr>
          <w:noProof/>
          <w:lang w:val="en-US"/>
        </w:rPr>
        <w:t xml:space="preserve">Any ship not meeting the criteria specified in this paragraph, after a period of 24 months has passed from the issue of the order, shall be permanently refused access to any port and anchorage within the </w:t>
      </w:r>
      <w:r w:rsidR="0002571D">
        <w:rPr>
          <w:noProof/>
          <w:lang w:val="en-US"/>
        </w:rPr>
        <w:t>Union</w:t>
      </w:r>
      <w:r w:rsidRPr="006A577E">
        <w:rPr>
          <w:noProof/>
          <w:lang w:val="en-US"/>
        </w:rPr>
        <w:t>.</w:t>
      </w:r>
      <w:r w:rsidR="006929ED">
        <w:rPr>
          <w:noProof/>
          <w:lang w:val="en-US"/>
        </w:rPr>
        <w:t>’</w:t>
      </w:r>
    </w:p>
    <w:p w14:paraId="41A26CF6" w14:textId="0CAD3AF7" w:rsidR="00FB6553" w:rsidRPr="006A577E" w:rsidRDefault="00FE14A2" w:rsidP="00FE14A2">
      <w:pPr>
        <w:pStyle w:val="Point1"/>
        <w:rPr>
          <w:noProof/>
          <w:lang w:val="en-US"/>
        </w:rPr>
      </w:pPr>
      <w:r w:rsidRPr="00FE14A2">
        <w:t>(c)</w:t>
      </w:r>
      <w:r w:rsidRPr="00FE14A2">
        <w:tab/>
      </w:r>
      <w:r w:rsidR="0002571D">
        <w:rPr>
          <w:noProof/>
          <w:lang w:val="en-US"/>
        </w:rPr>
        <w:t>p</w:t>
      </w:r>
      <w:r w:rsidR="00FB6553">
        <w:rPr>
          <w:noProof/>
          <w:lang w:val="en-US"/>
        </w:rPr>
        <w:t>aragraph 4 is replaced by the following:</w:t>
      </w:r>
    </w:p>
    <w:p w14:paraId="0F3AFD40" w14:textId="77777777" w:rsidR="00035B4F" w:rsidRDefault="00F5023A" w:rsidP="0002571D">
      <w:pPr>
        <w:pStyle w:val="Point2"/>
        <w:ind w:left="1417" w:firstLine="0"/>
        <w:rPr>
          <w:noProof/>
        </w:rPr>
      </w:pPr>
      <w:r>
        <w:rPr>
          <w:noProof/>
        </w:rPr>
        <w:t>‘4.</w:t>
      </w:r>
      <w:r>
        <w:rPr>
          <w:noProof/>
        </w:rPr>
        <w:tab/>
      </w:r>
      <w:r w:rsidR="00035B4F" w:rsidRPr="00035B4F">
        <w:rPr>
          <w:noProof/>
        </w:rPr>
        <w:t xml:space="preserve">Any subsequent detention of a vessel flying the flag of a State listed in the </w:t>
      </w:r>
      <w:r w:rsidR="00896858">
        <w:rPr>
          <w:noProof/>
        </w:rPr>
        <w:t>medium or low performance</w:t>
      </w:r>
      <w:r w:rsidR="00035B4F" w:rsidRPr="00035B4F">
        <w:rPr>
          <w:noProof/>
        </w:rPr>
        <w:t xml:space="preserve"> list, as published in the annual report of the Paris M</w:t>
      </w:r>
      <w:r w:rsidR="00FB0E37">
        <w:rPr>
          <w:noProof/>
        </w:rPr>
        <w:t>O</w:t>
      </w:r>
      <w:r w:rsidR="00035B4F" w:rsidRPr="00035B4F">
        <w:rPr>
          <w:noProof/>
        </w:rPr>
        <w:t xml:space="preserve">U, in a port or anchorage within the </w:t>
      </w:r>
      <w:r w:rsidR="0002571D">
        <w:rPr>
          <w:noProof/>
        </w:rPr>
        <w:t>Union</w:t>
      </w:r>
      <w:r w:rsidR="00035B4F" w:rsidRPr="00035B4F">
        <w:rPr>
          <w:noProof/>
        </w:rPr>
        <w:t xml:space="preserve"> after the third refusal of access shall result in the ship being permanently refused access to any port and anchorage within the </w:t>
      </w:r>
      <w:r w:rsidR="0002571D">
        <w:rPr>
          <w:noProof/>
        </w:rPr>
        <w:t>Union</w:t>
      </w:r>
      <w:r w:rsidR="00FB6553">
        <w:rPr>
          <w:noProof/>
        </w:rPr>
        <w:t>.</w:t>
      </w:r>
      <w:r w:rsidR="006929ED">
        <w:rPr>
          <w:noProof/>
        </w:rPr>
        <w:t>’</w:t>
      </w:r>
    </w:p>
    <w:p w14:paraId="65123898" w14:textId="6E60A52A" w:rsidR="008A720F" w:rsidRDefault="00FE14A2" w:rsidP="00FE14A2">
      <w:pPr>
        <w:pStyle w:val="Point1"/>
        <w:rPr>
          <w:noProof/>
        </w:rPr>
      </w:pPr>
      <w:r w:rsidRPr="00FE14A2">
        <w:t>(d)</w:t>
      </w:r>
      <w:r w:rsidRPr="00FE14A2">
        <w:tab/>
      </w:r>
      <w:r w:rsidR="0073214D">
        <w:rPr>
          <w:noProof/>
        </w:rPr>
        <w:t>The following p</w:t>
      </w:r>
      <w:r w:rsidR="008A720F">
        <w:rPr>
          <w:noProof/>
        </w:rPr>
        <w:t xml:space="preserve">aragraph 4a is </w:t>
      </w:r>
      <w:r w:rsidR="0002571D">
        <w:rPr>
          <w:noProof/>
        </w:rPr>
        <w:t>inserted</w:t>
      </w:r>
      <w:r w:rsidR="008A720F">
        <w:rPr>
          <w:noProof/>
        </w:rPr>
        <w:t>:</w:t>
      </w:r>
    </w:p>
    <w:p w14:paraId="07120FD7" w14:textId="77777777" w:rsidR="00035B4F" w:rsidRPr="00AC1300" w:rsidRDefault="00F5023A" w:rsidP="00997A66">
      <w:pPr>
        <w:pStyle w:val="Point2"/>
        <w:ind w:left="1417" w:firstLine="0"/>
        <w:rPr>
          <w:noProof/>
        </w:rPr>
      </w:pPr>
      <w:r>
        <w:rPr>
          <w:noProof/>
        </w:rPr>
        <w:t>‘4a.</w:t>
      </w:r>
      <w:r>
        <w:rPr>
          <w:noProof/>
        </w:rPr>
        <w:tab/>
      </w:r>
      <w:r w:rsidR="00035B4F">
        <w:rPr>
          <w:noProof/>
        </w:rPr>
        <w:t xml:space="preserve">If a ship flying the flag of a State listed in the </w:t>
      </w:r>
      <w:r w:rsidR="00896858">
        <w:rPr>
          <w:noProof/>
        </w:rPr>
        <w:t>high performance</w:t>
      </w:r>
      <w:r w:rsidR="00035B4F">
        <w:rPr>
          <w:noProof/>
        </w:rPr>
        <w:t xml:space="preserve"> list is detained in a port or anchorage after the third or any subsequent refusal of access and, at the time of the </w:t>
      </w:r>
      <w:r w:rsidR="00AC1300">
        <w:rPr>
          <w:noProof/>
        </w:rPr>
        <w:t>first subsequent ship/port interface in an EU port</w:t>
      </w:r>
      <w:r w:rsidR="00035B4F">
        <w:rPr>
          <w:noProof/>
        </w:rPr>
        <w:t>, the statutory and classification certificates of the ship are issued by an organisation or organisations recognised un</w:t>
      </w:r>
      <w:r w:rsidR="0002571D">
        <w:rPr>
          <w:noProof/>
        </w:rPr>
        <w:t>der Regulation (EC) No 391/2009</w:t>
      </w:r>
      <w:r w:rsidR="00997A66">
        <w:rPr>
          <w:noProof/>
        </w:rPr>
        <w:t xml:space="preserve"> </w:t>
      </w:r>
      <w:r w:rsidR="00997A66" w:rsidRPr="00997A66">
        <w:rPr>
          <w:noProof/>
        </w:rPr>
        <w:t xml:space="preserve">and evidence </w:t>
      </w:r>
      <w:r w:rsidR="00997A66">
        <w:rPr>
          <w:noProof/>
        </w:rPr>
        <w:t xml:space="preserve">is provide </w:t>
      </w:r>
      <w:r w:rsidR="00997A66" w:rsidRPr="00997A66">
        <w:rPr>
          <w:noProof/>
        </w:rPr>
        <w:t xml:space="preserve">that an on-board visit by the classification society has taken place prior to </w:t>
      </w:r>
      <w:r w:rsidR="00997A66">
        <w:rPr>
          <w:noProof/>
        </w:rPr>
        <w:t>the</w:t>
      </w:r>
      <w:r w:rsidR="00997A66" w:rsidRPr="00997A66">
        <w:rPr>
          <w:noProof/>
        </w:rPr>
        <w:t xml:space="preserve"> issu</w:t>
      </w:r>
      <w:r w:rsidR="00997A66">
        <w:rPr>
          <w:noProof/>
        </w:rPr>
        <w:t>ance</w:t>
      </w:r>
      <w:r w:rsidR="00997A66" w:rsidRPr="00997A66">
        <w:rPr>
          <w:noProof/>
        </w:rPr>
        <w:t xml:space="preserve"> of such certificates</w:t>
      </w:r>
      <w:r w:rsidR="00035B4F">
        <w:rPr>
          <w:noProof/>
        </w:rPr>
        <w:t xml:space="preserve">, the ship </w:t>
      </w:r>
      <w:r w:rsidR="0073214D">
        <w:rPr>
          <w:noProof/>
        </w:rPr>
        <w:t xml:space="preserve">shall be </w:t>
      </w:r>
      <w:r w:rsidR="00035B4F">
        <w:rPr>
          <w:noProof/>
        </w:rPr>
        <w:t xml:space="preserve">refused access to any port or anchorage </w:t>
      </w:r>
      <w:r w:rsidR="00AC1300" w:rsidRPr="00AC1300">
        <w:rPr>
          <w:noProof/>
        </w:rPr>
        <w:t>for a period of 24 months.</w:t>
      </w:r>
    </w:p>
    <w:p w14:paraId="5AF65ECE" w14:textId="77777777" w:rsidR="00AE3DED" w:rsidRDefault="00035B4F" w:rsidP="00AC1300">
      <w:pPr>
        <w:pStyle w:val="Point2"/>
        <w:ind w:left="1417" w:firstLine="0"/>
        <w:rPr>
          <w:noProof/>
        </w:rPr>
      </w:pPr>
      <w:r w:rsidRPr="00AC1300">
        <w:rPr>
          <w:noProof/>
        </w:rPr>
        <w:t xml:space="preserve">If at the time of </w:t>
      </w:r>
      <w:r w:rsidR="00AC1300" w:rsidRPr="00AC1300">
        <w:rPr>
          <w:noProof/>
        </w:rPr>
        <w:t>the first ship</w:t>
      </w:r>
      <w:r w:rsidR="00AC1300">
        <w:rPr>
          <w:noProof/>
        </w:rPr>
        <w:t>/</w:t>
      </w:r>
      <w:r w:rsidR="00AC1300" w:rsidRPr="00AC1300">
        <w:rPr>
          <w:noProof/>
        </w:rPr>
        <w:t>port interface</w:t>
      </w:r>
      <w:r w:rsidRPr="00AC1300">
        <w:rPr>
          <w:noProof/>
        </w:rPr>
        <w:t xml:space="preserve"> the </w:t>
      </w:r>
      <w:r w:rsidR="0002571D" w:rsidRPr="00AC1300">
        <w:rPr>
          <w:noProof/>
        </w:rPr>
        <w:t>s</w:t>
      </w:r>
      <w:r w:rsidRPr="00AC1300">
        <w:rPr>
          <w:noProof/>
        </w:rPr>
        <w:t xml:space="preserve">tatutory or classification certificates </w:t>
      </w:r>
      <w:r w:rsidR="0002571D" w:rsidRPr="00AC1300">
        <w:rPr>
          <w:noProof/>
        </w:rPr>
        <w:t xml:space="preserve">are not issued </w:t>
      </w:r>
      <w:r w:rsidR="00AC1300" w:rsidRPr="00AC1300">
        <w:rPr>
          <w:noProof/>
        </w:rPr>
        <w:t>by an organisation or organisations recognised under Regulation (EC) No 391/2009 t</w:t>
      </w:r>
      <w:r w:rsidRPr="00AC1300">
        <w:rPr>
          <w:noProof/>
        </w:rPr>
        <w:t>he ship shall be permanently refused access to any port and anchorage.</w:t>
      </w:r>
      <w:r w:rsidR="006929ED" w:rsidRPr="00AC1300">
        <w:rPr>
          <w:noProof/>
        </w:rPr>
        <w:t>’</w:t>
      </w:r>
    </w:p>
    <w:p w14:paraId="389FEB6A" w14:textId="79CDFC9A" w:rsidR="00035B4F" w:rsidRDefault="00FE14A2" w:rsidP="00FE14A2">
      <w:pPr>
        <w:pStyle w:val="Point0"/>
        <w:rPr>
          <w:noProof/>
        </w:rPr>
      </w:pPr>
      <w:r w:rsidRPr="00FE14A2">
        <w:t>(13)</w:t>
      </w:r>
      <w:r w:rsidRPr="00FE14A2">
        <w:tab/>
      </w:r>
      <w:r w:rsidR="006D7649">
        <w:rPr>
          <w:noProof/>
        </w:rPr>
        <w:t xml:space="preserve">In </w:t>
      </w:r>
      <w:r w:rsidR="00035B4F">
        <w:rPr>
          <w:noProof/>
        </w:rPr>
        <w:t>Article 21</w:t>
      </w:r>
      <w:r w:rsidR="00913F32">
        <w:rPr>
          <w:noProof/>
        </w:rPr>
        <w:t>,</w:t>
      </w:r>
      <w:r w:rsidR="006D7649">
        <w:rPr>
          <w:noProof/>
        </w:rPr>
        <w:t xml:space="preserve"> paragraph 4</w:t>
      </w:r>
      <w:r w:rsidR="00BB4488">
        <w:rPr>
          <w:noProof/>
        </w:rPr>
        <w:t xml:space="preserve"> </w:t>
      </w:r>
      <w:r w:rsidR="00811678">
        <w:rPr>
          <w:noProof/>
        </w:rPr>
        <w:t>is replaced by the following:</w:t>
      </w:r>
    </w:p>
    <w:p w14:paraId="6A170E88" w14:textId="77777777" w:rsidR="00811678" w:rsidRDefault="006929ED" w:rsidP="00AC1300">
      <w:pPr>
        <w:pStyle w:val="Point1"/>
        <w:ind w:left="850" w:firstLine="0"/>
        <w:rPr>
          <w:noProof/>
        </w:rPr>
      </w:pPr>
      <w:r>
        <w:rPr>
          <w:noProof/>
        </w:rPr>
        <w:t>‘</w:t>
      </w:r>
      <w:r w:rsidR="00811678">
        <w:rPr>
          <w:noProof/>
        </w:rPr>
        <w:t>4.</w:t>
      </w:r>
      <w:r w:rsidR="00811678">
        <w:rPr>
          <w:noProof/>
        </w:rPr>
        <w:tab/>
        <w:t xml:space="preserve">Member States shall take measures to ensure that access to any port or anchorage within the </w:t>
      </w:r>
      <w:r w:rsidR="00AC1300">
        <w:rPr>
          <w:noProof/>
        </w:rPr>
        <w:t>Union</w:t>
      </w:r>
      <w:r w:rsidR="00811678">
        <w:rPr>
          <w:noProof/>
        </w:rPr>
        <w:t xml:space="preserve"> is refused to ships referred to in paragraph 1 which proceed to sea: </w:t>
      </w:r>
    </w:p>
    <w:p w14:paraId="11956D1F" w14:textId="30F31DE1" w:rsidR="00811678" w:rsidRDefault="00FE14A2" w:rsidP="00FE14A2">
      <w:pPr>
        <w:pStyle w:val="Point1"/>
        <w:rPr>
          <w:noProof/>
        </w:rPr>
      </w:pPr>
      <w:r w:rsidRPr="00FE14A2">
        <w:t>(a)</w:t>
      </w:r>
      <w:r w:rsidRPr="00FE14A2">
        <w:tab/>
      </w:r>
      <w:r w:rsidR="00811678">
        <w:rPr>
          <w:noProof/>
        </w:rPr>
        <w:t xml:space="preserve">without complying with the conditions determined by the competent authority of any Member State in the port of inspection; or </w:t>
      </w:r>
    </w:p>
    <w:p w14:paraId="2C87FF73" w14:textId="5038DFEB" w:rsidR="00811678" w:rsidRDefault="00FE14A2" w:rsidP="00FE14A2">
      <w:pPr>
        <w:pStyle w:val="Point1"/>
        <w:rPr>
          <w:noProof/>
        </w:rPr>
      </w:pPr>
      <w:r w:rsidRPr="00FE14A2">
        <w:t>(b)</w:t>
      </w:r>
      <w:r w:rsidRPr="00FE14A2">
        <w:tab/>
      </w:r>
      <w:r w:rsidR="00811678">
        <w:rPr>
          <w:noProof/>
        </w:rPr>
        <w:t xml:space="preserve">which </w:t>
      </w:r>
      <w:r w:rsidR="007D2920">
        <w:rPr>
          <w:noProof/>
        </w:rPr>
        <w:t>do not</w:t>
      </w:r>
      <w:r w:rsidR="00811678">
        <w:rPr>
          <w:noProof/>
        </w:rPr>
        <w:t xml:space="preserve"> comply with the applicable requirements of the Conventions by not calling into the indicated repair yard. </w:t>
      </w:r>
    </w:p>
    <w:p w14:paraId="785FB9AA" w14:textId="77777777" w:rsidR="00811678" w:rsidRDefault="00811678" w:rsidP="0073214D">
      <w:pPr>
        <w:pStyle w:val="Point1"/>
        <w:ind w:left="850" w:firstLine="0"/>
        <w:rPr>
          <w:noProof/>
        </w:rPr>
      </w:pPr>
      <w:r>
        <w:rPr>
          <w:noProof/>
        </w:rPr>
        <w:t xml:space="preserve">The refusal of access order shall be lifted after a period of 12 months has passed. The refusal of access order </w:t>
      </w:r>
      <w:r w:rsidR="0073214D">
        <w:rPr>
          <w:noProof/>
        </w:rPr>
        <w:t>shall</w:t>
      </w:r>
      <w:r>
        <w:rPr>
          <w:noProof/>
        </w:rPr>
        <w:t xml:space="preserve"> become applicable from the date of </w:t>
      </w:r>
      <w:r w:rsidR="00D63741">
        <w:rPr>
          <w:noProof/>
        </w:rPr>
        <w:t xml:space="preserve">its </w:t>
      </w:r>
      <w:r>
        <w:rPr>
          <w:noProof/>
        </w:rPr>
        <w:t>issuing</w:t>
      </w:r>
      <w:r w:rsidR="00647354">
        <w:rPr>
          <w:noProof/>
        </w:rPr>
        <w:t>.</w:t>
      </w:r>
    </w:p>
    <w:p w14:paraId="0B629543" w14:textId="77777777" w:rsidR="00811678" w:rsidRDefault="00811678" w:rsidP="0096060D">
      <w:pPr>
        <w:pStyle w:val="Point1"/>
        <w:ind w:left="850" w:firstLine="0"/>
        <w:rPr>
          <w:noProof/>
        </w:rPr>
      </w:pPr>
      <w:r>
        <w:rPr>
          <w:noProof/>
        </w:rPr>
        <w:t>Such refusal shall be maintained until the owner or operator provides evidence to the satisfaction of the competent authority of the Member State where the ship was found defective, demonstrating that the ship fully complies with all applicable requirements of the Conventions.</w:t>
      </w:r>
      <w:r w:rsidR="006929ED">
        <w:rPr>
          <w:noProof/>
        </w:rPr>
        <w:t>’</w:t>
      </w:r>
    </w:p>
    <w:p w14:paraId="6004F165" w14:textId="68F31350" w:rsidR="00C50FF1" w:rsidRDefault="00FE14A2" w:rsidP="00FE14A2">
      <w:pPr>
        <w:pStyle w:val="Point0"/>
        <w:rPr>
          <w:noProof/>
        </w:rPr>
      </w:pPr>
      <w:r w:rsidRPr="00FE14A2">
        <w:t>(14)</w:t>
      </w:r>
      <w:r w:rsidRPr="00FE14A2">
        <w:tab/>
      </w:r>
      <w:r w:rsidR="00913F32">
        <w:rPr>
          <w:noProof/>
        </w:rPr>
        <w:t xml:space="preserve">In </w:t>
      </w:r>
      <w:r w:rsidR="00C50FF1">
        <w:rPr>
          <w:noProof/>
        </w:rPr>
        <w:t>Article 22</w:t>
      </w:r>
      <w:r w:rsidR="00913F32">
        <w:rPr>
          <w:noProof/>
        </w:rPr>
        <w:t xml:space="preserve">, paragraph 7 </w:t>
      </w:r>
      <w:r w:rsidR="00F26E8D">
        <w:rPr>
          <w:noProof/>
        </w:rPr>
        <w:t>is replaced by the following:</w:t>
      </w:r>
      <w:r w:rsidR="00C50FF1">
        <w:rPr>
          <w:noProof/>
        </w:rPr>
        <w:t xml:space="preserve"> </w:t>
      </w:r>
    </w:p>
    <w:p w14:paraId="38ADA987" w14:textId="77777777" w:rsidR="00F26E8D" w:rsidRDefault="00F5023A" w:rsidP="00997A66">
      <w:pPr>
        <w:pStyle w:val="Point1"/>
        <w:ind w:left="850" w:firstLine="0"/>
        <w:rPr>
          <w:noProof/>
        </w:rPr>
      </w:pPr>
      <w:r>
        <w:rPr>
          <w:noProof/>
        </w:rPr>
        <w:t>‘7.</w:t>
      </w:r>
      <w:r>
        <w:rPr>
          <w:noProof/>
        </w:rPr>
        <w:tab/>
      </w:r>
      <w:r w:rsidR="00F26E8D" w:rsidRPr="00F26E8D">
        <w:rPr>
          <w:noProof/>
        </w:rPr>
        <w:t xml:space="preserve">In cooperation </w:t>
      </w:r>
      <w:r w:rsidR="00F26E8D">
        <w:rPr>
          <w:noProof/>
        </w:rPr>
        <w:t>with Member States and t</w:t>
      </w:r>
      <w:r w:rsidR="00F26E8D" w:rsidRPr="00500212">
        <w:rPr>
          <w:noProof/>
        </w:rPr>
        <w:t xml:space="preserve">aking into account the expertise and the experience gained in the </w:t>
      </w:r>
      <w:r w:rsidR="00F26E8D">
        <w:rPr>
          <w:noProof/>
        </w:rPr>
        <w:t xml:space="preserve">Union and </w:t>
      </w:r>
      <w:r w:rsidR="00F26E8D" w:rsidRPr="00500212">
        <w:rPr>
          <w:noProof/>
        </w:rPr>
        <w:t>under the Paris MOU</w:t>
      </w:r>
      <w:r w:rsidR="00F26E8D">
        <w:rPr>
          <w:noProof/>
        </w:rPr>
        <w:t xml:space="preserve">, the </w:t>
      </w:r>
      <w:r w:rsidR="00500212">
        <w:rPr>
          <w:noProof/>
        </w:rPr>
        <w:t>Commission shall develop a professional development and training program</w:t>
      </w:r>
      <w:r w:rsidR="004B3BDE">
        <w:rPr>
          <w:noProof/>
        </w:rPr>
        <w:t>me</w:t>
      </w:r>
      <w:r w:rsidR="00500212">
        <w:rPr>
          <w:noProof/>
        </w:rPr>
        <w:t xml:space="preserve"> for </w:t>
      </w:r>
      <w:r w:rsidR="00F26E8D">
        <w:rPr>
          <w:noProof/>
        </w:rPr>
        <w:t xml:space="preserve">port State control </w:t>
      </w:r>
      <w:r w:rsidR="00500212">
        <w:rPr>
          <w:noProof/>
        </w:rPr>
        <w:t xml:space="preserve">inspectors. </w:t>
      </w:r>
      <w:r w:rsidR="00F26E8D">
        <w:rPr>
          <w:noProof/>
        </w:rPr>
        <w:t xml:space="preserve">This </w:t>
      </w:r>
      <w:r w:rsidR="00997A66">
        <w:rPr>
          <w:noProof/>
        </w:rPr>
        <w:t>training programme shall</w:t>
      </w:r>
      <w:r w:rsidR="00F26E8D">
        <w:rPr>
          <w:noProof/>
        </w:rPr>
        <w:t xml:space="preserve"> take account of the </w:t>
      </w:r>
      <w:r w:rsidR="00500212">
        <w:rPr>
          <w:noProof/>
        </w:rPr>
        <w:t xml:space="preserve">widened scope of </w:t>
      </w:r>
      <w:r w:rsidR="00896858">
        <w:rPr>
          <w:noProof/>
        </w:rPr>
        <w:t>port State control</w:t>
      </w:r>
      <w:r w:rsidR="00500212">
        <w:rPr>
          <w:noProof/>
        </w:rPr>
        <w:t xml:space="preserve"> a</w:t>
      </w:r>
      <w:r w:rsidR="00F26E8D">
        <w:rPr>
          <w:noProof/>
        </w:rPr>
        <w:t xml:space="preserve">s well as </w:t>
      </w:r>
      <w:r w:rsidR="00500212">
        <w:rPr>
          <w:noProof/>
        </w:rPr>
        <w:t xml:space="preserve">improvements in the scope and </w:t>
      </w:r>
      <w:r w:rsidR="00F26E8D">
        <w:rPr>
          <w:noProof/>
        </w:rPr>
        <w:t>forms</w:t>
      </w:r>
      <w:r w:rsidR="00500212">
        <w:rPr>
          <w:noProof/>
        </w:rPr>
        <w:t xml:space="preserve"> of training.</w:t>
      </w:r>
      <w:r w:rsidR="00F26E8D">
        <w:rPr>
          <w:noProof/>
        </w:rPr>
        <w:t xml:space="preserve"> </w:t>
      </w:r>
      <w:r w:rsidR="00500212">
        <w:rPr>
          <w:noProof/>
        </w:rPr>
        <w:t xml:space="preserve"> </w:t>
      </w:r>
    </w:p>
    <w:p w14:paraId="794D60DA" w14:textId="77777777" w:rsidR="00C50FF1" w:rsidRDefault="00F26E8D" w:rsidP="006929ED">
      <w:pPr>
        <w:pStyle w:val="Point1"/>
        <w:ind w:left="850" w:firstLine="0"/>
        <w:rPr>
          <w:noProof/>
        </w:rPr>
      </w:pPr>
      <w:r>
        <w:rPr>
          <w:noProof/>
        </w:rPr>
        <w:t>In cooperation with the Member States</w:t>
      </w:r>
      <w:r w:rsidR="00D9615F">
        <w:rPr>
          <w:noProof/>
        </w:rPr>
        <w:t>,</w:t>
      </w:r>
      <w:r>
        <w:rPr>
          <w:noProof/>
        </w:rPr>
        <w:t xml:space="preserve"> the Commission shall on a continuous basis </w:t>
      </w:r>
      <w:r w:rsidR="00500212">
        <w:rPr>
          <w:noProof/>
        </w:rPr>
        <w:t xml:space="preserve"> identify and provide new training needs to amend the curricula, syllabi and content of the professional development and training program</w:t>
      </w:r>
      <w:r w:rsidR="00997A66">
        <w:rPr>
          <w:noProof/>
        </w:rPr>
        <w:t>me</w:t>
      </w:r>
      <w:r w:rsidR="00500212">
        <w:rPr>
          <w:noProof/>
        </w:rPr>
        <w:t xml:space="preserve"> for inspectors, especially as regards new technologies and in relation to the additional obligations arising from </w:t>
      </w:r>
      <w:r>
        <w:rPr>
          <w:noProof/>
        </w:rPr>
        <w:t>the relevant instruments.</w:t>
      </w:r>
      <w:r w:rsidR="006929ED">
        <w:rPr>
          <w:noProof/>
        </w:rPr>
        <w:t>’</w:t>
      </w:r>
    </w:p>
    <w:p w14:paraId="28898FF8" w14:textId="6088535D" w:rsidR="00BB4488" w:rsidRDefault="00FE14A2" w:rsidP="00FE14A2">
      <w:pPr>
        <w:pStyle w:val="Point0"/>
        <w:rPr>
          <w:noProof/>
        </w:rPr>
      </w:pPr>
      <w:r w:rsidRPr="00FE14A2">
        <w:t>(15)</w:t>
      </w:r>
      <w:r w:rsidRPr="00FE14A2">
        <w:tab/>
      </w:r>
      <w:r w:rsidR="00811678">
        <w:rPr>
          <w:noProof/>
        </w:rPr>
        <w:t>Article 24</w:t>
      </w:r>
      <w:r w:rsidR="00BB4488">
        <w:rPr>
          <w:noProof/>
        </w:rPr>
        <w:t xml:space="preserve"> is amended as follows:</w:t>
      </w:r>
    </w:p>
    <w:p w14:paraId="4064F1D7" w14:textId="69905135" w:rsidR="00811678" w:rsidRDefault="00FE14A2" w:rsidP="00FE14A2">
      <w:pPr>
        <w:pStyle w:val="Point1"/>
        <w:rPr>
          <w:noProof/>
        </w:rPr>
      </w:pPr>
      <w:r w:rsidRPr="00FE14A2">
        <w:t>(a)</w:t>
      </w:r>
      <w:r w:rsidRPr="00FE14A2">
        <w:tab/>
      </w:r>
      <w:r w:rsidR="00997A66">
        <w:rPr>
          <w:noProof/>
        </w:rPr>
        <w:t>p</w:t>
      </w:r>
      <w:r w:rsidR="00BB5EBE">
        <w:rPr>
          <w:noProof/>
        </w:rPr>
        <w:t>aragraph 2</w:t>
      </w:r>
      <w:r w:rsidR="006929ED">
        <w:rPr>
          <w:noProof/>
        </w:rPr>
        <w:t xml:space="preserve"> </w:t>
      </w:r>
      <w:r w:rsidR="00BB4488">
        <w:rPr>
          <w:noProof/>
        </w:rPr>
        <w:t xml:space="preserve">is </w:t>
      </w:r>
      <w:r w:rsidR="00811678">
        <w:rPr>
          <w:noProof/>
        </w:rPr>
        <w:t>replaced by the following:</w:t>
      </w:r>
    </w:p>
    <w:p w14:paraId="7B9E8949" w14:textId="77777777" w:rsidR="00BB4488" w:rsidRDefault="006929ED" w:rsidP="001B68A4">
      <w:pPr>
        <w:pStyle w:val="Point2"/>
        <w:ind w:left="1417" w:firstLine="0"/>
        <w:rPr>
          <w:noProof/>
        </w:rPr>
      </w:pPr>
      <w:r>
        <w:rPr>
          <w:noProof/>
        </w:rPr>
        <w:t>‘</w:t>
      </w:r>
      <w:r w:rsidR="00811678" w:rsidRPr="00811678">
        <w:rPr>
          <w:noProof/>
        </w:rPr>
        <w:t>2.</w:t>
      </w:r>
      <w:r w:rsidR="00811678" w:rsidRPr="00811678">
        <w:rPr>
          <w:noProof/>
        </w:rPr>
        <w:tab/>
        <w:t xml:space="preserve">Member States shall take the appropriate measures to ensure that the information on the actual time of arrival and the actual time of departure of any ship calling at their ports and anchorages, together with an identifier of the port concerned, is transferred within three hours </w:t>
      </w:r>
      <w:r w:rsidR="00811678">
        <w:rPr>
          <w:noProof/>
        </w:rPr>
        <w:t xml:space="preserve">of the departure </w:t>
      </w:r>
      <w:r w:rsidR="00811678" w:rsidRPr="00811678">
        <w:rPr>
          <w:noProof/>
        </w:rPr>
        <w:t xml:space="preserve">to the inspection database through the </w:t>
      </w:r>
      <w:r w:rsidR="001B68A4">
        <w:rPr>
          <w:noProof/>
        </w:rPr>
        <w:t>Union</w:t>
      </w:r>
      <w:r w:rsidR="00811678" w:rsidRPr="00811678">
        <w:rPr>
          <w:noProof/>
        </w:rPr>
        <w:t xml:space="preserve"> maritime information exchange system ‘SafeSeaNet’ referred to in Article 3</w:t>
      </w:r>
      <w:r w:rsidR="001B68A4">
        <w:rPr>
          <w:noProof/>
        </w:rPr>
        <w:t xml:space="preserve"> point </w:t>
      </w:r>
      <w:r w:rsidR="00811678" w:rsidRPr="00811678">
        <w:rPr>
          <w:noProof/>
        </w:rPr>
        <w:t>(s) of Directive 2002/59/EC. Once they have transferred such information to the inspection database through SafeSeaNet, Member States are exempted from the provision of data in accordance with p</w:t>
      </w:r>
      <w:r w:rsidR="00997A66">
        <w:rPr>
          <w:noProof/>
        </w:rPr>
        <w:t>oints</w:t>
      </w:r>
      <w:r w:rsidR="00811678" w:rsidRPr="00811678">
        <w:rPr>
          <w:noProof/>
        </w:rPr>
        <w:t xml:space="preserve"> 1.2 and 2(a) and (b) of Annex XIV to this Directive.</w:t>
      </w:r>
      <w:r>
        <w:rPr>
          <w:noProof/>
        </w:rPr>
        <w:t>’</w:t>
      </w:r>
    </w:p>
    <w:p w14:paraId="0C05C0F7" w14:textId="7DF98C82" w:rsidR="00B65350" w:rsidRDefault="00FE14A2" w:rsidP="00FE14A2">
      <w:pPr>
        <w:pStyle w:val="Point1"/>
        <w:rPr>
          <w:noProof/>
        </w:rPr>
      </w:pPr>
      <w:r w:rsidRPr="00FE14A2">
        <w:t>(b)</w:t>
      </w:r>
      <w:r w:rsidRPr="00FE14A2">
        <w:tab/>
      </w:r>
      <w:r w:rsidR="00997A66">
        <w:rPr>
          <w:noProof/>
        </w:rPr>
        <w:t>p</w:t>
      </w:r>
      <w:r w:rsidR="00BB4488">
        <w:rPr>
          <w:noProof/>
        </w:rPr>
        <w:t>aragraph 3 is replaced by the following:</w:t>
      </w:r>
      <w:r w:rsidR="00BB5EBE" w:rsidDel="00BB5EBE">
        <w:rPr>
          <w:noProof/>
        </w:rPr>
        <w:t xml:space="preserve"> </w:t>
      </w:r>
    </w:p>
    <w:p w14:paraId="53C8788E" w14:textId="77777777" w:rsidR="00811678" w:rsidRDefault="00F5023A" w:rsidP="006929ED">
      <w:pPr>
        <w:pStyle w:val="Point2"/>
        <w:ind w:left="1417" w:firstLine="0"/>
        <w:rPr>
          <w:noProof/>
        </w:rPr>
      </w:pPr>
      <w:r>
        <w:rPr>
          <w:noProof/>
        </w:rPr>
        <w:t>‘3.</w:t>
      </w:r>
      <w:r>
        <w:rPr>
          <w:noProof/>
        </w:rPr>
        <w:tab/>
      </w:r>
      <w:r w:rsidR="00811678">
        <w:rPr>
          <w:noProof/>
        </w:rPr>
        <w:t xml:space="preserve">Member States shall ensure that the information related to inspections performed in accordance with this Directive is transferred to the inspection database as soon as the inspection report is completed or the detention lifted. </w:t>
      </w:r>
    </w:p>
    <w:p w14:paraId="4CC5BB99" w14:textId="77777777" w:rsidR="00811678" w:rsidRDefault="00811678" w:rsidP="006929ED">
      <w:pPr>
        <w:pStyle w:val="Point2"/>
        <w:ind w:left="1417" w:firstLine="0"/>
        <w:rPr>
          <w:noProof/>
        </w:rPr>
      </w:pPr>
      <w:r>
        <w:rPr>
          <w:noProof/>
        </w:rPr>
        <w:t xml:space="preserve">Within 72 hours, Member States shall ensure that the information transferred to the inspection database is validated for publication purposes. The inspection report shall be validated </w:t>
      </w:r>
      <w:r w:rsidR="002E180B">
        <w:rPr>
          <w:noProof/>
        </w:rPr>
        <w:t xml:space="preserve">before its transfer to the database </w:t>
      </w:r>
      <w:r>
        <w:rPr>
          <w:noProof/>
        </w:rPr>
        <w:t>by a port State control inspector who was not part of the team t</w:t>
      </w:r>
      <w:r w:rsidR="006929ED">
        <w:rPr>
          <w:noProof/>
        </w:rPr>
        <w:t>hat carried out the inspection.’</w:t>
      </w:r>
      <w:r w:rsidRPr="00811678">
        <w:rPr>
          <w:noProof/>
        </w:rPr>
        <w:t xml:space="preserve"> </w:t>
      </w:r>
    </w:p>
    <w:p w14:paraId="58BAB885" w14:textId="6233F2E1" w:rsidR="00F70E63" w:rsidRDefault="00FE14A2" w:rsidP="00FE14A2">
      <w:pPr>
        <w:pStyle w:val="Point0"/>
        <w:rPr>
          <w:noProof/>
        </w:rPr>
      </w:pPr>
      <w:r w:rsidRPr="00FE14A2">
        <w:t>(16)</w:t>
      </w:r>
      <w:r w:rsidRPr="00FE14A2">
        <w:tab/>
      </w:r>
      <w:r w:rsidR="001B68A4">
        <w:rPr>
          <w:noProof/>
        </w:rPr>
        <w:t>t</w:t>
      </w:r>
      <w:r w:rsidR="00F70E63">
        <w:rPr>
          <w:noProof/>
        </w:rPr>
        <w:t>he following article</w:t>
      </w:r>
      <w:r w:rsidR="00BB4488">
        <w:rPr>
          <w:noProof/>
        </w:rPr>
        <w:t xml:space="preserve"> 24a</w:t>
      </w:r>
      <w:r w:rsidR="00F70E63">
        <w:rPr>
          <w:noProof/>
        </w:rPr>
        <w:t xml:space="preserve"> is </w:t>
      </w:r>
      <w:r w:rsidR="00BB4488">
        <w:rPr>
          <w:noProof/>
        </w:rPr>
        <w:t>inserted</w:t>
      </w:r>
      <w:r w:rsidR="00F70E63">
        <w:rPr>
          <w:noProof/>
        </w:rPr>
        <w:t>:</w:t>
      </w:r>
    </w:p>
    <w:p w14:paraId="0E459B4A" w14:textId="77777777" w:rsidR="00F70E63" w:rsidRDefault="006929ED" w:rsidP="006929ED">
      <w:pPr>
        <w:pStyle w:val="Titrearticle"/>
        <w:rPr>
          <w:noProof/>
        </w:rPr>
      </w:pPr>
      <w:r>
        <w:rPr>
          <w:noProof/>
        </w:rPr>
        <w:t>‘</w:t>
      </w:r>
      <w:r w:rsidR="00F70E63" w:rsidRPr="00F70E63">
        <w:rPr>
          <w:noProof/>
        </w:rPr>
        <w:t>Article 24a</w:t>
      </w:r>
    </w:p>
    <w:p w14:paraId="1F63189D" w14:textId="77777777" w:rsidR="00F70E63" w:rsidRDefault="00F70E63" w:rsidP="006929ED">
      <w:pPr>
        <w:pStyle w:val="Typeacteprincipal"/>
        <w:rPr>
          <w:noProof/>
        </w:rPr>
      </w:pPr>
      <w:r w:rsidRPr="00F70E63">
        <w:rPr>
          <w:noProof/>
        </w:rPr>
        <w:t>Electronic certificates</w:t>
      </w:r>
    </w:p>
    <w:p w14:paraId="37B3F163" w14:textId="77777777" w:rsidR="00B16E91" w:rsidRDefault="006929ED" w:rsidP="001B68A4">
      <w:pPr>
        <w:pStyle w:val="Point1"/>
        <w:ind w:left="850" w:firstLine="0"/>
        <w:rPr>
          <w:noProof/>
        </w:rPr>
      </w:pPr>
      <w:r w:rsidRPr="006929ED">
        <w:rPr>
          <w:noProof/>
        </w:rPr>
        <w:t>1.</w:t>
      </w:r>
      <w:r w:rsidRPr="006929ED">
        <w:rPr>
          <w:noProof/>
        </w:rPr>
        <w:tab/>
      </w:r>
      <w:r w:rsidR="00F26E8D" w:rsidRPr="00F26E8D">
        <w:rPr>
          <w:noProof/>
        </w:rPr>
        <w:t>The Commission shall, in close cooperation with the Member States, adopt implementing acts laying down the functional and technical specifications for a harmonised reporting interface, validation tool and central repository</w:t>
      </w:r>
      <w:r w:rsidR="00D72BBE">
        <w:rPr>
          <w:noProof/>
        </w:rPr>
        <w:t>/database</w:t>
      </w:r>
      <w:r w:rsidR="00F26E8D" w:rsidRPr="00F26E8D">
        <w:rPr>
          <w:noProof/>
        </w:rPr>
        <w:t xml:space="preserve"> for </w:t>
      </w:r>
      <w:r w:rsidR="00B16E91">
        <w:rPr>
          <w:noProof/>
        </w:rPr>
        <w:t xml:space="preserve">electronic versions of the certificates listed in Annex IV and referred to in Article 13(1). </w:t>
      </w:r>
      <w:r w:rsidR="001B68A4" w:rsidRPr="001B68A4">
        <w:rPr>
          <w:noProof/>
        </w:rPr>
        <w:t>Those implementing acts shall be adopted in accordance with the examination procedure referred to in Article 31(2).’</w:t>
      </w:r>
    </w:p>
    <w:p w14:paraId="0D403F34" w14:textId="77777777" w:rsidR="00B65350" w:rsidRDefault="006929ED" w:rsidP="001B68A4">
      <w:pPr>
        <w:pStyle w:val="Point1"/>
        <w:ind w:left="850" w:firstLine="0"/>
        <w:rPr>
          <w:noProof/>
        </w:rPr>
      </w:pPr>
      <w:r w:rsidRPr="006929ED">
        <w:rPr>
          <w:noProof/>
        </w:rPr>
        <w:t>2.</w:t>
      </w:r>
      <w:r w:rsidRPr="006929ED">
        <w:rPr>
          <w:noProof/>
        </w:rPr>
        <w:tab/>
      </w:r>
      <w:r w:rsidR="00B16E91">
        <w:rPr>
          <w:noProof/>
        </w:rPr>
        <w:t xml:space="preserve">The </w:t>
      </w:r>
      <w:r w:rsidR="00D3182D">
        <w:rPr>
          <w:noProof/>
        </w:rPr>
        <w:t xml:space="preserve">Member States may use the </w:t>
      </w:r>
      <w:r w:rsidR="001B68A4" w:rsidRPr="001B68A4">
        <w:rPr>
          <w:noProof/>
        </w:rPr>
        <w:t xml:space="preserve">harmonised reporting interface, validation tool and central repository/database for electronic versions of the certificates </w:t>
      </w:r>
      <w:r w:rsidR="00D3182D">
        <w:rPr>
          <w:noProof/>
        </w:rPr>
        <w:t>to facilitate the</w:t>
      </w:r>
      <w:r w:rsidR="00024483" w:rsidRPr="00024483">
        <w:rPr>
          <w:noProof/>
          <w:lang w:val="en-US"/>
        </w:rPr>
        <w:t xml:space="preserve"> </w:t>
      </w:r>
      <w:r w:rsidR="00024483">
        <w:rPr>
          <w:noProof/>
          <w:lang w:val="en-IE"/>
        </w:rPr>
        <w:t>transition</w:t>
      </w:r>
      <w:r w:rsidR="001B68A4">
        <w:rPr>
          <w:noProof/>
          <w:lang w:val="en-IE"/>
        </w:rPr>
        <w:t xml:space="preserve"> of their ship registers </w:t>
      </w:r>
      <w:r w:rsidR="00024483">
        <w:rPr>
          <w:noProof/>
          <w:lang w:val="en-IE"/>
        </w:rPr>
        <w:t>to</w:t>
      </w:r>
      <w:r w:rsidR="00D3182D">
        <w:rPr>
          <w:noProof/>
        </w:rPr>
        <w:t xml:space="preserve"> electronic certificates. </w:t>
      </w:r>
    </w:p>
    <w:p w14:paraId="74C5785E" w14:textId="77777777" w:rsidR="00B65350" w:rsidRDefault="006929ED" w:rsidP="001B68A4">
      <w:pPr>
        <w:pStyle w:val="Point1"/>
        <w:ind w:left="850" w:firstLine="0"/>
        <w:rPr>
          <w:noProof/>
        </w:rPr>
      </w:pPr>
      <w:r w:rsidRPr="006929ED">
        <w:rPr>
          <w:noProof/>
        </w:rPr>
        <w:t>3.</w:t>
      </w:r>
      <w:r w:rsidRPr="006929ED">
        <w:rPr>
          <w:noProof/>
        </w:rPr>
        <w:tab/>
      </w:r>
      <w:r w:rsidR="007D2920">
        <w:rPr>
          <w:noProof/>
        </w:rPr>
        <w:t xml:space="preserve">Ships flying the flag </w:t>
      </w:r>
      <w:r w:rsidR="001B68A4">
        <w:rPr>
          <w:noProof/>
        </w:rPr>
        <w:t>of a State</w:t>
      </w:r>
      <w:r w:rsidR="00B65350" w:rsidRPr="00B65350">
        <w:rPr>
          <w:noProof/>
        </w:rPr>
        <w:t xml:space="preserve"> that issue such electronic certificates </w:t>
      </w:r>
      <w:r w:rsidR="001B68A4">
        <w:rPr>
          <w:noProof/>
        </w:rPr>
        <w:t>sha</w:t>
      </w:r>
      <w:r w:rsidR="00B65350" w:rsidRPr="00B65350">
        <w:rPr>
          <w:noProof/>
        </w:rPr>
        <w:t xml:space="preserve">ll have this reflected in the ship risk profile (SRP) as set out in Annexes I and II. </w:t>
      </w:r>
    </w:p>
    <w:p w14:paraId="56A79D1E" w14:textId="77777777" w:rsidR="00B16E91" w:rsidRDefault="001B68A4" w:rsidP="001B68A4">
      <w:pPr>
        <w:pStyle w:val="Point1"/>
        <w:ind w:left="850" w:firstLine="0"/>
        <w:rPr>
          <w:noProof/>
        </w:rPr>
      </w:pPr>
      <w:r>
        <w:rPr>
          <w:noProof/>
        </w:rPr>
        <w:t>4</w:t>
      </w:r>
      <w:r w:rsidR="006929ED" w:rsidRPr="006929ED">
        <w:rPr>
          <w:noProof/>
        </w:rPr>
        <w:t>.</w:t>
      </w:r>
      <w:r w:rsidR="006929ED" w:rsidRPr="006929ED">
        <w:rPr>
          <w:noProof/>
        </w:rPr>
        <w:tab/>
      </w:r>
      <w:r w:rsidR="00B16E91" w:rsidRPr="00B16E91">
        <w:rPr>
          <w:noProof/>
        </w:rPr>
        <w:t xml:space="preserve">The </w:t>
      </w:r>
      <w:r w:rsidR="00B16E91">
        <w:rPr>
          <w:noProof/>
        </w:rPr>
        <w:t xml:space="preserve">Member State </w:t>
      </w:r>
      <w:r w:rsidR="00B16E91" w:rsidRPr="00B16E91">
        <w:rPr>
          <w:noProof/>
        </w:rPr>
        <w:t>shall be responsible for ensuring the submission of data elements in compliance with the applicable legal and technical requirements</w:t>
      </w:r>
      <w:r w:rsidR="004B1F16">
        <w:rPr>
          <w:noProof/>
        </w:rPr>
        <w:t xml:space="preserve">, </w:t>
      </w:r>
      <w:r w:rsidR="00B16E91" w:rsidRPr="00B16E91">
        <w:rPr>
          <w:noProof/>
        </w:rPr>
        <w:t xml:space="preserve">The </w:t>
      </w:r>
      <w:r w:rsidR="00B16E91">
        <w:rPr>
          <w:noProof/>
        </w:rPr>
        <w:t>Member State</w:t>
      </w:r>
      <w:r w:rsidR="00B16E91" w:rsidRPr="00B16E91">
        <w:rPr>
          <w:noProof/>
        </w:rPr>
        <w:t xml:space="preserve"> shall remain responsible for the data </w:t>
      </w:r>
      <w:r w:rsidR="00175B5D">
        <w:rPr>
          <w:noProof/>
        </w:rPr>
        <w:t xml:space="preserve">and the validity of the information and the certificates, as well as </w:t>
      </w:r>
      <w:r w:rsidR="00B16E91" w:rsidRPr="00B16E91">
        <w:rPr>
          <w:noProof/>
        </w:rPr>
        <w:t xml:space="preserve">for updating any information that has changed after the submission to the </w:t>
      </w:r>
      <w:r w:rsidR="00B16E91">
        <w:rPr>
          <w:noProof/>
        </w:rPr>
        <w:t>central database.</w:t>
      </w:r>
      <w:r w:rsidR="00FA34C4">
        <w:rPr>
          <w:noProof/>
        </w:rPr>
        <w:t>’</w:t>
      </w:r>
    </w:p>
    <w:p w14:paraId="7743622F" w14:textId="1CB4E14C" w:rsidR="00E05B06" w:rsidRDefault="00FE14A2" w:rsidP="00FE14A2">
      <w:pPr>
        <w:pStyle w:val="Point0"/>
        <w:rPr>
          <w:noProof/>
        </w:rPr>
      </w:pPr>
      <w:r w:rsidRPr="00FE14A2">
        <w:t>(17)</w:t>
      </w:r>
      <w:r w:rsidRPr="00FE14A2">
        <w:tab/>
      </w:r>
      <w:r w:rsidR="00E05B06">
        <w:rPr>
          <w:noProof/>
        </w:rPr>
        <w:t>Article 25 is replaced by the following</w:t>
      </w:r>
      <w:r w:rsidR="00DA13CC">
        <w:rPr>
          <w:noProof/>
        </w:rPr>
        <w:t>:</w:t>
      </w:r>
      <w:r w:rsidR="00E05B06">
        <w:rPr>
          <w:noProof/>
        </w:rPr>
        <w:t xml:space="preserve"> </w:t>
      </w:r>
    </w:p>
    <w:p w14:paraId="6F1AA08E" w14:textId="77777777" w:rsidR="00E05B06" w:rsidRDefault="00DA13CC" w:rsidP="00DA13CC">
      <w:pPr>
        <w:pStyle w:val="Titrearticle"/>
        <w:rPr>
          <w:noProof/>
        </w:rPr>
      </w:pPr>
      <w:r>
        <w:rPr>
          <w:noProof/>
        </w:rPr>
        <w:t>‘</w:t>
      </w:r>
      <w:r w:rsidR="00E05B06" w:rsidRPr="003876A1">
        <w:rPr>
          <w:noProof/>
        </w:rPr>
        <w:t>Article 25</w:t>
      </w:r>
    </w:p>
    <w:p w14:paraId="6B8E4E9C" w14:textId="77777777" w:rsidR="00E05B06" w:rsidRPr="00E05B06" w:rsidRDefault="00E05B06" w:rsidP="00DA13CC">
      <w:pPr>
        <w:pStyle w:val="Typeacteprincipal"/>
        <w:rPr>
          <w:noProof/>
        </w:rPr>
      </w:pPr>
      <w:r w:rsidRPr="00E05B06">
        <w:rPr>
          <w:noProof/>
        </w:rPr>
        <w:t>Exchange of information and cooperation</w:t>
      </w:r>
    </w:p>
    <w:p w14:paraId="4D6AAD95" w14:textId="77777777" w:rsidR="00E05B06" w:rsidRDefault="00E05B06" w:rsidP="00DA13CC">
      <w:pPr>
        <w:pStyle w:val="Point1"/>
        <w:ind w:left="850" w:firstLine="0"/>
        <w:rPr>
          <w:noProof/>
        </w:rPr>
      </w:pPr>
      <w:r>
        <w:rPr>
          <w:noProof/>
        </w:rPr>
        <w:t>Each Member State shall ensure that its port authorities or bodies and other relevant authorities or bodies provide the competent port State control authority with the following types of information in their possession:</w:t>
      </w:r>
    </w:p>
    <w:p w14:paraId="10921129" w14:textId="3A63AB71" w:rsidR="003876A1" w:rsidRPr="003B0897" w:rsidRDefault="00FE14A2" w:rsidP="00FE14A2">
      <w:pPr>
        <w:pStyle w:val="Point1"/>
        <w:rPr>
          <w:noProof/>
        </w:rPr>
      </w:pPr>
      <w:r w:rsidRPr="00FE14A2">
        <w:t>(a)</w:t>
      </w:r>
      <w:r w:rsidRPr="00FE14A2">
        <w:tab/>
      </w:r>
      <w:r w:rsidR="003876A1">
        <w:rPr>
          <w:noProof/>
        </w:rPr>
        <w:t xml:space="preserve">information concerning ships which have failed to notify any information according to the requirements of this Directive, </w:t>
      </w:r>
      <w:r w:rsidR="00FA34C4">
        <w:rPr>
          <w:noProof/>
        </w:rPr>
        <w:t xml:space="preserve">Directive 2002/59/EC </w:t>
      </w:r>
      <w:r w:rsidR="003876A1">
        <w:rPr>
          <w:noProof/>
        </w:rPr>
        <w:t xml:space="preserve">and to Directive </w:t>
      </w:r>
      <w:r w:rsidR="0004052B" w:rsidRPr="0004052B">
        <w:rPr>
          <w:noProof/>
        </w:rPr>
        <w:t>(EU) 2019/883 of the European Parliament and of the Council</w:t>
      </w:r>
      <w:r w:rsidR="00363592">
        <w:rPr>
          <w:rStyle w:val="FootnoteReference"/>
          <w:noProof/>
        </w:rPr>
        <w:footnoteReference w:id="30"/>
      </w:r>
      <w:r w:rsidR="003876A1" w:rsidRPr="003B0897">
        <w:rPr>
          <w:noProof/>
        </w:rPr>
        <w:t>, as well as, if appropriate, with Regulation (EC) No 725/2004</w:t>
      </w:r>
      <w:r w:rsidR="007D2920">
        <w:rPr>
          <w:noProof/>
        </w:rPr>
        <w:t xml:space="preserve"> </w:t>
      </w:r>
      <w:r w:rsidR="005D4838">
        <w:rPr>
          <w:noProof/>
        </w:rPr>
        <w:t xml:space="preserve">of the European Parliament and of the Council of 31 March 2004 </w:t>
      </w:r>
      <w:r w:rsidR="007D2920">
        <w:rPr>
          <w:noProof/>
        </w:rPr>
        <w:t>o</w:t>
      </w:r>
      <w:r w:rsidR="007D2920" w:rsidRPr="007D2920">
        <w:rPr>
          <w:noProof/>
        </w:rPr>
        <w:t>n enhancing ship and port facility security</w:t>
      </w:r>
      <w:r w:rsidR="003876A1" w:rsidRPr="003B0897">
        <w:rPr>
          <w:noProof/>
        </w:rPr>
        <w:t>,</w:t>
      </w:r>
    </w:p>
    <w:p w14:paraId="4EA9182D" w14:textId="79D34DFC" w:rsidR="003876A1" w:rsidRPr="003B0897" w:rsidRDefault="00FE14A2" w:rsidP="00FE14A2">
      <w:pPr>
        <w:pStyle w:val="Point1"/>
        <w:rPr>
          <w:noProof/>
        </w:rPr>
      </w:pPr>
      <w:r w:rsidRPr="00FE14A2">
        <w:t>(b)</w:t>
      </w:r>
      <w:r w:rsidRPr="00FE14A2">
        <w:tab/>
      </w:r>
      <w:r w:rsidR="00415748">
        <w:rPr>
          <w:noProof/>
        </w:rPr>
        <w:t>i</w:t>
      </w:r>
      <w:r w:rsidR="003876A1" w:rsidRPr="003B0897">
        <w:rPr>
          <w:noProof/>
        </w:rPr>
        <w:t xml:space="preserve">nformation concerning ships which have proceeded to sea without having complied with Article 7 </w:t>
      </w:r>
      <w:r w:rsidR="003B0897" w:rsidRPr="003B0897">
        <w:rPr>
          <w:noProof/>
        </w:rPr>
        <w:t>of Directive (EU) 2019/883</w:t>
      </w:r>
      <w:r w:rsidR="005D4838">
        <w:rPr>
          <w:noProof/>
        </w:rPr>
        <w:t xml:space="preserve"> on port reception facilities</w:t>
      </w:r>
      <w:r w:rsidR="003876A1" w:rsidRPr="003B0897">
        <w:rPr>
          <w:noProof/>
        </w:rPr>
        <w:t>,</w:t>
      </w:r>
    </w:p>
    <w:p w14:paraId="48115EB9" w14:textId="2B9B247B" w:rsidR="003876A1" w:rsidRDefault="00FE14A2" w:rsidP="00FE14A2">
      <w:pPr>
        <w:pStyle w:val="Point1"/>
        <w:rPr>
          <w:noProof/>
        </w:rPr>
      </w:pPr>
      <w:r w:rsidRPr="00FE14A2">
        <w:t>(c)</w:t>
      </w:r>
      <w:r w:rsidRPr="00FE14A2">
        <w:tab/>
      </w:r>
      <w:r w:rsidR="00DA13CC">
        <w:rPr>
          <w:noProof/>
        </w:rPr>
        <w:t>in</w:t>
      </w:r>
      <w:r w:rsidR="003876A1">
        <w:rPr>
          <w:noProof/>
        </w:rPr>
        <w:t>formation concerning ships which have been denied entry or expelled from port on security grounds,</w:t>
      </w:r>
    </w:p>
    <w:p w14:paraId="5D6BBA05" w14:textId="77777777" w:rsidR="00FA34C4" w:rsidRDefault="003876A1" w:rsidP="00415748">
      <w:pPr>
        <w:pStyle w:val="Text2"/>
        <w:rPr>
          <w:noProof/>
        </w:rPr>
      </w:pPr>
      <w:r>
        <w:rPr>
          <w:noProof/>
        </w:rPr>
        <w:t>information on apparent anomalies in accordance with Article 23.</w:t>
      </w:r>
      <w:r w:rsidR="00DA13CC">
        <w:rPr>
          <w:noProof/>
        </w:rPr>
        <w:t>’</w:t>
      </w:r>
      <w:r w:rsidR="00FA34C4" w:rsidRPr="00FA34C4">
        <w:rPr>
          <w:noProof/>
        </w:rPr>
        <w:t xml:space="preserve"> </w:t>
      </w:r>
    </w:p>
    <w:p w14:paraId="08CC315B" w14:textId="77777777" w:rsidR="00FA34C4" w:rsidRDefault="00FA34C4" w:rsidP="00415748">
      <w:pPr>
        <w:pStyle w:val="Text2"/>
        <w:rPr>
          <w:noProof/>
        </w:rPr>
      </w:pPr>
    </w:p>
    <w:p w14:paraId="1C8E13E0" w14:textId="47D4039B" w:rsidR="00A657B1" w:rsidRPr="00BD09BA" w:rsidRDefault="00FE14A2" w:rsidP="00FE14A2">
      <w:pPr>
        <w:pStyle w:val="Point0"/>
        <w:rPr>
          <w:noProof/>
        </w:rPr>
      </w:pPr>
      <w:r w:rsidRPr="00FE14A2">
        <w:t>(18)</w:t>
      </w:r>
      <w:r w:rsidRPr="00FE14A2">
        <w:tab/>
      </w:r>
      <w:r w:rsidR="00A657B1" w:rsidRPr="00BD09BA">
        <w:rPr>
          <w:noProof/>
        </w:rPr>
        <w:t xml:space="preserve">Article </w:t>
      </w:r>
      <w:r w:rsidR="00EE40B7">
        <w:rPr>
          <w:noProof/>
        </w:rPr>
        <w:t>30</w:t>
      </w:r>
      <w:r w:rsidR="00A657B1" w:rsidRPr="00BD09BA">
        <w:rPr>
          <w:noProof/>
        </w:rPr>
        <w:t xml:space="preserve"> is replaced by the following:</w:t>
      </w:r>
    </w:p>
    <w:p w14:paraId="119D4B79" w14:textId="77777777" w:rsidR="00A657B1" w:rsidRPr="00BD09BA" w:rsidRDefault="004E3BC2" w:rsidP="00DA13CC">
      <w:pPr>
        <w:pStyle w:val="Titrearticle"/>
        <w:rPr>
          <w:noProof/>
        </w:rPr>
      </w:pPr>
      <w:r>
        <w:rPr>
          <w:noProof/>
        </w:rPr>
        <w:t>‘</w:t>
      </w:r>
      <w:r w:rsidR="00A657B1" w:rsidRPr="00BD09BA">
        <w:rPr>
          <w:noProof/>
        </w:rPr>
        <w:t xml:space="preserve">Article </w:t>
      </w:r>
      <w:r w:rsidR="00EE40B7">
        <w:rPr>
          <w:noProof/>
        </w:rPr>
        <w:t>30</w:t>
      </w:r>
    </w:p>
    <w:p w14:paraId="5A65254A" w14:textId="77777777" w:rsidR="00A657B1" w:rsidRDefault="00EE40B7" w:rsidP="00DA13CC">
      <w:pPr>
        <w:pStyle w:val="Typeacteprincipal"/>
        <w:rPr>
          <w:noProof/>
        </w:rPr>
      </w:pPr>
      <w:r>
        <w:rPr>
          <w:noProof/>
        </w:rPr>
        <w:t>Monitoring of compliance and performance of Member States</w:t>
      </w:r>
    </w:p>
    <w:p w14:paraId="75547AE5" w14:textId="77777777" w:rsidR="00EE40B7" w:rsidRDefault="00EE40B7" w:rsidP="00205CF5">
      <w:pPr>
        <w:pStyle w:val="Point1"/>
        <w:ind w:left="851" w:firstLine="0"/>
        <w:rPr>
          <w:noProof/>
        </w:rPr>
      </w:pPr>
      <w:r>
        <w:rPr>
          <w:noProof/>
        </w:rPr>
        <w:t xml:space="preserve">In order to ensure the effective implementation of this Directive and to monitor the overall functioning of the </w:t>
      </w:r>
      <w:r w:rsidR="00205CF5">
        <w:rPr>
          <w:noProof/>
        </w:rPr>
        <w:t>Union</w:t>
      </w:r>
      <w:r>
        <w:rPr>
          <w:noProof/>
        </w:rPr>
        <w:t>’s port State control regime in accordance with Article 2(b)</w:t>
      </w:r>
      <w:r w:rsidR="00205CF5">
        <w:rPr>
          <w:noProof/>
        </w:rPr>
        <w:t xml:space="preserve"> point </w:t>
      </w:r>
      <w:r>
        <w:rPr>
          <w:noProof/>
        </w:rPr>
        <w:t xml:space="preserve">(i) of Regulation (EC) No 1406/2002, the Commission shall collect the necessary information and carry out visits to Member States. </w:t>
      </w:r>
    </w:p>
    <w:p w14:paraId="44FB9C6D" w14:textId="77777777" w:rsidR="00EE40B7" w:rsidRDefault="00EE40B7" w:rsidP="00EE40B7">
      <w:pPr>
        <w:pStyle w:val="Point1"/>
        <w:ind w:left="851" w:firstLine="0"/>
        <w:rPr>
          <w:noProof/>
        </w:rPr>
      </w:pPr>
      <w:r>
        <w:rPr>
          <w:noProof/>
        </w:rPr>
        <w:t>Each Member State shall develop, implement, and maintain a quality management system for the operational parts of the port State-related activities of its administration. Such quality management system shall be certified in accordance with the applicable i</w:t>
      </w:r>
      <w:r w:rsidR="004E3BC2">
        <w:rPr>
          <w:noProof/>
        </w:rPr>
        <w:t>nternational quality standards.’</w:t>
      </w:r>
    </w:p>
    <w:p w14:paraId="03ACD78B" w14:textId="4A33FF3F" w:rsidR="003E5E8F" w:rsidRDefault="00FE14A2" w:rsidP="00FE14A2">
      <w:pPr>
        <w:pStyle w:val="Point0"/>
        <w:rPr>
          <w:noProof/>
        </w:rPr>
      </w:pPr>
      <w:r w:rsidRPr="00FE14A2">
        <w:t>(19)</w:t>
      </w:r>
      <w:r w:rsidRPr="00FE14A2">
        <w:tab/>
      </w:r>
      <w:r w:rsidR="008615F7">
        <w:rPr>
          <w:noProof/>
        </w:rPr>
        <w:t xml:space="preserve">in </w:t>
      </w:r>
      <w:r w:rsidR="0073214D">
        <w:rPr>
          <w:noProof/>
        </w:rPr>
        <w:t>Article 30a is replaced by the following:</w:t>
      </w:r>
      <w:r w:rsidR="0073214D">
        <w:rPr>
          <w:noProof/>
        </w:rPr>
        <w:tab/>
      </w:r>
    </w:p>
    <w:p w14:paraId="18D5B016" w14:textId="77777777" w:rsidR="003E5E8F" w:rsidRDefault="003E5E8F" w:rsidP="003E5E8F">
      <w:pPr>
        <w:pStyle w:val="Titrearticle"/>
        <w:rPr>
          <w:noProof/>
        </w:rPr>
      </w:pPr>
      <w:r>
        <w:rPr>
          <w:noProof/>
        </w:rPr>
        <w:t>‘Article 30a</w:t>
      </w:r>
    </w:p>
    <w:p w14:paraId="58D1057F" w14:textId="77777777" w:rsidR="003E5E8F" w:rsidRDefault="003E5E8F" w:rsidP="003E5E8F">
      <w:pPr>
        <w:pStyle w:val="Typeacteprincipal"/>
        <w:rPr>
          <w:noProof/>
        </w:rPr>
      </w:pPr>
      <w:r>
        <w:rPr>
          <w:noProof/>
        </w:rPr>
        <w:t>Delegated acts</w:t>
      </w:r>
    </w:p>
    <w:p w14:paraId="65CCBA3E" w14:textId="77777777" w:rsidR="0073214D" w:rsidRDefault="0073214D" w:rsidP="0002622D">
      <w:pPr>
        <w:pStyle w:val="Point1"/>
        <w:ind w:left="851" w:firstLine="0"/>
        <w:rPr>
          <w:bCs/>
          <w:noProof/>
        </w:rPr>
      </w:pPr>
      <w:r w:rsidRPr="00CC3A37">
        <w:rPr>
          <w:bCs/>
          <w:noProof/>
        </w:rPr>
        <w:t xml:space="preserve">The Commission shall be empowered to adopt delegated acts in accordance with Article 30b, </w:t>
      </w:r>
      <w:r w:rsidR="0002622D">
        <w:rPr>
          <w:bCs/>
          <w:noProof/>
        </w:rPr>
        <w:t xml:space="preserve">to amend Article 2(1) to amend </w:t>
      </w:r>
      <w:r w:rsidRPr="00CC3A37">
        <w:rPr>
          <w:bCs/>
          <w:noProof/>
        </w:rPr>
        <w:t xml:space="preserve">the list of Conventions set out in Article 2(1) once such Conventions have been adopted as a relevant instrument by the Paris MoU and to amend Annex VI in order to add </w:t>
      </w:r>
      <w:r w:rsidR="009D0274" w:rsidRPr="00CC3A37">
        <w:rPr>
          <w:bCs/>
          <w:noProof/>
        </w:rPr>
        <w:t>and</w:t>
      </w:r>
      <w:r w:rsidR="003E5E8F" w:rsidRPr="00CC3A37">
        <w:rPr>
          <w:bCs/>
          <w:noProof/>
        </w:rPr>
        <w:t>/or</w:t>
      </w:r>
      <w:r w:rsidR="009D0274" w:rsidRPr="00CC3A37">
        <w:rPr>
          <w:bCs/>
          <w:noProof/>
        </w:rPr>
        <w:t xml:space="preserve"> update the list of procedures and guidelines </w:t>
      </w:r>
      <w:r w:rsidRPr="00CC3A37">
        <w:rPr>
          <w:bCs/>
          <w:noProof/>
        </w:rPr>
        <w:t>relating to port State</w:t>
      </w:r>
      <w:r w:rsidR="00497896">
        <w:rPr>
          <w:bCs/>
          <w:noProof/>
        </w:rPr>
        <w:t xml:space="preserve"> control adopted by the Paris MO</w:t>
      </w:r>
      <w:r w:rsidRPr="00CC3A37">
        <w:rPr>
          <w:bCs/>
          <w:noProof/>
        </w:rPr>
        <w:t xml:space="preserve">U </w:t>
      </w:r>
      <w:r w:rsidR="003E5E8F" w:rsidRPr="00CC3A37">
        <w:rPr>
          <w:bCs/>
          <w:noProof/>
        </w:rPr>
        <w:t>set out in that Annex</w:t>
      </w:r>
      <w:r w:rsidRPr="00CC3A37">
        <w:rPr>
          <w:bCs/>
          <w:noProof/>
        </w:rPr>
        <w:t>.</w:t>
      </w:r>
      <w:r w:rsidR="003E5E8F" w:rsidRPr="00CC3A37">
        <w:rPr>
          <w:bCs/>
          <w:noProof/>
        </w:rPr>
        <w:t>’</w:t>
      </w:r>
      <w:r w:rsidRPr="00CC3A37">
        <w:rPr>
          <w:bCs/>
          <w:noProof/>
        </w:rPr>
        <w:t xml:space="preserve"> </w:t>
      </w:r>
    </w:p>
    <w:p w14:paraId="7A11C5F2" w14:textId="18DBFADF" w:rsidR="008615F7" w:rsidRDefault="00FE14A2" w:rsidP="00FE14A2">
      <w:pPr>
        <w:pStyle w:val="Point0"/>
        <w:rPr>
          <w:noProof/>
        </w:rPr>
      </w:pPr>
      <w:r w:rsidRPr="00FE14A2">
        <w:t>(20)</w:t>
      </w:r>
      <w:r w:rsidRPr="00FE14A2">
        <w:tab/>
      </w:r>
      <w:r w:rsidR="008615F7">
        <w:rPr>
          <w:noProof/>
        </w:rPr>
        <w:t>in Article 31</w:t>
      </w:r>
      <w:r w:rsidR="008615F7" w:rsidRPr="008615F7">
        <w:rPr>
          <w:noProof/>
        </w:rPr>
        <w:t xml:space="preserve"> the </w:t>
      </w:r>
      <w:r w:rsidR="008615F7">
        <w:rPr>
          <w:noProof/>
        </w:rPr>
        <w:t>following is inserted</w:t>
      </w:r>
      <w:r w:rsidR="008615F7" w:rsidRPr="008615F7">
        <w:rPr>
          <w:noProof/>
        </w:rPr>
        <w:t xml:space="preserve">: </w:t>
      </w:r>
    </w:p>
    <w:p w14:paraId="16E3C48F" w14:textId="77777777" w:rsidR="008615F7" w:rsidRPr="00CC3A37" w:rsidRDefault="008615F7" w:rsidP="008615F7">
      <w:pPr>
        <w:pStyle w:val="Point1"/>
        <w:ind w:left="851" w:firstLine="0"/>
        <w:rPr>
          <w:bCs/>
          <w:noProof/>
        </w:rPr>
      </w:pPr>
      <w:r w:rsidRPr="008615F7">
        <w:rPr>
          <w:bCs/>
          <w:noProof/>
        </w:rPr>
        <w:t>‘</w:t>
      </w:r>
      <w:r w:rsidR="00340D1E">
        <w:rPr>
          <w:bCs/>
          <w:noProof/>
        </w:rPr>
        <w:t xml:space="preserve">4. </w:t>
      </w:r>
      <w:r w:rsidRPr="008615F7">
        <w:rPr>
          <w:bCs/>
          <w:noProof/>
        </w:rPr>
        <w:t xml:space="preserve">Amendments to the </w:t>
      </w:r>
      <w:r>
        <w:rPr>
          <w:bCs/>
          <w:noProof/>
        </w:rPr>
        <w:t>relevant instruments listed in Article 2</w:t>
      </w:r>
      <w:r w:rsidRPr="008615F7">
        <w:rPr>
          <w:bCs/>
          <w:noProof/>
        </w:rPr>
        <w:t xml:space="preserve"> </w:t>
      </w:r>
      <w:r w:rsidR="00340D1E">
        <w:rPr>
          <w:bCs/>
          <w:noProof/>
        </w:rPr>
        <w:t xml:space="preserve">point 1 </w:t>
      </w:r>
      <w:r w:rsidRPr="008615F7">
        <w:rPr>
          <w:bCs/>
          <w:noProof/>
        </w:rPr>
        <w:t>may be excluded from the scope of this Directive pursuant to Article 5 of Regulation (EC) No 2099/2002.’</w:t>
      </w:r>
    </w:p>
    <w:p w14:paraId="3AF86E4D" w14:textId="0B06A45B" w:rsidR="00267F1A" w:rsidRDefault="00FE14A2" w:rsidP="00FE14A2">
      <w:pPr>
        <w:pStyle w:val="Point0"/>
        <w:rPr>
          <w:noProof/>
        </w:rPr>
      </w:pPr>
      <w:r w:rsidRPr="00FE14A2">
        <w:t>(21)</w:t>
      </w:r>
      <w:r w:rsidRPr="00FE14A2">
        <w:tab/>
      </w:r>
      <w:r w:rsidR="00267F1A" w:rsidRPr="00267F1A">
        <w:rPr>
          <w:noProof/>
        </w:rPr>
        <w:t>Article 3</w:t>
      </w:r>
      <w:r w:rsidR="002A3B06">
        <w:rPr>
          <w:noProof/>
        </w:rPr>
        <w:t>3</w:t>
      </w:r>
      <w:r w:rsidR="00267F1A" w:rsidRPr="00267F1A">
        <w:rPr>
          <w:noProof/>
        </w:rPr>
        <w:t xml:space="preserve"> is replaced by the following:</w:t>
      </w:r>
    </w:p>
    <w:p w14:paraId="67AC5D55" w14:textId="77777777" w:rsidR="00267F1A" w:rsidRDefault="00267F1A" w:rsidP="00267F1A">
      <w:pPr>
        <w:pStyle w:val="Titrearticle"/>
        <w:rPr>
          <w:noProof/>
        </w:rPr>
      </w:pPr>
      <w:r>
        <w:rPr>
          <w:noProof/>
        </w:rPr>
        <w:t>‘Article 33</w:t>
      </w:r>
    </w:p>
    <w:p w14:paraId="5A856C28" w14:textId="77777777" w:rsidR="00267F1A" w:rsidRDefault="00267F1A" w:rsidP="00267F1A">
      <w:pPr>
        <w:pStyle w:val="Typeacteprincipal"/>
        <w:rPr>
          <w:noProof/>
        </w:rPr>
      </w:pPr>
      <w:r>
        <w:rPr>
          <w:noProof/>
        </w:rPr>
        <w:t>Implementing rules</w:t>
      </w:r>
    </w:p>
    <w:p w14:paraId="4B93120C" w14:textId="77777777" w:rsidR="00267F1A" w:rsidRDefault="00267F1A" w:rsidP="00415748">
      <w:pPr>
        <w:pStyle w:val="Text1"/>
        <w:rPr>
          <w:noProof/>
        </w:rPr>
      </w:pPr>
      <w:r>
        <w:rPr>
          <w:noProof/>
        </w:rPr>
        <w:t xml:space="preserve">When establishing the implementing rules referred to in Articles 2(2) 3(4a), </w:t>
      </w:r>
      <w:r w:rsidR="00497896">
        <w:rPr>
          <w:noProof/>
        </w:rPr>
        <w:t xml:space="preserve">10(3), </w:t>
      </w:r>
      <w:r>
        <w:rPr>
          <w:noProof/>
        </w:rPr>
        <w:t xml:space="preserve">10(4), 14(4), 15(3), 18a(7), 23(5) 24a(6) and </w:t>
      </w:r>
      <w:r w:rsidR="0002622D">
        <w:rPr>
          <w:noProof/>
        </w:rPr>
        <w:t xml:space="preserve">Article </w:t>
      </w:r>
      <w:r>
        <w:rPr>
          <w:noProof/>
        </w:rPr>
        <w:t>27 in accordance with the procedures referred to in Article 31(</w:t>
      </w:r>
      <w:r w:rsidR="00497896">
        <w:rPr>
          <w:noProof/>
        </w:rPr>
        <w:t>2</w:t>
      </w:r>
      <w:r>
        <w:rPr>
          <w:noProof/>
        </w:rPr>
        <w:t>), the Commission shall take specific care that those rules take into account the expertise and experience gained with the inspection system in the Union and build upon the expertise of the Paris MOU.’</w:t>
      </w:r>
    </w:p>
    <w:p w14:paraId="64283631" w14:textId="2E97A7A1" w:rsidR="001127F3" w:rsidRPr="00D8040C" w:rsidRDefault="00FE14A2" w:rsidP="00FE14A2">
      <w:pPr>
        <w:pStyle w:val="Point0"/>
        <w:rPr>
          <w:noProof/>
        </w:rPr>
      </w:pPr>
      <w:r w:rsidRPr="00FE14A2">
        <w:t>(22)</w:t>
      </w:r>
      <w:r w:rsidRPr="00FE14A2">
        <w:tab/>
      </w:r>
      <w:r w:rsidR="00AF3D0D">
        <w:rPr>
          <w:noProof/>
        </w:rPr>
        <w:t xml:space="preserve">Article </w:t>
      </w:r>
      <w:r w:rsidR="00EE40B7">
        <w:rPr>
          <w:noProof/>
        </w:rPr>
        <w:t>35</w:t>
      </w:r>
      <w:r w:rsidR="00AF3D0D">
        <w:rPr>
          <w:noProof/>
        </w:rPr>
        <w:t xml:space="preserve"> is replaced by the following:</w:t>
      </w:r>
    </w:p>
    <w:p w14:paraId="75B3DBDA" w14:textId="77777777" w:rsidR="003516BB" w:rsidRPr="00BD09BA" w:rsidRDefault="00F5023A" w:rsidP="00DA13CC">
      <w:pPr>
        <w:pStyle w:val="Titrearticle"/>
        <w:rPr>
          <w:noProof/>
          <w:lang w:val="en-US"/>
        </w:rPr>
      </w:pPr>
      <w:r>
        <w:rPr>
          <w:noProof/>
          <w:lang w:val="en-US"/>
        </w:rPr>
        <w:t>‘</w:t>
      </w:r>
      <w:r w:rsidR="003516BB" w:rsidRPr="00BD09BA">
        <w:rPr>
          <w:noProof/>
          <w:lang w:val="en-US"/>
        </w:rPr>
        <w:t xml:space="preserve">Article </w:t>
      </w:r>
      <w:r w:rsidR="00EE40B7">
        <w:rPr>
          <w:noProof/>
          <w:lang w:val="en-US"/>
        </w:rPr>
        <w:t>35</w:t>
      </w:r>
    </w:p>
    <w:p w14:paraId="1006232C" w14:textId="77777777" w:rsidR="00ED5C09" w:rsidRPr="00BD09BA" w:rsidRDefault="008C1CC4" w:rsidP="00DA13CC">
      <w:pPr>
        <w:pStyle w:val="Typeacteprincipal"/>
        <w:rPr>
          <w:noProof/>
        </w:rPr>
      </w:pPr>
      <w:r>
        <w:rPr>
          <w:noProof/>
        </w:rPr>
        <w:t>Implementation review</w:t>
      </w:r>
    </w:p>
    <w:p w14:paraId="568014E4" w14:textId="77777777" w:rsidR="00314011" w:rsidRDefault="003516BB" w:rsidP="003E5E8F">
      <w:pPr>
        <w:pStyle w:val="Text1"/>
        <w:rPr>
          <w:rFonts w:cstheme="minorHAnsi"/>
          <w:iCs/>
          <w:noProof/>
        </w:rPr>
      </w:pPr>
      <w:r w:rsidRPr="00BD09BA">
        <w:rPr>
          <w:noProof/>
          <w:lang w:val="en-US"/>
        </w:rPr>
        <w:t xml:space="preserve">The Commission shall by </w:t>
      </w:r>
      <w:r w:rsidRPr="00173542">
        <w:rPr>
          <w:rFonts w:cstheme="minorHAnsi"/>
          <w:i/>
          <w:noProof/>
        </w:rPr>
        <w:t>[</w:t>
      </w:r>
      <w:r w:rsidR="00173542" w:rsidRPr="00173542">
        <w:rPr>
          <w:rFonts w:cstheme="minorHAnsi"/>
          <w:i/>
          <w:noProof/>
        </w:rPr>
        <w:t>OP</w:t>
      </w:r>
      <w:r w:rsidR="00295CB6" w:rsidRPr="00173542">
        <w:rPr>
          <w:rFonts w:cstheme="minorHAnsi"/>
          <w:i/>
          <w:noProof/>
        </w:rPr>
        <w:t xml:space="preserve">: </w:t>
      </w:r>
      <w:r w:rsidR="00AF1E51" w:rsidRPr="00173542">
        <w:rPr>
          <w:rFonts w:cstheme="minorHAnsi"/>
          <w:i/>
          <w:noProof/>
        </w:rPr>
        <w:t>Please insert a date</w:t>
      </w:r>
      <w:r w:rsidR="00295CB6" w:rsidRPr="00173542">
        <w:rPr>
          <w:rFonts w:cstheme="minorHAnsi"/>
          <w:i/>
          <w:noProof/>
        </w:rPr>
        <w:t>:</w:t>
      </w:r>
      <w:r w:rsidR="00AF1E51" w:rsidRPr="00173542">
        <w:rPr>
          <w:rFonts w:cstheme="minorHAnsi"/>
          <w:i/>
          <w:noProof/>
        </w:rPr>
        <w:t xml:space="preserve"> </w:t>
      </w:r>
      <w:r w:rsidRPr="00173542">
        <w:rPr>
          <w:rFonts w:cstheme="minorHAnsi"/>
          <w:i/>
          <w:noProof/>
        </w:rPr>
        <w:t>ten years from</w:t>
      </w:r>
      <w:r w:rsidR="001276D9" w:rsidRPr="00173542">
        <w:rPr>
          <w:rFonts w:cstheme="minorHAnsi"/>
          <w:i/>
          <w:noProof/>
        </w:rPr>
        <w:t xml:space="preserve"> </w:t>
      </w:r>
      <w:r w:rsidRPr="00173542">
        <w:rPr>
          <w:rFonts w:cstheme="minorHAnsi"/>
          <w:i/>
          <w:noProof/>
        </w:rPr>
        <w:t>the date of entry into fo</w:t>
      </w:r>
      <w:r w:rsidR="008C1CC4">
        <w:rPr>
          <w:rFonts w:cstheme="minorHAnsi"/>
          <w:i/>
          <w:noProof/>
        </w:rPr>
        <w:t>rce of this amending Directive]</w:t>
      </w:r>
      <w:r w:rsidR="008C1CC4" w:rsidRPr="008C1CC4">
        <w:rPr>
          <w:rFonts w:cstheme="minorHAnsi"/>
          <w:iCs/>
          <w:noProof/>
        </w:rPr>
        <w:t xml:space="preserve"> submit a report to the European Parliament and the Council on the implementation of, and compliance with, this Directive</w:t>
      </w:r>
      <w:r w:rsidR="003E5E8F">
        <w:rPr>
          <w:rFonts w:cstheme="minorHAnsi"/>
          <w:iCs/>
          <w:noProof/>
        </w:rPr>
        <w:t>.</w:t>
      </w:r>
      <w:r w:rsidR="00F5023A">
        <w:rPr>
          <w:rFonts w:cstheme="minorHAnsi"/>
          <w:iCs/>
          <w:noProof/>
        </w:rPr>
        <w:t>’</w:t>
      </w:r>
      <w:r w:rsidR="003E5E8F">
        <w:rPr>
          <w:rFonts w:cstheme="minorHAnsi"/>
          <w:iCs/>
          <w:noProof/>
        </w:rPr>
        <w:t xml:space="preserve"> </w:t>
      </w:r>
    </w:p>
    <w:p w14:paraId="0AAE5ABA" w14:textId="13C2ADF1" w:rsidR="00CF58A8" w:rsidRDefault="00FE14A2" w:rsidP="00FE14A2">
      <w:pPr>
        <w:pStyle w:val="Point0"/>
        <w:rPr>
          <w:noProof/>
        </w:rPr>
      </w:pPr>
      <w:r w:rsidRPr="00FE14A2">
        <w:t>(23)</w:t>
      </w:r>
      <w:r w:rsidRPr="00FE14A2">
        <w:tab/>
      </w:r>
      <w:r w:rsidR="00CF58A8">
        <w:rPr>
          <w:noProof/>
        </w:rPr>
        <w:t>Annex I</w:t>
      </w:r>
      <w:r w:rsidR="00867CF7">
        <w:rPr>
          <w:noProof/>
        </w:rPr>
        <w:t xml:space="preserve"> </w:t>
      </w:r>
      <w:r w:rsidR="0002622D">
        <w:rPr>
          <w:noProof/>
        </w:rPr>
        <w:t xml:space="preserve">is amended in accordance with </w:t>
      </w:r>
      <w:r w:rsidR="00CF58A8">
        <w:rPr>
          <w:noProof/>
        </w:rPr>
        <w:t xml:space="preserve">Annex </w:t>
      </w:r>
      <w:r w:rsidR="000933D3">
        <w:rPr>
          <w:noProof/>
        </w:rPr>
        <w:t xml:space="preserve">I </w:t>
      </w:r>
      <w:r w:rsidR="00867CF7">
        <w:rPr>
          <w:noProof/>
        </w:rPr>
        <w:t xml:space="preserve">to this Directive. </w:t>
      </w:r>
    </w:p>
    <w:p w14:paraId="5DDB5AA0" w14:textId="738A17DF" w:rsidR="000933D3" w:rsidRPr="000933D3" w:rsidRDefault="00FE14A2" w:rsidP="00FE14A2">
      <w:pPr>
        <w:pStyle w:val="Point0"/>
        <w:rPr>
          <w:noProof/>
        </w:rPr>
      </w:pPr>
      <w:r w:rsidRPr="00FE14A2">
        <w:t>(24)</w:t>
      </w:r>
      <w:r w:rsidRPr="00FE14A2">
        <w:tab/>
      </w:r>
      <w:r w:rsidR="000933D3" w:rsidRPr="000933D3">
        <w:rPr>
          <w:noProof/>
        </w:rPr>
        <w:t xml:space="preserve">Annex II </w:t>
      </w:r>
      <w:r w:rsidR="00951E8E">
        <w:rPr>
          <w:noProof/>
        </w:rPr>
        <w:t>is</w:t>
      </w:r>
      <w:r w:rsidR="000933D3" w:rsidRPr="000933D3">
        <w:rPr>
          <w:noProof/>
        </w:rPr>
        <w:t xml:space="preserve"> replaced by the text in Annex </w:t>
      </w:r>
      <w:r w:rsidR="000933D3">
        <w:rPr>
          <w:noProof/>
        </w:rPr>
        <w:t xml:space="preserve">II </w:t>
      </w:r>
      <w:r w:rsidR="000933D3" w:rsidRPr="000933D3">
        <w:rPr>
          <w:noProof/>
        </w:rPr>
        <w:t xml:space="preserve">to this Directive. </w:t>
      </w:r>
    </w:p>
    <w:p w14:paraId="433089C9" w14:textId="70C5E90A" w:rsidR="002864AB" w:rsidRDefault="00FE14A2" w:rsidP="00FE14A2">
      <w:pPr>
        <w:pStyle w:val="Point0"/>
        <w:rPr>
          <w:noProof/>
        </w:rPr>
      </w:pPr>
      <w:r w:rsidRPr="00FE14A2">
        <w:t>(25)</w:t>
      </w:r>
      <w:r w:rsidRPr="00FE14A2">
        <w:tab/>
      </w:r>
      <w:r w:rsidR="002864AB">
        <w:rPr>
          <w:noProof/>
        </w:rPr>
        <w:t>Annex III is deleted</w:t>
      </w:r>
      <w:r w:rsidR="008A720F">
        <w:rPr>
          <w:noProof/>
        </w:rPr>
        <w:t>.</w:t>
      </w:r>
    </w:p>
    <w:p w14:paraId="3822BFCF" w14:textId="3A733506" w:rsidR="000933D3" w:rsidRDefault="00FE14A2" w:rsidP="00FE14A2">
      <w:pPr>
        <w:pStyle w:val="Point0"/>
        <w:rPr>
          <w:noProof/>
        </w:rPr>
      </w:pPr>
      <w:r w:rsidRPr="00FE14A2">
        <w:t>(26)</w:t>
      </w:r>
      <w:r w:rsidRPr="00FE14A2">
        <w:tab/>
      </w:r>
      <w:r w:rsidR="000933D3" w:rsidRPr="000933D3">
        <w:rPr>
          <w:noProof/>
        </w:rPr>
        <w:t xml:space="preserve">Annex IV </w:t>
      </w:r>
      <w:r w:rsidR="00951E8E">
        <w:rPr>
          <w:noProof/>
        </w:rPr>
        <w:t>is</w:t>
      </w:r>
      <w:r w:rsidR="000933D3" w:rsidRPr="000933D3">
        <w:rPr>
          <w:noProof/>
        </w:rPr>
        <w:t xml:space="preserve"> replaced by the text in Annex </w:t>
      </w:r>
      <w:r w:rsidR="000933D3">
        <w:rPr>
          <w:noProof/>
        </w:rPr>
        <w:t xml:space="preserve">III </w:t>
      </w:r>
      <w:r w:rsidR="000933D3" w:rsidRPr="000933D3">
        <w:rPr>
          <w:noProof/>
        </w:rPr>
        <w:t xml:space="preserve">to this Directive. </w:t>
      </w:r>
    </w:p>
    <w:p w14:paraId="28252F3C" w14:textId="4F6A4202" w:rsidR="00951E8E" w:rsidRPr="00951E8E" w:rsidRDefault="00FE14A2" w:rsidP="00FE14A2">
      <w:pPr>
        <w:pStyle w:val="Point0"/>
        <w:rPr>
          <w:noProof/>
        </w:rPr>
      </w:pPr>
      <w:r w:rsidRPr="00FE14A2">
        <w:t>(27)</w:t>
      </w:r>
      <w:r w:rsidRPr="00FE14A2">
        <w:tab/>
      </w:r>
      <w:r w:rsidR="00951E8E">
        <w:rPr>
          <w:noProof/>
        </w:rPr>
        <w:t xml:space="preserve">Annex V </w:t>
      </w:r>
      <w:r w:rsidR="00951E8E" w:rsidRPr="00951E8E">
        <w:rPr>
          <w:noProof/>
        </w:rPr>
        <w:t>is replaced by the text in Annex I</w:t>
      </w:r>
      <w:r w:rsidR="00951E8E">
        <w:rPr>
          <w:noProof/>
        </w:rPr>
        <w:t>V</w:t>
      </w:r>
      <w:r w:rsidR="00951E8E" w:rsidRPr="00951E8E">
        <w:rPr>
          <w:noProof/>
        </w:rPr>
        <w:t xml:space="preserve"> to this Directive. </w:t>
      </w:r>
    </w:p>
    <w:p w14:paraId="3591CBC4" w14:textId="37B254C1" w:rsidR="000933D3" w:rsidRDefault="00FE14A2" w:rsidP="00FE14A2">
      <w:pPr>
        <w:pStyle w:val="Point0"/>
        <w:rPr>
          <w:noProof/>
        </w:rPr>
      </w:pPr>
      <w:r w:rsidRPr="00FE14A2">
        <w:t>(28)</w:t>
      </w:r>
      <w:r w:rsidRPr="00FE14A2">
        <w:tab/>
      </w:r>
      <w:r w:rsidR="004B6474">
        <w:rPr>
          <w:noProof/>
        </w:rPr>
        <w:t>Annex VIII is replaced by the text in Annex V to this Directive</w:t>
      </w:r>
      <w:r w:rsidR="00F5023A">
        <w:rPr>
          <w:noProof/>
        </w:rPr>
        <w:t>.</w:t>
      </w:r>
      <w:r w:rsidR="004B6474">
        <w:rPr>
          <w:noProof/>
        </w:rPr>
        <w:t xml:space="preserve"> </w:t>
      </w:r>
    </w:p>
    <w:p w14:paraId="3542F62B" w14:textId="77777777" w:rsidR="005B3330" w:rsidRPr="00BD09BA" w:rsidRDefault="005B3330" w:rsidP="007800DD">
      <w:pPr>
        <w:pStyle w:val="Titrearticle"/>
        <w:keepLines/>
        <w:rPr>
          <w:noProof/>
        </w:rPr>
      </w:pPr>
      <w:r w:rsidRPr="00BD09BA">
        <w:rPr>
          <w:noProof/>
        </w:rPr>
        <w:t>Article</w:t>
      </w:r>
      <w:r w:rsidR="00B12B57" w:rsidRPr="00BD09BA">
        <w:rPr>
          <w:noProof/>
        </w:rPr>
        <w:t xml:space="preserve"> 2</w:t>
      </w:r>
    </w:p>
    <w:p w14:paraId="64EAB2E6" w14:textId="77777777" w:rsidR="00B12B57" w:rsidRPr="0074521C" w:rsidRDefault="00B12B57" w:rsidP="00DA13CC">
      <w:pPr>
        <w:pStyle w:val="Typeacteprincipal"/>
        <w:rPr>
          <w:noProof/>
        </w:rPr>
      </w:pPr>
      <w:r w:rsidRPr="0074521C">
        <w:rPr>
          <w:noProof/>
        </w:rPr>
        <w:t>Transposition</w:t>
      </w:r>
      <w:r w:rsidR="0039246D" w:rsidRPr="0074521C">
        <w:rPr>
          <w:noProof/>
        </w:rPr>
        <w:t xml:space="preserve"> </w:t>
      </w:r>
    </w:p>
    <w:p w14:paraId="1ADE153F" w14:textId="77777777" w:rsidR="005B3330" w:rsidRPr="00BD09BA" w:rsidRDefault="005B3330" w:rsidP="007800DD">
      <w:pPr>
        <w:keepNext/>
        <w:keepLines/>
        <w:rPr>
          <w:noProof/>
        </w:rPr>
      </w:pPr>
    </w:p>
    <w:p w14:paraId="54E1D6BF" w14:textId="77777777" w:rsidR="00B12B57" w:rsidRPr="00BD09BA" w:rsidRDefault="005B3330">
      <w:pPr>
        <w:pStyle w:val="ManualNumPar1"/>
        <w:rPr>
          <w:noProof/>
        </w:rPr>
      </w:pPr>
      <w:r w:rsidRPr="00BD09BA">
        <w:rPr>
          <w:noProof/>
        </w:rPr>
        <w:t>1.</w:t>
      </w:r>
      <w:r w:rsidRPr="00BD09BA">
        <w:rPr>
          <w:noProof/>
        </w:rPr>
        <w:tab/>
      </w:r>
      <w:r w:rsidR="00092280" w:rsidRPr="00BD09BA">
        <w:rPr>
          <w:noProof/>
        </w:rPr>
        <w:t>Member States shall adopt and publish</w:t>
      </w:r>
      <w:r w:rsidR="00C757C9">
        <w:rPr>
          <w:noProof/>
        </w:rPr>
        <w:t>,</w:t>
      </w:r>
      <w:r w:rsidR="00C757C9" w:rsidRPr="00C757C9">
        <w:rPr>
          <w:noProof/>
        </w:rPr>
        <w:t xml:space="preserve"> </w:t>
      </w:r>
      <w:r w:rsidR="00C757C9">
        <w:rPr>
          <w:noProof/>
        </w:rPr>
        <w:t>b</w:t>
      </w:r>
      <w:r w:rsidR="00C757C9" w:rsidRPr="00C757C9">
        <w:rPr>
          <w:noProof/>
        </w:rPr>
        <w:t xml:space="preserve">y </w:t>
      </w:r>
      <w:r w:rsidR="00C757C9" w:rsidRPr="00521F1C">
        <w:rPr>
          <w:rFonts w:cstheme="minorHAnsi"/>
          <w:i/>
          <w:noProof/>
        </w:rPr>
        <w:t>[</w:t>
      </w:r>
      <w:r w:rsidR="00521F1C" w:rsidRPr="00521F1C">
        <w:rPr>
          <w:rFonts w:cstheme="minorHAnsi"/>
          <w:i/>
          <w:noProof/>
        </w:rPr>
        <w:t>OP</w:t>
      </w:r>
      <w:r w:rsidR="00C0263A" w:rsidRPr="00521F1C">
        <w:rPr>
          <w:rFonts w:cstheme="minorHAnsi"/>
          <w:i/>
          <w:noProof/>
        </w:rPr>
        <w:t>: Please insert a date: one year from the date of entry into force of this amending Directive]</w:t>
      </w:r>
      <w:r w:rsidR="00C0263A" w:rsidRPr="00521F1C">
        <w:rPr>
          <w:noProof/>
        </w:rPr>
        <w:t xml:space="preserve"> </w:t>
      </w:r>
      <w:r w:rsidR="00092280" w:rsidRPr="00521F1C">
        <w:rPr>
          <w:noProof/>
        </w:rPr>
        <w:t>the laws</w:t>
      </w:r>
      <w:r w:rsidR="00092280" w:rsidRPr="00BD09BA">
        <w:rPr>
          <w:noProof/>
        </w:rPr>
        <w:t>, regulations and administrative provisions necessary to comply with this Directive. They shall forthwith communicate to the Commission the text of those provisions.</w:t>
      </w:r>
    </w:p>
    <w:p w14:paraId="76F83473" w14:textId="77777777" w:rsidR="00CA160C" w:rsidRDefault="00B12B57" w:rsidP="00B75421">
      <w:pPr>
        <w:pStyle w:val="Text1"/>
        <w:rPr>
          <w:noProof/>
        </w:rPr>
      </w:pPr>
      <w:r w:rsidRPr="00BD09BA">
        <w:rPr>
          <w:noProof/>
        </w:rPr>
        <w:t xml:space="preserve">When Member States adopt those </w:t>
      </w:r>
      <w:r w:rsidR="00B75421" w:rsidRPr="00BD09BA">
        <w:rPr>
          <w:noProof/>
        </w:rPr>
        <w:t>provisions</w:t>
      </w:r>
      <w:r w:rsidRPr="00BD09BA">
        <w:rPr>
          <w:noProof/>
        </w:rPr>
        <w:t xml:space="preserve">, they shall contain a reference to this Directive or be accompanied by such reference on the occasion of their official publication. </w:t>
      </w:r>
      <w:r w:rsidR="00B75421" w:rsidRPr="00BD09BA">
        <w:rPr>
          <w:noProof/>
        </w:rPr>
        <w:t>Member States shall determine how such reference is to be made.</w:t>
      </w:r>
    </w:p>
    <w:p w14:paraId="2B012287" w14:textId="77777777" w:rsidR="005B3330" w:rsidRPr="00BD09BA" w:rsidRDefault="005B3330" w:rsidP="00C0263A">
      <w:pPr>
        <w:pStyle w:val="ManualNumPar1"/>
        <w:rPr>
          <w:noProof/>
        </w:rPr>
      </w:pPr>
      <w:r w:rsidRPr="00BD09BA">
        <w:rPr>
          <w:noProof/>
        </w:rPr>
        <w:t>2.</w:t>
      </w:r>
      <w:r w:rsidRPr="00BD09BA">
        <w:rPr>
          <w:noProof/>
        </w:rPr>
        <w:tab/>
        <w:t>Member States shall communicate to the Commission the text of the main provisions of national law which they adopt in the field covered by this Directive.</w:t>
      </w:r>
    </w:p>
    <w:p w14:paraId="65966D88" w14:textId="77777777" w:rsidR="00B12B57" w:rsidRPr="00BD09BA" w:rsidRDefault="00B12B57" w:rsidP="00B12B57">
      <w:pPr>
        <w:pStyle w:val="Titrearticle"/>
        <w:keepLines/>
        <w:rPr>
          <w:noProof/>
        </w:rPr>
      </w:pPr>
      <w:r w:rsidRPr="00BD09BA">
        <w:rPr>
          <w:noProof/>
        </w:rPr>
        <w:t>Article 3</w:t>
      </w:r>
    </w:p>
    <w:p w14:paraId="56F4E81A" w14:textId="77777777" w:rsidR="00B12B57" w:rsidRPr="0074521C" w:rsidRDefault="00B12B57" w:rsidP="00DA13CC">
      <w:pPr>
        <w:pStyle w:val="Typeacteprincipal"/>
        <w:rPr>
          <w:noProof/>
        </w:rPr>
      </w:pPr>
      <w:r w:rsidRPr="0074521C">
        <w:rPr>
          <w:noProof/>
        </w:rPr>
        <w:t>Entry into force</w:t>
      </w:r>
    </w:p>
    <w:p w14:paraId="0C79044A" w14:textId="77777777" w:rsidR="008B2F57" w:rsidRPr="00BD09BA" w:rsidRDefault="008B2F57" w:rsidP="008B2F57">
      <w:pPr>
        <w:spacing w:after="240"/>
        <w:rPr>
          <w:noProof/>
        </w:rPr>
      </w:pPr>
      <w:r w:rsidRPr="00BD09BA">
        <w:rPr>
          <w:noProof/>
        </w:rPr>
        <w:t xml:space="preserve">This Directive shall enter into force on the twentieth day following that of its publication in the </w:t>
      </w:r>
      <w:r w:rsidRPr="00C0263A">
        <w:rPr>
          <w:i/>
          <w:noProof/>
        </w:rPr>
        <w:t>Official Journal of the European Union</w:t>
      </w:r>
      <w:r w:rsidRPr="00BD09BA">
        <w:rPr>
          <w:noProof/>
        </w:rPr>
        <w:t>.</w:t>
      </w:r>
    </w:p>
    <w:p w14:paraId="19A6525E" w14:textId="77777777" w:rsidR="005B3330" w:rsidRDefault="005B3330" w:rsidP="008B2F57">
      <w:pPr>
        <w:pStyle w:val="Titrearticle"/>
        <w:rPr>
          <w:noProof/>
        </w:rPr>
      </w:pPr>
      <w:r w:rsidRPr="00BD09BA">
        <w:rPr>
          <w:noProof/>
        </w:rPr>
        <w:t>Article</w:t>
      </w:r>
      <w:r w:rsidR="00B12B57" w:rsidRPr="00BD09BA">
        <w:rPr>
          <w:noProof/>
        </w:rPr>
        <w:t xml:space="preserve"> 4</w:t>
      </w:r>
    </w:p>
    <w:p w14:paraId="1CB29E91" w14:textId="77777777" w:rsidR="00AD2DEF" w:rsidRPr="0074521C" w:rsidRDefault="00AD2DEF" w:rsidP="00DA13CC">
      <w:pPr>
        <w:pStyle w:val="Typeacteprincipal"/>
        <w:rPr>
          <w:noProof/>
        </w:rPr>
      </w:pPr>
      <w:r w:rsidRPr="0074521C">
        <w:rPr>
          <w:noProof/>
        </w:rPr>
        <w:t>Addressees</w:t>
      </w:r>
    </w:p>
    <w:p w14:paraId="0B79DFEB" w14:textId="77777777" w:rsidR="005B3330" w:rsidRDefault="005B3330" w:rsidP="007800DD">
      <w:pPr>
        <w:keepNext/>
        <w:keepLines/>
        <w:rPr>
          <w:noProof/>
        </w:rPr>
      </w:pPr>
      <w:r w:rsidRPr="00BD09BA">
        <w:rPr>
          <w:noProof/>
        </w:rPr>
        <w:t>This Directive is addressed to the Member States.</w:t>
      </w:r>
    </w:p>
    <w:p w14:paraId="5D8FF989" w14:textId="77777777" w:rsidR="00F83619" w:rsidRPr="00BD09BA" w:rsidRDefault="00F83619" w:rsidP="007800DD">
      <w:pPr>
        <w:keepNext/>
        <w:keepLines/>
        <w:rPr>
          <w:noProof/>
        </w:rPr>
      </w:pPr>
    </w:p>
    <w:p w14:paraId="7764DB53" w14:textId="4CB02D67" w:rsidR="005B3330" w:rsidRPr="00BD09BA" w:rsidRDefault="000E5A7B" w:rsidP="00052561">
      <w:pPr>
        <w:pStyle w:val="Fait"/>
        <w:rPr>
          <w:noProof/>
        </w:rPr>
      </w:pPr>
      <w:r w:rsidRPr="000E5A7B">
        <w:t>Done at Brussels,</w:t>
      </w:r>
    </w:p>
    <w:p w14:paraId="733F0832" w14:textId="77777777" w:rsidR="005B3330" w:rsidRPr="00BD09BA" w:rsidRDefault="005B3330" w:rsidP="00052561">
      <w:pPr>
        <w:pStyle w:val="Institutionquisigne"/>
        <w:rPr>
          <w:noProof/>
        </w:rPr>
      </w:pPr>
      <w:r w:rsidRPr="00BD09BA">
        <w:rPr>
          <w:noProof/>
        </w:rPr>
        <w:t>For the European Parliament</w:t>
      </w:r>
      <w:r w:rsidRPr="00BD09BA">
        <w:rPr>
          <w:noProof/>
        </w:rPr>
        <w:tab/>
        <w:t>For the Council</w:t>
      </w:r>
    </w:p>
    <w:p w14:paraId="542A488B" w14:textId="77777777" w:rsidR="00F001BC" w:rsidRPr="001373CB" w:rsidRDefault="004B2D5F" w:rsidP="005A4362">
      <w:pPr>
        <w:pStyle w:val="Personnequisigne"/>
        <w:rPr>
          <w:b/>
          <w:noProof/>
        </w:rPr>
      </w:pPr>
      <w:r>
        <w:rPr>
          <w:noProof/>
        </w:rPr>
        <w:t>The President</w:t>
      </w:r>
      <w:r>
        <w:rPr>
          <w:noProof/>
        </w:rPr>
        <w:tab/>
        <w:t>The President</w:t>
      </w:r>
    </w:p>
    <w:p w14:paraId="752DE95D" w14:textId="77777777" w:rsidR="00F001BC" w:rsidRDefault="00F001BC" w:rsidP="00F001BC">
      <w:pPr>
        <w:rPr>
          <w:noProof/>
        </w:rPr>
        <w:sectPr w:rsidR="00F001BC" w:rsidSect="00E321BE">
          <w:footerReference w:type="default" r:id="rId13"/>
          <w:footerReference w:type="first" r:id="rId14"/>
          <w:pgSz w:w="12240" w:h="15840"/>
          <w:pgMar w:top="794" w:right="907" w:bottom="851" w:left="1361" w:header="510" w:footer="454" w:gutter="0"/>
          <w:cols w:space="720"/>
          <w:docGrid w:linePitch="326"/>
        </w:sectPr>
      </w:pPr>
    </w:p>
    <w:p w14:paraId="7D5E9210" w14:textId="77777777" w:rsidR="00F001BC" w:rsidRPr="003758C2" w:rsidRDefault="00F001BC" w:rsidP="001373CB">
      <w:pPr>
        <w:pStyle w:val="Fichefinanciretitre"/>
        <w:rPr>
          <w:noProof/>
        </w:rPr>
      </w:pPr>
      <w:r w:rsidRPr="001373CB">
        <w:rPr>
          <w:noProof/>
        </w:rPr>
        <w:br/>
      </w:r>
      <w:r>
        <w:rPr>
          <w:noProof/>
        </w:rPr>
        <w:br/>
      </w:r>
      <w:r w:rsidRPr="003758C2">
        <w:rPr>
          <w:noProof/>
        </w:rPr>
        <w:t>LEGISLATIVE FINANCIAL STATEMENT 'AGENCIES'</w:t>
      </w:r>
    </w:p>
    <w:p w14:paraId="301664A1" w14:textId="77777777" w:rsidR="00F001BC" w:rsidRDefault="00F001BC" w:rsidP="00F001BC">
      <w:pPr>
        <w:pStyle w:val="ManualHeading1"/>
        <w:rPr>
          <w:bCs/>
          <w:noProof/>
          <w:szCs w:val="24"/>
        </w:rPr>
      </w:pPr>
      <w:bookmarkStart w:id="1" w:name="_Toc514938659"/>
      <w:bookmarkStart w:id="2" w:name="_Toc520485418"/>
      <w:r w:rsidRPr="006D222F">
        <w:rPr>
          <w:noProof/>
        </w:rPr>
        <w:t>1.</w:t>
      </w:r>
      <w:r w:rsidRPr="006D222F">
        <w:rPr>
          <w:noProof/>
        </w:rPr>
        <w:tab/>
      </w:r>
      <w:r>
        <w:rPr>
          <w:noProof/>
        </w:rPr>
        <w:t>FRAMEWORK OF THE PROPOSAL/INITIATIVE</w:t>
      </w:r>
      <w:bookmarkEnd w:id="1"/>
      <w:bookmarkEnd w:id="2"/>
      <w:r>
        <w:rPr>
          <w:noProof/>
        </w:rPr>
        <w:t xml:space="preserve"> </w:t>
      </w:r>
    </w:p>
    <w:p w14:paraId="661F2EDB" w14:textId="77777777" w:rsidR="00F001BC" w:rsidRPr="00A81230" w:rsidRDefault="00F001BC" w:rsidP="00F001BC">
      <w:pPr>
        <w:pStyle w:val="ManualHeading2"/>
        <w:rPr>
          <w:bCs/>
          <w:noProof/>
          <w:szCs w:val="24"/>
        </w:rPr>
      </w:pPr>
      <w:bookmarkStart w:id="3" w:name="_Toc514938660"/>
      <w:bookmarkStart w:id="4" w:name="_Toc520485419"/>
      <w:r w:rsidRPr="00A81230">
        <w:rPr>
          <w:noProof/>
        </w:rPr>
        <w:t>1.1.</w:t>
      </w:r>
      <w:r w:rsidRPr="00A81230">
        <w:rPr>
          <w:noProof/>
        </w:rPr>
        <w:tab/>
        <w:t>Title of the proposal/initiative</w:t>
      </w:r>
      <w:bookmarkEnd w:id="3"/>
      <w:bookmarkEnd w:id="4"/>
    </w:p>
    <w:p w14:paraId="55557481" w14:textId="77777777" w:rsidR="00F001BC" w:rsidRPr="00A81230" w:rsidRDefault="00F001BC" w:rsidP="00F001BC">
      <w:pPr>
        <w:pStyle w:val="Text1"/>
        <w:pBdr>
          <w:top w:val="single" w:sz="4" w:space="1" w:color="auto"/>
          <w:left w:val="single" w:sz="4" w:space="4" w:color="auto"/>
          <w:bottom w:val="single" w:sz="4" w:space="1" w:color="auto"/>
          <w:right w:val="single" w:sz="4" w:space="4" w:color="auto"/>
        </w:pBdr>
        <w:rPr>
          <w:noProof/>
          <w:color w:val="0000FF"/>
        </w:rPr>
      </w:pPr>
      <w:r w:rsidRPr="00A81230">
        <w:rPr>
          <w:noProof/>
        </w:rPr>
        <w:t>Proposal for a Directive of the European Parliament and of the Council amending Directive 2009/16/EC on port State control</w:t>
      </w:r>
      <w:r w:rsidRPr="00A81230">
        <w:rPr>
          <w:noProof/>
          <w:color w:val="0000FF"/>
        </w:rPr>
        <w:t xml:space="preserve"> </w:t>
      </w:r>
    </w:p>
    <w:p w14:paraId="4A6356C0" w14:textId="77777777" w:rsidR="00F001BC" w:rsidRPr="00A81230" w:rsidRDefault="00F001BC" w:rsidP="00F001BC">
      <w:pPr>
        <w:pStyle w:val="ManualHeading2"/>
        <w:rPr>
          <w:bCs/>
          <w:noProof/>
          <w:szCs w:val="24"/>
        </w:rPr>
      </w:pPr>
      <w:bookmarkStart w:id="5" w:name="_Toc514938661"/>
      <w:bookmarkStart w:id="6" w:name="_Toc520485420"/>
      <w:r w:rsidRPr="00A81230">
        <w:rPr>
          <w:noProof/>
        </w:rPr>
        <w:t>1.2.</w:t>
      </w:r>
      <w:r w:rsidRPr="00A81230">
        <w:rPr>
          <w:noProof/>
        </w:rPr>
        <w:tab/>
        <w:t>Policy area(s) concerned</w:t>
      </w:r>
      <w:bookmarkEnd w:id="5"/>
      <w:bookmarkEnd w:id="6"/>
    </w:p>
    <w:p w14:paraId="6003CE14" w14:textId="77777777" w:rsidR="00F001BC" w:rsidRPr="00A81230" w:rsidRDefault="00F001BC" w:rsidP="00F001BC">
      <w:pPr>
        <w:pStyle w:val="Text1"/>
        <w:pBdr>
          <w:top w:val="single" w:sz="4" w:space="1" w:color="auto"/>
          <w:left w:val="single" w:sz="4" w:space="4" w:color="auto"/>
          <w:bottom w:val="single" w:sz="4" w:space="1" w:color="auto"/>
          <w:right w:val="single" w:sz="4" w:space="4" w:color="auto"/>
        </w:pBdr>
        <w:rPr>
          <w:noProof/>
        </w:rPr>
      </w:pPr>
      <w:r w:rsidRPr="00A81230">
        <w:rPr>
          <w:noProof/>
        </w:rPr>
        <w:t>Mobility and Transport – Maritime Safety</w:t>
      </w:r>
    </w:p>
    <w:p w14:paraId="0D05B64D" w14:textId="77777777" w:rsidR="00F001BC" w:rsidRPr="00A81230" w:rsidRDefault="00F001BC" w:rsidP="00F001BC">
      <w:pPr>
        <w:pStyle w:val="ManualHeading2"/>
        <w:rPr>
          <w:bCs/>
          <w:noProof/>
          <w:szCs w:val="24"/>
        </w:rPr>
      </w:pPr>
      <w:bookmarkStart w:id="7" w:name="_Toc514938662"/>
      <w:bookmarkStart w:id="8" w:name="_Toc520485421"/>
      <w:r w:rsidRPr="00A81230">
        <w:rPr>
          <w:noProof/>
        </w:rPr>
        <w:t>1.3.</w:t>
      </w:r>
      <w:r w:rsidRPr="00A81230">
        <w:rPr>
          <w:noProof/>
        </w:rPr>
        <w:tab/>
        <w:t>The proposal relates to</w:t>
      </w:r>
      <w:bookmarkEnd w:id="7"/>
      <w:bookmarkEnd w:id="8"/>
      <w:r w:rsidRPr="00A81230">
        <w:rPr>
          <w:noProof/>
        </w:rPr>
        <w:t xml:space="preserve"> </w:t>
      </w:r>
    </w:p>
    <w:p w14:paraId="2F2F6411" w14:textId="77777777" w:rsidR="00F001BC" w:rsidRPr="00A81230" w:rsidRDefault="00F001BC" w:rsidP="00F001BC">
      <w:pPr>
        <w:pStyle w:val="Text1"/>
        <w:rPr>
          <w:b/>
          <w:noProof/>
        </w:rPr>
      </w:pPr>
      <w:r w:rsidRPr="00A81230">
        <w:rPr>
          <w:noProof/>
        </w:rPr>
        <w:sym w:font="Wingdings" w:char="F0A8"/>
      </w:r>
      <w:r w:rsidRPr="00A81230">
        <w:rPr>
          <w:b/>
          <w:i/>
          <w:noProof/>
        </w:rPr>
        <w:t xml:space="preserve"> </w:t>
      </w:r>
      <w:r w:rsidRPr="00A81230">
        <w:rPr>
          <w:b/>
          <w:noProof/>
        </w:rPr>
        <w:t xml:space="preserve">a new action </w:t>
      </w:r>
    </w:p>
    <w:p w14:paraId="481EAD94" w14:textId="77777777" w:rsidR="00F001BC" w:rsidRPr="00A81230" w:rsidRDefault="00F001BC" w:rsidP="00F001BC">
      <w:pPr>
        <w:pStyle w:val="Text1"/>
        <w:rPr>
          <w:noProof/>
          <w:sz w:val="22"/>
        </w:rPr>
      </w:pPr>
      <w:r w:rsidRPr="00A81230">
        <w:rPr>
          <w:noProof/>
        </w:rPr>
        <w:sym w:font="Wingdings" w:char="F0A8"/>
      </w:r>
      <w:r w:rsidRPr="00A81230">
        <w:rPr>
          <w:i/>
          <w:noProof/>
        </w:rPr>
        <w:t xml:space="preserve"> </w:t>
      </w:r>
      <w:r w:rsidRPr="00A81230">
        <w:rPr>
          <w:b/>
          <w:noProof/>
        </w:rPr>
        <w:t>a new action following a pilot project/preparatory action</w:t>
      </w:r>
      <w:r w:rsidRPr="00A81230">
        <w:rPr>
          <w:rStyle w:val="FootnoteReference"/>
          <w:b/>
          <w:noProof/>
        </w:rPr>
        <w:footnoteReference w:id="31"/>
      </w:r>
      <w:r w:rsidRPr="00A81230">
        <w:rPr>
          <w:noProof/>
          <w:sz w:val="22"/>
        </w:rPr>
        <w:t xml:space="preserve"> </w:t>
      </w:r>
    </w:p>
    <w:p w14:paraId="5BF5D297" w14:textId="77777777" w:rsidR="00F001BC" w:rsidRPr="00A81230" w:rsidRDefault="00F001BC" w:rsidP="00F001BC">
      <w:pPr>
        <w:pStyle w:val="Text1"/>
        <w:rPr>
          <w:noProof/>
        </w:rPr>
      </w:pPr>
      <w:r w:rsidRPr="00A81230">
        <w:rPr>
          <w:noProof/>
        </w:rPr>
        <w:sym w:font="Wingdings" w:char="F0FE"/>
      </w:r>
      <w:r w:rsidRPr="00A81230">
        <w:rPr>
          <w:i/>
          <w:noProof/>
        </w:rPr>
        <w:t xml:space="preserve"> </w:t>
      </w:r>
      <w:r w:rsidRPr="00A81230">
        <w:rPr>
          <w:b/>
          <w:noProof/>
        </w:rPr>
        <w:t>the extension of an existing action</w:t>
      </w:r>
      <w:r w:rsidRPr="00A81230">
        <w:rPr>
          <w:noProof/>
        </w:rPr>
        <w:t xml:space="preserve"> </w:t>
      </w:r>
    </w:p>
    <w:p w14:paraId="009CE42B" w14:textId="77777777" w:rsidR="00F001BC" w:rsidRPr="00A81230" w:rsidRDefault="00F001BC" w:rsidP="00F001BC">
      <w:pPr>
        <w:pStyle w:val="Text1"/>
        <w:rPr>
          <w:noProof/>
        </w:rPr>
      </w:pPr>
      <w:r w:rsidRPr="00A81230">
        <w:rPr>
          <w:noProof/>
        </w:rPr>
        <w:sym w:font="Wingdings" w:char="F0A8"/>
      </w:r>
      <w:r w:rsidRPr="00A81230">
        <w:rPr>
          <w:i/>
          <w:noProof/>
        </w:rPr>
        <w:t xml:space="preserve"> </w:t>
      </w:r>
      <w:r w:rsidRPr="00A81230">
        <w:rPr>
          <w:b/>
          <w:noProof/>
        </w:rPr>
        <w:t>a merger of one or more</w:t>
      </w:r>
      <w:r w:rsidRPr="00A81230">
        <w:rPr>
          <w:noProof/>
        </w:rPr>
        <w:t xml:space="preserve"> </w:t>
      </w:r>
      <w:r w:rsidRPr="00A81230">
        <w:rPr>
          <w:b/>
          <w:noProof/>
        </w:rPr>
        <w:t>actions towards another/a new action</w:t>
      </w:r>
      <w:r w:rsidRPr="00A81230">
        <w:rPr>
          <w:noProof/>
        </w:rPr>
        <w:t xml:space="preserve"> </w:t>
      </w:r>
    </w:p>
    <w:p w14:paraId="1DE9FC05" w14:textId="77777777" w:rsidR="00F001BC" w:rsidRDefault="00F001BC" w:rsidP="00F001BC">
      <w:pPr>
        <w:pStyle w:val="ManualHeading2"/>
        <w:rPr>
          <w:bCs/>
          <w:noProof/>
          <w:szCs w:val="24"/>
        </w:rPr>
      </w:pPr>
      <w:bookmarkStart w:id="9" w:name="_Toc514938663"/>
      <w:bookmarkStart w:id="10" w:name="_Toc520485422"/>
      <w:r w:rsidRPr="00A81230">
        <w:rPr>
          <w:noProof/>
        </w:rPr>
        <w:t>1.4.</w:t>
      </w:r>
      <w:r w:rsidRPr="00A81230">
        <w:rPr>
          <w:noProof/>
        </w:rPr>
        <w:tab/>
        <w:t>Objective(s)</w:t>
      </w:r>
      <w:bookmarkEnd w:id="9"/>
      <w:bookmarkEnd w:id="10"/>
    </w:p>
    <w:p w14:paraId="347620B6" w14:textId="77777777" w:rsidR="00F001BC" w:rsidRDefault="00F001BC" w:rsidP="00F001BC">
      <w:pPr>
        <w:pStyle w:val="ManualHeading3"/>
        <w:rPr>
          <w:bCs/>
          <w:noProof/>
          <w:szCs w:val="24"/>
        </w:rPr>
      </w:pPr>
      <w:bookmarkStart w:id="11" w:name="_Toc514938664"/>
      <w:bookmarkStart w:id="12" w:name="_Toc520485423"/>
      <w:r w:rsidRPr="006D222F">
        <w:rPr>
          <w:noProof/>
        </w:rPr>
        <w:t>1.4.1.</w:t>
      </w:r>
      <w:r w:rsidRPr="006D222F">
        <w:rPr>
          <w:noProof/>
        </w:rPr>
        <w:tab/>
      </w:r>
      <w:r>
        <w:rPr>
          <w:noProof/>
        </w:rPr>
        <w:t>General objective(s)</w:t>
      </w:r>
      <w:bookmarkEnd w:id="11"/>
      <w:bookmarkEnd w:id="12"/>
      <w:r>
        <w:rPr>
          <w:noProof/>
        </w:rPr>
        <w:t xml:space="preserve"> </w:t>
      </w:r>
    </w:p>
    <w:p w14:paraId="32D1C3BE" w14:textId="77777777" w:rsidR="00F001BC" w:rsidRPr="00A32156" w:rsidRDefault="00F001BC" w:rsidP="00F001BC">
      <w:pPr>
        <w:pStyle w:val="Text1"/>
        <w:pBdr>
          <w:top w:val="single" w:sz="4" w:space="1" w:color="auto"/>
          <w:left w:val="single" w:sz="4" w:space="4" w:color="auto"/>
          <w:bottom w:val="single" w:sz="4" w:space="1" w:color="auto"/>
          <w:right w:val="single" w:sz="4" w:space="4" w:color="auto"/>
        </w:pBdr>
        <w:rPr>
          <w:noProof/>
        </w:rPr>
      </w:pPr>
      <w:r w:rsidRPr="00C2484F">
        <w:rPr>
          <w:noProof/>
        </w:rPr>
        <w:t>The general objecti</w:t>
      </w:r>
      <w:r>
        <w:rPr>
          <w:noProof/>
        </w:rPr>
        <w:t>ve of amending Directive 2009/16</w:t>
      </w:r>
      <w:r w:rsidRPr="00C2484F">
        <w:rPr>
          <w:noProof/>
        </w:rPr>
        <w:t xml:space="preserve">/EC </w:t>
      </w:r>
      <w:r>
        <w:rPr>
          <w:noProof/>
        </w:rPr>
        <w:t>is</w:t>
      </w:r>
      <w:r w:rsidRPr="00C2484F">
        <w:rPr>
          <w:noProof/>
        </w:rPr>
        <w:t xml:space="preserve"> to </w:t>
      </w:r>
      <w:r>
        <w:rPr>
          <w:noProof/>
        </w:rPr>
        <w:t xml:space="preserve">maintain a level playing field and avoid market distortions, to ensure high levels of maritime safety and ensure prevention of maritime pollution. The revision is also </w:t>
      </w:r>
      <w:r w:rsidRPr="00C2484F">
        <w:rPr>
          <w:noProof/>
        </w:rPr>
        <w:t xml:space="preserve">contributing towards Sustainable Development Goal (SDG) 3 (“Ensure healthy lives and promote well-being for all at all stages”) and SDG 14 (“Conserve and sustainably use the oceans, seas and marine resources for sustainable development”). </w:t>
      </w:r>
    </w:p>
    <w:p w14:paraId="344F1525" w14:textId="77777777" w:rsidR="00F001BC" w:rsidRDefault="00F001BC" w:rsidP="00F001BC">
      <w:pPr>
        <w:pStyle w:val="ManualHeading3"/>
        <w:rPr>
          <w:bCs/>
          <w:noProof/>
          <w:szCs w:val="24"/>
        </w:rPr>
      </w:pPr>
      <w:bookmarkStart w:id="13" w:name="_Toc514938665"/>
      <w:bookmarkStart w:id="14" w:name="_Toc520485424"/>
      <w:r w:rsidRPr="006D222F">
        <w:rPr>
          <w:noProof/>
        </w:rPr>
        <w:t>1.4.2.</w:t>
      </w:r>
      <w:r w:rsidRPr="006D222F">
        <w:rPr>
          <w:noProof/>
        </w:rPr>
        <w:tab/>
      </w:r>
      <w:r>
        <w:rPr>
          <w:noProof/>
        </w:rPr>
        <w:t>Specific objective(s)</w:t>
      </w:r>
      <w:bookmarkEnd w:id="13"/>
      <w:bookmarkEnd w:id="14"/>
      <w:r>
        <w:rPr>
          <w:noProof/>
        </w:rPr>
        <w:t xml:space="preserve"> </w:t>
      </w:r>
    </w:p>
    <w:p w14:paraId="58EB08B7" w14:textId="77777777" w:rsidR="00F001BC" w:rsidRPr="00037666" w:rsidRDefault="00F001BC" w:rsidP="00F001BC">
      <w:pPr>
        <w:pStyle w:val="Text1"/>
        <w:pBdr>
          <w:top w:val="single" w:sz="4" w:space="1" w:color="auto"/>
          <w:left w:val="single" w:sz="4" w:space="4" w:color="auto"/>
          <w:bottom w:val="single" w:sz="4" w:space="1" w:color="auto"/>
          <w:right w:val="single" w:sz="4" w:space="4" w:color="auto"/>
        </w:pBdr>
        <w:rPr>
          <w:noProof/>
        </w:rPr>
      </w:pPr>
      <w:r w:rsidRPr="00037666">
        <w:rPr>
          <w:noProof/>
        </w:rPr>
        <w:t xml:space="preserve">The specific objectives of </w:t>
      </w:r>
      <w:r>
        <w:rPr>
          <w:noProof/>
        </w:rPr>
        <w:t>the</w:t>
      </w:r>
      <w:r w:rsidRPr="00037666">
        <w:rPr>
          <w:noProof/>
        </w:rPr>
        <w:t xml:space="preserve"> revision are to:</w:t>
      </w:r>
    </w:p>
    <w:p w14:paraId="4BBA35A0" w14:textId="77777777" w:rsidR="00F001BC" w:rsidRDefault="00F001BC" w:rsidP="00596E2C">
      <w:pPr>
        <w:pStyle w:val="Text1"/>
        <w:pBdr>
          <w:top w:val="single" w:sz="4" w:space="1" w:color="auto"/>
          <w:left w:val="single" w:sz="4" w:space="4" w:color="auto"/>
          <w:bottom w:val="single" w:sz="4" w:space="1" w:color="auto"/>
          <w:right w:val="single" w:sz="4" w:space="4" w:color="auto"/>
        </w:pBdr>
        <w:rPr>
          <w:noProof/>
        </w:rPr>
      </w:pPr>
      <w:r>
        <w:rPr>
          <w:noProof/>
        </w:rPr>
        <w:t>Align EU legislation with new international rules and procedures, whether at the level of IMO/ILO or the Paris MoU.</w:t>
      </w:r>
    </w:p>
    <w:p w14:paraId="41A814E4" w14:textId="77777777" w:rsidR="00F001BC" w:rsidRDefault="00F001BC" w:rsidP="00596E2C">
      <w:pPr>
        <w:pStyle w:val="Text1"/>
        <w:pBdr>
          <w:top w:val="single" w:sz="4" w:space="1" w:color="auto"/>
          <w:left w:val="single" w:sz="4" w:space="4" w:color="auto"/>
          <w:bottom w:val="single" w:sz="4" w:space="1" w:color="auto"/>
          <w:right w:val="single" w:sz="4" w:space="4" w:color="auto"/>
        </w:pBdr>
        <w:rPr>
          <w:noProof/>
        </w:rPr>
      </w:pPr>
      <w:r>
        <w:rPr>
          <w:noProof/>
        </w:rPr>
        <w:t>Protect fishing vessel, their crews and the environment.</w:t>
      </w:r>
    </w:p>
    <w:p w14:paraId="68363988" w14:textId="77777777" w:rsidR="00F001BC" w:rsidRDefault="00F001BC" w:rsidP="00596E2C">
      <w:pPr>
        <w:pStyle w:val="Text1"/>
        <w:pBdr>
          <w:top w:val="single" w:sz="4" w:space="1" w:color="auto"/>
          <w:left w:val="single" w:sz="4" w:space="4" w:color="auto"/>
          <w:bottom w:val="single" w:sz="4" w:space="1" w:color="auto"/>
          <w:right w:val="single" w:sz="4" w:space="4" w:color="auto"/>
        </w:pBdr>
        <w:rPr>
          <w:noProof/>
        </w:rPr>
      </w:pPr>
      <w:r>
        <w:rPr>
          <w:noProof/>
        </w:rPr>
        <w:t>Ensure higher uptake of digital solutions.</w:t>
      </w:r>
    </w:p>
    <w:p w14:paraId="0349F3EC" w14:textId="77777777" w:rsidR="00F001BC" w:rsidRPr="00037666" w:rsidRDefault="00F001BC" w:rsidP="0002622D">
      <w:pPr>
        <w:pStyle w:val="Text1"/>
        <w:pBdr>
          <w:top w:val="single" w:sz="4" w:space="1" w:color="auto"/>
          <w:left w:val="single" w:sz="4" w:space="4" w:color="auto"/>
          <w:bottom w:val="single" w:sz="4" w:space="1" w:color="auto"/>
          <w:right w:val="single" w:sz="4" w:space="4" w:color="auto"/>
        </w:pBdr>
        <w:rPr>
          <w:noProof/>
        </w:rPr>
      </w:pPr>
      <w:r>
        <w:rPr>
          <w:noProof/>
        </w:rPr>
        <w:t xml:space="preserve">Ensure efficient and harmonised approach in undertaking </w:t>
      </w:r>
      <w:r w:rsidR="0002622D">
        <w:rPr>
          <w:noProof/>
        </w:rPr>
        <w:t>port State control</w:t>
      </w:r>
      <w:r>
        <w:rPr>
          <w:noProof/>
        </w:rPr>
        <w:t xml:space="preserve"> inspections.</w:t>
      </w:r>
    </w:p>
    <w:p w14:paraId="471F4C39" w14:textId="77777777" w:rsidR="00F001BC" w:rsidRDefault="00F001BC" w:rsidP="00F001BC">
      <w:pPr>
        <w:pStyle w:val="ManualHeading3"/>
        <w:rPr>
          <w:bCs/>
          <w:noProof/>
          <w:szCs w:val="24"/>
        </w:rPr>
      </w:pPr>
      <w:r>
        <w:rPr>
          <w:noProof/>
        </w:rPr>
        <w:br w:type="page"/>
      </w:r>
      <w:bookmarkStart w:id="15" w:name="_Toc514938666"/>
      <w:bookmarkStart w:id="16" w:name="_Toc520485425"/>
      <w:r w:rsidRPr="006D222F">
        <w:rPr>
          <w:noProof/>
        </w:rPr>
        <w:t>1.4.3.</w:t>
      </w:r>
      <w:r w:rsidRPr="006D222F">
        <w:rPr>
          <w:noProof/>
        </w:rPr>
        <w:tab/>
      </w:r>
      <w:r>
        <w:rPr>
          <w:noProof/>
        </w:rPr>
        <w:t>Expected result(s) and impact</w:t>
      </w:r>
      <w:bookmarkEnd w:id="15"/>
      <w:bookmarkEnd w:id="16"/>
    </w:p>
    <w:p w14:paraId="16BBF5FD" w14:textId="77777777" w:rsidR="00F001BC" w:rsidRDefault="00F001BC" w:rsidP="00F001BC">
      <w:pPr>
        <w:pStyle w:val="Text1"/>
        <w:rPr>
          <w:i/>
          <w:noProof/>
          <w:sz w:val="20"/>
        </w:rPr>
      </w:pPr>
      <w:r>
        <w:rPr>
          <w:i/>
          <w:noProof/>
          <w:sz w:val="20"/>
        </w:rPr>
        <w:t>Specify the effects which the proposal/initiative should have on the beneficiaries/groups targeted.</w:t>
      </w:r>
    </w:p>
    <w:p w14:paraId="43D895C5"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The proposal is expected to guarantee a harmonised and high safety level of port state control across the Union and introduce a digitalised system to increase the efficiency of inspections by better ship risk targeting, better prepared inspections and easier and faster exhange of relevant information. It is also expected to increase the importance attached to the environmental aspects of port state control.</w:t>
      </w:r>
    </w:p>
    <w:p w14:paraId="66F67C82"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also expected to increase the protection of fishing vessels, their crew and the environment by leading to a decrease in the lives lost and injuries sustained, as well as to the bunker fuel lost at sea. </w:t>
      </w:r>
    </w:p>
    <w:p w14:paraId="19136E2E" w14:textId="77777777" w:rsidR="00F001BC" w:rsidRDefault="00F001BC" w:rsidP="00F001BC">
      <w:pPr>
        <w:pStyle w:val="ManualHeading3"/>
        <w:rPr>
          <w:bCs/>
          <w:noProof/>
          <w:szCs w:val="24"/>
        </w:rPr>
      </w:pPr>
      <w:bookmarkStart w:id="17" w:name="_Toc514938667"/>
      <w:bookmarkStart w:id="18" w:name="_Toc520485426"/>
      <w:r w:rsidRPr="006D222F">
        <w:rPr>
          <w:noProof/>
        </w:rPr>
        <w:t>1.4.4.</w:t>
      </w:r>
      <w:r w:rsidRPr="006D222F">
        <w:rPr>
          <w:noProof/>
        </w:rPr>
        <w:tab/>
      </w:r>
      <w:r>
        <w:rPr>
          <w:noProof/>
        </w:rPr>
        <w:t>Indicators of performance</w:t>
      </w:r>
      <w:bookmarkEnd w:id="17"/>
      <w:bookmarkEnd w:id="18"/>
      <w:r>
        <w:rPr>
          <w:noProof/>
        </w:rPr>
        <w:t xml:space="preserve"> </w:t>
      </w:r>
    </w:p>
    <w:p w14:paraId="1976A438" w14:textId="77777777" w:rsidR="00F001BC" w:rsidRDefault="00F001BC" w:rsidP="00F001BC">
      <w:pPr>
        <w:pStyle w:val="Text1"/>
        <w:rPr>
          <w:i/>
          <w:noProof/>
          <w:sz w:val="20"/>
        </w:rPr>
      </w:pPr>
      <w:r>
        <w:rPr>
          <w:i/>
          <w:noProof/>
          <w:sz w:val="20"/>
        </w:rPr>
        <w:t>Specify the indicators for monitoring progress and achievements.</w:t>
      </w:r>
    </w:p>
    <w:p w14:paraId="7786B316" w14:textId="77777777" w:rsidR="00F001BC" w:rsidRDefault="00F001BC" w:rsidP="00F001BC">
      <w:pPr>
        <w:pStyle w:val="Text1"/>
        <w:pBdr>
          <w:top w:val="single" w:sz="4" w:space="1" w:color="auto"/>
          <w:left w:val="single" w:sz="4" w:space="1" w:color="auto"/>
          <w:bottom w:val="single" w:sz="4" w:space="1" w:color="auto"/>
          <w:right w:val="single" w:sz="4" w:space="1" w:color="auto"/>
        </w:pBdr>
        <w:rPr>
          <w:noProof/>
        </w:rPr>
      </w:pPr>
      <w:r w:rsidRPr="00E24020">
        <w:rPr>
          <w:noProof/>
        </w:rPr>
        <w:t>The effectiveness of the proposed Directive, with respect to the specific objective no. 1, will be determined based on the horizontal analysis performed by EMSA and the discussions in workshops.</w:t>
      </w:r>
    </w:p>
    <w:p w14:paraId="05913C6C" w14:textId="77777777" w:rsidR="00F001BC" w:rsidRDefault="00F001BC" w:rsidP="00F001BC">
      <w:pPr>
        <w:pStyle w:val="Text1"/>
        <w:pBdr>
          <w:top w:val="single" w:sz="4" w:space="1" w:color="auto"/>
          <w:left w:val="single" w:sz="4" w:space="1" w:color="auto"/>
          <w:bottom w:val="single" w:sz="4" w:space="1" w:color="auto"/>
          <w:right w:val="single" w:sz="4" w:space="1" w:color="auto"/>
        </w:pBdr>
        <w:rPr>
          <w:noProof/>
        </w:rPr>
      </w:pPr>
      <w:r w:rsidRPr="00E24020">
        <w:rPr>
          <w:noProof/>
        </w:rPr>
        <w:t xml:space="preserve">The effectiveness of the proposed Directive, with respect to the specific objective no. 2, will be determined based on the </w:t>
      </w:r>
      <w:r>
        <w:rPr>
          <w:noProof/>
        </w:rPr>
        <w:t xml:space="preserve">number of </w:t>
      </w:r>
      <w:r w:rsidRPr="00391E65">
        <w:rPr>
          <w:noProof/>
        </w:rPr>
        <w:t>inspections</w:t>
      </w:r>
      <w:r>
        <w:rPr>
          <w:noProof/>
        </w:rPr>
        <w:t xml:space="preserve"> of larger fishing vessels (over 24 metres) and the reports</w:t>
      </w:r>
      <w:r w:rsidRPr="00391E65">
        <w:rPr>
          <w:noProof/>
        </w:rPr>
        <w:t xml:space="preserve"> </w:t>
      </w:r>
      <w:r>
        <w:rPr>
          <w:noProof/>
        </w:rPr>
        <w:t>submitted in the THETIS targeting and inspection reporting database as well as the number of deficiencies and/or detentions recorded against vessels of this type calling in EU ports.</w:t>
      </w:r>
    </w:p>
    <w:p w14:paraId="2FC79E3A" w14:textId="77777777" w:rsidR="00F001BC" w:rsidRPr="00E24020" w:rsidRDefault="00F001BC" w:rsidP="00F001BC">
      <w:pPr>
        <w:pStyle w:val="Text1"/>
        <w:pBdr>
          <w:top w:val="single" w:sz="4" w:space="1" w:color="auto"/>
          <w:left w:val="single" w:sz="4" w:space="1" w:color="auto"/>
          <w:bottom w:val="single" w:sz="4" w:space="1" w:color="auto"/>
          <w:right w:val="single" w:sz="4" w:space="1" w:color="auto"/>
        </w:pBdr>
        <w:rPr>
          <w:noProof/>
        </w:rPr>
      </w:pPr>
      <w:r>
        <w:rPr>
          <w:noProof/>
        </w:rPr>
        <w:t xml:space="preserve">The effectiveness of the proposed Directive as regards specfic objective no. 3 will be determined by the information uploaded to THETIS. The number of electronic certificates uploaded by flag states to the EMSA validation tool and central repository as well as </w:t>
      </w:r>
      <w:r w:rsidRPr="00391E65">
        <w:rPr>
          <w:noProof/>
        </w:rPr>
        <w:t>the number of inspections in which electronic certificates are involved</w:t>
      </w:r>
      <w:r>
        <w:rPr>
          <w:noProof/>
        </w:rPr>
        <w:t>.</w:t>
      </w:r>
    </w:p>
    <w:p w14:paraId="180DEA3E" w14:textId="77777777" w:rsidR="00F001BC" w:rsidRPr="00E24020" w:rsidRDefault="00F001BC" w:rsidP="00F001BC">
      <w:pPr>
        <w:pStyle w:val="Text1"/>
        <w:pBdr>
          <w:top w:val="single" w:sz="4" w:space="1" w:color="auto"/>
          <w:left w:val="single" w:sz="4" w:space="1" w:color="auto"/>
          <w:bottom w:val="single" w:sz="4" w:space="1" w:color="auto"/>
          <w:right w:val="single" w:sz="4" w:space="1" w:color="auto"/>
        </w:pBdr>
        <w:rPr>
          <w:noProof/>
        </w:rPr>
      </w:pPr>
      <w:r w:rsidRPr="00E24020">
        <w:rPr>
          <w:noProof/>
        </w:rPr>
        <w:t xml:space="preserve">The effectiveness of the proposed Directive, with respect to the specific objective no. </w:t>
      </w:r>
      <w:r>
        <w:rPr>
          <w:noProof/>
        </w:rPr>
        <w:t>4</w:t>
      </w:r>
      <w:r w:rsidRPr="00E24020">
        <w:rPr>
          <w:noProof/>
        </w:rPr>
        <w:t xml:space="preserve">, will be determined based on </w:t>
      </w:r>
      <w:r>
        <w:rPr>
          <w:noProof/>
        </w:rPr>
        <w:t xml:space="preserve">the </w:t>
      </w:r>
      <w:r w:rsidRPr="00E24020">
        <w:rPr>
          <w:noProof/>
        </w:rPr>
        <w:t>results of the annual audits of the Quality Management System which wil</w:t>
      </w:r>
      <w:r>
        <w:rPr>
          <w:noProof/>
        </w:rPr>
        <w:t>l be shared with the Commission, the</w:t>
      </w:r>
      <w:r w:rsidRPr="00391E65">
        <w:rPr>
          <w:noProof/>
        </w:rPr>
        <w:t xml:space="preserve"> number of inspections carried out by more than one inspector,  and the number of inspection reports validated by someone other than the inspector carrying out the inspection </w:t>
      </w:r>
      <w:r>
        <w:rPr>
          <w:noProof/>
        </w:rPr>
        <w:t xml:space="preserve">and the </w:t>
      </w:r>
      <w:r w:rsidRPr="00E24020">
        <w:rPr>
          <w:noProof/>
        </w:rPr>
        <w:t>number of infringements</w:t>
      </w:r>
      <w:r>
        <w:rPr>
          <w:noProof/>
        </w:rPr>
        <w:t xml:space="preserve"> procedures in the next years. </w:t>
      </w:r>
    </w:p>
    <w:p w14:paraId="68E017D3" w14:textId="77777777" w:rsidR="00F001BC" w:rsidRDefault="00F001BC" w:rsidP="00F001BC">
      <w:pPr>
        <w:pStyle w:val="ManualHeading2"/>
        <w:rPr>
          <w:bCs/>
          <w:noProof/>
          <w:szCs w:val="24"/>
        </w:rPr>
      </w:pPr>
      <w:bookmarkStart w:id="19" w:name="_Toc514938668"/>
      <w:bookmarkStart w:id="20" w:name="_Toc520485427"/>
      <w:r w:rsidRPr="00A81230">
        <w:rPr>
          <w:noProof/>
        </w:rPr>
        <w:t>1.5.</w:t>
      </w:r>
      <w:r w:rsidRPr="00A81230">
        <w:rPr>
          <w:noProof/>
        </w:rPr>
        <w:tab/>
        <w:t>Grounds for the proposal/initiative</w:t>
      </w:r>
      <w:bookmarkEnd w:id="19"/>
      <w:bookmarkEnd w:id="20"/>
      <w:r>
        <w:rPr>
          <w:noProof/>
        </w:rPr>
        <w:t xml:space="preserve"> </w:t>
      </w:r>
    </w:p>
    <w:p w14:paraId="77FEE88B" w14:textId="77777777" w:rsidR="00F001BC" w:rsidRDefault="00F001BC" w:rsidP="00F001BC">
      <w:pPr>
        <w:pStyle w:val="ManualHeading3"/>
        <w:rPr>
          <w:noProof/>
        </w:rPr>
      </w:pPr>
      <w:bookmarkStart w:id="21" w:name="_Toc514938669"/>
      <w:bookmarkStart w:id="22" w:name="_Toc520485428"/>
      <w:r w:rsidRPr="006D222F">
        <w:rPr>
          <w:noProof/>
        </w:rPr>
        <w:t>1.5.1.</w:t>
      </w:r>
      <w:r w:rsidRPr="006D222F">
        <w:rPr>
          <w:noProof/>
        </w:rPr>
        <w:tab/>
      </w:r>
      <w:r>
        <w:rPr>
          <w:noProof/>
        </w:rPr>
        <w:t>Requirement(s) to be met in the short or long term including a detailed timeline for roll-out of the implementation of the initiative</w:t>
      </w:r>
      <w:bookmarkEnd w:id="21"/>
      <w:bookmarkEnd w:id="22"/>
    </w:p>
    <w:p w14:paraId="092C161C"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074625">
        <w:rPr>
          <w:noProof/>
        </w:rPr>
        <w:t xml:space="preserve">EMSA will be required to organise trainings </w:t>
      </w:r>
      <w:r>
        <w:rPr>
          <w:noProof/>
        </w:rPr>
        <w:t xml:space="preserve">of Port State Control Officers (PSCOs) in relation to large fishing vessels with main focus on the relevant EU guidelines, and develop the relevant courses. EMSA will also be required to develop a THETIS module for fishing vessels and a common curriculum for Port State Control of fishing vessels which will cover all the relevant instructions and guidance. </w:t>
      </w:r>
    </w:p>
    <w:p w14:paraId="7B58DC27"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EMSA will be required to organise trainings of PSCOs in relation to the use of electronic statutory certificates and will have to develop a validation tool and repository.</w:t>
      </w:r>
    </w:p>
    <w:p w14:paraId="1B02B5E9"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EMSA will be required to develop enhanced training tools/capacity development for </w:t>
      </w:r>
      <w:r w:rsidRPr="00074625">
        <w:rPr>
          <w:noProof/>
        </w:rPr>
        <w:t>PSCOs on new technologies, including but not limited to renewable and low carbon fuels, which are particularly relevant in view of the “Fit for 55” package, and automation</w:t>
      </w:r>
      <w:r>
        <w:rPr>
          <w:noProof/>
        </w:rPr>
        <w:t xml:space="preserve"> by enhancing </w:t>
      </w:r>
      <w:r w:rsidRPr="00074625">
        <w:rPr>
          <w:noProof/>
        </w:rPr>
        <w:t xml:space="preserve">EMSA’s online training tools and </w:t>
      </w:r>
      <w:r>
        <w:rPr>
          <w:noProof/>
        </w:rPr>
        <w:t>recruiting</w:t>
      </w:r>
      <w:r w:rsidRPr="00074625">
        <w:rPr>
          <w:noProof/>
        </w:rPr>
        <w:t xml:space="preserve"> </w:t>
      </w:r>
      <w:r>
        <w:rPr>
          <w:noProof/>
        </w:rPr>
        <w:t>experts.</w:t>
      </w:r>
    </w:p>
    <w:p w14:paraId="52097B4B" w14:textId="77777777" w:rsidR="00F001BC" w:rsidRPr="00074625"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By 2025, 2 FTEs will be needed to support the tasks of EMSA to develop of the tools.</w:t>
      </w:r>
    </w:p>
    <w:p w14:paraId="50CBC94E" w14:textId="77777777" w:rsidR="00F001BC" w:rsidRDefault="00F001BC" w:rsidP="00F001BC">
      <w:pPr>
        <w:pStyle w:val="ManualHeading3"/>
        <w:rPr>
          <w:bCs/>
          <w:noProof/>
          <w:szCs w:val="24"/>
        </w:rPr>
      </w:pPr>
      <w:bookmarkStart w:id="23" w:name="_Toc514938670"/>
      <w:bookmarkStart w:id="24" w:name="_Toc520485429"/>
      <w:r w:rsidRPr="006D222F">
        <w:rPr>
          <w:noProof/>
        </w:rPr>
        <w:t>1.5.2.</w:t>
      </w:r>
      <w:r w:rsidRPr="006D222F">
        <w:rPr>
          <w:noProof/>
        </w:rPr>
        <w:tab/>
      </w:r>
      <w:r>
        <w:rPr>
          <w:noProof/>
        </w:rPr>
        <w:t xml:space="preserve">Added value of Union involvement </w:t>
      </w:r>
      <w:r w:rsidRPr="0068308B">
        <w:rPr>
          <w:noProof/>
        </w:rPr>
        <w:t>(it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3"/>
      <w:bookmarkEnd w:id="24"/>
    </w:p>
    <w:p w14:paraId="34F6A61B"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AD1FB8">
        <w:rPr>
          <w:noProof/>
        </w:rPr>
        <w:t xml:space="preserve">Reasons for action at European level (ex-ante) </w:t>
      </w:r>
    </w:p>
    <w:p w14:paraId="754F1B71" w14:textId="77777777" w:rsidR="00F001BC" w:rsidRDefault="00F001BC" w:rsidP="0002622D">
      <w:pPr>
        <w:pStyle w:val="Text1"/>
        <w:pBdr>
          <w:top w:val="single" w:sz="4" w:space="1" w:color="auto"/>
          <w:left w:val="single" w:sz="4" w:space="4" w:color="auto"/>
          <w:bottom w:val="single" w:sz="4" w:space="1" w:color="auto"/>
          <w:right w:val="single" w:sz="4" w:space="4" w:color="auto"/>
        </w:pBdr>
        <w:rPr>
          <w:noProof/>
        </w:rPr>
      </w:pPr>
      <w:r w:rsidRPr="00E9115E">
        <w:rPr>
          <w:noProof/>
        </w:rPr>
        <w:t xml:space="preserve">EU action in the field of maritime safety ensures a harmonised application of the safety and environmental standards, and reduces any competitive advantage by disincentivising shipowners and/or flag States that may attempt to gain such advantage by not strictly following the rules and standards set out in the </w:t>
      </w:r>
      <w:r>
        <w:rPr>
          <w:noProof/>
        </w:rPr>
        <w:t xml:space="preserve">international </w:t>
      </w:r>
      <w:r w:rsidRPr="00E9115E">
        <w:rPr>
          <w:noProof/>
        </w:rPr>
        <w:t xml:space="preserve">conventions. </w:t>
      </w:r>
      <w:r>
        <w:rPr>
          <w:noProof/>
        </w:rPr>
        <w:t>B</w:t>
      </w:r>
      <w:r w:rsidRPr="00E9115E">
        <w:rPr>
          <w:noProof/>
        </w:rPr>
        <w:t>y incorporating the procedures and tools of the Paris M</w:t>
      </w:r>
      <w:r w:rsidR="0002622D">
        <w:rPr>
          <w:noProof/>
        </w:rPr>
        <w:t>O</w:t>
      </w:r>
      <w:r w:rsidRPr="00E9115E">
        <w:rPr>
          <w:noProof/>
        </w:rPr>
        <w:t>U into the European legislation, these become actionable before the European Court of Justice ensuring their uniform enforcement in the Union</w:t>
      </w:r>
      <w:r>
        <w:rPr>
          <w:noProof/>
        </w:rPr>
        <w:t>.</w:t>
      </w:r>
    </w:p>
    <w:p w14:paraId="76DCC2BF"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AD1FB8">
        <w:rPr>
          <w:noProof/>
        </w:rPr>
        <w:t>Expected generated Union added value (ex-post)</w:t>
      </w:r>
      <w:r>
        <w:rPr>
          <w:noProof/>
        </w:rPr>
        <w:t xml:space="preserve"> </w:t>
      </w:r>
      <w:r w:rsidRPr="00AD1FB8">
        <w:rPr>
          <w:noProof/>
        </w:rPr>
        <w:t xml:space="preserve"> </w:t>
      </w:r>
    </w:p>
    <w:p w14:paraId="0E280D9B" w14:textId="77777777" w:rsidR="00F001BC" w:rsidRPr="004E5CD3" w:rsidRDefault="00F001BC" w:rsidP="0002622D">
      <w:pPr>
        <w:pStyle w:val="Text1"/>
        <w:pBdr>
          <w:top w:val="single" w:sz="4" w:space="1" w:color="auto"/>
          <w:left w:val="single" w:sz="4" w:space="4" w:color="auto"/>
          <w:bottom w:val="single" w:sz="4" w:space="1" w:color="auto"/>
          <w:right w:val="single" w:sz="4" w:space="4" w:color="auto"/>
        </w:pBdr>
        <w:rPr>
          <w:noProof/>
          <w:lang w:val="en-US"/>
        </w:rPr>
      </w:pPr>
      <w:r w:rsidRPr="004E5CD3">
        <w:rPr>
          <w:noProof/>
          <w:lang w:val="en-US"/>
        </w:rPr>
        <w:t xml:space="preserve">An EU level intervention has brought benefits which would not have been possible at national level or at IMO </w:t>
      </w:r>
      <w:r>
        <w:rPr>
          <w:noProof/>
          <w:lang w:val="en-IE"/>
        </w:rPr>
        <w:t>or Paris M</w:t>
      </w:r>
      <w:r w:rsidR="0002622D">
        <w:rPr>
          <w:noProof/>
          <w:lang w:val="en-IE"/>
        </w:rPr>
        <w:t>O</w:t>
      </w:r>
      <w:r>
        <w:rPr>
          <w:noProof/>
          <w:lang w:val="en-IE"/>
        </w:rPr>
        <w:t xml:space="preserve">U </w:t>
      </w:r>
      <w:r w:rsidRPr="004E5CD3">
        <w:rPr>
          <w:noProof/>
          <w:lang w:val="en-US"/>
        </w:rPr>
        <w:t xml:space="preserve">level alone. </w:t>
      </w:r>
      <w:r>
        <w:rPr>
          <w:noProof/>
          <w:lang w:val="en-US"/>
        </w:rPr>
        <w:t>T</w:t>
      </w:r>
      <w:r>
        <w:rPr>
          <w:noProof/>
        </w:rPr>
        <w:t xml:space="preserve">he EU added value of the intervention in the sector, in terms of its effectiveness, efficiency and synergies that it brings. </w:t>
      </w:r>
      <w:r w:rsidRPr="004E5CD3">
        <w:rPr>
          <w:noProof/>
          <w:lang w:val="en-US"/>
        </w:rPr>
        <w:t xml:space="preserve">The Directive brings EU legislation in line with IMO regulation and is leading to a harmonised reporting of </w:t>
      </w:r>
      <w:r>
        <w:rPr>
          <w:noProof/>
          <w:lang w:val="en-US"/>
        </w:rPr>
        <w:t>port state control</w:t>
      </w:r>
      <w:r w:rsidRPr="004E5CD3">
        <w:rPr>
          <w:noProof/>
          <w:lang w:val="en-US"/>
        </w:rPr>
        <w:t>.</w:t>
      </w:r>
      <w:r>
        <w:rPr>
          <w:noProof/>
          <w:lang w:val="en-US"/>
        </w:rPr>
        <w:t xml:space="preserve"> </w:t>
      </w:r>
      <w:r>
        <w:rPr>
          <w:noProof/>
        </w:rPr>
        <w:t>With respect to larger fishing vessels, the example of the Paris M</w:t>
      </w:r>
      <w:r w:rsidR="0002622D">
        <w:rPr>
          <w:noProof/>
        </w:rPr>
        <w:t>O</w:t>
      </w:r>
      <w:r>
        <w:rPr>
          <w:noProof/>
        </w:rPr>
        <w:t>U and of the Directive as it applies to commercial transport vessels demonstrates that only harmonised procedures and common criteria for PSC of these vessels can address this issue. Failure to adapt the Directive would remove the synergistic benefits gained through its implementation.</w:t>
      </w:r>
    </w:p>
    <w:p w14:paraId="319E9C4C" w14:textId="77777777" w:rsidR="00F001BC" w:rsidRDefault="00F001BC" w:rsidP="00F001BC">
      <w:pPr>
        <w:pStyle w:val="ManualHeading3"/>
        <w:rPr>
          <w:noProof/>
        </w:rPr>
      </w:pPr>
      <w:bookmarkStart w:id="25" w:name="_Toc514938671"/>
      <w:bookmarkStart w:id="26" w:name="_Toc520485430"/>
      <w:r w:rsidRPr="006D222F">
        <w:rPr>
          <w:noProof/>
        </w:rPr>
        <w:t>1.5.3.</w:t>
      </w:r>
      <w:r w:rsidRPr="006D222F">
        <w:rPr>
          <w:noProof/>
        </w:rPr>
        <w:tab/>
      </w:r>
      <w:r>
        <w:rPr>
          <w:noProof/>
        </w:rPr>
        <w:t>Lessons learned from similar experiences in the past</w:t>
      </w:r>
      <w:bookmarkEnd w:id="25"/>
      <w:bookmarkEnd w:id="26"/>
    </w:p>
    <w:p w14:paraId="2CDED0CC"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The 2018 REFIT ex-post evaluation and Maritime Transport Fitness Check concluded that the PSC Directive adds value by combining a PSC control framework with a legal enforcement mechanism, to ensure correct and consistent implementation in Member States. This has resulted in pressure to perform and continuously improve, and thus to a better resource allocation at Member State level for PSC. The evaluation concluded that the PSC Directive has contributed to the intended objectives to improve maritime safety, security, pollution prevention and ensuring better working and living conditions on-board. </w:t>
      </w:r>
    </w:p>
    <w:p w14:paraId="7AFCFCFE"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The assistance of EMSA has supported the EU PSC regime in important ways. The evaluation highlighted the importance of the THETIS database. Over two-thirds of EU/EEA Member States carrying out PSC inspections exclusively use THETIS in deciding which vessels to inspect. The role of EMSA in managing and updating THETIS, as well the provision by the Agency of training of inspectors to harmonise the implementation inspections throughout the Paris MoU region, was also found to be very important. </w:t>
      </w:r>
      <w:r w:rsidRPr="00C61773">
        <w:rPr>
          <w:noProof/>
        </w:rPr>
        <w:t xml:space="preserve">In a similar vein, the Maritime Transport Fitness Check pointed to a number of possible improvements as regards PSC. </w:t>
      </w:r>
    </w:p>
    <w:p w14:paraId="5682A923"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916B56">
        <w:rPr>
          <w:noProof/>
        </w:rPr>
        <w:t xml:space="preserve">The results of the ex-post evaluation are reflected in </w:t>
      </w:r>
      <w:r>
        <w:rPr>
          <w:noProof/>
        </w:rPr>
        <w:t>the</w:t>
      </w:r>
      <w:r w:rsidRPr="00916B56">
        <w:rPr>
          <w:noProof/>
        </w:rPr>
        <w:t xml:space="preserve"> impact assessment </w:t>
      </w:r>
      <w:r>
        <w:rPr>
          <w:noProof/>
        </w:rPr>
        <w:t xml:space="preserve">accompanying this initiative </w:t>
      </w:r>
      <w:r w:rsidRPr="00916B56">
        <w:rPr>
          <w:noProof/>
        </w:rPr>
        <w:t xml:space="preserve">as summarised in </w:t>
      </w:r>
      <w:r>
        <w:rPr>
          <w:noProof/>
        </w:rPr>
        <w:t>Annex</w:t>
      </w:r>
      <w:r w:rsidRPr="00916B56">
        <w:rPr>
          <w:noProof/>
        </w:rPr>
        <w:t xml:space="preserve"> </w:t>
      </w:r>
      <w:r>
        <w:rPr>
          <w:noProof/>
        </w:rPr>
        <w:t>5</w:t>
      </w:r>
      <w:r w:rsidRPr="00916B56">
        <w:rPr>
          <w:noProof/>
        </w:rPr>
        <w:t>.</w:t>
      </w:r>
    </w:p>
    <w:p w14:paraId="6D9F9022" w14:textId="77777777" w:rsidR="00F001BC" w:rsidRDefault="00F001BC" w:rsidP="00F001BC">
      <w:pPr>
        <w:pStyle w:val="ManualHeading3"/>
        <w:rPr>
          <w:noProof/>
        </w:rPr>
      </w:pPr>
      <w:bookmarkStart w:id="27" w:name="_Toc514938672"/>
      <w:bookmarkStart w:id="28" w:name="_Toc520485431"/>
      <w:r w:rsidRPr="006D222F">
        <w:rPr>
          <w:noProof/>
        </w:rPr>
        <w:t>1.5.4.</w:t>
      </w:r>
      <w:r w:rsidRPr="006D222F">
        <w:rPr>
          <w:noProof/>
        </w:rPr>
        <w:tab/>
      </w:r>
      <w:r>
        <w:rPr>
          <w:noProof/>
        </w:rPr>
        <w:t>Compatibility with the Multiannual Financial Framework and possible synergies with other appropriate instruments</w:t>
      </w:r>
      <w:bookmarkEnd w:id="27"/>
      <w:bookmarkEnd w:id="28"/>
    </w:p>
    <w:p w14:paraId="1D696230"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revision is a key deliverable of the Communication from the Commission on a Sustainable and Smart Mobility Strategy, which sets out the EU vision for the transport system of the future. The strategy announced that the Commission is planning to initiate a major review of existing legislation on flag State responsibilities, port State control and accident investigation in 2021 (under </w:t>
      </w:r>
      <w:r w:rsidRPr="009620AB">
        <w:rPr>
          <w:noProof/>
        </w:rPr>
        <w:t>Flagship 10 - Enhancing transport safety and security</w:t>
      </w:r>
      <w:r>
        <w:rPr>
          <w:noProof/>
        </w:rPr>
        <w:t>)</w:t>
      </w:r>
      <w:r w:rsidRPr="001E35D6">
        <w:rPr>
          <w:noProof/>
        </w:rPr>
        <w:t xml:space="preserve">. </w:t>
      </w:r>
      <w:r>
        <w:rPr>
          <w:noProof/>
        </w:rPr>
        <w:t xml:space="preserve"> </w:t>
      </w:r>
    </w:p>
    <w:p w14:paraId="6EE88C66"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The proposed revision will create synergies with other pieces of EU regulatory framework, notably the Directive 2009/18/EC on accident investigation and Directive 2009/21/EC on compliance with flag State requirements.</w:t>
      </w:r>
    </w:p>
    <w:p w14:paraId="6A5F1166" w14:textId="77777777" w:rsidR="001E1EB3" w:rsidRDefault="00F001BC" w:rsidP="001E1EB3">
      <w:pPr>
        <w:pStyle w:val="Text1"/>
        <w:pBdr>
          <w:top w:val="single" w:sz="4" w:space="1" w:color="auto"/>
          <w:left w:val="single" w:sz="4" w:space="4" w:color="auto"/>
          <w:bottom w:val="single" w:sz="4" w:space="1" w:color="auto"/>
          <w:right w:val="single" w:sz="4" w:space="4" w:color="auto"/>
        </w:pBdr>
        <w:rPr>
          <w:noProof/>
        </w:rPr>
      </w:pPr>
      <w:r w:rsidRPr="00BF09F1">
        <w:rPr>
          <w:noProof/>
        </w:rPr>
        <w:t xml:space="preserve">The proposal is compatible with the </w:t>
      </w:r>
      <w:r>
        <w:rPr>
          <w:noProof/>
        </w:rPr>
        <w:t xml:space="preserve">current </w:t>
      </w:r>
      <w:r w:rsidRPr="00BF09F1">
        <w:rPr>
          <w:noProof/>
        </w:rPr>
        <w:t xml:space="preserve">Multiannual Financial Framework, although it will </w:t>
      </w:r>
      <w:r w:rsidRPr="00E21F75">
        <w:rPr>
          <w:noProof/>
        </w:rPr>
        <w:t xml:space="preserve">require </w:t>
      </w:r>
      <w:r w:rsidRPr="00063C36">
        <w:rPr>
          <w:noProof/>
        </w:rPr>
        <w:t>reprogramming within Heading 1</w:t>
      </w:r>
      <w:r w:rsidRPr="00E21F75">
        <w:rPr>
          <w:noProof/>
        </w:rPr>
        <w:t xml:space="preserve"> as</w:t>
      </w:r>
      <w:r w:rsidRPr="00BF09F1">
        <w:rPr>
          <w:noProof/>
        </w:rPr>
        <w:t xml:space="preserve"> regards the annual contribution to EMSA</w:t>
      </w:r>
      <w:r w:rsidR="001E1EB3">
        <w:rPr>
          <w:noProof/>
        </w:rPr>
        <w:t xml:space="preserve"> (budgetary offsetting by a compensatory reduction of programmed spending under CEF Transport (02 03 01)). The budget impact of the current proposal is already included in the budget for the Commission proposal for a Regulation of the European Parliament and of the Council on the European Maritime Safety Agency and repealing Regulation (EC) No 1406/2002.</w:t>
      </w:r>
    </w:p>
    <w:p w14:paraId="5C2B6911" w14:textId="77777777" w:rsidR="00F001BC" w:rsidRDefault="001E1EB3" w:rsidP="001E1EB3">
      <w:pPr>
        <w:pStyle w:val="Text1"/>
        <w:pBdr>
          <w:top w:val="single" w:sz="4" w:space="1" w:color="auto"/>
          <w:left w:val="single" w:sz="4" w:space="4" w:color="auto"/>
          <w:bottom w:val="single" w:sz="4" w:space="1" w:color="auto"/>
          <w:right w:val="single" w:sz="4" w:space="4" w:color="auto"/>
        </w:pBdr>
        <w:rPr>
          <w:noProof/>
        </w:rPr>
      </w:pPr>
      <w:r>
        <w:rPr>
          <w:noProof/>
        </w:rPr>
        <w:t xml:space="preserve">The budget impact beyond the current MFF is an indicative overview, without prejudice to the future MFF Agreement. </w:t>
      </w:r>
    </w:p>
    <w:p w14:paraId="086AAA6A" w14:textId="77777777" w:rsidR="00F001BC" w:rsidRDefault="00F001BC" w:rsidP="00F001BC">
      <w:pPr>
        <w:pStyle w:val="ManualHeading3"/>
        <w:rPr>
          <w:noProof/>
        </w:rPr>
      </w:pPr>
      <w:bookmarkStart w:id="29" w:name="_Toc514938673"/>
      <w:bookmarkStart w:id="30" w:name="_Toc520485432"/>
      <w:r w:rsidRPr="006D222F">
        <w:rPr>
          <w:noProof/>
        </w:rPr>
        <w:t>1.5.5.</w:t>
      </w:r>
      <w:r w:rsidRPr="006D222F">
        <w:rPr>
          <w:noProof/>
        </w:rPr>
        <w:tab/>
      </w:r>
      <w:r>
        <w:rPr>
          <w:noProof/>
        </w:rPr>
        <w:t>Assessment of the different available financing options, including scope for redeployment</w:t>
      </w:r>
      <w:bookmarkEnd w:id="29"/>
      <w:bookmarkEnd w:id="30"/>
    </w:p>
    <w:p w14:paraId="7F1853EF"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BF09F1">
        <w:rPr>
          <w:noProof/>
        </w:rPr>
        <w:t xml:space="preserve">The budgetary impact of this initiative refers to the additional resources necessary for the increasing role of EMSA to facilitate </w:t>
      </w:r>
      <w:r>
        <w:rPr>
          <w:noProof/>
        </w:rPr>
        <w:t xml:space="preserve">the PSCOs (i.e. in relation to large fishing vessels organise trainings and develope a THETIS module and a common curriculum, in relation to electronic certificates develop a validation tool and repository, and develop enhanced training tools/capacity development on new technologies, including but not limited to renewable and low carbon fuels, and automation) under the proposed Directive. </w:t>
      </w:r>
      <w:r w:rsidRPr="00BF09F1">
        <w:rPr>
          <w:noProof/>
        </w:rPr>
        <w:t xml:space="preserve">These are new tasks for EMSA that will become permanent, while existing tasks will not decrease or be partly phased </w:t>
      </w:r>
      <w:r w:rsidRPr="00E21F75">
        <w:rPr>
          <w:noProof/>
        </w:rPr>
        <w:t xml:space="preserve">out. </w:t>
      </w:r>
      <w:r w:rsidRPr="00063C36">
        <w:rPr>
          <w:noProof/>
        </w:rPr>
        <w:t xml:space="preserve">The additional need of human resources cannot be met by redeployment, while the additional budgetary needs will be met through offsetting by existing programmes managed by DG MOVE </w:t>
      </w:r>
      <w:r w:rsidRPr="00E21F75">
        <w:rPr>
          <w:noProof/>
        </w:rPr>
        <w:t>under the current multiannual financial framework</w:t>
      </w:r>
      <w:r w:rsidRPr="00063C36">
        <w:rPr>
          <w:noProof/>
        </w:rPr>
        <w:t>.</w:t>
      </w:r>
    </w:p>
    <w:p w14:paraId="6358F733" w14:textId="77777777" w:rsidR="001E1EB3" w:rsidRDefault="001E1EB3" w:rsidP="001E1EB3">
      <w:pPr>
        <w:pStyle w:val="Text1"/>
        <w:pBdr>
          <w:top w:val="single" w:sz="4" w:space="1" w:color="auto"/>
          <w:left w:val="single" w:sz="4" w:space="4" w:color="auto"/>
          <w:bottom w:val="single" w:sz="4" w:space="1" w:color="auto"/>
          <w:right w:val="single" w:sz="4" w:space="4" w:color="auto"/>
        </w:pBdr>
        <w:rPr>
          <w:noProof/>
        </w:rPr>
      </w:pPr>
      <w:r>
        <w:rPr>
          <w:noProof/>
        </w:rPr>
        <w:t>The increase in appropriations for EMSA will be offset by a compensatory reduction of programmed spending under CEF Transport (02 03 01). The budget impact of the current proposal is already included in the budget for the Commission proposal for a Regulation of the European Parliament and of the Council on the European Maritime Safety Agency and repealing Regulation (EC) No 1406/2002.</w:t>
      </w:r>
    </w:p>
    <w:p w14:paraId="671057A3" w14:textId="77777777" w:rsidR="001E1EB3" w:rsidRDefault="001E1EB3" w:rsidP="001E1EB3">
      <w:pPr>
        <w:pStyle w:val="Text1"/>
        <w:pBdr>
          <w:top w:val="single" w:sz="4" w:space="1" w:color="auto"/>
          <w:left w:val="single" w:sz="4" w:space="4" w:color="auto"/>
          <w:bottom w:val="single" w:sz="4" w:space="1" w:color="auto"/>
          <w:right w:val="single" w:sz="4" w:space="4" w:color="auto"/>
        </w:pBdr>
        <w:rPr>
          <w:noProof/>
        </w:rPr>
      </w:pPr>
      <w:r>
        <w:rPr>
          <w:noProof/>
        </w:rPr>
        <w:t>The budget impact beyond the current MFF is an indicative overview, without prejudice to the future MFF Agreement.</w:t>
      </w:r>
    </w:p>
    <w:p w14:paraId="78FEE892" w14:textId="77777777" w:rsidR="00F001BC" w:rsidRPr="00A32156" w:rsidRDefault="00F001BC" w:rsidP="00F001BC">
      <w:pPr>
        <w:pStyle w:val="Text1"/>
        <w:rPr>
          <w:noProof/>
        </w:rPr>
      </w:pPr>
    </w:p>
    <w:p w14:paraId="662D1981" w14:textId="77777777" w:rsidR="00F001BC" w:rsidRDefault="00F001BC" w:rsidP="00F001BC">
      <w:pPr>
        <w:pStyle w:val="ManualHeading2"/>
        <w:rPr>
          <w:bCs/>
          <w:noProof/>
          <w:szCs w:val="24"/>
        </w:rPr>
      </w:pPr>
      <w:r>
        <w:rPr>
          <w:noProof/>
        </w:rPr>
        <w:br w:type="page"/>
      </w:r>
      <w:bookmarkStart w:id="31" w:name="_Toc514938674"/>
      <w:bookmarkStart w:id="32" w:name="_Toc520485433"/>
      <w:r w:rsidRPr="00E21F75">
        <w:rPr>
          <w:noProof/>
        </w:rPr>
        <w:t>1.6.</w:t>
      </w:r>
      <w:r w:rsidRPr="00E21F75">
        <w:rPr>
          <w:noProof/>
        </w:rPr>
        <w:tab/>
      </w:r>
      <w:r w:rsidRPr="00063C36">
        <w:rPr>
          <w:noProof/>
        </w:rPr>
        <w:t>Duration and financial impact of the proposal/initiative</w:t>
      </w:r>
      <w:bookmarkEnd w:id="31"/>
      <w:bookmarkEnd w:id="32"/>
    </w:p>
    <w:p w14:paraId="6B385C6D" w14:textId="77777777" w:rsidR="00F001BC" w:rsidRDefault="00F001BC" w:rsidP="00F001BC">
      <w:pPr>
        <w:pStyle w:val="Text1"/>
        <w:rPr>
          <w:noProof/>
        </w:rPr>
      </w:pPr>
      <w:r>
        <w:rPr>
          <w:noProof/>
        </w:rPr>
        <w:sym w:font="Wingdings" w:char="F0A8"/>
      </w:r>
      <w:r>
        <w:rPr>
          <w:b/>
          <w:i/>
          <w:noProof/>
        </w:rPr>
        <w:t xml:space="preserve"> </w:t>
      </w:r>
      <w:r>
        <w:rPr>
          <w:b/>
          <w:noProof/>
        </w:rPr>
        <w:t xml:space="preserve">limited duration </w:t>
      </w:r>
    </w:p>
    <w:p w14:paraId="6C3EB762" w14:textId="77777777" w:rsidR="00F001BC" w:rsidRDefault="00F001BC" w:rsidP="008305F0">
      <w:pPr>
        <w:pStyle w:val="ListDash2"/>
        <w:rPr>
          <w:noProof/>
        </w:rPr>
      </w:pPr>
      <w:r>
        <w:rPr>
          <w:noProof/>
        </w:rPr>
        <w:sym w:font="Wingdings" w:char="F0A8"/>
      </w:r>
      <w:r>
        <w:rPr>
          <w:noProof/>
        </w:rPr>
        <w:tab/>
        <w:t xml:space="preserve">Proposal/initiative in effect from [DD/MM]YYYY to [DD/MM]YYYY </w:t>
      </w:r>
    </w:p>
    <w:p w14:paraId="3D0E191F" w14:textId="77777777" w:rsidR="00F001BC" w:rsidRDefault="00F001BC" w:rsidP="008305F0">
      <w:pPr>
        <w:pStyle w:val="ListDash2"/>
        <w:rPr>
          <w:noProof/>
        </w:rPr>
      </w:pPr>
      <w:r>
        <w:rPr>
          <w:noProof/>
        </w:rPr>
        <w:sym w:font="Wingdings" w:char="F0A8"/>
      </w:r>
      <w:r>
        <w:rPr>
          <w:noProof/>
        </w:rPr>
        <w:tab/>
        <w:t>Financial impact from YYYY to YYYY</w:t>
      </w:r>
    </w:p>
    <w:p w14:paraId="60E6911A" w14:textId="77777777" w:rsidR="00F001BC" w:rsidRDefault="00F001BC" w:rsidP="00F001BC">
      <w:pPr>
        <w:pStyle w:val="Text1"/>
        <w:rPr>
          <w:noProof/>
        </w:rPr>
      </w:pPr>
      <w:r>
        <w:rPr>
          <w:noProof/>
        </w:rPr>
        <w:sym w:font="Wingdings" w:char="F0FE"/>
      </w:r>
      <w:r>
        <w:rPr>
          <w:b/>
          <w:i/>
          <w:noProof/>
        </w:rPr>
        <w:t xml:space="preserve"> </w:t>
      </w:r>
      <w:r>
        <w:rPr>
          <w:b/>
          <w:noProof/>
        </w:rPr>
        <w:t>unlimited duration</w:t>
      </w:r>
    </w:p>
    <w:p w14:paraId="0859804B" w14:textId="77777777" w:rsidR="00F001BC" w:rsidRDefault="00F001BC" w:rsidP="008305F0">
      <w:pPr>
        <w:pStyle w:val="ListDash1"/>
        <w:rPr>
          <w:noProof/>
        </w:rPr>
      </w:pPr>
      <w:r>
        <w:rPr>
          <w:noProof/>
        </w:rPr>
        <w:t xml:space="preserve">Implementation with a start-up period from YYYY to YYYY, </w:t>
      </w:r>
      <w:r w:rsidRPr="00407155">
        <w:rPr>
          <w:i/>
          <w:noProof/>
        </w:rPr>
        <w:t>[n.a.]</w:t>
      </w:r>
      <w:r>
        <w:rPr>
          <w:noProof/>
        </w:rPr>
        <w:t>,</w:t>
      </w:r>
    </w:p>
    <w:p w14:paraId="6C9B7BA9" w14:textId="77777777" w:rsidR="00F001BC" w:rsidRDefault="00F001BC" w:rsidP="008305F0">
      <w:pPr>
        <w:pStyle w:val="ListDash1"/>
        <w:rPr>
          <w:noProof/>
        </w:rPr>
      </w:pPr>
      <w:r>
        <w:rPr>
          <w:noProof/>
        </w:rPr>
        <w:t>followed by full-scale operation.</w:t>
      </w:r>
    </w:p>
    <w:p w14:paraId="23E3E800" w14:textId="77777777" w:rsidR="00F001BC" w:rsidRDefault="00F001BC" w:rsidP="00F001BC">
      <w:pPr>
        <w:pStyle w:val="ManualHeading2"/>
        <w:rPr>
          <w:bCs/>
          <w:noProof/>
          <w:szCs w:val="24"/>
        </w:rPr>
      </w:pPr>
      <w:bookmarkStart w:id="33" w:name="_Toc514938675"/>
      <w:bookmarkStart w:id="34" w:name="_Toc520485434"/>
      <w:r w:rsidRPr="006D222F">
        <w:rPr>
          <w:noProof/>
        </w:rPr>
        <w:t>1.7.</w:t>
      </w:r>
      <w:r w:rsidRPr="006D222F">
        <w:rPr>
          <w:noProof/>
        </w:rPr>
        <w:tab/>
      </w:r>
      <w:r>
        <w:rPr>
          <w:noProof/>
        </w:rPr>
        <w:t>Method(s) of budget implementation planned</w:t>
      </w:r>
      <w:r>
        <w:rPr>
          <w:rStyle w:val="FootnoteReference"/>
          <w:noProof/>
        </w:rPr>
        <w:footnoteReference w:id="32"/>
      </w:r>
      <w:bookmarkEnd w:id="33"/>
      <w:bookmarkEnd w:id="34"/>
      <w:r>
        <w:rPr>
          <w:rStyle w:val="FootnoteReference"/>
          <w:noProof/>
        </w:rPr>
        <w:t xml:space="preserve"> </w:t>
      </w:r>
    </w:p>
    <w:p w14:paraId="79480729" w14:textId="77777777" w:rsidR="00F001BC" w:rsidRDefault="00F001BC" w:rsidP="00F001BC">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14:paraId="5B47B4D1" w14:textId="77777777" w:rsidR="00F001BC" w:rsidRDefault="00F001BC" w:rsidP="008305F0">
      <w:pPr>
        <w:pStyle w:val="ListDash2"/>
        <w:rPr>
          <w:noProof/>
        </w:rPr>
      </w:pPr>
      <w:r>
        <w:rPr>
          <w:noProof/>
        </w:rPr>
        <w:sym w:font="Wingdings" w:char="F0A8"/>
      </w:r>
      <w:r>
        <w:rPr>
          <w:noProof/>
        </w:rPr>
        <w:tab/>
        <w:t xml:space="preserve">executive agencies </w:t>
      </w:r>
    </w:p>
    <w:p w14:paraId="68F098C1" w14:textId="77777777" w:rsidR="00F001BC" w:rsidRDefault="00F001BC" w:rsidP="00F001BC">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14:paraId="7121145A" w14:textId="77777777" w:rsidR="00F001BC" w:rsidRDefault="00F001BC" w:rsidP="00F001BC">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14:paraId="1D16C4A6" w14:textId="77777777" w:rsidR="00F001BC" w:rsidRDefault="00F001BC" w:rsidP="00F001BC">
      <w:pPr>
        <w:pStyle w:val="Text1"/>
        <w:rPr>
          <w:noProof/>
        </w:rPr>
      </w:pPr>
      <w:r>
        <w:rPr>
          <w:noProof/>
        </w:rPr>
        <w:sym w:font="Wingdings" w:char="F0A8"/>
      </w:r>
      <w:r>
        <w:rPr>
          <w:noProof/>
        </w:rPr>
        <w:t xml:space="preserve"> international organisations and their agencies (to be specified);</w:t>
      </w:r>
    </w:p>
    <w:p w14:paraId="0D82C2D7" w14:textId="77777777" w:rsidR="00F001BC" w:rsidRDefault="00F001BC" w:rsidP="00F001BC">
      <w:pPr>
        <w:pStyle w:val="Text1"/>
        <w:rPr>
          <w:noProof/>
        </w:rPr>
      </w:pPr>
      <w:r>
        <w:rPr>
          <w:noProof/>
        </w:rPr>
        <w:sym w:font="Wingdings" w:char="F0A8"/>
      </w:r>
      <w:r>
        <w:rPr>
          <w:noProof/>
        </w:rPr>
        <w:t>the EIB and the European Investment Fund;</w:t>
      </w:r>
    </w:p>
    <w:p w14:paraId="6C795DDC" w14:textId="77777777" w:rsidR="00F001BC" w:rsidRDefault="00F001BC" w:rsidP="00F001BC">
      <w:pPr>
        <w:pStyle w:val="Text1"/>
        <w:rPr>
          <w:noProof/>
        </w:rPr>
      </w:pPr>
      <w:r>
        <w:rPr>
          <w:noProof/>
        </w:rPr>
        <w:sym w:font="Wingdings" w:char="F0FE"/>
      </w:r>
      <w:r>
        <w:rPr>
          <w:noProof/>
        </w:rPr>
        <w:t xml:space="preserve"> bodies referred to in Articles 70 and 71;</w:t>
      </w:r>
    </w:p>
    <w:p w14:paraId="0712C420" w14:textId="77777777" w:rsidR="00F001BC" w:rsidRDefault="00F001BC" w:rsidP="00F001BC">
      <w:pPr>
        <w:pStyle w:val="Text1"/>
        <w:rPr>
          <w:noProof/>
        </w:rPr>
      </w:pPr>
      <w:r>
        <w:rPr>
          <w:noProof/>
        </w:rPr>
        <w:sym w:font="Wingdings" w:char="F0A8"/>
      </w:r>
      <w:r>
        <w:rPr>
          <w:noProof/>
        </w:rPr>
        <w:t xml:space="preserve"> public law bodies;</w:t>
      </w:r>
    </w:p>
    <w:p w14:paraId="75FAB532" w14:textId="77777777" w:rsidR="00F001BC" w:rsidRDefault="00F001BC" w:rsidP="00F001BC">
      <w:pPr>
        <w:pStyle w:val="Text1"/>
        <w:rPr>
          <w:noProof/>
        </w:rPr>
      </w:pPr>
      <w:r>
        <w:rPr>
          <w:noProof/>
        </w:rPr>
        <w:sym w:font="Wingdings" w:char="F0A8"/>
      </w:r>
      <w:r>
        <w:rPr>
          <w:noProof/>
        </w:rPr>
        <w:t xml:space="preserve"> bodies governed by private law with a public service mission to the extent that they are provided with adequate financial guarantees;</w:t>
      </w:r>
    </w:p>
    <w:p w14:paraId="2E063A7F" w14:textId="77777777" w:rsidR="00F001BC" w:rsidRDefault="00F001BC" w:rsidP="00F001BC">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are provided with adequate financial guarantees;</w:t>
      </w:r>
    </w:p>
    <w:p w14:paraId="3FFEF360" w14:textId="77777777" w:rsidR="00F001BC" w:rsidRDefault="00F001BC" w:rsidP="00F001BC">
      <w:pPr>
        <w:pStyle w:val="Text1"/>
        <w:rPr>
          <w:noProof/>
        </w:rPr>
      </w:pPr>
      <w:r>
        <w:rPr>
          <w:noProof/>
        </w:rPr>
        <w:sym w:font="Wingdings" w:char="F0A8"/>
      </w:r>
      <w:r>
        <w:rPr>
          <w:noProof/>
        </w:rPr>
        <w:t xml:space="preserve"> bodies or persons entrusted with the implementation of specific actions in the CFSP pursuant to Title V of the TEU, and identified in the relevant basic act.</w:t>
      </w:r>
    </w:p>
    <w:p w14:paraId="32CB9087" w14:textId="77777777" w:rsidR="00F001BC" w:rsidRDefault="00F001BC" w:rsidP="00F001BC">
      <w:pPr>
        <w:rPr>
          <w:noProof/>
        </w:rPr>
      </w:pPr>
      <w:r>
        <w:rPr>
          <w:noProof/>
        </w:rPr>
        <w:t>Comments</w:t>
      </w:r>
    </w:p>
    <w:p w14:paraId="46745F0A" w14:textId="77777777" w:rsidR="00F001BC" w:rsidRDefault="00F001BC" w:rsidP="00F001BC">
      <w:pPr>
        <w:pBdr>
          <w:top w:val="single" w:sz="4" w:space="1" w:color="auto"/>
          <w:left w:val="single" w:sz="4" w:space="4" w:color="auto"/>
          <w:bottom w:val="single" w:sz="4" w:space="1" w:color="auto"/>
          <w:right w:val="single" w:sz="4" w:space="4" w:color="auto"/>
        </w:pBdr>
        <w:rPr>
          <w:noProof/>
        </w:rPr>
      </w:pPr>
      <w:r w:rsidRPr="00BF09F1">
        <w:rPr>
          <w:noProof/>
        </w:rPr>
        <w:t>Management of the proposed Directive will be done overall by the Commission services assisted by the European Maritime Safety Agency as appropriate.</w:t>
      </w:r>
    </w:p>
    <w:p w14:paraId="796ECDDC" w14:textId="77777777" w:rsidR="00F001BC" w:rsidRDefault="00F001BC" w:rsidP="00F001BC">
      <w:pPr>
        <w:pBdr>
          <w:top w:val="single" w:sz="4" w:space="1" w:color="auto"/>
          <w:left w:val="single" w:sz="4" w:space="4" w:color="auto"/>
          <w:bottom w:val="single" w:sz="4" w:space="1" w:color="auto"/>
          <w:right w:val="single" w:sz="4" w:space="4" w:color="auto"/>
        </w:pBdr>
        <w:rPr>
          <w:noProof/>
        </w:rPr>
      </w:pPr>
      <w:r>
        <w:rPr>
          <w:noProof/>
        </w:rPr>
        <w:t>Member States will be required to transpose the provisions of the Directive by the respective deadline.</w:t>
      </w:r>
    </w:p>
    <w:p w14:paraId="2ADC58D9" w14:textId="77777777" w:rsidR="00F001BC" w:rsidRDefault="00F001BC" w:rsidP="00F001BC">
      <w:pPr>
        <w:rPr>
          <w:noProof/>
        </w:rPr>
      </w:pPr>
      <w:r>
        <w:rPr>
          <w:noProof/>
        </w:rPr>
        <w:t xml:space="preserve"> </w:t>
      </w:r>
    </w:p>
    <w:p w14:paraId="62495446" w14:textId="77777777" w:rsidR="00F001BC" w:rsidRDefault="00F001BC" w:rsidP="00F001BC">
      <w:pPr>
        <w:rPr>
          <w:noProof/>
        </w:rPr>
        <w:sectPr w:rsidR="00F001BC" w:rsidSect="00E321BE">
          <w:pgSz w:w="12240" w:h="15840"/>
          <w:pgMar w:top="794" w:right="907" w:bottom="851" w:left="1361" w:header="510" w:footer="454" w:gutter="0"/>
          <w:cols w:space="720"/>
          <w:docGrid w:linePitch="326"/>
        </w:sectPr>
      </w:pPr>
    </w:p>
    <w:p w14:paraId="3232DA4C" w14:textId="77777777" w:rsidR="00F001BC" w:rsidRDefault="00F001BC" w:rsidP="00F001BC">
      <w:pPr>
        <w:pStyle w:val="ManualHeading1"/>
        <w:rPr>
          <w:bCs/>
          <w:noProof/>
          <w:szCs w:val="24"/>
        </w:rPr>
      </w:pPr>
      <w:bookmarkStart w:id="35" w:name="_Toc514938676"/>
      <w:bookmarkStart w:id="36" w:name="_Toc520485435"/>
      <w:r w:rsidRPr="00E21F75">
        <w:rPr>
          <w:noProof/>
        </w:rPr>
        <w:t>2.</w:t>
      </w:r>
      <w:r w:rsidRPr="00E21F75">
        <w:rPr>
          <w:noProof/>
        </w:rPr>
        <w:tab/>
      </w:r>
      <w:r w:rsidRPr="00063C36">
        <w:rPr>
          <w:noProof/>
        </w:rPr>
        <w:t>MANAGEMENT MEASURES</w:t>
      </w:r>
      <w:bookmarkEnd w:id="35"/>
      <w:bookmarkEnd w:id="36"/>
      <w:r>
        <w:rPr>
          <w:noProof/>
        </w:rPr>
        <w:t xml:space="preserve"> </w:t>
      </w:r>
    </w:p>
    <w:p w14:paraId="63ED596B" w14:textId="77777777" w:rsidR="00F001BC" w:rsidRDefault="00F001BC" w:rsidP="00F001BC">
      <w:pPr>
        <w:pStyle w:val="ManualHeading2"/>
        <w:rPr>
          <w:bCs/>
          <w:noProof/>
          <w:szCs w:val="24"/>
        </w:rPr>
      </w:pPr>
      <w:bookmarkStart w:id="37" w:name="_Toc514938677"/>
      <w:bookmarkStart w:id="38" w:name="_Toc520485436"/>
      <w:r w:rsidRPr="006D222F">
        <w:rPr>
          <w:noProof/>
        </w:rPr>
        <w:t>2.1.</w:t>
      </w:r>
      <w:r w:rsidRPr="006D222F">
        <w:rPr>
          <w:noProof/>
        </w:rPr>
        <w:tab/>
      </w:r>
      <w:r>
        <w:rPr>
          <w:noProof/>
        </w:rPr>
        <w:t>Monitoring and reporting rules</w:t>
      </w:r>
      <w:bookmarkEnd w:id="37"/>
      <w:bookmarkEnd w:id="38"/>
      <w:r>
        <w:rPr>
          <w:noProof/>
        </w:rPr>
        <w:t xml:space="preserve"> </w:t>
      </w:r>
    </w:p>
    <w:p w14:paraId="238C4679" w14:textId="77777777" w:rsidR="00F001BC" w:rsidRDefault="00F001BC" w:rsidP="00F001BC">
      <w:pPr>
        <w:pStyle w:val="Text1"/>
        <w:rPr>
          <w:i/>
          <w:noProof/>
          <w:sz w:val="20"/>
        </w:rPr>
      </w:pPr>
      <w:r>
        <w:rPr>
          <w:i/>
          <w:noProof/>
          <w:sz w:val="20"/>
        </w:rPr>
        <w:t>Specify frequency and conditions.</w:t>
      </w:r>
    </w:p>
    <w:p w14:paraId="57785950"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will be overall accountable for implementing the proposed Directive as well as for reporting to the European Parliament and the Council on the Member States’ implementation and compliance. </w:t>
      </w:r>
    </w:p>
    <w:p w14:paraId="3F07253C"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The Commission has a near-real-time means of monitoring implementation of the Directive’s provisions in and by the Member States since the results of port State control inspections have to be uploaded to the THETIS database within 72 hours of the inspection. The Commission and/or EMSA can thereby monitor the THETIS database to verify that inspections are being carried out as required and that the reports are uploaded to the database. These indicators will also be monitored for inspections carried out on-board fishing vessels of above 24 meters in length by those Member States which carry out these inspections.</w:t>
      </w:r>
    </w:p>
    <w:p w14:paraId="102C3A1A"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The Commission and/or EMSA can monitor the progress of Member States effectively on a weekly basis and the Member States know that they are being monitored if a measure becomes mandatory. The Commission in that case can take swift action to address any shortcomings, including additional technical support or training from EMSA or the Commission opening an infringement procedure.</w:t>
      </w:r>
    </w:p>
    <w:p w14:paraId="0BBDBFFB"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740FC5">
        <w:rPr>
          <w:noProof/>
        </w:rPr>
        <w:t xml:space="preserve">EMSA, on behalf of the Commission, also carries out visits to Member States to verify operations on the ground. </w:t>
      </w:r>
    </w:p>
    <w:p w14:paraId="097AAD12"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will need to have a Quality Management System (QMS) to certify their organisation, policies, processes, resources and documentation are appropriate to achieve its objectives. This will have to be certified and subsequently subject to audit every five years. Member States will have to share with Commission and/or EMSA the results of the audits carried out by the accredited body such that the PSC administration retains its QMS certification. </w:t>
      </w:r>
    </w:p>
    <w:p w14:paraId="424E3772"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740FC5">
        <w:rPr>
          <w:noProof/>
        </w:rPr>
        <w:t>EMSA will carry out a horizontal analysis, giving an indication of how the legislation is functioning and identifying gaps and what can be done to address them, and report to the Commission and Member States, through among others discussions in workshops.</w:t>
      </w:r>
      <w:r>
        <w:rPr>
          <w:noProof/>
        </w:rPr>
        <w:t xml:space="preserve"> </w:t>
      </w:r>
    </w:p>
    <w:p w14:paraId="4DB1FB30"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Lastly, ten years after the end of the implementation date of the legislation, the Commission services should carry out an evaluation to verify to what extent the objectives of the initiative have been reached.</w:t>
      </w:r>
    </w:p>
    <w:p w14:paraId="3FFE340F" w14:textId="77777777" w:rsidR="00F001BC" w:rsidRDefault="00F001BC" w:rsidP="00F001BC">
      <w:pPr>
        <w:pStyle w:val="ManualHeading2"/>
        <w:rPr>
          <w:bCs/>
          <w:noProof/>
          <w:szCs w:val="24"/>
        </w:rPr>
      </w:pPr>
      <w:bookmarkStart w:id="39" w:name="_Toc514938678"/>
      <w:bookmarkStart w:id="40" w:name="_Toc520485437"/>
      <w:r w:rsidRPr="00E21F75">
        <w:rPr>
          <w:noProof/>
        </w:rPr>
        <w:t>2.2.</w:t>
      </w:r>
      <w:r w:rsidRPr="00E21F75">
        <w:rPr>
          <w:noProof/>
        </w:rPr>
        <w:tab/>
      </w:r>
      <w:r w:rsidRPr="00063C36">
        <w:rPr>
          <w:noProof/>
        </w:rPr>
        <w:t>Management and control system(s)</w:t>
      </w:r>
      <w:bookmarkEnd w:id="39"/>
      <w:bookmarkEnd w:id="40"/>
      <w:r>
        <w:rPr>
          <w:noProof/>
        </w:rPr>
        <w:t xml:space="preserve"> </w:t>
      </w:r>
    </w:p>
    <w:p w14:paraId="161FF234" w14:textId="77777777" w:rsidR="00F001BC" w:rsidRDefault="00F001BC" w:rsidP="00F001BC">
      <w:pPr>
        <w:pStyle w:val="ManualHeading3"/>
        <w:rPr>
          <w:noProof/>
        </w:rPr>
      </w:pPr>
      <w:bookmarkStart w:id="41" w:name="_Toc514938679"/>
      <w:bookmarkStart w:id="42" w:name="_Toc520485438"/>
      <w:r w:rsidRPr="006D222F">
        <w:rPr>
          <w:noProof/>
        </w:rPr>
        <w:t>2.2.1.</w:t>
      </w:r>
      <w:r w:rsidRPr="006D222F">
        <w:rPr>
          <w:noProof/>
        </w:rPr>
        <w:tab/>
      </w:r>
      <w:r>
        <w:rPr>
          <w:noProof/>
        </w:rPr>
        <w:t>Justification of the management mode(s), the funding implementation mechanism(s), the payment modalities and the control strategy proposed</w:t>
      </w:r>
      <w:bookmarkEnd w:id="41"/>
      <w:bookmarkEnd w:id="42"/>
    </w:p>
    <w:p w14:paraId="629B64B1"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132C5D">
        <w:rPr>
          <w:noProof/>
        </w:rPr>
        <w:t xml:space="preserve">The Commission will be overall accountable for implementing the proposed </w:t>
      </w:r>
      <w:r>
        <w:rPr>
          <w:noProof/>
        </w:rPr>
        <w:t>Directive</w:t>
      </w:r>
      <w:r w:rsidRPr="00132C5D">
        <w:rPr>
          <w:noProof/>
        </w:rPr>
        <w:t xml:space="preserve"> as well as for reporting to the European Parliament and the Council on its efficiency </w:t>
      </w:r>
      <w:r>
        <w:rPr>
          <w:noProof/>
        </w:rPr>
        <w:t xml:space="preserve">and implementation. </w:t>
      </w:r>
      <w:r w:rsidRPr="00740FC5">
        <w:rPr>
          <w:noProof/>
        </w:rPr>
        <w:t xml:space="preserve">The Commission will be assisted by EMSA as appropriate in </w:t>
      </w:r>
      <w:r w:rsidRPr="00F16EB0">
        <w:rPr>
          <w:noProof/>
        </w:rPr>
        <w:t>providing the IT services and developing the IT tools necessary for the reporting, monitoring and verification provisions of the proposed Directive, a</w:t>
      </w:r>
      <w:r>
        <w:rPr>
          <w:noProof/>
        </w:rPr>
        <w:t xml:space="preserve">s well as organising trainings. </w:t>
      </w:r>
      <w:r w:rsidRPr="00740FC5">
        <w:rPr>
          <w:noProof/>
        </w:rPr>
        <w:t xml:space="preserve">Member States will be required to carry out the transposition of the Directive to their national legislation by the deadline mentioned in the Directive. Enforcement activities will be carried out as part of the </w:t>
      </w:r>
      <w:r>
        <w:rPr>
          <w:noProof/>
        </w:rPr>
        <w:t>Port State</w:t>
      </w:r>
      <w:r w:rsidRPr="00740FC5">
        <w:rPr>
          <w:noProof/>
        </w:rPr>
        <w:t xml:space="preserve"> </w:t>
      </w:r>
      <w:r>
        <w:rPr>
          <w:noProof/>
        </w:rPr>
        <w:t>controls</w:t>
      </w:r>
      <w:r w:rsidRPr="00740FC5">
        <w:rPr>
          <w:noProof/>
        </w:rPr>
        <w:t xml:space="preserve">. </w:t>
      </w:r>
    </w:p>
    <w:p w14:paraId="7E72D627" w14:textId="77777777" w:rsidR="00F001BC" w:rsidRDefault="00F001BC" w:rsidP="00F001BC">
      <w:pPr>
        <w:pStyle w:val="ManualHeading3"/>
        <w:rPr>
          <w:noProof/>
        </w:rPr>
      </w:pPr>
      <w:bookmarkStart w:id="43" w:name="_Toc514938680"/>
      <w:bookmarkStart w:id="44" w:name="_Toc520485439"/>
      <w:r w:rsidRPr="006D222F">
        <w:rPr>
          <w:noProof/>
        </w:rPr>
        <w:t>2.2.2.</w:t>
      </w:r>
      <w:r w:rsidRPr="006D222F">
        <w:rPr>
          <w:noProof/>
        </w:rPr>
        <w:tab/>
      </w:r>
      <w:r>
        <w:rPr>
          <w:noProof/>
        </w:rPr>
        <w:t>Information concerning the risks identified and the internal control system(s) set up to mitigate them</w:t>
      </w:r>
      <w:bookmarkEnd w:id="43"/>
      <w:bookmarkEnd w:id="44"/>
    </w:p>
    <w:p w14:paraId="168EA00A"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While the Commission will be overall accountable for implementing the proposed Directive as well as for reporting to the European Parliament and the Council on the Member States’ implementation and compliance, </w:t>
      </w:r>
      <w:r w:rsidRPr="00EB2DFA">
        <w:rPr>
          <w:noProof/>
        </w:rPr>
        <w:t xml:space="preserve">the European Maritime Safety Agency will be responsible for the performance of its operation and for the implementation of its internal control framework. </w:t>
      </w:r>
      <w:r>
        <w:rPr>
          <w:noProof/>
        </w:rPr>
        <w:t>It will be required to develop</w:t>
      </w:r>
      <w:r w:rsidRPr="00C57F80">
        <w:rPr>
          <w:noProof/>
        </w:rPr>
        <w:t xml:space="preserve"> IT tools a</w:t>
      </w:r>
      <w:r>
        <w:rPr>
          <w:noProof/>
        </w:rPr>
        <w:t>nd modules, as well as provide</w:t>
      </w:r>
      <w:r w:rsidRPr="00C57F80">
        <w:rPr>
          <w:noProof/>
        </w:rPr>
        <w:t xml:space="preserve"> training to the </w:t>
      </w:r>
      <w:r>
        <w:rPr>
          <w:noProof/>
        </w:rPr>
        <w:t xml:space="preserve">Port State Control officers, and the Member States will be required to carry out enforcement.  </w:t>
      </w:r>
    </w:p>
    <w:p w14:paraId="789E5B7F"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EMSA is </w:t>
      </w:r>
      <w:r w:rsidRPr="00EB2DFA">
        <w:rPr>
          <w:noProof/>
        </w:rPr>
        <w:t xml:space="preserve">best placed to carry out reporting and assessment of compliance tasks, as this will be technical work, requiring strong expertise in data management, as well as in-depth understanding of complex technical matters related to </w:t>
      </w:r>
      <w:r>
        <w:rPr>
          <w:noProof/>
        </w:rPr>
        <w:t>electronic certificates</w:t>
      </w:r>
      <w:r w:rsidRPr="00EB2DFA">
        <w:rPr>
          <w:noProof/>
        </w:rPr>
        <w:t xml:space="preserve"> and </w:t>
      </w:r>
      <w:r>
        <w:rPr>
          <w:noProof/>
        </w:rPr>
        <w:t>training</w:t>
      </w:r>
      <w:r w:rsidRPr="00EB2DFA">
        <w:rPr>
          <w:noProof/>
        </w:rPr>
        <w:t>.</w:t>
      </w:r>
    </w:p>
    <w:p w14:paraId="6E291C5B"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are best placed to carry out the enforcement of the proposed Directive, notably by continuing enforcing port state control in a harmonized way. </w:t>
      </w:r>
    </w:p>
    <w:p w14:paraId="3A31CDC3"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DG MOVE will apply the necessary controls in line with the supervision strategy </w:t>
      </w:r>
      <w:r w:rsidRPr="00697DFE">
        <w:rPr>
          <w:noProof/>
        </w:rPr>
        <w:t xml:space="preserve">adopted </w:t>
      </w:r>
      <w:r>
        <w:rPr>
          <w:noProof/>
        </w:rPr>
        <w:t xml:space="preserve">in 2017 </w:t>
      </w:r>
      <w:r w:rsidRPr="00697DFE">
        <w:rPr>
          <w:noProof/>
        </w:rPr>
        <w:t xml:space="preserve">on the DG's relations with decentralised agencies and JUs. </w:t>
      </w:r>
      <w:r>
        <w:rPr>
          <w:noProof/>
        </w:rPr>
        <w:t xml:space="preserve">Under the strategy, DG MOVE monitors </w:t>
      </w:r>
      <w:r>
        <w:rPr>
          <w:rFonts w:eastAsia="Times New Roman"/>
          <w:noProof/>
          <w:lang w:val="en-IE" w:eastAsia="en-GB"/>
        </w:rPr>
        <w:t>p</w:t>
      </w:r>
      <w:r w:rsidRPr="008B2983">
        <w:rPr>
          <w:rFonts w:eastAsia="Times New Roman"/>
          <w:noProof/>
          <w:lang w:val="en-IE" w:eastAsia="en-GB"/>
        </w:rPr>
        <w:t xml:space="preserve">erformance indicators </w:t>
      </w:r>
      <w:r>
        <w:rPr>
          <w:rFonts w:eastAsia="Times New Roman"/>
          <w:noProof/>
          <w:lang w:val="en-IE" w:eastAsia="en-GB"/>
        </w:rPr>
        <w:t xml:space="preserve">for the </w:t>
      </w:r>
      <w:r w:rsidRPr="008B2983">
        <w:rPr>
          <w:rFonts w:eastAsia="Times New Roman"/>
          <w:noProof/>
          <w:lang w:val="en-IE" w:eastAsia="en-GB"/>
        </w:rPr>
        <w:t>implementation of the budget, the audit recommendations and administrative matters. A r</w:t>
      </w:r>
      <w:r>
        <w:rPr>
          <w:rFonts w:eastAsia="Times New Roman"/>
          <w:noProof/>
          <w:lang w:val="en-IE" w:eastAsia="en-GB"/>
        </w:rPr>
        <w:t>eport</w:t>
      </w:r>
      <w:r w:rsidRPr="008B2983">
        <w:rPr>
          <w:rFonts w:eastAsia="Times New Roman"/>
          <w:noProof/>
          <w:lang w:val="en-IE" w:eastAsia="en-GB"/>
        </w:rPr>
        <w:t xml:space="preserve"> is provided by the Agenc</w:t>
      </w:r>
      <w:r>
        <w:rPr>
          <w:rFonts w:eastAsia="Times New Roman"/>
          <w:noProof/>
          <w:lang w:val="en-IE" w:eastAsia="en-GB"/>
        </w:rPr>
        <w:t>y</w:t>
      </w:r>
      <w:r w:rsidRPr="008B2983">
        <w:rPr>
          <w:rFonts w:eastAsia="Times New Roman"/>
          <w:noProof/>
          <w:lang w:val="en-IE" w:eastAsia="en-GB"/>
        </w:rPr>
        <w:t xml:space="preserve"> on a bi-annual basis</w:t>
      </w:r>
      <w:r>
        <w:rPr>
          <w:rFonts w:eastAsia="Times New Roman"/>
          <w:noProof/>
          <w:lang w:val="en-IE" w:eastAsia="en-GB"/>
        </w:rPr>
        <w:t xml:space="preserve">. </w:t>
      </w:r>
      <w:r>
        <w:rPr>
          <w:noProof/>
        </w:rPr>
        <w:t>The controls performed on the supervision of the Agency as well as on the related financial and budgetary management are in accordance with DG MOVE’s Control Strategy, updated in 2022.</w:t>
      </w:r>
    </w:p>
    <w:p w14:paraId="23AF91AD"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sidRPr="00A16D20">
        <w:rPr>
          <w:noProof/>
        </w:rPr>
        <w:t xml:space="preserve">The additional resources put at the disposal of </w:t>
      </w:r>
      <w:r>
        <w:rPr>
          <w:noProof/>
        </w:rPr>
        <w:t xml:space="preserve">EMSA </w:t>
      </w:r>
      <w:r w:rsidRPr="00A16D20">
        <w:rPr>
          <w:noProof/>
        </w:rPr>
        <w:t xml:space="preserve">will be covered by </w:t>
      </w:r>
      <w:r>
        <w:rPr>
          <w:noProof/>
        </w:rPr>
        <w:t>EMSA’</w:t>
      </w:r>
      <w:r w:rsidRPr="00A16D20">
        <w:rPr>
          <w:noProof/>
        </w:rPr>
        <w:t xml:space="preserve">s internal control </w:t>
      </w:r>
      <w:r>
        <w:rPr>
          <w:noProof/>
        </w:rPr>
        <w:t xml:space="preserve"> and risk management </w:t>
      </w:r>
      <w:r w:rsidRPr="00A16D20">
        <w:rPr>
          <w:noProof/>
        </w:rPr>
        <w:t>system that is aligned with the relevant international standards and includes specific controls to prevent conflict of interests and ensure the protection of whistle-blowers</w:t>
      </w:r>
      <w:r>
        <w:rPr>
          <w:noProof/>
        </w:rPr>
        <w:t>.</w:t>
      </w:r>
    </w:p>
    <w:p w14:paraId="2174598A" w14:textId="77777777" w:rsidR="00F001BC" w:rsidRPr="00E53285" w:rsidRDefault="00F001BC" w:rsidP="00F001BC">
      <w:pPr>
        <w:pStyle w:val="ManualHeading3"/>
        <w:rPr>
          <w:noProof/>
        </w:rPr>
      </w:pPr>
      <w:bookmarkStart w:id="45" w:name="_Toc514938681"/>
      <w:bookmarkStart w:id="46" w:name="_Toc520485440"/>
      <w:r w:rsidRPr="006D222F">
        <w:rPr>
          <w:noProof/>
        </w:rPr>
        <w:t>2.2.3.</w:t>
      </w:r>
      <w:r w:rsidRPr="006D222F">
        <w:rPr>
          <w:noProof/>
        </w:rPr>
        <w:tab/>
      </w:r>
      <w:r w:rsidRPr="00E53285">
        <w:rPr>
          <w:noProof/>
        </w:rPr>
        <w:t>Estimation and justification of the cost-effectiveness of the controls (ratio of "control costs ÷ value of the related funds managed"), and assessment of the expected levels of risk of error (at payment &amp; at closure)</w:t>
      </w:r>
      <w:bookmarkEnd w:id="45"/>
      <w:bookmarkEnd w:id="46"/>
      <w:r w:rsidRPr="00E53285">
        <w:rPr>
          <w:noProof/>
        </w:rPr>
        <w:t xml:space="preserve"> </w:t>
      </w:r>
    </w:p>
    <w:p w14:paraId="079BC5BF" w14:textId="77777777" w:rsidR="00F001BC" w:rsidRDefault="00F001BC" w:rsidP="00F001BC">
      <w:pPr>
        <w:pBdr>
          <w:top w:val="single" w:sz="4" w:space="1" w:color="auto"/>
          <w:left w:val="single" w:sz="4" w:space="4" w:color="auto"/>
          <w:bottom w:val="single" w:sz="4" w:space="1" w:color="auto"/>
          <w:right w:val="single" w:sz="4" w:space="4" w:color="auto"/>
        </w:pBdr>
        <w:ind w:left="851"/>
        <w:rPr>
          <w:noProof/>
        </w:rPr>
      </w:pPr>
      <w:r w:rsidRPr="000D7361">
        <w:rPr>
          <w:noProof/>
        </w:rPr>
        <w:t xml:space="preserve">Under the proposed Directive, additional financing will be provided only to EMSA, which will be required to </w:t>
      </w:r>
      <w:r>
        <w:rPr>
          <w:noProof/>
        </w:rPr>
        <w:t>develop</w:t>
      </w:r>
      <w:r w:rsidRPr="00C57F80">
        <w:rPr>
          <w:noProof/>
        </w:rPr>
        <w:t xml:space="preserve"> IT tools a</w:t>
      </w:r>
      <w:r>
        <w:rPr>
          <w:noProof/>
        </w:rPr>
        <w:t>nd modules, as well as provide</w:t>
      </w:r>
      <w:r w:rsidRPr="00C57F80">
        <w:rPr>
          <w:noProof/>
        </w:rPr>
        <w:t xml:space="preserve"> training to the </w:t>
      </w:r>
      <w:r>
        <w:rPr>
          <w:noProof/>
        </w:rPr>
        <w:t>national PSCOs</w:t>
      </w:r>
    </w:p>
    <w:p w14:paraId="7DFDF637" w14:textId="77777777" w:rsidR="00F001BC" w:rsidRPr="000D7361" w:rsidRDefault="00F001BC" w:rsidP="00F001BC">
      <w:pPr>
        <w:pBdr>
          <w:top w:val="single" w:sz="4" w:space="1" w:color="auto"/>
          <w:left w:val="single" w:sz="4" w:space="4" w:color="auto"/>
          <w:bottom w:val="single" w:sz="4" w:space="1" w:color="auto"/>
          <w:right w:val="single" w:sz="4" w:space="4" w:color="auto"/>
        </w:pBdr>
        <w:ind w:left="851"/>
        <w:rPr>
          <w:noProof/>
        </w:rPr>
      </w:pPr>
      <w:r w:rsidRPr="000D7361">
        <w:rPr>
          <w:noProof/>
        </w:rPr>
        <w:t>EMSA has full responsibility for the implementation of their budget, while DG MOVE is responsible for the regular payment of the contributions established by the Budgetary Authority. The expected level of risk of error at payment and at closure is similar to that attached to the budget subsidies provided to the Agency.</w:t>
      </w:r>
    </w:p>
    <w:p w14:paraId="12DBA746" w14:textId="77777777" w:rsidR="00F001BC" w:rsidRPr="000D7361" w:rsidRDefault="00F001BC" w:rsidP="00F001BC">
      <w:pPr>
        <w:pBdr>
          <w:top w:val="single" w:sz="4" w:space="1" w:color="auto"/>
          <w:left w:val="single" w:sz="4" w:space="4" w:color="auto"/>
          <w:bottom w:val="single" w:sz="4" w:space="1" w:color="auto"/>
          <w:right w:val="single" w:sz="4" w:space="4" w:color="auto"/>
        </w:pBdr>
        <w:ind w:left="851"/>
        <w:rPr>
          <w:noProof/>
        </w:rPr>
      </w:pPr>
      <w:r w:rsidRPr="000D7361">
        <w:rPr>
          <w:noProof/>
        </w:rPr>
        <w:t xml:space="preserve">The additional tasks resulting from the proposed </w:t>
      </w:r>
      <w:r>
        <w:rPr>
          <w:noProof/>
        </w:rPr>
        <w:t>revision</w:t>
      </w:r>
      <w:r w:rsidRPr="000D7361">
        <w:rPr>
          <w:noProof/>
        </w:rPr>
        <w:t xml:space="preserve"> are not expected to generate specific additional controls. Therefore, the cost of control for DG MOVE (measured against the value of funds managed) is expected to remain stable. </w:t>
      </w:r>
    </w:p>
    <w:p w14:paraId="0FACF5AF" w14:textId="77777777" w:rsidR="00F001BC" w:rsidRDefault="00F001BC" w:rsidP="00F001BC">
      <w:pPr>
        <w:spacing w:before="0" w:after="200" w:line="276" w:lineRule="auto"/>
        <w:jc w:val="left"/>
        <w:rPr>
          <w:rFonts w:eastAsiaTheme="majorEastAsia"/>
          <w:b/>
          <w:bCs/>
          <w:noProof/>
          <w:szCs w:val="26"/>
        </w:rPr>
      </w:pPr>
      <w:bookmarkStart w:id="47" w:name="_Toc514938682"/>
      <w:r>
        <w:rPr>
          <w:noProof/>
        </w:rPr>
        <w:br w:type="page"/>
      </w:r>
    </w:p>
    <w:p w14:paraId="7959F876" w14:textId="77777777" w:rsidR="00F001BC" w:rsidRDefault="00F001BC" w:rsidP="00F001BC">
      <w:pPr>
        <w:pStyle w:val="ManualHeading2"/>
        <w:rPr>
          <w:bCs/>
          <w:noProof/>
          <w:szCs w:val="24"/>
        </w:rPr>
      </w:pPr>
      <w:bookmarkStart w:id="48" w:name="_Toc520485441"/>
      <w:r w:rsidRPr="00E21F75">
        <w:rPr>
          <w:noProof/>
        </w:rPr>
        <w:t>2.3.</w:t>
      </w:r>
      <w:r w:rsidRPr="00E21F75">
        <w:rPr>
          <w:noProof/>
        </w:rPr>
        <w:tab/>
      </w:r>
      <w:r w:rsidRPr="00063C36">
        <w:rPr>
          <w:noProof/>
        </w:rPr>
        <w:t>Measures to prevent fraud and irregularities</w:t>
      </w:r>
      <w:bookmarkEnd w:id="47"/>
      <w:bookmarkEnd w:id="48"/>
      <w:r>
        <w:rPr>
          <w:noProof/>
        </w:rPr>
        <w:t xml:space="preserve"> </w:t>
      </w:r>
    </w:p>
    <w:p w14:paraId="0B9DC86C" w14:textId="77777777" w:rsidR="00F001BC" w:rsidRDefault="00F001BC" w:rsidP="00F001BC">
      <w:pPr>
        <w:pStyle w:val="Text1"/>
        <w:rPr>
          <w:i/>
          <w:noProof/>
          <w:sz w:val="20"/>
        </w:rPr>
      </w:pPr>
      <w:r>
        <w:rPr>
          <w:i/>
          <w:noProof/>
          <w:sz w:val="20"/>
        </w:rPr>
        <w:t>Specify existing or envisaged prevention and protection measures, e.g. from the Anti-Fraud Strategy.</w:t>
      </w:r>
    </w:p>
    <w:p w14:paraId="3F1E8CF5"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Directive contains several provisions specifically targetted at preventing fraud and irregularities. Member States will have to have a Quality Management System (QMS) to </w:t>
      </w:r>
      <w:r w:rsidRPr="000D7361">
        <w:rPr>
          <w:noProof/>
        </w:rPr>
        <w:t>certify their organisation, policies, processes, resources and documentation are appropriate to achieve its objectives. This will have to be certified and subsequently subject to audit every five years. Member States wil</w:t>
      </w:r>
      <w:r>
        <w:rPr>
          <w:noProof/>
        </w:rPr>
        <w:t xml:space="preserve">l have to share with Commission and/or </w:t>
      </w:r>
      <w:r w:rsidRPr="000D7361">
        <w:rPr>
          <w:noProof/>
        </w:rPr>
        <w:t xml:space="preserve">EMSA the results of the audits carried out by the accredited body such that the PSC administration retains its QMS certification. </w:t>
      </w:r>
      <w:r>
        <w:rPr>
          <w:noProof/>
        </w:rPr>
        <w:t xml:space="preserve">The Directive also provides that </w:t>
      </w:r>
      <w:r w:rsidRPr="003A0994">
        <w:rPr>
          <w:noProof/>
        </w:rPr>
        <w:t>all PSC inspection reports are validated by a person (either another port State control inspector or a supervisor) other than the inspector who carried out the inspection before the inspection report is transferred to the database.</w:t>
      </w:r>
    </w:p>
    <w:p w14:paraId="121275EA"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 xml:space="preserve">EMSA applies the anti-fraud principles of decentralised EU Agencies, in line with the Commission approach. In March 2021, the Agency adopted an updated Anti-Fraud Strategy, based on the methodology and guidance for anti-fraud strategy presented by OLAF as well as on the Anti-Fraud Strategy of DG MOVE. It provides a framework addressing the issues of prevention, detection and conditions for investigations of fraud at Agency level. EMSA continuously adapts and improves its policies and actions to promote the highest level of integrity of EMSA staff, support effective prevention and detection of fraud risk and establish the appropriate procedures to report and handle potential fraud cases and their outcome. </w:t>
      </w:r>
      <w:r w:rsidRPr="00A16D20">
        <w:rPr>
          <w:noProof/>
        </w:rPr>
        <w:t xml:space="preserve">Furthermore, </w:t>
      </w:r>
      <w:r>
        <w:rPr>
          <w:noProof/>
        </w:rPr>
        <w:t>EMSA</w:t>
      </w:r>
      <w:r w:rsidRPr="00A16D20">
        <w:rPr>
          <w:noProof/>
        </w:rPr>
        <w:t xml:space="preserve"> adopted in 201</w:t>
      </w:r>
      <w:r>
        <w:rPr>
          <w:noProof/>
        </w:rPr>
        <w:t>5</w:t>
      </w:r>
      <w:r w:rsidRPr="00A16D20">
        <w:rPr>
          <w:noProof/>
        </w:rPr>
        <w:t xml:space="preserve"> </w:t>
      </w:r>
      <w:r>
        <w:rPr>
          <w:noProof/>
        </w:rPr>
        <w:t>its Conflict of Interest policy for the Management Board.</w:t>
      </w:r>
    </w:p>
    <w:p w14:paraId="69423C7D" w14:textId="77777777" w:rsidR="00F001BC" w:rsidRPr="000D7361" w:rsidRDefault="00F001BC" w:rsidP="00F001BC">
      <w:pPr>
        <w:pStyle w:val="Text1"/>
        <w:pBdr>
          <w:top w:val="single" w:sz="4" w:space="1" w:color="auto"/>
          <w:left w:val="single" w:sz="4" w:space="4" w:color="auto"/>
          <w:bottom w:val="single" w:sz="4" w:space="1" w:color="auto"/>
          <w:right w:val="single" w:sz="4" w:space="4" w:color="auto"/>
        </w:pBdr>
        <w:rPr>
          <w:noProof/>
        </w:rPr>
      </w:pPr>
      <w:r>
        <w:rPr>
          <w:noProof/>
        </w:rPr>
        <w:t>EMSA</w:t>
      </w:r>
      <w:r w:rsidRPr="00A16D20">
        <w:rPr>
          <w:noProof/>
        </w:rPr>
        <w:t xml:space="preserve"> cooperates with the Commission services on matters relating to preventing fraud and irregularity. The Commission will ensure that this cooperation will continue and will be strengthened</w:t>
      </w:r>
      <w:r>
        <w:rPr>
          <w:noProof/>
        </w:rPr>
        <w:t>.</w:t>
      </w:r>
    </w:p>
    <w:p w14:paraId="2D17873D" w14:textId="77777777" w:rsidR="00F001BC" w:rsidRDefault="00F001BC" w:rsidP="00F001BC">
      <w:pPr>
        <w:pStyle w:val="ManualHeading1"/>
        <w:rPr>
          <w:bCs/>
          <w:noProof/>
          <w:szCs w:val="24"/>
        </w:rPr>
      </w:pPr>
      <w:bookmarkStart w:id="49" w:name="_Toc514938683"/>
      <w:bookmarkStart w:id="50" w:name="_Toc520485442"/>
      <w:r w:rsidRPr="006D222F">
        <w:rPr>
          <w:noProof/>
        </w:rPr>
        <w:t>3.</w:t>
      </w:r>
      <w:r w:rsidRPr="006D222F">
        <w:rPr>
          <w:noProof/>
        </w:rPr>
        <w:tab/>
      </w:r>
      <w:r>
        <w:rPr>
          <w:noProof/>
        </w:rPr>
        <w:t>ESTIMATED FINANCIAL IMPACT OF THE PROPOSAL/INITIATIVE</w:t>
      </w:r>
      <w:bookmarkEnd w:id="49"/>
      <w:bookmarkEnd w:id="50"/>
      <w:r>
        <w:rPr>
          <w:noProof/>
        </w:rPr>
        <w:t xml:space="preserve"> </w:t>
      </w:r>
    </w:p>
    <w:p w14:paraId="7AAC045A" w14:textId="77777777" w:rsidR="00F001BC" w:rsidRDefault="00F001BC" w:rsidP="00F001BC">
      <w:pPr>
        <w:pStyle w:val="ManualHeading2"/>
        <w:rPr>
          <w:bCs/>
          <w:noProof/>
          <w:szCs w:val="24"/>
        </w:rPr>
      </w:pPr>
      <w:bookmarkStart w:id="51" w:name="_Toc514938684"/>
      <w:bookmarkStart w:id="52" w:name="_Toc520485443"/>
      <w:r w:rsidRPr="006D222F">
        <w:rPr>
          <w:noProof/>
        </w:rPr>
        <w:t>3.1.</w:t>
      </w:r>
      <w:r w:rsidRPr="006D222F">
        <w:rPr>
          <w:noProof/>
        </w:rPr>
        <w:tab/>
      </w:r>
      <w:r>
        <w:rPr>
          <w:noProof/>
        </w:rPr>
        <w:t>Heading(s) of the multiannual financial framework and expenditure budget line(s) affected</w:t>
      </w:r>
      <w:bookmarkEnd w:id="51"/>
      <w:bookmarkEnd w:id="52"/>
      <w:r>
        <w:rPr>
          <w:noProof/>
        </w:rPr>
        <w:t xml:space="preserve"> </w:t>
      </w:r>
    </w:p>
    <w:p w14:paraId="342FDEB1" w14:textId="77777777" w:rsidR="00F001BC" w:rsidRDefault="00F001BC" w:rsidP="008305F0">
      <w:pPr>
        <w:pStyle w:val="ListBullet1"/>
        <w:rPr>
          <w:noProof/>
        </w:rPr>
      </w:pPr>
      <w:r>
        <w:rPr>
          <w:noProof/>
        </w:rPr>
        <w:t xml:space="preserve">Existing budget lines </w:t>
      </w:r>
    </w:p>
    <w:p w14:paraId="2B7EF8A7" w14:textId="77777777" w:rsidR="00F001BC" w:rsidRDefault="00F001BC" w:rsidP="00F001BC">
      <w:pPr>
        <w:pStyle w:val="Text1"/>
        <w:rPr>
          <w:noProof/>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F001BC" w14:paraId="5308092C" w14:textId="77777777" w:rsidTr="005840B3">
        <w:tc>
          <w:tcPr>
            <w:tcW w:w="1080" w:type="dxa"/>
            <w:vMerge w:val="restart"/>
            <w:vAlign w:val="center"/>
          </w:tcPr>
          <w:p w14:paraId="4115FC07" w14:textId="77777777" w:rsidR="00F001BC" w:rsidRDefault="00F001BC" w:rsidP="005840B3">
            <w:pPr>
              <w:spacing w:before="60" w:after="60"/>
              <w:jc w:val="center"/>
              <w:rPr>
                <w:noProof/>
                <w:sz w:val="18"/>
              </w:rPr>
            </w:pPr>
            <w:r>
              <w:rPr>
                <w:noProof/>
                <w:sz w:val="18"/>
              </w:rPr>
              <w:t>Heading of multiannual financial framework</w:t>
            </w:r>
          </w:p>
        </w:tc>
        <w:tc>
          <w:tcPr>
            <w:tcW w:w="3960" w:type="dxa"/>
            <w:vAlign w:val="center"/>
          </w:tcPr>
          <w:p w14:paraId="03727ED3" w14:textId="77777777" w:rsidR="00F001BC" w:rsidRDefault="00F001BC" w:rsidP="005840B3">
            <w:pPr>
              <w:spacing w:before="60" w:after="60"/>
              <w:jc w:val="center"/>
              <w:rPr>
                <w:noProof/>
              </w:rPr>
            </w:pPr>
            <w:r>
              <w:rPr>
                <w:noProof/>
                <w:sz w:val="20"/>
              </w:rPr>
              <w:t>Budget line</w:t>
            </w:r>
          </w:p>
        </w:tc>
        <w:tc>
          <w:tcPr>
            <w:tcW w:w="1080" w:type="dxa"/>
            <w:vAlign w:val="center"/>
          </w:tcPr>
          <w:p w14:paraId="5A7815CE" w14:textId="77777777" w:rsidR="00F001BC" w:rsidRDefault="00F001BC" w:rsidP="005840B3">
            <w:pPr>
              <w:spacing w:before="60" w:after="60"/>
              <w:jc w:val="center"/>
              <w:rPr>
                <w:noProof/>
              </w:rPr>
            </w:pPr>
            <w:r>
              <w:rPr>
                <w:noProof/>
                <w:sz w:val="18"/>
              </w:rPr>
              <w:t xml:space="preserve">Type of </w:t>
            </w:r>
            <w:r>
              <w:rPr>
                <w:noProof/>
                <w:sz w:val="22"/>
              </w:rPr>
              <w:br/>
            </w:r>
            <w:r>
              <w:rPr>
                <w:noProof/>
                <w:sz w:val="18"/>
              </w:rPr>
              <w:t>expenditure</w:t>
            </w:r>
          </w:p>
        </w:tc>
        <w:tc>
          <w:tcPr>
            <w:tcW w:w="4556" w:type="dxa"/>
            <w:gridSpan w:val="4"/>
            <w:vAlign w:val="center"/>
          </w:tcPr>
          <w:p w14:paraId="4BE95FAB" w14:textId="77777777" w:rsidR="00F001BC" w:rsidRDefault="00F001BC" w:rsidP="005840B3">
            <w:pPr>
              <w:spacing w:before="60" w:after="60"/>
              <w:jc w:val="center"/>
              <w:rPr>
                <w:noProof/>
              </w:rPr>
            </w:pPr>
            <w:r>
              <w:rPr>
                <w:noProof/>
                <w:sz w:val="20"/>
              </w:rPr>
              <w:t xml:space="preserve">Contribution </w:t>
            </w:r>
          </w:p>
        </w:tc>
      </w:tr>
      <w:tr w:rsidR="00F001BC" w14:paraId="259F347B" w14:textId="77777777" w:rsidTr="005840B3">
        <w:tc>
          <w:tcPr>
            <w:tcW w:w="1080" w:type="dxa"/>
            <w:vMerge/>
            <w:vAlign w:val="center"/>
          </w:tcPr>
          <w:p w14:paraId="7654C5F5" w14:textId="77777777" w:rsidR="00F001BC" w:rsidRDefault="00F001BC" w:rsidP="005840B3">
            <w:pPr>
              <w:rPr>
                <w:noProof/>
                <w:sz w:val="18"/>
              </w:rPr>
            </w:pPr>
          </w:p>
        </w:tc>
        <w:tc>
          <w:tcPr>
            <w:tcW w:w="3960" w:type="dxa"/>
            <w:vAlign w:val="center"/>
          </w:tcPr>
          <w:p w14:paraId="2D3B3434" w14:textId="77777777" w:rsidR="00F001BC" w:rsidRDefault="00F001BC" w:rsidP="005840B3">
            <w:pPr>
              <w:rPr>
                <w:noProof/>
              </w:rPr>
            </w:pPr>
            <w:r>
              <w:rPr>
                <w:noProof/>
                <w:sz w:val="20"/>
              </w:rPr>
              <w:t xml:space="preserve">Number </w:t>
            </w:r>
            <w:r>
              <w:rPr>
                <w:noProof/>
                <w:sz w:val="22"/>
              </w:rPr>
              <w:br/>
            </w:r>
          </w:p>
        </w:tc>
        <w:tc>
          <w:tcPr>
            <w:tcW w:w="1080" w:type="dxa"/>
            <w:vAlign w:val="center"/>
          </w:tcPr>
          <w:p w14:paraId="534E6D74" w14:textId="77777777" w:rsidR="00F001BC" w:rsidRDefault="00F001BC" w:rsidP="005840B3">
            <w:pPr>
              <w:jc w:val="center"/>
              <w:rPr>
                <w:noProof/>
              </w:rPr>
            </w:pPr>
            <w:r>
              <w:rPr>
                <w:noProof/>
                <w:sz w:val="18"/>
              </w:rPr>
              <w:t>Diff./Non-diff.</w:t>
            </w:r>
            <w:r>
              <w:rPr>
                <w:rStyle w:val="FootnoteReference"/>
                <w:noProof/>
                <w:sz w:val="18"/>
              </w:rPr>
              <w:footnoteReference w:id="33"/>
            </w:r>
          </w:p>
        </w:tc>
        <w:tc>
          <w:tcPr>
            <w:tcW w:w="956" w:type="dxa"/>
            <w:vAlign w:val="center"/>
          </w:tcPr>
          <w:p w14:paraId="02C9EEAF" w14:textId="77777777" w:rsidR="00F001BC" w:rsidRDefault="00F001BC" w:rsidP="005840B3">
            <w:pPr>
              <w:jc w:val="center"/>
              <w:rPr>
                <w:noProof/>
              </w:rPr>
            </w:pPr>
            <w:r>
              <w:rPr>
                <w:noProof/>
                <w:sz w:val="18"/>
              </w:rPr>
              <w:t>from EFTA countries</w:t>
            </w:r>
            <w:r>
              <w:rPr>
                <w:rStyle w:val="FootnoteReference"/>
                <w:noProof/>
                <w:sz w:val="18"/>
              </w:rPr>
              <w:footnoteReference w:id="34"/>
            </w:r>
          </w:p>
        </w:tc>
        <w:tc>
          <w:tcPr>
            <w:tcW w:w="1080" w:type="dxa"/>
            <w:vAlign w:val="center"/>
          </w:tcPr>
          <w:p w14:paraId="17D66680" w14:textId="77777777" w:rsidR="00F001BC" w:rsidRPr="005B5680" w:rsidRDefault="00F001BC" w:rsidP="005840B3">
            <w:pPr>
              <w:jc w:val="center"/>
              <w:rPr>
                <w:noProof/>
                <w:sz w:val="18"/>
              </w:rPr>
            </w:pPr>
            <w:r w:rsidRPr="005B5680">
              <w:rPr>
                <w:noProof/>
                <w:sz w:val="18"/>
              </w:rPr>
              <w:t>from candidate countries</w:t>
            </w:r>
            <w:r>
              <w:rPr>
                <w:noProof/>
                <w:sz w:val="18"/>
              </w:rPr>
              <w:t xml:space="preserve"> and potential candidates</w:t>
            </w:r>
            <w:r w:rsidRPr="005B5680">
              <w:rPr>
                <w:rStyle w:val="FootnoteReference"/>
                <w:noProof/>
                <w:sz w:val="18"/>
              </w:rPr>
              <w:footnoteReference w:id="35"/>
            </w:r>
          </w:p>
        </w:tc>
        <w:tc>
          <w:tcPr>
            <w:tcW w:w="956" w:type="dxa"/>
            <w:vAlign w:val="center"/>
          </w:tcPr>
          <w:p w14:paraId="1726F573" w14:textId="77777777" w:rsidR="00F001BC" w:rsidRPr="005B5680" w:rsidRDefault="00F001BC" w:rsidP="005840B3">
            <w:pPr>
              <w:jc w:val="center"/>
              <w:rPr>
                <w:noProof/>
                <w:sz w:val="18"/>
              </w:rPr>
            </w:pPr>
            <w:r w:rsidRPr="005B5680">
              <w:rPr>
                <w:noProof/>
                <w:sz w:val="18"/>
              </w:rPr>
              <w:t>From</w:t>
            </w:r>
            <w:r>
              <w:rPr>
                <w:noProof/>
                <w:sz w:val="18"/>
              </w:rPr>
              <w:t xml:space="preserve"> other</w:t>
            </w:r>
            <w:r w:rsidRPr="005B5680">
              <w:rPr>
                <w:noProof/>
                <w:sz w:val="18"/>
              </w:rPr>
              <w:t xml:space="preserve"> third countries</w:t>
            </w:r>
          </w:p>
        </w:tc>
        <w:tc>
          <w:tcPr>
            <w:tcW w:w="1564" w:type="dxa"/>
            <w:vAlign w:val="center"/>
          </w:tcPr>
          <w:p w14:paraId="4CA3090E" w14:textId="77777777" w:rsidR="00F001BC" w:rsidRPr="005B5680" w:rsidRDefault="00F001BC" w:rsidP="005840B3">
            <w:pPr>
              <w:jc w:val="center"/>
              <w:rPr>
                <w:noProof/>
                <w:sz w:val="16"/>
                <w:szCs w:val="16"/>
              </w:rPr>
            </w:pPr>
            <w:r>
              <w:rPr>
                <w:noProof/>
                <w:sz w:val="16"/>
                <w:szCs w:val="16"/>
              </w:rPr>
              <w:t>other assigned revenue</w:t>
            </w:r>
            <w:r w:rsidRPr="005B5680">
              <w:rPr>
                <w:noProof/>
                <w:sz w:val="16"/>
                <w:szCs w:val="16"/>
              </w:rPr>
              <w:t xml:space="preserve"> </w:t>
            </w:r>
          </w:p>
        </w:tc>
      </w:tr>
      <w:tr w:rsidR="00F001BC" w14:paraId="3F524C83" w14:textId="77777777" w:rsidTr="005840B3">
        <w:tc>
          <w:tcPr>
            <w:tcW w:w="1080" w:type="dxa"/>
            <w:vAlign w:val="center"/>
          </w:tcPr>
          <w:p w14:paraId="67AD16B7" w14:textId="77777777" w:rsidR="00F001BC" w:rsidRDefault="00F001BC" w:rsidP="005840B3">
            <w:pPr>
              <w:jc w:val="center"/>
              <w:rPr>
                <w:noProof/>
                <w:color w:val="0000FF"/>
              </w:rPr>
            </w:pPr>
            <w:r w:rsidRPr="00A94E98">
              <w:rPr>
                <w:noProof/>
              </w:rPr>
              <w:t>1</w:t>
            </w:r>
          </w:p>
        </w:tc>
        <w:tc>
          <w:tcPr>
            <w:tcW w:w="3960" w:type="dxa"/>
            <w:vAlign w:val="center"/>
          </w:tcPr>
          <w:p w14:paraId="764D67FB" w14:textId="77777777" w:rsidR="00F001BC" w:rsidRPr="005828C6" w:rsidRDefault="00F001BC" w:rsidP="005840B3">
            <w:pPr>
              <w:spacing w:after="60"/>
              <w:rPr>
                <w:noProof/>
              </w:rPr>
            </w:pPr>
            <w:r>
              <w:rPr>
                <w:noProof/>
              </w:rPr>
              <w:t>02 10 02</w:t>
            </w:r>
          </w:p>
        </w:tc>
        <w:tc>
          <w:tcPr>
            <w:tcW w:w="1080" w:type="dxa"/>
            <w:vAlign w:val="center"/>
          </w:tcPr>
          <w:p w14:paraId="129B11E8" w14:textId="77777777" w:rsidR="00F001BC" w:rsidRDefault="00F001BC" w:rsidP="005840B3">
            <w:pPr>
              <w:jc w:val="center"/>
              <w:rPr>
                <w:noProof/>
                <w:color w:val="0000FF"/>
              </w:rPr>
            </w:pPr>
            <w:r>
              <w:rPr>
                <w:noProof/>
                <w:sz w:val="18"/>
              </w:rPr>
              <w:t>Non-diff.</w:t>
            </w:r>
          </w:p>
        </w:tc>
        <w:tc>
          <w:tcPr>
            <w:tcW w:w="956" w:type="dxa"/>
            <w:vAlign w:val="center"/>
          </w:tcPr>
          <w:p w14:paraId="620A9F5C" w14:textId="77777777" w:rsidR="00F001BC" w:rsidRPr="00A32156" w:rsidRDefault="00F001BC" w:rsidP="005840B3">
            <w:pPr>
              <w:jc w:val="center"/>
              <w:rPr>
                <w:noProof/>
                <w:sz w:val="20"/>
              </w:rPr>
            </w:pPr>
            <w:r w:rsidRPr="00A32156">
              <w:rPr>
                <w:noProof/>
                <w:sz w:val="20"/>
              </w:rPr>
              <w:t>YES</w:t>
            </w:r>
          </w:p>
        </w:tc>
        <w:tc>
          <w:tcPr>
            <w:tcW w:w="1080" w:type="dxa"/>
            <w:vAlign w:val="center"/>
          </w:tcPr>
          <w:p w14:paraId="4C908176" w14:textId="77777777" w:rsidR="00F001BC" w:rsidRPr="00A32156" w:rsidRDefault="00F001BC" w:rsidP="005840B3">
            <w:pPr>
              <w:jc w:val="center"/>
              <w:rPr>
                <w:noProof/>
                <w:sz w:val="20"/>
              </w:rPr>
            </w:pPr>
            <w:r w:rsidRPr="00A32156">
              <w:rPr>
                <w:noProof/>
                <w:sz w:val="20"/>
              </w:rPr>
              <w:t>NO</w:t>
            </w:r>
          </w:p>
        </w:tc>
        <w:tc>
          <w:tcPr>
            <w:tcW w:w="956" w:type="dxa"/>
            <w:vAlign w:val="center"/>
          </w:tcPr>
          <w:p w14:paraId="5EC35B11" w14:textId="77777777" w:rsidR="00F001BC" w:rsidRPr="00A32156" w:rsidRDefault="00F001BC" w:rsidP="005840B3">
            <w:pPr>
              <w:jc w:val="center"/>
              <w:rPr>
                <w:noProof/>
                <w:sz w:val="20"/>
              </w:rPr>
            </w:pPr>
            <w:r w:rsidRPr="00A32156">
              <w:rPr>
                <w:noProof/>
                <w:sz w:val="20"/>
              </w:rPr>
              <w:t>NO</w:t>
            </w:r>
          </w:p>
        </w:tc>
        <w:tc>
          <w:tcPr>
            <w:tcW w:w="1564" w:type="dxa"/>
            <w:vAlign w:val="center"/>
          </w:tcPr>
          <w:p w14:paraId="078974CB" w14:textId="77777777" w:rsidR="00F001BC" w:rsidRPr="00A32156" w:rsidRDefault="00F001BC" w:rsidP="005840B3">
            <w:pPr>
              <w:jc w:val="center"/>
              <w:rPr>
                <w:noProof/>
                <w:sz w:val="20"/>
              </w:rPr>
            </w:pPr>
            <w:r w:rsidRPr="00A32156">
              <w:rPr>
                <w:noProof/>
                <w:sz w:val="20"/>
              </w:rPr>
              <w:t>NO</w:t>
            </w:r>
          </w:p>
        </w:tc>
      </w:tr>
    </w:tbl>
    <w:p w14:paraId="534E2357" w14:textId="77777777" w:rsidR="00F001BC" w:rsidRDefault="00F001BC" w:rsidP="008305F0">
      <w:pPr>
        <w:pStyle w:val="ListBullet1"/>
        <w:rPr>
          <w:noProof/>
        </w:rPr>
      </w:pPr>
      <w:r>
        <w:rPr>
          <w:noProof/>
        </w:rPr>
        <w:t xml:space="preserve">New budget lines requested </w:t>
      </w:r>
    </w:p>
    <w:p w14:paraId="77AEB411" w14:textId="77777777" w:rsidR="00F001BC" w:rsidRDefault="00F001BC" w:rsidP="00F001BC">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F001BC" w14:paraId="078BCA4B" w14:textId="77777777" w:rsidTr="005840B3">
        <w:tc>
          <w:tcPr>
            <w:tcW w:w="1080" w:type="dxa"/>
            <w:vMerge w:val="restart"/>
            <w:vAlign w:val="center"/>
          </w:tcPr>
          <w:p w14:paraId="043EECDC" w14:textId="77777777" w:rsidR="00F001BC" w:rsidRDefault="00F001BC" w:rsidP="005840B3">
            <w:pPr>
              <w:spacing w:before="60" w:after="60"/>
              <w:jc w:val="center"/>
              <w:rPr>
                <w:noProof/>
              </w:rPr>
            </w:pPr>
            <w:r>
              <w:rPr>
                <w:noProof/>
                <w:sz w:val="18"/>
              </w:rPr>
              <w:t>Heading of multiannual financial framework</w:t>
            </w:r>
          </w:p>
        </w:tc>
        <w:tc>
          <w:tcPr>
            <w:tcW w:w="3960" w:type="dxa"/>
            <w:vAlign w:val="center"/>
          </w:tcPr>
          <w:p w14:paraId="7D1170FC" w14:textId="77777777" w:rsidR="00F001BC" w:rsidRDefault="00F001BC" w:rsidP="005840B3">
            <w:pPr>
              <w:spacing w:before="60" w:after="60"/>
              <w:jc w:val="center"/>
              <w:rPr>
                <w:noProof/>
              </w:rPr>
            </w:pPr>
            <w:r>
              <w:rPr>
                <w:noProof/>
                <w:sz w:val="20"/>
              </w:rPr>
              <w:t>Budget line</w:t>
            </w:r>
          </w:p>
        </w:tc>
        <w:tc>
          <w:tcPr>
            <w:tcW w:w="1080" w:type="dxa"/>
            <w:vAlign w:val="center"/>
          </w:tcPr>
          <w:p w14:paraId="2128752D" w14:textId="77777777" w:rsidR="00F001BC" w:rsidRDefault="00F001BC" w:rsidP="005840B3">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14:paraId="2823FC1E" w14:textId="77777777" w:rsidR="00F001BC" w:rsidRDefault="00F001BC" w:rsidP="005840B3">
            <w:pPr>
              <w:spacing w:before="60" w:after="60"/>
              <w:jc w:val="center"/>
              <w:rPr>
                <w:noProof/>
              </w:rPr>
            </w:pPr>
            <w:r>
              <w:rPr>
                <w:noProof/>
                <w:sz w:val="20"/>
              </w:rPr>
              <w:t xml:space="preserve">Contribution </w:t>
            </w:r>
          </w:p>
        </w:tc>
      </w:tr>
      <w:tr w:rsidR="00F001BC" w14:paraId="06A138A8" w14:textId="77777777" w:rsidTr="005840B3">
        <w:tc>
          <w:tcPr>
            <w:tcW w:w="1080" w:type="dxa"/>
            <w:vMerge/>
            <w:vAlign w:val="center"/>
          </w:tcPr>
          <w:p w14:paraId="18DC45FD" w14:textId="77777777" w:rsidR="00F001BC" w:rsidRDefault="00F001BC" w:rsidP="005840B3">
            <w:pPr>
              <w:rPr>
                <w:noProof/>
              </w:rPr>
            </w:pPr>
          </w:p>
        </w:tc>
        <w:tc>
          <w:tcPr>
            <w:tcW w:w="3960" w:type="dxa"/>
            <w:vAlign w:val="center"/>
          </w:tcPr>
          <w:p w14:paraId="5575AADD" w14:textId="77777777" w:rsidR="00F001BC" w:rsidRPr="005828C6" w:rsidRDefault="00F001BC" w:rsidP="005840B3">
            <w:pPr>
              <w:rPr>
                <w:noProof/>
              </w:rPr>
            </w:pPr>
            <w:r>
              <w:rPr>
                <w:noProof/>
                <w:sz w:val="20"/>
              </w:rPr>
              <w:t xml:space="preserve">Number </w:t>
            </w:r>
            <w:r>
              <w:rPr>
                <w:noProof/>
                <w:sz w:val="22"/>
              </w:rPr>
              <w:br/>
            </w:r>
          </w:p>
        </w:tc>
        <w:tc>
          <w:tcPr>
            <w:tcW w:w="1080" w:type="dxa"/>
            <w:vAlign w:val="center"/>
          </w:tcPr>
          <w:p w14:paraId="1E28C3B8" w14:textId="77777777" w:rsidR="00F001BC" w:rsidRDefault="00F001BC" w:rsidP="005840B3">
            <w:pPr>
              <w:jc w:val="center"/>
              <w:rPr>
                <w:noProof/>
              </w:rPr>
            </w:pPr>
            <w:r>
              <w:rPr>
                <w:noProof/>
                <w:sz w:val="18"/>
              </w:rPr>
              <w:t>Diff./non-diff.</w:t>
            </w:r>
          </w:p>
        </w:tc>
        <w:tc>
          <w:tcPr>
            <w:tcW w:w="956" w:type="dxa"/>
            <w:vAlign w:val="center"/>
          </w:tcPr>
          <w:p w14:paraId="1CE91EBF" w14:textId="77777777" w:rsidR="00F001BC" w:rsidRDefault="00F001BC" w:rsidP="005840B3">
            <w:pPr>
              <w:jc w:val="center"/>
              <w:rPr>
                <w:noProof/>
                <w:sz w:val="18"/>
              </w:rPr>
            </w:pPr>
            <w:r>
              <w:rPr>
                <w:noProof/>
                <w:sz w:val="18"/>
              </w:rPr>
              <w:t>from EFTA countries</w:t>
            </w:r>
          </w:p>
        </w:tc>
        <w:tc>
          <w:tcPr>
            <w:tcW w:w="1080" w:type="dxa"/>
            <w:vAlign w:val="center"/>
          </w:tcPr>
          <w:p w14:paraId="364D4201" w14:textId="77777777" w:rsidR="00F001BC" w:rsidRPr="005B5680" w:rsidRDefault="00F001BC" w:rsidP="005840B3">
            <w:pPr>
              <w:jc w:val="center"/>
              <w:rPr>
                <w:noProof/>
                <w:sz w:val="18"/>
              </w:rPr>
            </w:pPr>
            <w:r w:rsidRPr="005B5680">
              <w:rPr>
                <w:noProof/>
                <w:sz w:val="18"/>
              </w:rPr>
              <w:t>from candidate countries</w:t>
            </w:r>
            <w:r>
              <w:rPr>
                <w:noProof/>
                <w:sz w:val="18"/>
              </w:rPr>
              <w:t xml:space="preserve"> and potential candidates</w:t>
            </w:r>
          </w:p>
        </w:tc>
        <w:tc>
          <w:tcPr>
            <w:tcW w:w="956" w:type="dxa"/>
            <w:vAlign w:val="center"/>
          </w:tcPr>
          <w:p w14:paraId="4CE9F82E" w14:textId="77777777" w:rsidR="00F001BC" w:rsidRPr="005B5680" w:rsidRDefault="00F001BC" w:rsidP="005840B3">
            <w:pPr>
              <w:jc w:val="center"/>
              <w:rPr>
                <w:noProof/>
                <w:sz w:val="18"/>
              </w:rPr>
            </w:pPr>
            <w:r>
              <w:rPr>
                <w:noProof/>
                <w:sz w:val="18"/>
              </w:rPr>
              <w:t>f</w:t>
            </w:r>
            <w:r w:rsidRPr="005B5680">
              <w:rPr>
                <w:noProof/>
                <w:sz w:val="18"/>
              </w:rPr>
              <w:t xml:space="preserve">rom </w:t>
            </w:r>
            <w:r>
              <w:rPr>
                <w:noProof/>
                <w:sz w:val="18"/>
              </w:rPr>
              <w:t xml:space="preserve">other </w:t>
            </w:r>
            <w:r w:rsidRPr="005B5680">
              <w:rPr>
                <w:noProof/>
                <w:sz w:val="18"/>
              </w:rPr>
              <w:t>third countries</w:t>
            </w:r>
          </w:p>
        </w:tc>
        <w:tc>
          <w:tcPr>
            <w:tcW w:w="1564" w:type="dxa"/>
            <w:vAlign w:val="center"/>
          </w:tcPr>
          <w:p w14:paraId="46E2D20E" w14:textId="77777777" w:rsidR="00F001BC" w:rsidRPr="005B5680" w:rsidRDefault="00F001BC" w:rsidP="005840B3">
            <w:pPr>
              <w:jc w:val="center"/>
              <w:rPr>
                <w:noProof/>
              </w:rPr>
            </w:pPr>
            <w:r>
              <w:rPr>
                <w:noProof/>
                <w:sz w:val="16"/>
              </w:rPr>
              <w:t>other assigned revenue</w:t>
            </w:r>
            <w:r w:rsidRPr="005B5680">
              <w:rPr>
                <w:noProof/>
                <w:sz w:val="16"/>
              </w:rPr>
              <w:t xml:space="preserve"> </w:t>
            </w:r>
          </w:p>
        </w:tc>
      </w:tr>
      <w:tr w:rsidR="00F001BC" w14:paraId="4007252C" w14:textId="77777777" w:rsidTr="005840B3">
        <w:tc>
          <w:tcPr>
            <w:tcW w:w="1080" w:type="dxa"/>
            <w:vAlign w:val="center"/>
          </w:tcPr>
          <w:p w14:paraId="72074923" w14:textId="77777777" w:rsidR="00F001BC" w:rsidRDefault="00F001BC" w:rsidP="005840B3">
            <w:pPr>
              <w:jc w:val="center"/>
              <w:rPr>
                <w:noProof/>
                <w:color w:val="0000FF"/>
              </w:rPr>
            </w:pPr>
          </w:p>
        </w:tc>
        <w:tc>
          <w:tcPr>
            <w:tcW w:w="3960" w:type="dxa"/>
            <w:vAlign w:val="center"/>
          </w:tcPr>
          <w:p w14:paraId="1C8DC831" w14:textId="77777777" w:rsidR="00F001BC" w:rsidRPr="005828C6" w:rsidRDefault="00F001BC" w:rsidP="005840B3">
            <w:pPr>
              <w:spacing w:before="60"/>
              <w:rPr>
                <w:noProof/>
              </w:rPr>
            </w:pPr>
            <w:r w:rsidRPr="005828C6">
              <w:rPr>
                <w:noProof/>
              </w:rPr>
              <w:t>[XX.YY.YY.YY]</w:t>
            </w:r>
          </w:p>
          <w:p w14:paraId="0645B8AD" w14:textId="77777777" w:rsidR="00F001BC" w:rsidRDefault="00F001BC" w:rsidP="005840B3">
            <w:pPr>
              <w:spacing w:after="60"/>
              <w:rPr>
                <w:noProof/>
              </w:rPr>
            </w:pPr>
          </w:p>
        </w:tc>
        <w:tc>
          <w:tcPr>
            <w:tcW w:w="1080" w:type="dxa"/>
            <w:vAlign w:val="center"/>
          </w:tcPr>
          <w:p w14:paraId="3BCA7327" w14:textId="77777777" w:rsidR="00F001BC" w:rsidRDefault="00F001BC" w:rsidP="005840B3">
            <w:pPr>
              <w:jc w:val="center"/>
              <w:rPr>
                <w:noProof/>
                <w:color w:val="0000FF"/>
              </w:rPr>
            </w:pPr>
          </w:p>
        </w:tc>
        <w:tc>
          <w:tcPr>
            <w:tcW w:w="956" w:type="dxa"/>
            <w:vAlign w:val="center"/>
          </w:tcPr>
          <w:p w14:paraId="60B082BF" w14:textId="77777777" w:rsidR="00F001BC" w:rsidRPr="00A32156" w:rsidRDefault="00F001BC" w:rsidP="005840B3">
            <w:pPr>
              <w:jc w:val="center"/>
              <w:rPr>
                <w:noProof/>
                <w:sz w:val="20"/>
              </w:rPr>
            </w:pPr>
            <w:r w:rsidRPr="00A32156">
              <w:rPr>
                <w:noProof/>
                <w:sz w:val="20"/>
              </w:rPr>
              <w:t>YES/NO</w:t>
            </w:r>
          </w:p>
        </w:tc>
        <w:tc>
          <w:tcPr>
            <w:tcW w:w="1080" w:type="dxa"/>
            <w:vAlign w:val="center"/>
          </w:tcPr>
          <w:p w14:paraId="6E94C295" w14:textId="77777777" w:rsidR="00F001BC" w:rsidRPr="00A32156" w:rsidRDefault="00F001BC" w:rsidP="005840B3">
            <w:pPr>
              <w:jc w:val="center"/>
              <w:rPr>
                <w:noProof/>
                <w:color w:val="0000FF"/>
                <w:sz w:val="20"/>
              </w:rPr>
            </w:pPr>
            <w:r w:rsidRPr="00A32156">
              <w:rPr>
                <w:noProof/>
                <w:sz w:val="20"/>
              </w:rPr>
              <w:t>YES/NO</w:t>
            </w:r>
          </w:p>
        </w:tc>
        <w:tc>
          <w:tcPr>
            <w:tcW w:w="956" w:type="dxa"/>
            <w:vAlign w:val="center"/>
          </w:tcPr>
          <w:p w14:paraId="5BF9CF3B" w14:textId="77777777" w:rsidR="00F001BC" w:rsidRPr="00A32156" w:rsidRDefault="00F001BC" w:rsidP="005840B3">
            <w:pPr>
              <w:jc w:val="center"/>
              <w:rPr>
                <w:noProof/>
                <w:color w:val="0000FF"/>
                <w:sz w:val="20"/>
              </w:rPr>
            </w:pPr>
            <w:r w:rsidRPr="00A32156">
              <w:rPr>
                <w:noProof/>
                <w:sz w:val="20"/>
              </w:rPr>
              <w:t>YES/NO</w:t>
            </w:r>
          </w:p>
        </w:tc>
        <w:tc>
          <w:tcPr>
            <w:tcW w:w="1564" w:type="dxa"/>
            <w:vAlign w:val="center"/>
          </w:tcPr>
          <w:p w14:paraId="198FE314" w14:textId="77777777" w:rsidR="00F001BC" w:rsidRPr="00A32156" w:rsidRDefault="00F001BC" w:rsidP="005840B3">
            <w:pPr>
              <w:jc w:val="center"/>
              <w:rPr>
                <w:noProof/>
                <w:sz w:val="20"/>
              </w:rPr>
            </w:pPr>
            <w:r w:rsidRPr="00A32156">
              <w:rPr>
                <w:noProof/>
                <w:sz w:val="20"/>
              </w:rPr>
              <w:t>YES/NO</w:t>
            </w:r>
          </w:p>
        </w:tc>
      </w:tr>
    </w:tbl>
    <w:p w14:paraId="6D29D795" w14:textId="77777777" w:rsidR="00F001BC" w:rsidRDefault="00F001BC" w:rsidP="00F001BC">
      <w:pPr>
        <w:rPr>
          <w:noProof/>
        </w:rPr>
        <w:sectPr w:rsidR="00F001BC" w:rsidSect="00E321BE">
          <w:pgSz w:w="12240" w:h="15840"/>
          <w:pgMar w:top="794" w:right="907" w:bottom="851" w:left="1361" w:header="510" w:footer="454" w:gutter="0"/>
          <w:cols w:space="720"/>
          <w:docGrid w:linePitch="326"/>
        </w:sectPr>
      </w:pPr>
    </w:p>
    <w:p w14:paraId="79405DB8" w14:textId="77777777" w:rsidR="00F001BC" w:rsidRDefault="00F001BC" w:rsidP="00F001BC">
      <w:pPr>
        <w:pStyle w:val="ManualHeading2"/>
        <w:rPr>
          <w:bCs/>
          <w:noProof/>
          <w:szCs w:val="24"/>
        </w:rPr>
      </w:pPr>
      <w:bookmarkStart w:id="53" w:name="_Toc514938685"/>
      <w:bookmarkStart w:id="54" w:name="_Toc520485444"/>
      <w:r w:rsidRPr="006D222F">
        <w:rPr>
          <w:noProof/>
        </w:rPr>
        <w:t>3.2.</w:t>
      </w:r>
      <w:r w:rsidRPr="006D222F">
        <w:rPr>
          <w:noProof/>
        </w:rPr>
        <w:tab/>
      </w:r>
      <w:r>
        <w:rPr>
          <w:noProof/>
        </w:rPr>
        <w:t>Estimated impact on expenditure</w:t>
      </w:r>
      <w:bookmarkEnd w:id="53"/>
      <w:bookmarkEnd w:id="54"/>
      <w:r>
        <w:rPr>
          <w:noProof/>
        </w:rPr>
        <w:t xml:space="preserve"> </w:t>
      </w:r>
    </w:p>
    <w:p w14:paraId="35585FF1" w14:textId="77777777" w:rsidR="00F001BC" w:rsidRDefault="00F001BC" w:rsidP="00F001BC">
      <w:pPr>
        <w:pStyle w:val="ManualHeading3"/>
        <w:rPr>
          <w:bCs/>
          <w:noProof/>
          <w:szCs w:val="24"/>
        </w:rPr>
      </w:pPr>
      <w:bookmarkStart w:id="55" w:name="_Toc514938686"/>
      <w:bookmarkStart w:id="56" w:name="_Toc520485445"/>
      <w:r w:rsidRPr="006D222F">
        <w:rPr>
          <w:noProof/>
        </w:rPr>
        <w:t>3.2.1.</w:t>
      </w:r>
      <w:r w:rsidRPr="006D222F">
        <w:rPr>
          <w:noProof/>
        </w:rPr>
        <w:tab/>
      </w:r>
      <w:r>
        <w:rPr>
          <w:noProof/>
        </w:rPr>
        <w:t>Summary of estimated impact on expenditure</w:t>
      </w:r>
      <w:bookmarkEnd w:id="55"/>
      <w:bookmarkEnd w:id="56"/>
      <w:r>
        <w:rPr>
          <w:noProof/>
        </w:rPr>
        <w:t xml:space="preserve"> </w:t>
      </w:r>
    </w:p>
    <w:p w14:paraId="1A658362" w14:textId="77777777" w:rsidR="00F001BC" w:rsidRDefault="00F001BC" w:rsidP="00F001BC">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01BC" w14:paraId="7B506A9D" w14:textId="77777777" w:rsidTr="005840B3">
        <w:trPr>
          <w:jc w:val="center"/>
        </w:trPr>
        <w:tc>
          <w:tcPr>
            <w:tcW w:w="4744" w:type="dxa"/>
            <w:shd w:val="thinDiagStripe" w:color="C0C0C0" w:fill="auto"/>
            <w:vAlign w:val="center"/>
          </w:tcPr>
          <w:p w14:paraId="436E107B" w14:textId="77777777" w:rsidR="00F001BC" w:rsidRDefault="00F001BC" w:rsidP="005840B3">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14:paraId="707B1C44" w14:textId="77777777" w:rsidR="00F001BC" w:rsidRPr="005828C6" w:rsidRDefault="00F001BC" w:rsidP="005840B3">
            <w:pPr>
              <w:spacing w:before="60" w:after="60"/>
              <w:jc w:val="center"/>
              <w:rPr>
                <w:noProof/>
              </w:rPr>
            </w:pPr>
            <w:r>
              <w:rPr>
                <w:noProof/>
                <w:sz w:val="22"/>
              </w:rPr>
              <w:t>1</w:t>
            </w:r>
          </w:p>
        </w:tc>
        <w:tc>
          <w:tcPr>
            <w:tcW w:w="7817" w:type="dxa"/>
            <w:vAlign w:val="center"/>
          </w:tcPr>
          <w:p w14:paraId="3DF857E3" w14:textId="77777777" w:rsidR="00F001BC" w:rsidRPr="005828C6" w:rsidRDefault="00F001BC" w:rsidP="005840B3">
            <w:pPr>
              <w:spacing w:before="60" w:after="60"/>
              <w:rPr>
                <w:noProof/>
              </w:rPr>
            </w:pPr>
            <w:r w:rsidRPr="003A0929">
              <w:rPr>
                <w:noProof/>
              </w:rPr>
              <w:t>Single Market, Innovation and Digital</w:t>
            </w:r>
          </w:p>
        </w:tc>
      </w:tr>
    </w:tbl>
    <w:p w14:paraId="5717105B" w14:textId="77777777" w:rsidR="00F001BC" w:rsidRDefault="00F001BC" w:rsidP="00F001BC">
      <w:pPr>
        <w:rPr>
          <w:noProof/>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503"/>
        <w:gridCol w:w="591"/>
        <w:gridCol w:w="868"/>
        <w:gridCol w:w="868"/>
        <w:gridCol w:w="868"/>
        <w:gridCol w:w="1200"/>
        <w:gridCol w:w="1445"/>
      </w:tblGrid>
      <w:tr w:rsidR="00F001BC" w14:paraId="4CD00C6C" w14:textId="77777777" w:rsidTr="005840B3">
        <w:tc>
          <w:tcPr>
            <w:tcW w:w="3742" w:type="dxa"/>
            <w:vAlign w:val="center"/>
          </w:tcPr>
          <w:p w14:paraId="2ADB4EB3" w14:textId="77777777" w:rsidR="00F001BC" w:rsidRDefault="00F001BC" w:rsidP="005840B3">
            <w:pPr>
              <w:jc w:val="center"/>
              <w:rPr>
                <w:noProof/>
              </w:rPr>
            </w:pPr>
            <w:r>
              <w:rPr>
                <w:noProof/>
                <w:sz w:val="22"/>
              </w:rPr>
              <w:t>European Maritime Safety Agency (EMSA)</w:t>
            </w:r>
          </w:p>
        </w:tc>
        <w:tc>
          <w:tcPr>
            <w:tcW w:w="1503" w:type="dxa"/>
          </w:tcPr>
          <w:p w14:paraId="3A66E220" w14:textId="77777777" w:rsidR="00F001BC" w:rsidRDefault="00F001BC" w:rsidP="005840B3">
            <w:pPr>
              <w:rPr>
                <w:noProof/>
                <w:sz w:val="20"/>
              </w:rPr>
            </w:pPr>
          </w:p>
        </w:tc>
        <w:tc>
          <w:tcPr>
            <w:tcW w:w="591" w:type="dxa"/>
          </w:tcPr>
          <w:p w14:paraId="17FDA8D7" w14:textId="77777777" w:rsidR="00F001BC" w:rsidRDefault="00F001BC" w:rsidP="005840B3">
            <w:pPr>
              <w:jc w:val="center"/>
              <w:rPr>
                <w:noProof/>
                <w:sz w:val="20"/>
              </w:rPr>
            </w:pPr>
          </w:p>
        </w:tc>
        <w:tc>
          <w:tcPr>
            <w:tcW w:w="868" w:type="dxa"/>
            <w:vAlign w:val="center"/>
          </w:tcPr>
          <w:p w14:paraId="7942F0F5" w14:textId="77777777" w:rsidR="00F001BC" w:rsidRDefault="00F001BC" w:rsidP="005840B3">
            <w:pPr>
              <w:jc w:val="center"/>
              <w:rPr>
                <w:noProof/>
                <w:sz w:val="20"/>
              </w:rPr>
            </w:pPr>
            <w:r>
              <w:rPr>
                <w:noProof/>
                <w:sz w:val="20"/>
              </w:rPr>
              <w:t>Year</w:t>
            </w:r>
            <w:r>
              <w:rPr>
                <w:noProof/>
                <w:sz w:val="22"/>
              </w:rPr>
              <w:br/>
            </w:r>
            <w:r>
              <w:rPr>
                <w:b/>
                <w:noProof/>
                <w:sz w:val="20"/>
              </w:rPr>
              <w:t>2025</w:t>
            </w:r>
          </w:p>
        </w:tc>
        <w:tc>
          <w:tcPr>
            <w:tcW w:w="868" w:type="dxa"/>
            <w:vAlign w:val="center"/>
          </w:tcPr>
          <w:p w14:paraId="1822D154" w14:textId="77777777" w:rsidR="00F001BC" w:rsidRDefault="00F001BC" w:rsidP="005840B3">
            <w:pPr>
              <w:jc w:val="center"/>
              <w:rPr>
                <w:noProof/>
                <w:sz w:val="20"/>
              </w:rPr>
            </w:pPr>
            <w:r>
              <w:rPr>
                <w:noProof/>
                <w:sz w:val="20"/>
              </w:rPr>
              <w:t>Year</w:t>
            </w:r>
            <w:r>
              <w:rPr>
                <w:noProof/>
                <w:sz w:val="22"/>
              </w:rPr>
              <w:br/>
            </w:r>
            <w:r>
              <w:rPr>
                <w:b/>
                <w:noProof/>
                <w:sz w:val="20"/>
              </w:rPr>
              <w:t>2026</w:t>
            </w:r>
          </w:p>
        </w:tc>
        <w:tc>
          <w:tcPr>
            <w:tcW w:w="868" w:type="dxa"/>
            <w:vAlign w:val="center"/>
          </w:tcPr>
          <w:p w14:paraId="0AC553C4" w14:textId="77777777" w:rsidR="00F001BC" w:rsidRDefault="00F001BC" w:rsidP="005840B3">
            <w:pPr>
              <w:jc w:val="center"/>
              <w:rPr>
                <w:noProof/>
                <w:sz w:val="20"/>
              </w:rPr>
            </w:pPr>
            <w:r>
              <w:rPr>
                <w:noProof/>
                <w:sz w:val="20"/>
              </w:rPr>
              <w:t>Year</w:t>
            </w:r>
            <w:r>
              <w:rPr>
                <w:noProof/>
                <w:sz w:val="22"/>
              </w:rPr>
              <w:br/>
            </w:r>
            <w:r>
              <w:rPr>
                <w:b/>
                <w:noProof/>
                <w:sz w:val="20"/>
              </w:rPr>
              <w:t>2027</w:t>
            </w:r>
          </w:p>
        </w:tc>
        <w:tc>
          <w:tcPr>
            <w:tcW w:w="1200" w:type="dxa"/>
            <w:vAlign w:val="center"/>
          </w:tcPr>
          <w:p w14:paraId="4F2B4E49" w14:textId="77777777" w:rsidR="00F001BC" w:rsidRDefault="00F001BC" w:rsidP="005840B3">
            <w:pPr>
              <w:jc w:val="center"/>
              <w:rPr>
                <w:noProof/>
                <w:sz w:val="20"/>
              </w:rPr>
            </w:pPr>
            <w:r>
              <w:rPr>
                <w:noProof/>
                <w:sz w:val="20"/>
              </w:rPr>
              <w:t>Year</w:t>
            </w:r>
            <w:r>
              <w:rPr>
                <w:noProof/>
                <w:sz w:val="22"/>
              </w:rPr>
              <w:br/>
            </w:r>
            <w:r>
              <w:rPr>
                <w:b/>
                <w:noProof/>
                <w:sz w:val="20"/>
              </w:rPr>
              <w:t>2028-2034</w:t>
            </w:r>
          </w:p>
        </w:tc>
        <w:tc>
          <w:tcPr>
            <w:tcW w:w="1445" w:type="dxa"/>
            <w:vAlign w:val="center"/>
          </w:tcPr>
          <w:p w14:paraId="4B671651" w14:textId="77777777" w:rsidR="00F001BC" w:rsidRDefault="00F001BC" w:rsidP="005840B3">
            <w:pPr>
              <w:jc w:val="center"/>
              <w:rPr>
                <w:b/>
                <w:noProof/>
                <w:sz w:val="20"/>
              </w:rPr>
            </w:pPr>
            <w:r>
              <w:rPr>
                <w:b/>
                <w:noProof/>
                <w:sz w:val="20"/>
              </w:rPr>
              <w:t>TOTAL</w:t>
            </w:r>
          </w:p>
        </w:tc>
      </w:tr>
      <w:tr w:rsidR="00F001BC" w14:paraId="23692D9F" w14:textId="77777777" w:rsidTr="005840B3">
        <w:trPr>
          <w:trHeight w:val="277"/>
        </w:trPr>
        <w:tc>
          <w:tcPr>
            <w:tcW w:w="3742" w:type="dxa"/>
            <w:vMerge w:val="restart"/>
            <w:vAlign w:val="center"/>
          </w:tcPr>
          <w:p w14:paraId="647973C2" w14:textId="77777777" w:rsidR="00F001BC" w:rsidRPr="005828C6" w:rsidRDefault="00F001BC" w:rsidP="005840B3">
            <w:pPr>
              <w:rPr>
                <w:noProof/>
              </w:rPr>
            </w:pPr>
            <w:r>
              <w:rPr>
                <w:noProof/>
                <w:sz w:val="20"/>
              </w:rPr>
              <w:t>Title 1:</w:t>
            </w:r>
          </w:p>
        </w:tc>
        <w:tc>
          <w:tcPr>
            <w:tcW w:w="1503" w:type="dxa"/>
            <w:vAlign w:val="center"/>
          </w:tcPr>
          <w:p w14:paraId="225AC23A" w14:textId="77777777" w:rsidR="00F001BC" w:rsidRDefault="00F001BC" w:rsidP="005840B3">
            <w:pPr>
              <w:spacing w:before="20" w:after="20"/>
              <w:rPr>
                <w:noProof/>
              </w:rPr>
            </w:pPr>
            <w:r>
              <w:rPr>
                <w:noProof/>
                <w:sz w:val="18"/>
              </w:rPr>
              <w:t>Commitments</w:t>
            </w:r>
          </w:p>
        </w:tc>
        <w:tc>
          <w:tcPr>
            <w:tcW w:w="591" w:type="dxa"/>
            <w:vAlign w:val="center"/>
          </w:tcPr>
          <w:p w14:paraId="0EDA025D" w14:textId="77777777" w:rsidR="00F001BC" w:rsidRDefault="00F001BC" w:rsidP="005840B3">
            <w:pPr>
              <w:spacing w:before="20" w:after="20"/>
              <w:jc w:val="center"/>
              <w:rPr>
                <w:noProof/>
                <w:sz w:val="14"/>
              </w:rPr>
            </w:pPr>
            <w:r>
              <w:rPr>
                <w:noProof/>
                <w:sz w:val="14"/>
              </w:rPr>
              <w:t>(1)</w:t>
            </w:r>
          </w:p>
        </w:tc>
        <w:tc>
          <w:tcPr>
            <w:tcW w:w="868" w:type="dxa"/>
            <w:vAlign w:val="center"/>
          </w:tcPr>
          <w:p w14:paraId="5C9974B6" w14:textId="77777777" w:rsidR="00F001BC" w:rsidRDefault="00F001BC" w:rsidP="0019719B">
            <w:pPr>
              <w:spacing w:before="20" w:after="20"/>
              <w:jc w:val="right"/>
              <w:rPr>
                <w:noProof/>
                <w:sz w:val="20"/>
              </w:rPr>
            </w:pPr>
            <w:r>
              <w:rPr>
                <w:noProof/>
                <w:sz w:val="20"/>
              </w:rPr>
              <w:t>0.</w:t>
            </w:r>
            <w:r w:rsidR="0019719B">
              <w:rPr>
                <w:noProof/>
                <w:sz w:val="20"/>
              </w:rPr>
              <w:t>171</w:t>
            </w:r>
          </w:p>
        </w:tc>
        <w:tc>
          <w:tcPr>
            <w:tcW w:w="868" w:type="dxa"/>
            <w:vAlign w:val="center"/>
          </w:tcPr>
          <w:p w14:paraId="061F5C89" w14:textId="77777777" w:rsidR="00F001BC" w:rsidRDefault="00F001BC" w:rsidP="005840B3">
            <w:pPr>
              <w:spacing w:before="20" w:after="20"/>
              <w:jc w:val="right"/>
              <w:rPr>
                <w:noProof/>
                <w:sz w:val="20"/>
              </w:rPr>
            </w:pPr>
            <w:r>
              <w:rPr>
                <w:noProof/>
                <w:sz w:val="20"/>
              </w:rPr>
              <w:t>0.342</w:t>
            </w:r>
          </w:p>
        </w:tc>
        <w:tc>
          <w:tcPr>
            <w:tcW w:w="868" w:type="dxa"/>
            <w:vAlign w:val="center"/>
          </w:tcPr>
          <w:p w14:paraId="7C2DB541" w14:textId="77777777" w:rsidR="00F001BC" w:rsidRDefault="00F001BC" w:rsidP="005840B3">
            <w:pPr>
              <w:spacing w:before="20" w:after="20"/>
              <w:jc w:val="right"/>
              <w:rPr>
                <w:noProof/>
                <w:sz w:val="20"/>
              </w:rPr>
            </w:pPr>
            <w:r>
              <w:rPr>
                <w:noProof/>
                <w:sz w:val="20"/>
              </w:rPr>
              <w:t>0.342</w:t>
            </w:r>
          </w:p>
        </w:tc>
        <w:tc>
          <w:tcPr>
            <w:tcW w:w="1200" w:type="dxa"/>
            <w:vAlign w:val="center"/>
          </w:tcPr>
          <w:p w14:paraId="008F7561" w14:textId="77777777" w:rsidR="00F001BC" w:rsidRDefault="00F001BC" w:rsidP="005840B3">
            <w:pPr>
              <w:spacing w:before="20" w:after="20"/>
              <w:jc w:val="right"/>
              <w:rPr>
                <w:noProof/>
                <w:sz w:val="20"/>
              </w:rPr>
            </w:pPr>
            <w:r>
              <w:rPr>
                <w:noProof/>
                <w:sz w:val="20"/>
              </w:rPr>
              <w:t>2.394</w:t>
            </w:r>
          </w:p>
        </w:tc>
        <w:tc>
          <w:tcPr>
            <w:tcW w:w="1445" w:type="dxa"/>
            <w:vAlign w:val="center"/>
          </w:tcPr>
          <w:p w14:paraId="1A96B9F8" w14:textId="77777777" w:rsidR="00F001BC" w:rsidRDefault="00F001BC" w:rsidP="0019719B">
            <w:pPr>
              <w:spacing w:before="20" w:after="20"/>
              <w:jc w:val="right"/>
              <w:rPr>
                <w:b/>
                <w:noProof/>
                <w:sz w:val="20"/>
              </w:rPr>
            </w:pPr>
            <w:r>
              <w:rPr>
                <w:b/>
                <w:noProof/>
                <w:sz w:val="20"/>
              </w:rPr>
              <w:t>3.</w:t>
            </w:r>
            <w:r w:rsidR="0019719B">
              <w:rPr>
                <w:b/>
                <w:noProof/>
                <w:sz w:val="20"/>
              </w:rPr>
              <w:t>249</w:t>
            </w:r>
          </w:p>
        </w:tc>
      </w:tr>
      <w:tr w:rsidR="00F001BC" w14:paraId="30799BEA" w14:textId="77777777" w:rsidTr="005840B3">
        <w:tc>
          <w:tcPr>
            <w:tcW w:w="3742" w:type="dxa"/>
            <w:vMerge/>
            <w:vAlign w:val="center"/>
          </w:tcPr>
          <w:p w14:paraId="1507F987" w14:textId="77777777" w:rsidR="00F001BC" w:rsidRPr="005828C6" w:rsidRDefault="00F001BC" w:rsidP="005840B3">
            <w:pPr>
              <w:rPr>
                <w:noProof/>
              </w:rPr>
            </w:pPr>
          </w:p>
        </w:tc>
        <w:tc>
          <w:tcPr>
            <w:tcW w:w="1503" w:type="dxa"/>
            <w:vAlign w:val="center"/>
          </w:tcPr>
          <w:p w14:paraId="6DFC7A2F" w14:textId="77777777" w:rsidR="00F001BC" w:rsidRDefault="00F001BC" w:rsidP="005840B3">
            <w:pPr>
              <w:spacing w:before="20" w:after="20"/>
              <w:rPr>
                <w:noProof/>
                <w:sz w:val="18"/>
              </w:rPr>
            </w:pPr>
            <w:r>
              <w:rPr>
                <w:noProof/>
                <w:sz w:val="18"/>
              </w:rPr>
              <w:t>Payments</w:t>
            </w:r>
          </w:p>
        </w:tc>
        <w:tc>
          <w:tcPr>
            <w:tcW w:w="591" w:type="dxa"/>
            <w:vAlign w:val="center"/>
          </w:tcPr>
          <w:p w14:paraId="09E83FDF" w14:textId="77777777" w:rsidR="00F001BC" w:rsidRDefault="00F001BC" w:rsidP="005840B3">
            <w:pPr>
              <w:spacing w:before="20" w:after="20"/>
              <w:jc w:val="center"/>
              <w:rPr>
                <w:noProof/>
                <w:sz w:val="14"/>
              </w:rPr>
            </w:pPr>
            <w:r>
              <w:rPr>
                <w:noProof/>
                <w:sz w:val="14"/>
              </w:rPr>
              <w:t>(2)</w:t>
            </w:r>
          </w:p>
        </w:tc>
        <w:tc>
          <w:tcPr>
            <w:tcW w:w="868" w:type="dxa"/>
            <w:vAlign w:val="center"/>
          </w:tcPr>
          <w:p w14:paraId="2DE70157" w14:textId="77777777" w:rsidR="00F001BC" w:rsidRDefault="00F001BC" w:rsidP="0019719B">
            <w:pPr>
              <w:spacing w:before="20" w:after="20"/>
              <w:jc w:val="right"/>
              <w:rPr>
                <w:noProof/>
                <w:sz w:val="20"/>
              </w:rPr>
            </w:pPr>
            <w:r>
              <w:rPr>
                <w:noProof/>
                <w:sz w:val="20"/>
              </w:rPr>
              <w:t>0.</w:t>
            </w:r>
            <w:r w:rsidR="0019719B">
              <w:rPr>
                <w:noProof/>
                <w:sz w:val="20"/>
              </w:rPr>
              <w:t>171</w:t>
            </w:r>
          </w:p>
        </w:tc>
        <w:tc>
          <w:tcPr>
            <w:tcW w:w="868" w:type="dxa"/>
            <w:vAlign w:val="center"/>
          </w:tcPr>
          <w:p w14:paraId="122B2A58" w14:textId="77777777" w:rsidR="00F001BC" w:rsidRDefault="00F001BC" w:rsidP="005840B3">
            <w:pPr>
              <w:spacing w:before="20" w:after="20"/>
              <w:jc w:val="right"/>
              <w:rPr>
                <w:noProof/>
                <w:sz w:val="20"/>
              </w:rPr>
            </w:pPr>
            <w:r>
              <w:rPr>
                <w:noProof/>
                <w:sz w:val="20"/>
              </w:rPr>
              <w:t>0.342</w:t>
            </w:r>
          </w:p>
        </w:tc>
        <w:tc>
          <w:tcPr>
            <w:tcW w:w="868" w:type="dxa"/>
            <w:vAlign w:val="center"/>
          </w:tcPr>
          <w:p w14:paraId="1D042D3D" w14:textId="77777777" w:rsidR="00F001BC" w:rsidRDefault="00F001BC" w:rsidP="005840B3">
            <w:pPr>
              <w:spacing w:before="20" w:after="20"/>
              <w:jc w:val="right"/>
              <w:rPr>
                <w:noProof/>
                <w:sz w:val="20"/>
              </w:rPr>
            </w:pPr>
            <w:r>
              <w:rPr>
                <w:noProof/>
                <w:sz w:val="20"/>
              </w:rPr>
              <w:t>0.342</w:t>
            </w:r>
          </w:p>
        </w:tc>
        <w:tc>
          <w:tcPr>
            <w:tcW w:w="1200" w:type="dxa"/>
            <w:vAlign w:val="center"/>
          </w:tcPr>
          <w:p w14:paraId="44484AA3" w14:textId="77777777" w:rsidR="00F001BC" w:rsidRDefault="00F001BC" w:rsidP="005840B3">
            <w:pPr>
              <w:spacing w:before="20" w:after="20"/>
              <w:jc w:val="right"/>
              <w:rPr>
                <w:noProof/>
                <w:sz w:val="20"/>
              </w:rPr>
            </w:pPr>
            <w:r>
              <w:rPr>
                <w:noProof/>
                <w:sz w:val="20"/>
              </w:rPr>
              <w:t>2.394</w:t>
            </w:r>
          </w:p>
        </w:tc>
        <w:tc>
          <w:tcPr>
            <w:tcW w:w="1445" w:type="dxa"/>
            <w:vAlign w:val="center"/>
          </w:tcPr>
          <w:p w14:paraId="24642203" w14:textId="77777777" w:rsidR="00F001BC" w:rsidRDefault="00F001BC" w:rsidP="0019719B">
            <w:pPr>
              <w:spacing w:before="20" w:after="20"/>
              <w:jc w:val="right"/>
              <w:rPr>
                <w:b/>
                <w:noProof/>
                <w:sz w:val="20"/>
              </w:rPr>
            </w:pPr>
            <w:r>
              <w:rPr>
                <w:b/>
                <w:noProof/>
                <w:sz w:val="20"/>
              </w:rPr>
              <w:t>3.</w:t>
            </w:r>
            <w:r w:rsidR="0019719B">
              <w:rPr>
                <w:b/>
                <w:noProof/>
                <w:sz w:val="20"/>
              </w:rPr>
              <w:t>249</w:t>
            </w:r>
          </w:p>
        </w:tc>
      </w:tr>
      <w:tr w:rsidR="00F001BC" w14:paraId="5D77CCF2" w14:textId="77777777" w:rsidTr="005840B3">
        <w:tc>
          <w:tcPr>
            <w:tcW w:w="3742" w:type="dxa"/>
            <w:vMerge w:val="restart"/>
            <w:vAlign w:val="center"/>
          </w:tcPr>
          <w:p w14:paraId="445F3D25" w14:textId="77777777" w:rsidR="00F001BC" w:rsidRPr="005828C6" w:rsidRDefault="00F001BC" w:rsidP="005840B3">
            <w:pPr>
              <w:rPr>
                <w:noProof/>
              </w:rPr>
            </w:pPr>
            <w:r>
              <w:rPr>
                <w:noProof/>
                <w:sz w:val="20"/>
              </w:rPr>
              <w:t>Title 2:</w:t>
            </w:r>
          </w:p>
        </w:tc>
        <w:tc>
          <w:tcPr>
            <w:tcW w:w="1503" w:type="dxa"/>
            <w:vAlign w:val="center"/>
          </w:tcPr>
          <w:p w14:paraId="14B985D1" w14:textId="77777777" w:rsidR="00F001BC" w:rsidRDefault="00F001BC" w:rsidP="005840B3">
            <w:pPr>
              <w:spacing w:before="20" w:after="20"/>
              <w:rPr>
                <w:noProof/>
                <w:sz w:val="18"/>
              </w:rPr>
            </w:pPr>
            <w:r>
              <w:rPr>
                <w:noProof/>
                <w:sz w:val="18"/>
              </w:rPr>
              <w:t>Commitments</w:t>
            </w:r>
          </w:p>
        </w:tc>
        <w:tc>
          <w:tcPr>
            <w:tcW w:w="591" w:type="dxa"/>
            <w:vAlign w:val="center"/>
          </w:tcPr>
          <w:p w14:paraId="2C4F6072" w14:textId="77777777" w:rsidR="00F001BC" w:rsidRDefault="00F001BC" w:rsidP="005840B3">
            <w:pPr>
              <w:spacing w:before="20" w:after="20"/>
              <w:jc w:val="center"/>
              <w:rPr>
                <w:noProof/>
                <w:sz w:val="14"/>
              </w:rPr>
            </w:pPr>
            <w:r>
              <w:rPr>
                <w:noProof/>
                <w:sz w:val="14"/>
              </w:rPr>
              <w:t>(1a)</w:t>
            </w:r>
          </w:p>
        </w:tc>
        <w:tc>
          <w:tcPr>
            <w:tcW w:w="868" w:type="dxa"/>
            <w:vAlign w:val="center"/>
          </w:tcPr>
          <w:p w14:paraId="7C33ADC2" w14:textId="77777777" w:rsidR="00F001BC" w:rsidRDefault="00F001BC" w:rsidP="005840B3">
            <w:pPr>
              <w:spacing w:before="20" w:after="20"/>
              <w:jc w:val="right"/>
              <w:rPr>
                <w:noProof/>
                <w:sz w:val="20"/>
              </w:rPr>
            </w:pPr>
          </w:p>
        </w:tc>
        <w:tc>
          <w:tcPr>
            <w:tcW w:w="868" w:type="dxa"/>
            <w:vAlign w:val="center"/>
          </w:tcPr>
          <w:p w14:paraId="659DDC18" w14:textId="77777777" w:rsidR="00F001BC" w:rsidRDefault="00F001BC" w:rsidP="005840B3">
            <w:pPr>
              <w:spacing w:before="20" w:after="20"/>
              <w:jc w:val="right"/>
              <w:rPr>
                <w:noProof/>
                <w:sz w:val="20"/>
              </w:rPr>
            </w:pPr>
          </w:p>
        </w:tc>
        <w:tc>
          <w:tcPr>
            <w:tcW w:w="868" w:type="dxa"/>
            <w:vAlign w:val="center"/>
          </w:tcPr>
          <w:p w14:paraId="74115EDB" w14:textId="77777777" w:rsidR="00F001BC" w:rsidRDefault="00F001BC" w:rsidP="005840B3">
            <w:pPr>
              <w:spacing w:before="20" w:after="20"/>
              <w:jc w:val="right"/>
              <w:rPr>
                <w:noProof/>
                <w:sz w:val="20"/>
              </w:rPr>
            </w:pPr>
          </w:p>
        </w:tc>
        <w:tc>
          <w:tcPr>
            <w:tcW w:w="1200" w:type="dxa"/>
            <w:vAlign w:val="center"/>
          </w:tcPr>
          <w:p w14:paraId="5970E51A" w14:textId="77777777" w:rsidR="00F001BC" w:rsidRDefault="00F001BC" w:rsidP="005840B3">
            <w:pPr>
              <w:spacing w:before="20" w:after="20"/>
              <w:jc w:val="right"/>
              <w:rPr>
                <w:noProof/>
                <w:sz w:val="20"/>
              </w:rPr>
            </w:pPr>
          </w:p>
        </w:tc>
        <w:tc>
          <w:tcPr>
            <w:tcW w:w="1445" w:type="dxa"/>
            <w:vAlign w:val="center"/>
          </w:tcPr>
          <w:p w14:paraId="5B1205DD" w14:textId="77777777" w:rsidR="00F001BC" w:rsidRDefault="00F001BC" w:rsidP="005840B3">
            <w:pPr>
              <w:spacing w:before="20" w:after="20"/>
              <w:jc w:val="right"/>
              <w:rPr>
                <w:b/>
                <w:noProof/>
                <w:sz w:val="20"/>
              </w:rPr>
            </w:pPr>
          </w:p>
        </w:tc>
      </w:tr>
      <w:tr w:rsidR="00F001BC" w14:paraId="3230458C" w14:textId="77777777" w:rsidTr="005840B3">
        <w:tc>
          <w:tcPr>
            <w:tcW w:w="3742" w:type="dxa"/>
            <w:vMerge/>
            <w:vAlign w:val="center"/>
          </w:tcPr>
          <w:p w14:paraId="57FE3BB3" w14:textId="77777777" w:rsidR="00F001BC" w:rsidRPr="005828C6" w:rsidRDefault="00F001BC" w:rsidP="005840B3">
            <w:pPr>
              <w:rPr>
                <w:noProof/>
              </w:rPr>
            </w:pPr>
          </w:p>
        </w:tc>
        <w:tc>
          <w:tcPr>
            <w:tcW w:w="1503" w:type="dxa"/>
            <w:vAlign w:val="center"/>
          </w:tcPr>
          <w:p w14:paraId="4F452F6C" w14:textId="77777777" w:rsidR="00F001BC" w:rsidRDefault="00F001BC" w:rsidP="005840B3">
            <w:pPr>
              <w:spacing w:before="20" w:after="20"/>
              <w:rPr>
                <w:noProof/>
                <w:sz w:val="18"/>
              </w:rPr>
            </w:pPr>
            <w:r>
              <w:rPr>
                <w:noProof/>
                <w:sz w:val="18"/>
              </w:rPr>
              <w:t>Payments</w:t>
            </w:r>
          </w:p>
        </w:tc>
        <w:tc>
          <w:tcPr>
            <w:tcW w:w="591" w:type="dxa"/>
            <w:vAlign w:val="center"/>
          </w:tcPr>
          <w:p w14:paraId="2C392391" w14:textId="77777777" w:rsidR="00F001BC" w:rsidRDefault="00F001BC" w:rsidP="005840B3">
            <w:pPr>
              <w:spacing w:before="20" w:after="20"/>
              <w:jc w:val="center"/>
              <w:rPr>
                <w:noProof/>
                <w:sz w:val="14"/>
              </w:rPr>
            </w:pPr>
            <w:r>
              <w:rPr>
                <w:noProof/>
                <w:sz w:val="14"/>
              </w:rPr>
              <w:t>(2a)</w:t>
            </w:r>
          </w:p>
        </w:tc>
        <w:tc>
          <w:tcPr>
            <w:tcW w:w="868" w:type="dxa"/>
            <w:vAlign w:val="center"/>
          </w:tcPr>
          <w:p w14:paraId="271649A5" w14:textId="77777777" w:rsidR="00F001BC" w:rsidRDefault="00F001BC" w:rsidP="005840B3">
            <w:pPr>
              <w:spacing w:before="20" w:after="20"/>
              <w:jc w:val="right"/>
              <w:rPr>
                <w:noProof/>
                <w:sz w:val="20"/>
              </w:rPr>
            </w:pPr>
          </w:p>
        </w:tc>
        <w:tc>
          <w:tcPr>
            <w:tcW w:w="868" w:type="dxa"/>
            <w:vAlign w:val="center"/>
          </w:tcPr>
          <w:p w14:paraId="1D13FBDC" w14:textId="77777777" w:rsidR="00F001BC" w:rsidRDefault="00F001BC" w:rsidP="005840B3">
            <w:pPr>
              <w:spacing w:before="20" w:after="20"/>
              <w:jc w:val="right"/>
              <w:rPr>
                <w:noProof/>
                <w:sz w:val="20"/>
              </w:rPr>
            </w:pPr>
          </w:p>
        </w:tc>
        <w:tc>
          <w:tcPr>
            <w:tcW w:w="868" w:type="dxa"/>
            <w:vAlign w:val="center"/>
          </w:tcPr>
          <w:p w14:paraId="22B1F440" w14:textId="77777777" w:rsidR="00F001BC" w:rsidRDefault="00F001BC" w:rsidP="005840B3">
            <w:pPr>
              <w:spacing w:before="20" w:after="20"/>
              <w:jc w:val="right"/>
              <w:rPr>
                <w:noProof/>
                <w:sz w:val="20"/>
              </w:rPr>
            </w:pPr>
          </w:p>
        </w:tc>
        <w:tc>
          <w:tcPr>
            <w:tcW w:w="1200" w:type="dxa"/>
            <w:vAlign w:val="center"/>
          </w:tcPr>
          <w:p w14:paraId="1FF4001D" w14:textId="77777777" w:rsidR="00F001BC" w:rsidRDefault="00F001BC" w:rsidP="005840B3">
            <w:pPr>
              <w:spacing w:before="20" w:after="20"/>
              <w:jc w:val="right"/>
              <w:rPr>
                <w:noProof/>
                <w:sz w:val="20"/>
              </w:rPr>
            </w:pPr>
          </w:p>
        </w:tc>
        <w:tc>
          <w:tcPr>
            <w:tcW w:w="1445" w:type="dxa"/>
            <w:vAlign w:val="center"/>
          </w:tcPr>
          <w:p w14:paraId="6EB5093C" w14:textId="77777777" w:rsidR="00F001BC" w:rsidRDefault="00F001BC" w:rsidP="005840B3">
            <w:pPr>
              <w:spacing w:before="20" w:after="20"/>
              <w:jc w:val="right"/>
              <w:rPr>
                <w:b/>
                <w:noProof/>
                <w:sz w:val="20"/>
              </w:rPr>
            </w:pPr>
          </w:p>
        </w:tc>
      </w:tr>
      <w:tr w:rsidR="00F001BC" w14:paraId="655A9D2C" w14:textId="77777777" w:rsidTr="005840B3">
        <w:trPr>
          <w:trHeight w:val="319"/>
        </w:trPr>
        <w:tc>
          <w:tcPr>
            <w:tcW w:w="3742" w:type="dxa"/>
            <w:vAlign w:val="center"/>
          </w:tcPr>
          <w:p w14:paraId="00E8E45B" w14:textId="77777777" w:rsidR="00F001BC" w:rsidRPr="005828C6" w:rsidRDefault="00F001BC" w:rsidP="005840B3">
            <w:pPr>
              <w:spacing w:before="60" w:after="60"/>
              <w:rPr>
                <w:noProof/>
              </w:rPr>
            </w:pPr>
            <w:r>
              <w:rPr>
                <w:noProof/>
                <w:sz w:val="20"/>
              </w:rPr>
              <w:t>Title 3:</w:t>
            </w:r>
          </w:p>
        </w:tc>
        <w:tc>
          <w:tcPr>
            <w:tcW w:w="1503" w:type="dxa"/>
            <w:vAlign w:val="center"/>
          </w:tcPr>
          <w:p w14:paraId="018D1808" w14:textId="77777777" w:rsidR="00F001BC" w:rsidRDefault="00F001BC" w:rsidP="005840B3">
            <w:pPr>
              <w:spacing w:before="40" w:after="40"/>
              <w:rPr>
                <w:noProof/>
                <w:sz w:val="18"/>
              </w:rPr>
            </w:pPr>
            <w:r>
              <w:rPr>
                <w:noProof/>
                <w:sz w:val="18"/>
              </w:rPr>
              <w:t>Commitments</w:t>
            </w:r>
          </w:p>
        </w:tc>
        <w:tc>
          <w:tcPr>
            <w:tcW w:w="591" w:type="dxa"/>
            <w:vAlign w:val="center"/>
          </w:tcPr>
          <w:p w14:paraId="1CDF9B63" w14:textId="77777777" w:rsidR="00F001BC" w:rsidRDefault="00F001BC" w:rsidP="005840B3">
            <w:pPr>
              <w:spacing w:before="40" w:after="40"/>
              <w:jc w:val="center"/>
              <w:rPr>
                <w:noProof/>
                <w:sz w:val="14"/>
              </w:rPr>
            </w:pPr>
            <w:r>
              <w:rPr>
                <w:noProof/>
                <w:sz w:val="14"/>
              </w:rPr>
              <w:t>(3a)</w:t>
            </w:r>
          </w:p>
        </w:tc>
        <w:tc>
          <w:tcPr>
            <w:tcW w:w="868" w:type="dxa"/>
          </w:tcPr>
          <w:p w14:paraId="4958F7F2" w14:textId="77777777" w:rsidR="00F001BC" w:rsidRPr="00063C36" w:rsidRDefault="00F001BC" w:rsidP="005840B3">
            <w:pPr>
              <w:spacing w:before="20" w:after="20"/>
              <w:jc w:val="right"/>
              <w:rPr>
                <w:noProof/>
                <w:sz w:val="20"/>
              </w:rPr>
            </w:pPr>
            <w:r w:rsidRPr="00063C36">
              <w:rPr>
                <w:noProof/>
                <w:sz w:val="20"/>
              </w:rPr>
              <w:t>0</w:t>
            </w:r>
            <w:r>
              <w:rPr>
                <w:noProof/>
                <w:sz w:val="20"/>
              </w:rPr>
              <w:t>.</w:t>
            </w:r>
            <w:r w:rsidRPr="00063C36">
              <w:rPr>
                <w:noProof/>
                <w:sz w:val="20"/>
              </w:rPr>
              <w:t>068</w:t>
            </w:r>
          </w:p>
        </w:tc>
        <w:tc>
          <w:tcPr>
            <w:tcW w:w="868" w:type="dxa"/>
          </w:tcPr>
          <w:p w14:paraId="752CDB56" w14:textId="77777777" w:rsidR="00F001BC" w:rsidRPr="00063C36" w:rsidRDefault="00F001BC" w:rsidP="005840B3">
            <w:pPr>
              <w:spacing w:before="20" w:after="20"/>
              <w:jc w:val="right"/>
              <w:rPr>
                <w:noProof/>
                <w:sz w:val="20"/>
              </w:rPr>
            </w:pPr>
            <w:r w:rsidRPr="00063C36">
              <w:rPr>
                <w:noProof/>
                <w:sz w:val="20"/>
              </w:rPr>
              <w:t>0</w:t>
            </w:r>
            <w:r>
              <w:rPr>
                <w:noProof/>
                <w:sz w:val="20"/>
              </w:rPr>
              <w:t>.</w:t>
            </w:r>
            <w:r w:rsidRPr="00063C36">
              <w:rPr>
                <w:noProof/>
                <w:sz w:val="20"/>
              </w:rPr>
              <w:t>479</w:t>
            </w:r>
          </w:p>
        </w:tc>
        <w:tc>
          <w:tcPr>
            <w:tcW w:w="868" w:type="dxa"/>
          </w:tcPr>
          <w:p w14:paraId="54E76149" w14:textId="77777777" w:rsidR="00F001BC" w:rsidRPr="00063C36" w:rsidRDefault="00F001BC" w:rsidP="005840B3">
            <w:pPr>
              <w:spacing w:before="20" w:after="20"/>
              <w:jc w:val="right"/>
              <w:rPr>
                <w:noProof/>
                <w:sz w:val="20"/>
              </w:rPr>
            </w:pPr>
            <w:r w:rsidRPr="00063C36">
              <w:rPr>
                <w:noProof/>
                <w:sz w:val="20"/>
              </w:rPr>
              <w:t>0</w:t>
            </w:r>
            <w:r>
              <w:rPr>
                <w:noProof/>
                <w:sz w:val="20"/>
              </w:rPr>
              <w:t>.</w:t>
            </w:r>
            <w:r w:rsidRPr="00063C36">
              <w:rPr>
                <w:noProof/>
                <w:sz w:val="20"/>
              </w:rPr>
              <w:t>504</w:t>
            </w:r>
          </w:p>
        </w:tc>
        <w:tc>
          <w:tcPr>
            <w:tcW w:w="1200" w:type="dxa"/>
          </w:tcPr>
          <w:p w14:paraId="4B8C0EDA" w14:textId="77777777" w:rsidR="00F001BC" w:rsidRPr="00063C36" w:rsidRDefault="00F001BC" w:rsidP="005840B3">
            <w:pPr>
              <w:spacing w:before="20" w:after="20"/>
              <w:jc w:val="right"/>
              <w:rPr>
                <w:noProof/>
                <w:sz w:val="20"/>
              </w:rPr>
            </w:pPr>
            <w:r w:rsidRPr="00063C36">
              <w:rPr>
                <w:noProof/>
                <w:sz w:val="20"/>
              </w:rPr>
              <w:t>1</w:t>
            </w:r>
            <w:r>
              <w:rPr>
                <w:noProof/>
                <w:sz w:val="20"/>
              </w:rPr>
              <w:t>.</w:t>
            </w:r>
            <w:r w:rsidRPr="00063C36">
              <w:rPr>
                <w:noProof/>
                <w:sz w:val="20"/>
              </w:rPr>
              <w:t>778</w:t>
            </w:r>
          </w:p>
        </w:tc>
        <w:tc>
          <w:tcPr>
            <w:tcW w:w="1445" w:type="dxa"/>
          </w:tcPr>
          <w:p w14:paraId="57229929" w14:textId="77777777" w:rsidR="00F001BC" w:rsidRPr="009B3DE7" w:rsidRDefault="00F001BC" w:rsidP="005840B3">
            <w:pPr>
              <w:spacing w:before="20" w:after="20"/>
              <w:jc w:val="right"/>
              <w:rPr>
                <w:b/>
                <w:noProof/>
                <w:sz w:val="20"/>
              </w:rPr>
            </w:pPr>
            <w:r w:rsidRPr="00063C36">
              <w:rPr>
                <w:b/>
                <w:noProof/>
                <w:sz w:val="20"/>
              </w:rPr>
              <w:t>2.829</w:t>
            </w:r>
          </w:p>
        </w:tc>
      </w:tr>
      <w:tr w:rsidR="00F001BC" w14:paraId="1A65AB15" w14:textId="77777777" w:rsidTr="005840B3">
        <w:trPr>
          <w:trHeight w:val="319"/>
        </w:trPr>
        <w:tc>
          <w:tcPr>
            <w:tcW w:w="3742" w:type="dxa"/>
            <w:vAlign w:val="center"/>
          </w:tcPr>
          <w:p w14:paraId="604C94AC" w14:textId="77777777" w:rsidR="00F001BC" w:rsidRDefault="00F001BC" w:rsidP="005840B3">
            <w:pPr>
              <w:spacing w:before="60" w:after="60"/>
              <w:rPr>
                <w:b/>
                <w:noProof/>
                <w:sz w:val="20"/>
              </w:rPr>
            </w:pPr>
          </w:p>
        </w:tc>
        <w:tc>
          <w:tcPr>
            <w:tcW w:w="1503" w:type="dxa"/>
            <w:vAlign w:val="center"/>
          </w:tcPr>
          <w:p w14:paraId="74F075B4" w14:textId="77777777" w:rsidR="00F001BC" w:rsidRDefault="00F001BC" w:rsidP="005840B3">
            <w:pPr>
              <w:spacing w:before="40" w:after="40"/>
              <w:rPr>
                <w:noProof/>
                <w:sz w:val="18"/>
              </w:rPr>
            </w:pPr>
            <w:r>
              <w:rPr>
                <w:noProof/>
                <w:sz w:val="18"/>
              </w:rPr>
              <w:t>Payments</w:t>
            </w:r>
          </w:p>
        </w:tc>
        <w:tc>
          <w:tcPr>
            <w:tcW w:w="591" w:type="dxa"/>
            <w:vAlign w:val="center"/>
          </w:tcPr>
          <w:p w14:paraId="47E077D2" w14:textId="77777777" w:rsidR="00F001BC" w:rsidRDefault="00F001BC" w:rsidP="005840B3">
            <w:pPr>
              <w:spacing w:before="40" w:after="40"/>
              <w:jc w:val="center"/>
              <w:rPr>
                <w:noProof/>
                <w:sz w:val="14"/>
              </w:rPr>
            </w:pPr>
            <w:r>
              <w:rPr>
                <w:noProof/>
                <w:sz w:val="14"/>
              </w:rPr>
              <w:t>(3b)</w:t>
            </w:r>
          </w:p>
        </w:tc>
        <w:tc>
          <w:tcPr>
            <w:tcW w:w="868" w:type="dxa"/>
          </w:tcPr>
          <w:p w14:paraId="09618FD4" w14:textId="77777777" w:rsidR="00F001BC" w:rsidRDefault="00F001BC" w:rsidP="005840B3">
            <w:pPr>
              <w:spacing w:before="40" w:after="40"/>
              <w:jc w:val="right"/>
              <w:rPr>
                <w:b/>
                <w:noProof/>
                <w:sz w:val="20"/>
              </w:rPr>
            </w:pPr>
            <w:r w:rsidRPr="00407155">
              <w:rPr>
                <w:noProof/>
                <w:sz w:val="20"/>
              </w:rPr>
              <w:t>0</w:t>
            </w:r>
            <w:r>
              <w:rPr>
                <w:noProof/>
                <w:sz w:val="20"/>
              </w:rPr>
              <w:t>.</w:t>
            </w:r>
            <w:r w:rsidRPr="00407155">
              <w:rPr>
                <w:noProof/>
                <w:sz w:val="20"/>
              </w:rPr>
              <w:t>068</w:t>
            </w:r>
          </w:p>
        </w:tc>
        <w:tc>
          <w:tcPr>
            <w:tcW w:w="868" w:type="dxa"/>
          </w:tcPr>
          <w:p w14:paraId="7ED77800" w14:textId="77777777" w:rsidR="00F001BC" w:rsidRDefault="00F001BC" w:rsidP="005840B3">
            <w:pPr>
              <w:spacing w:before="40" w:after="40"/>
              <w:jc w:val="right"/>
              <w:rPr>
                <w:b/>
                <w:noProof/>
                <w:sz w:val="20"/>
              </w:rPr>
            </w:pPr>
            <w:r w:rsidRPr="00407155">
              <w:rPr>
                <w:noProof/>
                <w:sz w:val="20"/>
              </w:rPr>
              <w:t>0</w:t>
            </w:r>
            <w:r>
              <w:rPr>
                <w:noProof/>
                <w:sz w:val="20"/>
              </w:rPr>
              <w:t>.</w:t>
            </w:r>
            <w:r w:rsidRPr="00407155">
              <w:rPr>
                <w:noProof/>
                <w:sz w:val="20"/>
              </w:rPr>
              <w:t>479</w:t>
            </w:r>
          </w:p>
        </w:tc>
        <w:tc>
          <w:tcPr>
            <w:tcW w:w="868" w:type="dxa"/>
          </w:tcPr>
          <w:p w14:paraId="2B239CD9" w14:textId="77777777" w:rsidR="00F001BC" w:rsidRDefault="00F001BC" w:rsidP="005840B3">
            <w:pPr>
              <w:spacing w:before="40" w:after="40"/>
              <w:jc w:val="right"/>
              <w:rPr>
                <w:b/>
                <w:noProof/>
                <w:sz w:val="20"/>
              </w:rPr>
            </w:pPr>
            <w:r w:rsidRPr="00407155">
              <w:rPr>
                <w:noProof/>
                <w:sz w:val="20"/>
              </w:rPr>
              <w:t>0</w:t>
            </w:r>
            <w:r>
              <w:rPr>
                <w:noProof/>
                <w:sz w:val="20"/>
              </w:rPr>
              <w:t>.</w:t>
            </w:r>
            <w:r w:rsidRPr="00407155">
              <w:rPr>
                <w:noProof/>
                <w:sz w:val="20"/>
              </w:rPr>
              <w:t>504</w:t>
            </w:r>
          </w:p>
        </w:tc>
        <w:tc>
          <w:tcPr>
            <w:tcW w:w="1200" w:type="dxa"/>
          </w:tcPr>
          <w:p w14:paraId="10450C9F" w14:textId="77777777" w:rsidR="00F001BC" w:rsidRDefault="00F001BC" w:rsidP="005840B3">
            <w:pPr>
              <w:spacing w:before="40" w:after="40"/>
              <w:jc w:val="right"/>
              <w:rPr>
                <w:b/>
                <w:noProof/>
                <w:sz w:val="20"/>
              </w:rPr>
            </w:pPr>
            <w:r w:rsidRPr="00407155">
              <w:rPr>
                <w:noProof/>
                <w:sz w:val="20"/>
              </w:rPr>
              <w:t>1</w:t>
            </w:r>
            <w:r>
              <w:rPr>
                <w:noProof/>
                <w:sz w:val="20"/>
              </w:rPr>
              <w:t>.</w:t>
            </w:r>
            <w:r w:rsidRPr="00407155">
              <w:rPr>
                <w:noProof/>
                <w:sz w:val="20"/>
              </w:rPr>
              <w:t>778</w:t>
            </w:r>
          </w:p>
        </w:tc>
        <w:tc>
          <w:tcPr>
            <w:tcW w:w="1445" w:type="dxa"/>
          </w:tcPr>
          <w:p w14:paraId="4401F6CB" w14:textId="77777777" w:rsidR="00F001BC" w:rsidRDefault="00F001BC" w:rsidP="005840B3">
            <w:pPr>
              <w:spacing w:before="40" w:after="40"/>
              <w:jc w:val="right"/>
              <w:rPr>
                <w:b/>
                <w:noProof/>
                <w:sz w:val="20"/>
              </w:rPr>
            </w:pPr>
            <w:r w:rsidRPr="00407155">
              <w:rPr>
                <w:b/>
                <w:noProof/>
                <w:sz w:val="20"/>
              </w:rPr>
              <w:t>2.829</w:t>
            </w:r>
          </w:p>
        </w:tc>
      </w:tr>
      <w:tr w:rsidR="00F001BC" w14:paraId="7F900E9F" w14:textId="77777777" w:rsidTr="005840B3">
        <w:tc>
          <w:tcPr>
            <w:tcW w:w="3742" w:type="dxa"/>
            <w:vMerge w:val="restart"/>
            <w:vAlign w:val="center"/>
          </w:tcPr>
          <w:p w14:paraId="4960F63B" w14:textId="77777777" w:rsidR="00F001BC" w:rsidRDefault="00F001BC" w:rsidP="005840B3">
            <w:pPr>
              <w:jc w:val="center"/>
              <w:rPr>
                <w:noProof/>
              </w:rPr>
            </w:pPr>
            <w:r>
              <w:rPr>
                <w:b/>
                <w:noProof/>
                <w:sz w:val="22"/>
              </w:rPr>
              <w:t>TOTAL appropriations</w:t>
            </w:r>
            <w:r>
              <w:rPr>
                <w:noProof/>
                <w:sz w:val="22"/>
              </w:rPr>
              <w:br/>
            </w:r>
            <w:r>
              <w:rPr>
                <w:b/>
                <w:noProof/>
                <w:sz w:val="22"/>
              </w:rPr>
              <w:t>for EMSA</w:t>
            </w:r>
          </w:p>
        </w:tc>
        <w:tc>
          <w:tcPr>
            <w:tcW w:w="1503" w:type="dxa"/>
            <w:vAlign w:val="center"/>
          </w:tcPr>
          <w:p w14:paraId="27D318B7" w14:textId="77777777" w:rsidR="00F001BC" w:rsidRDefault="00F001BC" w:rsidP="005840B3">
            <w:pPr>
              <w:rPr>
                <w:noProof/>
                <w:sz w:val="18"/>
              </w:rPr>
            </w:pPr>
            <w:r>
              <w:rPr>
                <w:noProof/>
                <w:sz w:val="18"/>
              </w:rPr>
              <w:t>Commitments</w:t>
            </w:r>
          </w:p>
        </w:tc>
        <w:tc>
          <w:tcPr>
            <w:tcW w:w="591" w:type="dxa"/>
            <w:vAlign w:val="center"/>
          </w:tcPr>
          <w:p w14:paraId="6867F1CE" w14:textId="77777777" w:rsidR="00F001BC" w:rsidRDefault="00F001BC" w:rsidP="005840B3">
            <w:pPr>
              <w:jc w:val="center"/>
              <w:rPr>
                <w:noProof/>
                <w:sz w:val="14"/>
              </w:rPr>
            </w:pPr>
            <w:r>
              <w:rPr>
                <w:noProof/>
                <w:sz w:val="14"/>
              </w:rPr>
              <w:t>=1+1a +3a</w:t>
            </w:r>
          </w:p>
        </w:tc>
        <w:tc>
          <w:tcPr>
            <w:tcW w:w="868" w:type="dxa"/>
          </w:tcPr>
          <w:p w14:paraId="76B4570E" w14:textId="77777777" w:rsidR="00F001BC" w:rsidRPr="009B3DE7" w:rsidRDefault="00F001BC" w:rsidP="0019719B">
            <w:pPr>
              <w:spacing w:before="20" w:after="20"/>
              <w:jc w:val="right"/>
              <w:rPr>
                <w:noProof/>
                <w:sz w:val="20"/>
              </w:rPr>
            </w:pPr>
            <w:r w:rsidRPr="00063C36">
              <w:rPr>
                <w:noProof/>
                <w:sz w:val="20"/>
              </w:rPr>
              <w:t>0</w:t>
            </w:r>
            <w:r>
              <w:rPr>
                <w:noProof/>
                <w:sz w:val="20"/>
              </w:rPr>
              <w:t>.</w:t>
            </w:r>
            <w:r w:rsidR="0019719B">
              <w:rPr>
                <w:noProof/>
                <w:sz w:val="20"/>
              </w:rPr>
              <w:t>239</w:t>
            </w:r>
          </w:p>
        </w:tc>
        <w:tc>
          <w:tcPr>
            <w:tcW w:w="868" w:type="dxa"/>
          </w:tcPr>
          <w:p w14:paraId="7F7CB183" w14:textId="77777777" w:rsidR="00F001BC" w:rsidRPr="009B3DE7" w:rsidRDefault="00F001BC" w:rsidP="005840B3">
            <w:pPr>
              <w:spacing w:before="20" w:after="20"/>
              <w:jc w:val="right"/>
              <w:rPr>
                <w:noProof/>
                <w:sz w:val="20"/>
              </w:rPr>
            </w:pPr>
            <w:r w:rsidRPr="00063C36">
              <w:rPr>
                <w:noProof/>
                <w:sz w:val="20"/>
              </w:rPr>
              <w:t>0</w:t>
            </w:r>
            <w:r>
              <w:rPr>
                <w:noProof/>
                <w:sz w:val="20"/>
              </w:rPr>
              <w:t>.</w:t>
            </w:r>
            <w:r w:rsidRPr="00063C36">
              <w:rPr>
                <w:noProof/>
                <w:sz w:val="20"/>
              </w:rPr>
              <w:t>821</w:t>
            </w:r>
          </w:p>
        </w:tc>
        <w:tc>
          <w:tcPr>
            <w:tcW w:w="868" w:type="dxa"/>
          </w:tcPr>
          <w:p w14:paraId="6DB2F17D" w14:textId="77777777" w:rsidR="00F001BC" w:rsidRPr="009B3DE7" w:rsidRDefault="00F001BC" w:rsidP="005840B3">
            <w:pPr>
              <w:spacing w:before="20" w:after="20"/>
              <w:jc w:val="right"/>
              <w:rPr>
                <w:noProof/>
                <w:sz w:val="20"/>
              </w:rPr>
            </w:pPr>
            <w:r w:rsidRPr="00063C36">
              <w:rPr>
                <w:noProof/>
                <w:sz w:val="20"/>
              </w:rPr>
              <w:t>0</w:t>
            </w:r>
            <w:r>
              <w:rPr>
                <w:noProof/>
                <w:sz w:val="20"/>
              </w:rPr>
              <w:t>.</w:t>
            </w:r>
            <w:r w:rsidRPr="00063C36">
              <w:rPr>
                <w:noProof/>
                <w:sz w:val="20"/>
              </w:rPr>
              <w:t>846</w:t>
            </w:r>
          </w:p>
        </w:tc>
        <w:tc>
          <w:tcPr>
            <w:tcW w:w="1200" w:type="dxa"/>
          </w:tcPr>
          <w:p w14:paraId="04E72ED7" w14:textId="77777777" w:rsidR="00F001BC" w:rsidRPr="009B3DE7" w:rsidRDefault="00F001BC" w:rsidP="005840B3">
            <w:pPr>
              <w:spacing w:before="20" w:after="20"/>
              <w:jc w:val="right"/>
              <w:rPr>
                <w:noProof/>
                <w:sz w:val="20"/>
              </w:rPr>
            </w:pPr>
            <w:r w:rsidRPr="00063C36">
              <w:rPr>
                <w:noProof/>
                <w:sz w:val="20"/>
              </w:rPr>
              <w:t>4</w:t>
            </w:r>
            <w:r>
              <w:rPr>
                <w:noProof/>
                <w:sz w:val="20"/>
              </w:rPr>
              <w:t>.</w:t>
            </w:r>
            <w:r w:rsidRPr="00063C36">
              <w:rPr>
                <w:noProof/>
                <w:sz w:val="20"/>
              </w:rPr>
              <w:t>172</w:t>
            </w:r>
          </w:p>
        </w:tc>
        <w:tc>
          <w:tcPr>
            <w:tcW w:w="1445" w:type="dxa"/>
          </w:tcPr>
          <w:p w14:paraId="33FCAD45" w14:textId="77777777" w:rsidR="00F001BC" w:rsidRPr="009B3DE7" w:rsidRDefault="00F001BC" w:rsidP="0019719B">
            <w:pPr>
              <w:spacing w:before="20" w:after="20"/>
              <w:jc w:val="right"/>
              <w:rPr>
                <w:b/>
                <w:noProof/>
                <w:sz w:val="20"/>
              </w:rPr>
            </w:pPr>
            <w:r w:rsidRPr="00063C36">
              <w:rPr>
                <w:b/>
                <w:noProof/>
                <w:sz w:val="20"/>
              </w:rPr>
              <w:t>6</w:t>
            </w:r>
            <w:r>
              <w:rPr>
                <w:b/>
                <w:noProof/>
                <w:sz w:val="20"/>
              </w:rPr>
              <w:t>.</w:t>
            </w:r>
            <w:r w:rsidR="0019719B">
              <w:rPr>
                <w:b/>
                <w:noProof/>
                <w:sz w:val="20"/>
              </w:rPr>
              <w:t>078</w:t>
            </w:r>
          </w:p>
        </w:tc>
      </w:tr>
      <w:tr w:rsidR="00F001BC" w14:paraId="5FDE602D" w14:textId="77777777" w:rsidTr="005840B3">
        <w:tc>
          <w:tcPr>
            <w:tcW w:w="3742" w:type="dxa"/>
            <w:vMerge/>
            <w:vAlign w:val="center"/>
          </w:tcPr>
          <w:p w14:paraId="548DF2CE" w14:textId="77777777" w:rsidR="00F001BC" w:rsidRDefault="00F001BC" w:rsidP="005840B3">
            <w:pPr>
              <w:rPr>
                <w:b/>
                <w:noProof/>
              </w:rPr>
            </w:pPr>
          </w:p>
        </w:tc>
        <w:tc>
          <w:tcPr>
            <w:tcW w:w="1503" w:type="dxa"/>
            <w:vAlign w:val="center"/>
          </w:tcPr>
          <w:p w14:paraId="64A8AB37" w14:textId="77777777" w:rsidR="00F001BC" w:rsidRDefault="00F001BC" w:rsidP="005840B3">
            <w:pPr>
              <w:rPr>
                <w:noProof/>
                <w:sz w:val="18"/>
              </w:rPr>
            </w:pPr>
            <w:r>
              <w:rPr>
                <w:noProof/>
                <w:sz w:val="18"/>
              </w:rPr>
              <w:t>Payments</w:t>
            </w:r>
          </w:p>
        </w:tc>
        <w:tc>
          <w:tcPr>
            <w:tcW w:w="591" w:type="dxa"/>
            <w:vAlign w:val="center"/>
          </w:tcPr>
          <w:p w14:paraId="35BD49C7" w14:textId="77777777" w:rsidR="00F001BC" w:rsidRDefault="00F001BC" w:rsidP="005840B3">
            <w:pPr>
              <w:jc w:val="center"/>
              <w:rPr>
                <w:noProof/>
                <w:sz w:val="14"/>
              </w:rPr>
            </w:pPr>
            <w:r>
              <w:rPr>
                <w:noProof/>
                <w:sz w:val="14"/>
              </w:rPr>
              <w:t>=2+2a</w:t>
            </w:r>
          </w:p>
          <w:p w14:paraId="39C4273E" w14:textId="77777777" w:rsidR="00F001BC" w:rsidRDefault="00F001BC" w:rsidP="005840B3">
            <w:pPr>
              <w:jc w:val="center"/>
              <w:rPr>
                <w:noProof/>
                <w:sz w:val="14"/>
              </w:rPr>
            </w:pPr>
            <w:r>
              <w:rPr>
                <w:noProof/>
                <w:sz w:val="14"/>
              </w:rPr>
              <w:t>+3b</w:t>
            </w:r>
          </w:p>
        </w:tc>
        <w:tc>
          <w:tcPr>
            <w:tcW w:w="868" w:type="dxa"/>
          </w:tcPr>
          <w:p w14:paraId="35224818" w14:textId="77777777" w:rsidR="00F001BC" w:rsidRDefault="00F001BC" w:rsidP="0019719B">
            <w:pPr>
              <w:spacing w:before="20" w:after="20"/>
              <w:jc w:val="right"/>
              <w:rPr>
                <w:noProof/>
                <w:sz w:val="20"/>
              </w:rPr>
            </w:pPr>
            <w:r w:rsidRPr="00407155">
              <w:rPr>
                <w:noProof/>
                <w:sz w:val="20"/>
              </w:rPr>
              <w:t>0</w:t>
            </w:r>
            <w:r>
              <w:rPr>
                <w:noProof/>
                <w:sz w:val="20"/>
              </w:rPr>
              <w:t>.</w:t>
            </w:r>
            <w:r w:rsidR="0019719B">
              <w:rPr>
                <w:noProof/>
                <w:sz w:val="20"/>
              </w:rPr>
              <w:t>239</w:t>
            </w:r>
          </w:p>
        </w:tc>
        <w:tc>
          <w:tcPr>
            <w:tcW w:w="868" w:type="dxa"/>
          </w:tcPr>
          <w:p w14:paraId="7F34A100" w14:textId="77777777" w:rsidR="00F001BC" w:rsidRDefault="00F001BC" w:rsidP="005840B3">
            <w:pPr>
              <w:spacing w:before="20" w:after="20"/>
              <w:jc w:val="right"/>
              <w:rPr>
                <w:noProof/>
                <w:sz w:val="20"/>
              </w:rPr>
            </w:pPr>
            <w:r w:rsidRPr="00407155">
              <w:rPr>
                <w:noProof/>
                <w:sz w:val="20"/>
              </w:rPr>
              <w:t>0</w:t>
            </w:r>
            <w:r>
              <w:rPr>
                <w:noProof/>
                <w:sz w:val="20"/>
              </w:rPr>
              <w:t>.</w:t>
            </w:r>
            <w:r w:rsidRPr="00407155">
              <w:rPr>
                <w:noProof/>
                <w:sz w:val="20"/>
              </w:rPr>
              <w:t>821</w:t>
            </w:r>
          </w:p>
        </w:tc>
        <w:tc>
          <w:tcPr>
            <w:tcW w:w="868" w:type="dxa"/>
          </w:tcPr>
          <w:p w14:paraId="21116680" w14:textId="77777777" w:rsidR="00F001BC" w:rsidRDefault="00F001BC" w:rsidP="005840B3">
            <w:pPr>
              <w:spacing w:before="20" w:after="20"/>
              <w:jc w:val="right"/>
              <w:rPr>
                <w:noProof/>
                <w:sz w:val="20"/>
              </w:rPr>
            </w:pPr>
            <w:r w:rsidRPr="00407155">
              <w:rPr>
                <w:noProof/>
                <w:sz w:val="20"/>
              </w:rPr>
              <w:t>0</w:t>
            </w:r>
            <w:r>
              <w:rPr>
                <w:noProof/>
                <w:sz w:val="20"/>
              </w:rPr>
              <w:t>.</w:t>
            </w:r>
            <w:r w:rsidRPr="00407155">
              <w:rPr>
                <w:noProof/>
                <w:sz w:val="20"/>
              </w:rPr>
              <w:t>846</w:t>
            </w:r>
          </w:p>
        </w:tc>
        <w:tc>
          <w:tcPr>
            <w:tcW w:w="1200" w:type="dxa"/>
          </w:tcPr>
          <w:p w14:paraId="33960CC0" w14:textId="77777777" w:rsidR="00F001BC" w:rsidRDefault="00F001BC" w:rsidP="005840B3">
            <w:pPr>
              <w:spacing w:before="20" w:after="20"/>
              <w:jc w:val="right"/>
              <w:rPr>
                <w:noProof/>
                <w:sz w:val="20"/>
              </w:rPr>
            </w:pPr>
            <w:r w:rsidRPr="00407155">
              <w:rPr>
                <w:noProof/>
                <w:sz w:val="20"/>
              </w:rPr>
              <w:t>4</w:t>
            </w:r>
            <w:r>
              <w:rPr>
                <w:noProof/>
                <w:sz w:val="20"/>
              </w:rPr>
              <w:t>.</w:t>
            </w:r>
            <w:r w:rsidRPr="00407155">
              <w:rPr>
                <w:noProof/>
                <w:sz w:val="20"/>
              </w:rPr>
              <w:t>172</w:t>
            </w:r>
          </w:p>
        </w:tc>
        <w:tc>
          <w:tcPr>
            <w:tcW w:w="1445" w:type="dxa"/>
          </w:tcPr>
          <w:p w14:paraId="1E73E9D5" w14:textId="77777777" w:rsidR="00F001BC" w:rsidRDefault="00F001BC" w:rsidP="0019719B">
            <w:pPr>
              <w:spacing w:before="20" w:after="20"/>
              <w:jc w:val="right"/>
              <w:rPr>
                <w:b/>
                <w:noProof/>
                <w:sz w:val="20"/>
              </w:rPr>
            </w:pPr>
            <w:r w:rsidRPr="00407155">
              <w:rPr>
                <w:b/>
                <w:noProof/>
                <w:sz w:val="20"/>
              </w:rPr>
              <w:t>6</w:t>
            </w:r>
            <w:r>
              <w:rPr>
                <w:b/>
                <w:noProof/>
                <w:sz w:val="20"/>
              </w:rPr>
              <w:t>.</w:t>
            </w:r>
            <w:r w:rsidR="0019719B">
              <w:rPr>
                <w:b/>
                <w:noProof/>
                <w:sz w:val="20"/>
              </w:rPr>
              <w:t>078</w:t>
            </w:r>
          </w:p>
        </w:tc>
      </w:tr>
    </w:tbl>
    <w:p w14:paraId="711C8958" w14:textId="77777777" w:rsidR="00F001BC" w:rsidRDefault="00F001BC" w:rsidP="00F001BC">
      <w:pPr>
        <w:rPr>
          <w:noProof/>
        </w:rPr>
      </w:pPr>
      <w:r>
        <w:rPr>
          <w:noProof/>
        </w:rPr>
        <w:br/>
      </w:r>
      <w:r w:rsidR="001E1EB3" w:rsidRPr="001E1EB3">
        <w:rPr>
          <w:noProof/>
        </w:rPr>
        <w:t>The budget impact beyond the current MFF is an indicative overview, without prejudice to the future MFF Agreement.</w:t>
      </w:r>
      <w:r>
        <w:rPr>
          <w:noProof/>
        </w:rPr>
        <w:br/>
      </w:r>
    </w:p>
    <w:p w14:paraId="6ECDDD7E" w14:textId="77777777" w:rsidR="00F001BC" w:rsidRDefault="00F001BC" w:rsidP="00F001BC">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001BC" w14:paraId="12A70D1D" w14:textId="77777777" w:rsidTr="005840B3">
        <w:trPr>
          <w:jc w:val="center"/>
        </w:trPr>
        <w:tc>
          <w:tcPr>
            <w:tcW w:w="4744" w:type="dxa"/>
            <w:shd w:val="thinDiagStripe" w:color="C0C0C0" w:fill="auto"/>
            <w:vAlign w:val="center"/>
          </w:tcPr>
          <w:p w14:paraId="6AB71399" w14:textId="77777777" w:rsidR="00F001BC" w:rsidRDefault="00F001BC" w:rsidP="005840B3">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14:paraId="0C77B2EC" w14:textId="77777777" w:rsidR="00F001BC" w:rsidRPr="005828C6" w:rsidRDefault="00F001BC" w:rsidP="005840B3">
            <w:pPr>
              <w:spacing w:before="60" w:after="60"/>
              <w:jc w:val="center"/>
              <w:rPr>
                <w:noProof/>
              </w:rPr>
            </w:pPr>
            <w:r>
              <w:rPr>
                <w:b/>
                <w:noProof/>
                <w:sz w:val="22"/>
              </w:rPr>
              <w:t>7</w:t>
            </w:r>
          </w:p>
        </w:tc>
        <w:tc>
          <w:tcPr>
            <w:tcW w:w="7817" w:type="dxa"/>
            <w:vAlign w:val="center"/>
          </w:tcPr>
          <w:p w14:paraId="6717AF25" w14:textId="77777777" w:rsidR="00F001BC" w:rsidRDefault="00F001BC" w:rsidP="005840B3">
            <w:pPr>
              <w:spacing w:before="60" w:after="60"/>
              <w:rPr>
                <w:noProof/>
              </w:rPr>
            </w:pPr>
            <w:r>
              <w:rPr>
                <w:noProof/>
                <w:sz w:val="22"/>
              </w:rPr>
              <w:t>‘Administrative expenditure’</w:t>
            </w:r>
          </w:p>
        </w:tc>
      </w:tr>
    </w:tbl>
    <w:p w14:paraId="2DAECFE0" w14:textId="77777777" w:rsidR="00F001BC" w:rsidRDefault="00F001BC" w:rsidP="00F001BC">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F001BC" w14:paraId="51315BF5" w14:textId="77777777" w:rsidTr="005840B3">
        <w:tc>
          <w:tcPr>
            <w:tcW w:w="3960" w:type="dxa"/>
            <w:tcBorders>
              <w:top w:val="nil"/>
              <w:left w:val="nil"/>
              <w:right w:val="nil"/>
            </w:tcBorders>
            <w:vAlign w:val="center"/>
          </w:tcPr>
          <w:p w14:paraId="2669A303" w14:textId="77777777" w:rsidR="00F001BC" w:rsidRDefault="00F001BC" w:rsidP="005840B3">
            <w:pPr>
              <w:jc w:val="center"/>
              <w:rPr>
                <w:noProof/>
              </w:rPr>
            </w:pPr>
          </w:p>
        </w:tc>
        <w:tc>
          <w:tcPr>
            <w:tcW w:w="1560" w:type="dxa"/>
            <w:tcBorders>
              <w:top w:val="nil"/>
              <w:left w:val="nil"/>
              <w:right w:val="nil"/>
            </w:tcBorders>
          </w:tcPr>
          <w:p w14:paraId="3D9F6D60" w14:textId="77777777" w:rsidR="00F001BC" w:rsidRDefault="00F001BC" w:rsidP="005840B3">
            <w:pPr>
              <w:rPr>
                <w:noProof/>
                <w:sz w:val="20"/>
              </w:rPr>
            </w:pPr>
          </w:p>
        </w:tc>
        <w:tc>
          <w:tcPr>
            <w:tcW w:w="534" w:type="dxa"/>
            <w:tcBorders>
              <w:top w:val="nil"/>
              <w:left w:val="nil"/>
            </w:tcBorders>
          </w:tcPr>
          <w:p w14:paraId="2833DA10" w14:textId="77777777" w:rsidR="00F001BC" w:rsidRDefault="00F001BC" w:rsidP="005840B3">
            <w:pPr>
              <w:jc w:val="center"/>
              <w:rPr>
                <w:noProof/>
                <w:sz w:val="20"/>
              </w:rPr>
            </w:pPr>
          </w:p>
        </w:tc>
        <w:tc>
          <w:tcPr>
            <w:tcW w:w="868" w:type="dxa"/>
            <w:vAlign w:val="center"/>
          </w:tcPr>
          <w:p w14:paraId="684157A6" w14:textId="77777777" w:rsidR="00F001BC" w:rsidRDefault="00F001BC" w:rsidP="005840B3">
            <w:pPr>
              <w:jc w:val="center"/>
              <w:rPr>
                <w:noProof/>
                <w:sz w:val="20"/>
              </w:rPr>
            </w:pPr>
            <w:r>
              <w:rPr>
                <w:noProof/>
                <w:sz w:val="20"/>
              </w:rPr>
              <w:t>Year</w:t>
            </w:r>
            <w:r>
              <w:rPr>
                <w:noProof/>
                <w:sz w:val="22"/>
              </w:rPr>
              <w:br/>
            </w:r>
            <w:r>
              <w:rPr>
                <w:b/>
                <w:noProof/>
                <w:sz w:val="20"/>
              </w:rPr>
              <w:t>N</w:t>
            </w:r>
          </w:p>
        </w:tc>
        <w:tc>
          <w:tcPr>
            <w:tcW w:w="868" w:type="dxa"/>
            <w:vAlign w:val="center"/>
          </w:tcPr>
          <w:p w14:paraId="2DCC7238" w14:textId="77777777" w:rsidR="00F001BC" w:rsidRDefault="00F001BC" w:rsidP="005840B3">
            <w:pPr>
              <w:jc w:val="center"/>
              <w:rPr>
                <w:noProof/>
                <w:sz w:val="20"/>
              </w:rPr>
            </w:pPr>
            <w:r>
              <w:rPr>
                <w:noProof/>
                <w:sz w:val="20"/>
              </w:rPr>
              <w:t>Year</w:t>
            </w:r>
            <w:r>
              <w:rPr>
                <w:noProof/>
                <w:sz w:val="22"/>
              </w:rPr>
              <w:br/>
            </w:r>
            <w:r>
              <w:rPr>
                <w:b/>
                <w:noProof/>
                <w:sz w:val="20"/>
              </w:rPr>
              <w:t>N+1</w:t>
            </w:r>
          </w:p>
        </w:tc>
        <w:tc>
          <w:tcPr>
            <w:tcW w:w="868" w:type="dxa"/>
            <w:vAlign w:val="center"/>
          </w:tcPr>
          <w:p w14:paraId="17468BF0" w14:textId="77777777" w:rsidR="00F001BC" w:rsidRDefault="00F001BC" w:rsidP="005840B3">
            <w:pPr>
              <w:jc w:val="center"/>
              <w:rPr>
                <w:noProof/>
                <w:sz w:val="20"/>
              </w:rPr>
            </w:pPr>
            <w:r>
              <w:rPr>
                <w:noProof/>
                <w:sz w:val="20"/>
              </w:rPr>
              <w:t>Year</w:t>
            </w:r>
            <w:r>
              <w:rPr>
                <w:noProof/>
                <w:sz w:val="22"/>
              </w:rPr>
              <w:br/>
            </w:r>
            <w:r>
              <w:rPr>
                <w:b/>
                <w:noProof/>
                <w:sz w:val="20"/>
              </w:rPr>
              <w:t>N+2</w:t>
            </w:r>
          </w:p>
        </w:tc>
        <w:tc>
          <w:tcPr>
            <w:tcW w:w="868" w:type="dxa"/>
            <w:vAlign w:val="center"/>
          </w:tcPr>
          <w:p w14:paraId="08733581" w14:textId="77777777" w:rsidR="00F001BC" w:rsidRDefault="00F001BC" w:rsidP="005840B3">
            <w:pPr>
              <w:jc w:val="center"/>
              <w:rPr>
                <w:noProof/>
                <w:sz w:val="20"/>
              </w:rPr>
            </w:pPr>
            <w:r>
              <w:rPr>
                <w:noProof/>
                <w:sz w:val="20"/>
              </w:rPr>
              <w:t>Year</w:t>
            </w:r>
            <w:r>
              <w:rPr>
                <w:noProof/>
                <w:sz w:val="22"/>
              </w:rPr>
              <w:br/>
            </w:r>
            <w:r>
              <w:rPr>
                <w:b/>
                <w:noProof/>
                <w:sz w:val="20"/>
              </w:rPr>
              <w:t>N+3</w:t>
            </w:r>
          </w:p>
        </w:tc>
        <w:tc>
          <w:tcPr>
            <w:tcW w:w="2604" w:type="dxa"/>
            <w:gridSpan w:val="3"/>
            <w:vAlign w:val="center"/>
          </w:tcPr>
          <w:p w14:paraId="46D85BFF" w14:textId="77777777" w:rsidR="00F001BC" w:rsidRDefault="00F001BC" w:rsidP="005840B3">
            <w:pPr>
              <w:jc w:val="center"/>
              <w:rPr>
                <w:b/>
                <w:noProof/>
                <w:sz w:val="18"/>
              </w:rPr>
            </w:pPr>
            <w:r>
              <w:rPr>
                <w:noProof/>
                <w:sz w:val="18"/>
              </w:rPr>
              <w:t xml:space="preserve">Enter as many years as necessary to show the duration of the impact (see point 1.6) </w:t>
            </w:r>
          </w:p>
        </w:tc>
        <w:tc>
          <w:tcPr>
            <w:tcW w:w="1777" w:type="dxa"/>
            <w:vAlign w:val="center"/>
          </w:tcPr>
          <w:p w14:paraId="754E2012" w14:textId="77777777" w:rsidR="00F001BC" w:rsidRDefault="00F001BC" w:rsidP="005840B3">
            <w:pPr>
              <w:jc w:val="center"/>
              <w:rPr>
                <w:b/>
                <w:noProof/>
                <w:sz w:val="20"/>
              </w:rPr>
            </w:pPr>
            <w:r>
              <w:rPr>
                <w:b/>
                <w:noProof/>
                <w:sz w:val="20"/>
              </w:rPr>
              <w:t>TOTAL</w:t>
            </w:r>
          </w:p>
        </w:tc>
      </w:tr>
      <w:tr w:rsidR="00F001BC" w14:paraId="6D416A58" w14:textId="77777777" w:rsidTr="005840B3">
        <w:trPr>
          <w:gridAfter w:val="10"/>
          <w:wAfter w:w="9947" w:type="dxa"/>
        </w:trPr>
        <w:tc>
          <w:tcPr>
            <w:tcW w:w="3960" w:type="dxa"/>
            <w:vAlign w:val="center"/>
          </w:tcPr>
          <w:p w14:paraId="6DA1A4F0" w14:textId="77777777" w:rsidR="00F001BC" w:rsidRDefault="00F001BC" w:rsidP="005840B3">
            <w:pPr>
              <w:spacing w:before="60" w:after="60"/>
              <w:jc w:val="center"/>
              <w:rPr>
                <w:noProof/>
              </w:rPr>
            </w:pPr>
            <w:r>
              <w:rPr>
                <w:noProof/>
                <w:sz w:val="22"/>
              </w:rPr>
              <w:t xml:space="preserve">DG: </w:t>
            </w:r>
            <w:r w:rsidRPr="005828C6">
              <w:rPr>
                <w:noProof/>
              </w:rPr>
              <w:t>&lt;…….&gt;</w:t>
            </w:r>
          </w:p>
        </w:tc>
      </w:tr>
      <w:tr w:rsidR="00F001BC" w14:paraId="4EB76896" w14:textId="77777777" w:rsidTr="005840B3">
        <w:trPr>
          <w:trHeight w:val="313"/>
        </w:trPr>
        <w:tc>
          <w:tcPr>
            <w:tcW w:w="6054" w:type="dxa"/>
            <w:gridSpan w:val="3"/>
            <w:vAlign w:val="center"/>
          </w:tcPr>
          <w:p w14:paraId="0199A630" w14:textId="77777777" w:rsidR="00F001BC" w:rsidRDefault="00F001BC" w:rsidP="005840B3">
            <w:pPr>
              <w:spacing w:before="20" w:after="20"/>
              <w:rPr>
                <w:noProof/>
              </w:rPr>
            </w:pPr>
            <w:r>
              <w:rPr>
                <w:noProof/>
                <w:sz w:val="22"/>
              </w:rPr>
              <w:sym w:font="Wingdings" w:char="F09F"/>
            </w:r>
            <w:r>
              <w:rPr>
                <w:noProof/>
                <w:sz w:val="22"/>
              </w:rPr>
              <w:t xml:space="preserve"> Human Resources </w:t>
            </w:r>
          </w:p>
        </w:tc>
        <w:tc>
          <w:tcPr>
            <w:tcW w:w="868" w:type="dxa"/>
            <w:vAlign w:val="center"/>
          </w:tcPr>
          <w:p w14:paraId="7E89286B" w14:textId="77777777" w:rsidR="00F001BC" w:rsidRDefault="00F001BC" w:rsidP="005840B3">
            <w:pPr>
              <w:spacing w:before="20" w:after="20"/>
              <w:jc w:val="right"/>
              <w:rPr>
                <w:noProof/>
                <w:sz w:val="20"/>
              </w:rPr>
            </w:pPr>
          </w:p>
        </w:tc>
        <w:tc>
          <w:tcPr>
            <w:tcW w:w="868" w:type="dxa"/>
            <w:vAlign w:val="center"/>
          </w:tcPr>
          <w:p w14:paraId="6EE09EC9" w14:textId="77777777" w:rsidR="00F001BC" w:rsidRDefault="00F001BC" w:rsidP="005840B3">
            <w:pPr>
              <w:spacing w:before="20" w:after="20"/>
              <w:jc w:val="right"/>
              <w:rPr>
                <w:noProof/>
                <w:sz w:val="20"/>
              </w:rPr>
            </w:pPr>
          </w:p>
        </w:tc>
        <w:tc>
          <w:tcPr>
            <w:tcW w:w="868" w:type="dxa"/>
            <w:vAlign w:val="center"/>
          </w:tcPr>
          <w:p w14:paraId="3A386B72" w14:textId="77777777" w:rsidR="00F001BC" w:rsidRDefault="00F001BC" w:rsidP="005840B3">
            <w:pPr>
              <w:spacing w:before="20" w:after="20"/>
              <w:jc w:val="right"/>
              <w:rPr>
                <w:noProof/>
                <w:sz w:val="20"/>
              </w:rPr>
            </w:pPr>
          </w:p>
        </w:tc>
        <w:tc>
          <w:tcPr>
            <w:tcW w:w="868" w:type="dxa"/>
            <w:vAlign w:val="center"/>
          </w:tcPr>
          <w:p w14:paraId="217ED9F2" w14:textId="77777777" w:rsidR="00F001BC" w:rsidRDefault="00F001BC" w:rsidP="005840B3">
            <w:pPr>
              <w:spacing w:before="20" w:after="20"/>
              <w:jc w:val="right"/>
              <w:rPr>
                <w:noProof/>
                <w:sz w:val="20"/>
              </w:rPr>
            </w:pPr>
          </w:p>
        </w:tc>
        <w:tc>
          <w:tcPr>
            <w:tcW w:w="868" w:type="dxa"/>
            <w:vAlign w:val="center"/>
          </w:tcPr>
          <w:p w14:paraId="1A7BD11D" w14:textId="77777777" w:rsidR="00F001BC" w:rsidRDefault="00F001BC" w:rsidP="005840B3">
            <w:pPr>
              <w:spacing w:before="20" w:after="20"/>
              <w:jc w:val="right"/>
              <w:rPr>
                <w:noProof/>
                <w:sz w:val="20"/>
              </w:rPr>
            </w:pPr>
          </w:p>
        </w:tc>
        <w:tc>
          <w:tcPr>
            <w:tcW w:w="868" w:type="dxa"/>
            <w:vAlign w:val="center"/>
          </w:tcPr>
          <w:p w14:paraId="1B1201DB" w14:textId="77777777" w:rsidR="00F001BC" w:rsidRDefault="00F001BC" w:rsidP="005840B3">
            <w:pPr>
              <w:spacing w:before="20" w:after="20"/>
              <w:jc w:val="right"/>
              <w:rPr>
                <w:noProof/>
                <w:sz w:val="20"/>
              </w:rPr>
            </w:pPr>
          </w:p>
        </w:tc>
        <w:tc>
          <w:tcPr>
            <w:tcW w:w="868" w:type="dxa"/>
            <w:vAlign w:val="center"/>
          </w:tcPr>
          <w:p w14:paraId="1CDDEA81" w14:textId="77777777" w:rsidR="00F001BC" w:rsidRDefault="00F001BC" w:rsidP="005840B3">
            <w:pPr>
              <w:spacing w:before="20" w:after="20"/>
              <w:jc w:val="right"/>
              <w:rPr>
                <w:b/>
                <w:noProof/>
                <w:sz w:val="20"/>
              </w:rPr>
            </w:pPr>
          </w:p>
        </w:tc>
        <w:tc>
          <w:tcPr>
            <w:tcW w:w="1777" w:type="dxa"/>
            <w:vAlign w:val="center"/>
          </w:tcPr>
          <w:p w14:paraId="087A1655" w14:textId="77777777" w:rsidR="00F001BC" w:rsidRDefault="00F001BC" w:rsidP="005840B3">
            <w:pPr>
              <w:spacing w:before="20" w:after="20"/>
              <w:jc w:val="right"/>
              <w:rPr>
                <w:b/>
                <w:noProof/>
                <w:sz w:val="20"/>
              </w:rPr>
            </w:pPr>
          </w:p>
        </w:tc>
      </w:tr>
      <w:tr w:rsidR="00F001BC" w14:paraId="5ED865F7" w14:textId="77777777" w:rsidTr="005840B3">
        <w:trPr>
          <w:trHeight w:val="351"/>
        </w:trPr>
        <w:tc>
          <w:tcPr>
            <w:tcW w:w="6054" w:type="dxa"/>
            <w:gridSpan w:val="3"/>
            <w:vAlign w:val="center"/>
          </w:tcPr>
          <w:p w14:paraId="6D3414B0" w14:textId="77777777" w:rsidR="00F001BC" w:rsidRDefault="00F001BC" w:rsidP="005840B3">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14:paraId="020A87BF" w14:textId="77777777" w:rsidR="00F001BC" w:rsidRDefault="00F001BC" w:rsidP="005840B3">
            <w:pPr>
              <w:spacing w:before="20" w:after="20"/>
              <w:jc w:val="right"/>
              <w:rPr>
                <w:b/>
                <w:noProof/>
                <w:sz w:val="20"/>
              </w:rPr>
            </w:pPr>
          </w:p>
        </w:tc>
        <w:tc>
          <w:tcPr>
            <w:tcW w:w="868" w:type="dxa"/>
            <w:vAlign w:val="center"/>
          </w:tcPr>
          <w:p w14:paraId="69065BC3" w14:textId="77777777" w:rsidR="00F001BC" w:rsidRDefault="00F001BC" w:rsidP="005840B3">
            <w:pPr>
              <w:spacing w:before="20" w:after="20"/>
              <w:jc w:val="right"/>
              <w:rPr>
                <w:b/>
                <w:noProof/>
                <w:sz w:val="20"/>
              </w:rPr>
            </w:pPr>
          </w:p>
        </w:tc>
        <w:tc>
          <w:tcPr>
            <w:tcW w:w="868" w:type="dxa"/>
            <w:vAlign w:val="center"/>
          </w:tcPr>
          <w:p w14:paraId="33FB3C95" w14:textId="77777777" w:rsidR="00F001BC" w:rsidRDefault="00F001BC" w:rsidP="005840B3">
            <w:pPr>
              <w:spacing w:before="20" w:after="20"/>
              <w:jc w:val="right"/>
              <w:rPr>
                <w:b/>
                <w:noProof/>
                <w:sz w:val="20"/>
              </w:rPr>
            </w:pPr>
          </w:p>
        </w:tc>
        <w:tc>
          <w:tcPr>
            <w:tcW w:w="868" w:type="dxa"/>
            <w:vAlign w:val="center"/>
          </w:tcPr>
          <w:p w14:paraId="484FEA75" w14:textId="77777777" w:rsidR="00F001BC" w:rsidRDefault="00F001BC" w:rsidP="005840B3">
            <w:pPr>
              <w:spacing w:before="20" w:after="20"/>
              <w:jc w:val="right"/>
              <w:rPr>
                <w:b/>
                <w:noProof/>
                <w:sz w:val="20"/>
              </w:rPr>
            </w:pPr>
          </w:p>
        </w:tc>
        <w:tc>
          <w:tcPr>
            <w:tcW w:w="868" w:type="dxa"/>
            <w:vAlign w:val="center"/>
          </w:tcPr>
          <w:p w14:paraId="3CE26B89" w14:textId="77777777" w:rsidR="00F001BC" w:rsidRDefault="00F001BC" w:rsidP="005840B3">
            <w:pPr>
              <w:spacing w:before="20" w:after="20"/>
              <w:jc w:val="right"/>
              <w:rPr>
                <w:b/>
                <w:noProof/>
                <w:sz w:val="20"/>
              </w:rPr>
            </w:pPr>
          </w:p>
        </w:tc>
        <w:tc>
          <w:tcPr>
            <w:tcW w:w="868" w:type="dxa"/>
            <w:vAlign w:val="center"/>
          </w:tcPr>
          <w:p w14:paraId="55444939" w14:textId="77777777" w:rsidR="00F001BC" w:rsidRDefault="00F001BC" w:rsidP="005840B3">
            <w:pPr>
              <w:spacing w:before="20" w:after="20"/>
              <w:jc w:val="right"/>
              <w:rPr>
                <w:b/>
                <w:noProof/>
                <w:sz w:val="20"/>
              </w:rPr>
            </w:pPr>
          </w:p>
        </w:tc>
        <w:tc>
          <w:tcPr>
            <w:tcW w:w="868" w:type="dxa"/>
            <w:vAlign w:val="center"/>
          </w:tcPr>
          <w:p w14:paraId="37BA0379" w14:textId="77777777" w:rsidR="00F001BC" w:rsidRDefault="00F001BC" w:rsidP="005840B3">
            <w:pPr>
              <w:spacing w:before="20" w:after="20"/>
              <w:jc w:val="right"/>
              <w:rPr>
                <w:b/>
                <w:noProof/>
                <w:sz w:val="20"/>
              </w:rPr>
            </w:pPr>
          </w:p>
        </w:tc>
        <w:tc>
          <w:tcPr>
            <w:tcW w:w="1777" w:type="dxa"/>
            <w:vAlign w:val="center"/>
          </w:tcPr>
          <w:p w14:paraId="762404C8" w14:textId="77777777" w:rsidR="00F001BC" w:rsidRDefault="00F001BC" w:rsidP="005840B3">
            <w:pPr>
              <w:spacing w:before="20" w:after="20"/>
              <w:jc w:val="right"/>
              <w:rPr>
                <w:b/>
                <w:noProof/>
                <w:sz w:val="20"/>
              </w:rPr>
            </w:pPr>
          </w:p>
        </w:tc>
      </w:tr>
      <w:tr w:rsidR="00F001BC" w14:paraId="3044C742" w14:textId="77777777" w:rsidTr="005840B3">
        <w:tc>
          <w:tcPr>
            <w:tcW w:w="3960" w:type="dxa"/>
            <w:vAlign w:val="center"/>
          </w:tcPr>
          <w:p w14:paraId="2ECC9191" w14:textId="77777777" w:rsidR="00F001BC" w:rsidRDefault="00F001BC" w:rsidP="005840B3">
            <w:pPr>
              <w:jc w:val="center"/>
              <w:rPr>
                <w:b/>
                <w:noProof/>
              </w:rPr>
            </w:pPr>
            <w:r>
              <w:rPr>
                <w:b/>
                <w:noProof/>
                <w:sz w:val="22"/>
              </w:rPr>
              <w:t xml:space="preserve">TOTAL DG </w:t>
            </w:r>
            <w:r w:rsidRPr="005828C6">
              <w:rPr>
                <w:noProof/>
              </w:rPr>
              <w:t>&lt;…….&gt;</w:t>
            </w:r>
          </w:p>
        </w:tc>
        <w:tc>
          <w:tcPr>
            <w:tcW w:w="2094" w:type="dxa"/>
            <w:gridSpan w:val="2"/>
            <w:vAlign w:val="center"/>
          </w:tcPr>
          <w:p w14:paraId="78F94389" w14:textId="77777777" w:rsidR="00F001BC" w:rsidRDefault="00F001BC" w:rsidP="005840B3">
            <w:pPr>
              <w:rPr>
                <w:noProof/>
                <w:sz w:val="14"/>
              </w:rPr>
            </w:pPr>
            <w:r>
              <w:rPr>
                <w:noProof/>
                <w:sz w:val="18"/>
              </w:rPr>
              <w:t xml:space="preserve">Appropriations </w:t>
            </w:r>
          </w:p>
        </w:tc>
        <w:tc>
          <w:tcPr>
            <w:tcW w:w="868" w:type="dxa"/>
            <w:vAlign w:val="center"/>
          </w:tcPr>
          <w:p w14:paraId="0DA0D323" w14:textId="77777777" w:rsidR="00F001BC" w:rsidRDefault="00F001BC" w:rsidP="005840B3">
            <w:pPr>
              <w:spacing w:before="60" w:after="60"/>
              <w:jc w:val="right"/>
              <w:rPr>
                <w:noProof/>
                <w:sz w:val="20"/>
              </w:rPr>
            </w:pPr>
          </w:p>
        </w:tc>
        <w:tc>
          <w:tcPr>
            <w:tcW w:w="868" w:type="dxa"/>
            <w:vAlign w:val="center"/>
          </w:tcPr>
          <w:p w14:paraId="6DD09CA3" w14:textId="77777777" w:rsidR="00F001BC" w:rsidRDefault="00F001BC" w:rsidP="005840B3">
            <w:pPr>
              <w:spacing w:before="20" w:after="20"/>
              <w:jc w:val="right"/>
              <w:rPr>
                <w:noProof/>
                <w:sz w:val="20"/>
              </w:rPr>
            </w:pPr>
          </w:p>
        </w:tc>
        <w:tc>
          <w:tcPr>
            <w:tcW w:w="868" w:type="dxa"/>
            <w:vAlign w:val="center"/>
          </w:tcPr>
          <w:p w14:paraId="7715F885" w14:textId="77777777" w:rsidR="00F001BC" w:rsidRDefault="00F001BC" w:rsidP="005840B3">
            <w:pPr>
              <w:spacing w:before="20" w:after="20"/>
              <w:jc w:val="right"/>
              <w:rPr>
                <w:noProof/>
                <w:sz w:val="20"/>
              </w:rPr>
            </w:pPr>
          </w:p>
        </w:tc>
        <w:tc>
          <w:tcPr>
            <w:tcW w:w="868" w:type="dxa"/>
            <w:vAlign w:val="center"/>
          </w:tcPr>
          <w:p w14:paraId="20EC0852" w14:textId="77777777" w:rsidR="00F001BC" w:rsidRDefault="00F001BC" w:rsidP="005840B3">
            <w:pPr>
              <w:spacing w:before="20" w:after="20"/>
              <w:jc w:val="right"/>
              <w:rPr>
                <w:noProof/>
                <w:sz w:val="20"/>
              </w:rPr>
            </w:pPr>
          </w:p>
        </w:tc>
        <w:tc>
          <w:tcPr>
            <w:tcW w:w="868" w:type="dxa"/>
            <w:vAlign w:val="center"/>
          </w:tcPr>
          <w:p w14:paraId="1A07EAF6" w14:textId="77777777" w:rsidR="00F001BC" w:rsidRDefault="00F001BC" w:rsidP="005840B3">
            <w:pPr>
              <w:spacing w:before="20" w:after="20"/>
              <w:jc w:val="right"/>
              <w:rPr>
                <w:noProof/>
                <w:sz w:val="20"/>
              </w:rPr>
            </w:pPr>
          </w:p>
        </w:tc>
        <w:tc>
          <w:tcPr>
            <w:tcW w:w="868" w:type="dxa"/>
            <w:vAlign w:val="center"/>
          </w:tcPr>
          <w:p w14:paraId="3CCDA98C" w14:textId="77777777" w:rsidR="00F001BC" w:rsidRDefault="00F001BC" w:rsidP="005840B3">
            <w:pPr>
              <w:spacing w:before="20" w:after="20"/>
              <w:jc w:val="right"/>
              <w:rPr>
                <w:noProof/>
                <w:sz w:val="20"/>
              </w:rPr>
            </w:pPr>
          </w:p>
        </w:tc>
        <w:tc>
          <w:tcPr>
            <w:tcW w:w="868" w:type="dxa"/>
            <w:vAlign w:val="center"/>
          </w:tcPr>
          <w:p w14:paraId="38EE32F5" w14:textId="77777777" w:rsidR="00F001BC" w:rsidRDefault="00F001BC" w:rsidP="005840B3">
            <w:pPr>
              <w:spacing w:before="20" w:after="20"/>
              <w:jc w:val="right"/>
              <w:rPr>
                <w:b/>
                <w:noProof/>
                <w:sz w:val="20"/>
              </w:rPr>
            </w:pPr>
          </w:p>
        </w:tc>
        <w:tc>
          <w:tcPr>
            <w:tcW w:w="1777" w:type="dxa"/>
            <w:vAlign w:val="center"/>
          </w:tcPr>
          <w:p w14:paraId="2525A557" w14:textId="77777777" w:rsidR="00F001BC" w:rsidRDefault="00F001BC" w:rsidP="005840B3">
            <w:pPr>
              <w:spacing w:before="20" w:after="20"/>
              <w:jc w:val="right"/>
              <w:rPr>
                <w:b/>
                <w:noProof/>
                <w:sz w:val="20"/>
              </w:rPr>
            </w:pPr>
          </w:p>
        </w:tc>
      </w:tr>
    </w:tbl>
    <w:p w14:paraId="599D01D9" w14:textId="77777777" w:rsidR="00F001BC" w:rsidRDefault="00F001BC" w:rsidP="00F001BC">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F001BC" w14:paraId="78681240" w14:textId="77777777" w:rsidTr="005840B3">
        <w:tc>
          <w:tcPr>
            <w:tcW w:w="3960" w:type="dxa"/>
            <w:shd w:val="thinDiagStripe" w:color="C0C0C0" w:fill="auto"/>
            <w:vAlign w:val="center"/>
          </w:tcPr>
          <w:p w14:paraId="775CB79F" w14:textId="77777777" w:rsidR="00F001BC" w:rsidRDefault="00F001BC" w:rsidP="005840B3">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14:paraId="3AFD4E24" w14:textId="77777777" w:rsidR="00F001BC" w:rsidRDefault="00F001BC" w:rsidP="005840B3">
            <w:pPr>
              <w:spacing w:before="40" w:after="40"/>
              <w:rPr>
                <w:noProof/>
              </w:rPr>
            </w:pPr>
            <w:r>
              <w:rPr>
                <w:noProof/>
                <w:sz w:val="18"/>
              </w:rPr>
              <w:t>(Total commitments = Total payments)</w:t>
            </w:r>
          </w:p>
        </w:tc>
        <w:tc>
          <w:tcPr>
            <w:tcW w:w="868" w:type="dxa"/>
            <w:vAlign w:val="center"/>
          </w:tcPr>
          <w:p w14:paraId="22AB8CD4" w14:textId="77777777" w:rsidR="00F001BC" w:rsidRDefault="00F001BC" w:rsidP="005840B3">
            <w:pPr>
              <w:spacing w:before="20" w:after="20"/>
              <w:jc w:val="right"/>
              <w:rPr>
                <w:noProof/>
                <w:sz w:val="20"/>
              </w:rPr>
            </w:pPr>
          </w:p>
        </w:tc>
        <w:tc>
          <w:tcPr>
            <w:tcW w:w="868" w:type="dxa"/>
            <w:vAlign w:val="center"/>
          </w:tcPr>
          <w:p w14:paraId="2A465B03" w14:textId="77777777" w:rsidR="00F001BC" w:rsidRDefault="00F001BC" w:rsidP="005840B3">
            <w:pPr>
              <w:spacing w:before="20" w:after="20"/>
              <w:jc w:val="right"/>
              <w:rPr>
                <w:noProof/>
                <w:sz w:val="20"/>
              </w:rPr>
            </w:pPr>
          </w:p>
        </w:tc>
        <w:tc>
          <w:tcPr>
            <w:tcW w:w="868" w:type="dxa"/>
            <w:vAlign w:val="center"/>
          </w:tcPr>
          <w:p w14:paraId="681E4C31" w14:textId="77777777" w:rsidR="00F001BC" w:rsidRDefault="00F001BC" w:rsidP="005840B3">
            <w:pPr>
              <w:spacing w:before="20" w:after="20"/>
              <w:jc w:val="right"/>
              <w:rPr>
                <w:noProof/>
                <w:sz w:val="20"/>
              </w:rPr>
            </w:pPr>
          </w:p>
        </w:tc>
        <w:tc>
          <w:tcPr>
            <w:tcW w:w="868" w:type="dxa"/>
            <w:vAlign w:val="center"/>
          </w:tcPr>
          <w:p w14:paraId="6D5DE64A" w14:textId="77777777" w:rsidR="00F001BC" w:rsidRDefault="00F001BC" w:rsidP="005840B3">
            <w:pPr>
              <w:spacing w:before="20" w:after="20"/>
              <w:jc w:val="right"/>
              <w:rPr>
                <w:noProof/>
                <w:sz w:val="20"/>
              </w:rPr>
            </w:pPr>
          </w:p>
        </w:tc>
        <w:tc>
          <w:tcPr>
            <w:tcW w:w="868" w:type="dxa"/>
            <w:vAlign w:val="center"/>
          </w:tcPr>
          <w:p w14:paraId="465893B4" w14:textId="77777777" w:rsidR="00F001BC" w:rsidRDefault="00F001BC" w:rsidP="005840B3">
            <w:pPr>
              <w:spacing w:before="20" w:after="20"/>
              <w:jc w:val="right"/>
              <w:rPr>
                <w:noProof/>
                <w:sz w:val="20"/>
              </w:rPr>
            </w:pPr>
          </w:p>
        </w:tc>
        <w:tc>
          <w:tcPr>
            <w:tcW w:w="868" w:type="dxa"/>
            <w:vAlign w:val="center"/>
          </w:tcPr>
          <w:p w14:paraId="4F272CBE" w14:textId="77777777" w:rsidR="00F001BC" w:rsidRDefault="00F001BC" w:rsidP="005840B3">
            <w:pPr>
              <w:spacing w:before="20" w:after="20"/>
              <w:jc w:val="right"/>
              <w:rPr>
                <w:noProof/>
                <w:sz w:val="20"/>
              </w:rPr>
            </w:pPr>
          </w:p>
        </w:tc>
        <w:tc>
          <w:tcPr>
            <w:tcW w:w="868" w:type="dxa"/>
            <w:vAlign w:val="center"/>
          </w:tcPr>
          <w:p w14:paraId="2CEC5263" w14:textId="77777777" w:rsidR="00F001BC" w:rsidRDefault="00F001BC" w:rsidP="005840B3">
            <w:pPr>
              <w:spacing w:before="20" w:after="20"/>
              <w:jc w:val="right"/>
              <w:rPr>
                <w:b/>
                <w:noProof/>
                <w:sz w:val="20"/>
              </w:rPr>
            </w:pPr>
          </w:p>
        </w:tc>
        <w:tc>
          <w:tcPr>
            <w:tcW w:w="1777" w:type="dxa"/>
            <w:vAlign w:val="center"/>
          </w:tcPr>
          <w:p w14:paraId="01215FE2" w14:textId="77777777" w:rsidR="00F001BC" w:rsidRDefault="00F001BC" w:rsidP="005840B3">
            <w:pPr>
              <w:spacing w:before="20" w:after="20"/>
              <w:jc w:val="right"/>
              <w:rPr>
                <w:b/>
                <w:noProof/>
                <w:sz w:val="20"/>
              </w:rPr>
            </w:pPr>
          </w:p>
        </w:tc>
      </w:tr>
    </w:tbl>
    <w:p w14:paraId="4B912773" w14:textId="77777777" w:rsidR="00F001BC" w:rsidRDefault="00F001BC" w:rsidP="00F001BC">
      <w:pPr>
        <w:jc w:val="right"/>
        <w:rPr>
          <w:noProof/>
          <w:sz w:val="20"/>
        </w:rPr>
      </w:pPr>
      <w:r>
        <w:rPr>
          <w:noProof/>
          <w:sz w:val="20"/>
        </w:rPr>
        <w:t>EUR million (to three decimal places)</w:t>
      </w:r>
    </w:p>
    <w:tbl>
      <w:tblPr>
        <w:tblpPr w:leftFromText="180" w:rightFromText="180" w:vertAnchor="text"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1200"/>
        <w:gridCol w:w="1445"/>
      </w:tblGrid>
      <w:tr w:rsidR="00F001BC" w14:paraId="1BC01432" w14:textId="77777777" w:rsidTr="001E1EB3">
        <w:tc>
          <w:tcPr>
            <w:tcW w:w="3960" w:type="dxa"/>
            <w:tcBorders>
              <w:top w:val="nil"/>
              <w:left w:val="nil"/>
              <w:right w:val="nil"/>
            </w:tcBorders>
            <w:vAlign w:val="center"/>
          </w:tcPr>
          <w:p w14:paraId="1AA33215" w14:textId="77777777" w:rsidR="00F001BC" w:rsidRDefault="00F001BC" w:rsidP="001E1EB3">
            <w:pPr>
              <w:jc w:val="center"/>
              <w:rPr>
                <w:noProof/>
              </w:rPr>
            </w:pPr>
          </w:p>
        </w:tc>
        <w:tc>
          <w:tcPr>
            <w:tcW w:w="1560" w:type="dxa"/>
            <w:tcBorders>
              <w:top w:val="nil"/>
              <w:left w:val="nil"/>
              <w:right w:val="nil"/>
            </w:tcBorders>
          </w:tcPr>
          <w:p w14:paraId="01C5182A" w14:textId="77777777" w:rsidR="00F001BC" w:rsidRDefault="00F001BC" w:rsidP="001E1EB3">
            <w:pPr>
              <w:rPr>
                <w:noProof/>
                <w:sz w:val="20"/>
              </w:rPr>
            </w:pPr>
          </w:p>
        </w:tc>
        <w:tc>
          <w:tcPr>
            <w:tcW w:w="534" w:type="dxa"/>
            <w:tcBorders>
              <w:top w:val="nil"/>
              <w:left w:val="nil"/>
            </w:tcBorders>
          </w:tcPr>
          <w:p w14:paraId="013CB025" w14:textId="77777777" w:rsidR="00F001BC" w:rsidRDefault="00F001BC" w:rsidP="001E1EB3">
            <w:pPr>
              <w:jc w:val="center"/>
              <w:rPr>
                <w:noProof/>
                <w:sz w:val="20"/>
              </w:rPr>
            </w:pPr>
          </w:p>
        </w:tc>
        <w:tc>
          <w:tcPr>
            <w:tcW w:w="868" w:type="dxa"/>
            <w:vAlign w:val="center"/>
          </w:tcPr>
          <w:p w14:paraId="103E275B" w14:textId="77777777" w:rsidR="00F001BC" w:rsidRDefault="00F001BC" w:rsidP="001E1EB3">
            <w:pPr>
              <w:jc w:val="center"/>
              <w:rPr>
                <w:noProof/>
                <w:sz w:val="20"/>
              </w:rPr>
            </w:pPr>
            <w:r>
              <w:rPr>
                <w:noProof/>
                <w:sz w:val="20"/>
              </w:rPr>
              <w:t>Year</w:t>
            </w:r>
            <w:r>
              <w:rPr>
                <w:noProof/>
                <w:sz w:val="22"/>
              </w:rPr>
              <w:br/>
            </w:r>
            <w:r>
              <w:rPr>
                <w:b/>
                <w:noProof/>
                <w:sz w:val="20"/>
              </w:rPr>
              <w:t>2025</w:t>
            </w:r>
          </w:p>
        </w:tc>
        <w:tc>
          <w:tcPr>
            <w:tcW w:w="868" w:type="dxa"/>
            <w:vAlign w:val="center"/>
          </w:tcPr>
          <w:p w14:paraId="3B78831A" w14:textId="77777777" w:rsidR="00F001BC" w:rsidRDefault="00F001BC" w:rsidP="001E1EB3">
            <w:pPr>
              <w:jc w:val="center"/>
              <w:rPr>
                <w:noProof/>
                <w:sz w:val="20"/>
              </w:rPr>
            </w:pPr>
            <w:r>
              <w:rPr>
                <w:noProof/>
                <w:sz w:val="20"/>
              </w:rPr>
              <w:t>Year</w:t>
            </w:r>
            <w:r>
              <w:rPr>
                <w:noProof/>
                <w:sz w:val="22"/>
              </w:rPr>
              <w:br/>
            </w:r>
            <w:r>
              <w:rPr>
                <w:b/>
                <w:noProof/>
                <w:sz w:val="20"/>
              </w:rPr>
              <w:t>2026</w:t>
            </w:r>
          </w:p>
        </w:tc>
        <w:tc>
          <w:tcPr>
            <w:tcW w:w="868" w:type="dxa"/>
            <w:vAlign w:val="center"/>
          </w:tcPr>
          <w:p w14:paraId="194A5A3D" w14:textId="77777777" w:rsidR="00F001BC" w:rsidRDefault="00F001BC" w:rsidP="001E1EB3">
            <w:pPr>
              <w:jc w:val="center"/>
              <w:rPr>
                <w:noProof/>
                <w:sz w:val="20"/>
              </w:rPr>
            </w:pPr>
            <w:r>
              <w:rPr>
                <w:noProof/>
                <w:sz w:val="20"/>
              </w:rPr>
              <w:t>Year</w:t>
            </w:r>
            <w:r>
              <w:rPr>
                <w:noProof/>
                <w:sz w:val="22"/>
              </w:rPr>
              <w:br/>
            </w:r>
            <w:r>
              <w:rPr>
                <w:b/>
                <w:noProof/>
                <w:sz w:val="20"/>
              </w:rPr>
              <w:t>2027</w:t>
            </w:r>
          </w:p>
        </w:tc>
        <w:tc>
          <w:tcPr>
            <w:tcW w:w="1200" w:type="dxa"/>
            <w:vAlign w:val="center"/>
          </w:tcPr>
          <w:p w14:paraId="5474A163" w14:textId="77777777" w:rsidR="00F001BC" w:rsidRDefault="00F001BC" w:rsidP="001E1EB3">
            <w:pPr>
              <w:jc w:val="center"/>
              <w:rPr>
                <w:noProof/>
                <w:sz w:val="20"/>
              </w:rPr>
            </w:pPr>
            <w:r>
              <w:rPr>
                <w:noProof/>
                <w:sz w:val="20"/>
              </w:rPr>
              <w:t>Year</w:t>
            </w:r>
            <w:r>
              <w:rPr>
                <w:noProof/>
                <w:sz w:val="22"/>
              </w:rPr>
              <w:br/>
            </w:r>
            <w:r>
              <w:rPr>
                <w:b/>
                <w:noProof/>
                <w:sz w:val="20"/>
              </w:rPr>
              <w:t>2028-2034</w:t>
            </w:r>
          </w:p>
        </w:tc>
        <w:tc>
          <w:tcPr>
            <w:tcW w:w="1445" w:type="dxa"/>
            <w:vAlign w:val="center"/>
          </w:tcPr>
          <w:p w14:paraId="19603AE5" w14:textId="77777777" w:rsidR="00F001BC" w:rsidRDefault="00F001BC" w:rsidP="001E1EB3">
            <w:pPr>
              <w:jc w:val="center"/>
              <w:rPr>
                <w:b/>
                <w:noProof/>
                <w:sz w:val="20"/>
              </w:rPr>
            </w:pPr>
            <w:r>
              <w:rPr>
                <w:b/>
                <w:noProof/>
                <w:sz w:val="20"/>
              </w:rPr>
              <w:t>TOTAL</w:t>
            </w:r>
          </w:p>
        </w:tc>
      </w:tr>
      <w:tr w:rsidR="00F001BC" w14:paraId="6E138601" w14:textId="77777777" w:rsidTr="001E1EB3">
        <w:tc>
          <w:tcPr>
            <w:tcW w:w="3960" w:type="dxa"/>
            <w:vMerge w:val="restart"/>
            <w:shd w:val="clear" w:color="auto" w:fill="C0C0C0"/>
            <w:vAlign w:val="center"/>
          </w:tcPr>
          <w:p w14:paraId="32D39410" w14:textId="77777777" w:rsidR="00F001BC" w:rsidRDefault="00F001BC" w:rsidP="001E1EB3">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14:paraId="79E3F1BE" w14:textId="77777777" w:rsidR="00F001BC" w:rsidRDefault="00F001BC" w:rsidP="001E1EB3">
            <w:pPr>
              <w:rPr>
                <w:noProof/>
                <w:sz w:val="14"/>
              </w:rPr>
            </w:pPr>
            <w:r>
              <w:rPr>
                <w:noProof/>
                <w:sz w:val="18"/>
              </w:rPr>
              <w:t>Commitments</w:t>
            </w:r>
          </w:p>
        </w:tc>
        <w:tc>
          <w:tcPr>
            <w:tcW w:w="868" w:type="dxa"/>
          </w:tcPr>
          <w:p w14:paraId="38BDEE40" w14:textId="77777777" w:rsidR="00F001BC" w:rsidRDefault="00F001BC" w:rsidP="001E1EB3">
            <w:pPr>
              <w:spacing w:before="60" w:after="60"/>
              <w:jc w:val="right"/>
              <w:rPr>
                <w:noProof/>
                <w:sz w:val="20"/>
              </w:rPr>
            </w:pPr>
            <w:r w:rsidRPr="00407155">
              <w:rPr>
                <w:noProof/>
                <w:sz w:val="20"/>
              </w:rPr>
              <w:t>0</w:t>
            </w:r>
            <w:r>
              <w:rPr>
                <w:noProof/>
                <w:sz w:val="20"/>
              </w:rPr>
              <w:t>.</w:t>
            </w:r>
            <w:r w:rsidR="00B852DC">
              <w:rPr>
                <w:noProof/>
                <w:sz w:val="20"/>
              </w:rPr>
              <w:t>239</w:t>
            </w:r>
          </w:p>
        </w:tc>
        <w:tc>
          <w:tcPr>
            <w:tcW w:w="868" w:type="dxa"/>
          </w:tcPr>
          <w:p w14:paraId="6969DA33" w14:textId="77777777" w:rsidR="00F001BC" w:rsidRDefault="00F001BC" w:rsidP="001E1EB3">
            <w:pPr>
              <w:spacing w:before="60" w:after="60"/>
              <w:jc w:val="right"/>
              <w:rPr>
                <w:noProof/>
                <w:sz w:val="20"/>
              </w:rPr>
            </w:pPr>
            <w:r w:rsidRPr="00407155">
              <w:rPr>
                <w:noProof/>
                <w:sz w:val="20"/>
              </w:rPr>
              <w:t>0</w:t>
            </w:r>
            <w:r>
              <w:rPr>
                <w:noProof/>
                <w:sz w:val="20"/>
              </w:rPr>
              <w:t>.</w:t>
            </w:r>
            <w:r w:rsidRPr="00407155">
              <w:rPr>
                <w:noProof/>
                <w:sz w:val="20"/>
              </w:rPr>
              <w:t>821</w:t>
            </w:r>
          </w:p>
        </w:tc>
        <w:tc>
          <w:tcPr>
            <w:tcW w:w="868" w:type="dxa"/>
          </w:tcPr>
          <w:p w14:paraId="1CE4C546" w14:textId="77777777" w:rsidR="00F001BC" w:rsidRDefault="00F001BC" w:rsidP="001E1EB3">
            <w:pPr>
              <w:spacing w:before="60" w:after="60"/>
              <w:jc w:val="right"/>
              <w:rPr>
                <w:noProof/>
                <w:sz w:val="20"/>
              </w:rPr>
            </w:pPr>
            <w:r w:rsidRPr="00407155">
              <w:rPr>
                <w:noProof/>
                <w:sz w:val="20"/>
              </w:rPr>
              <w:t>0</w:t>
            </w:r>
            <w:r>
              <w:rPr>
                <w:noProof/>
                <w:sz w:val="20"/>
              </w:rPr>
              <w:t>.</w:t>
            </w:r>
            <w:r w:rsidRPr="00407155">
              <w:rPr>
                <w:noProof/>
                <w:sz w:val="20"/>
              </w:rPr>
              <w:t>846</w:t>
            </w:r>
          </w:p>
        </w:tc>
        <w:tc>
          <w:tcPr>
            <w:tcW w:w="1200" w:type="dxa"/>
          </w:tcPr>
          <w:p w14:paraId="0F70D3BE" w14:textId="77777777" w:rsidR="00F001BC" w:rsidRDefault="00F001BC" w:rsidP="001E1EB3">
            <w:pPr>
              <w:spacing w:before="60" w:after="60"/>
              <w:jc w:val="right"/>
              <w:rPr>
                <w:noProof/>
                <w:sz w:val="20"/>
              </w:rPr>
            </w:pPr>
            <w:r w:rsidRPr="00407155">
              <w:rPr>
                <w:noProof/>
                <w:sz w:val="20"/>
              </w:rPr>
              <w:t>4</w:t>
            </w:r>
            <w:r>
              <w:rPr>
                <w:noProof/>
                <w:sz w:val="20"/>
              </w:rPr>
              <w:t>.</w:t>
            </w:r>
            <w:r w:rsidRPr="00407155">
              <w:rPr>
                <w:noProof/>
                <w:sz w:val="20"/>
              </w:rPr>
              <w:t>172</w:t>
            </w:r>
          </w:p>
        </w:tc>
        <w:tc>
          <w:tcPr>
            <w:tcW w:w="1445" w:type="dxa"/>
          </w:tcPr>
          <w:p w14:paraId="7677D42C" w14:textId="77777777" w:rsidR="00F001BC" w:rsidRDefault="00F001BC" w:rsidP="001E1EB3">
            <w:pPr>
              <w:spacing w:before="60" w:after="60"/>
              <w:jc w:val="right"/>
              <w:rPr>
                <w:b/>
                <w:noProof/>
                <w:sz w:val="20"/>
              </w:rPr>
            </w:pPr>
            <w:r w:rsidRPr="00407155">
              <w:rPr>
                <w:b/>
                <w:noProof/>
                <w:sz w:val="20"/>
              </w:rPr>
              <w:t>6</w:t>
            </w:r>
            <w:r>
              <w:rPr>
                <w:b/>
                <w:noProof/>
                <w:sz w:val="20"/>
              </w:rPr>
              <w:t>.</w:t>
            </w:r>
            <w:r w:rsidR="00B852DC">
              <w:rPr>
                <w:b/>
                <w:noProof/>
                <w:sz w:val="20"/>
              </w:rPr>
              <w:t>078</w:t>
            </w:r>
          </w:p>
        </w:tc>
      </w:tr>
      <w:tr w:rsidR="00F001BC" w14:paraId="33F97A71" w14:textId="77777777" w:rsidTr="001E1EB3">
        <w:tc>
          <w:tcPr>
            <w:tcW w:w="3960" w:type="dxa"/>
            <w:vMerge/>
            <w:vAlign w:val="center"/>
          </w:tcPr>
          <w:p w14:paraId="7E08D576" w14:textId="77777777" w:rsidR="00F001BC" w:rsidRDefault="00F001BC" w:rsidP="001E1EB3">
            <w:pPr>
              <w:rPr>
                <w:b/>
                <w:noProof/>
              </w:rPr>
            </w:pPr>
          </w:p>
        </w:tc>
        <w:tc>
          <w:tcPr>
            <w:tcW w:w="2094" w:type="dxa"/>
            <w:gridSpan w:val="2"/>
            <w:vAlign w:val="center"/>
          </w:tcPr>
          <w:p w14:paraId="33F20EDF" w14:textId="77777777" w:rsidR="00F001BC" w:rsidRDefault="00F001BC" w:rsidP="001E1EB3">
            <w:pPr>
              <w:rPr>
                <w:noProof/>
                <w:sz w:val="14"/>
              </w:rPr>
            </w:pPr>
            <w:r>
              <w:rPr>
                <w:noProof/>
                <w:sz w:val="18"/>
              </w:rPr>
              <w:t>Payments</w:t>
            </w:r>
          </w:p>
        </w:tc>
        <w:tc>
          <w:tcPr>
            <w:tcW w:w="868" w:type="dxa"/>
          </w:tcPr>
          <w:p w14:paraId="6831565A" w14:textId="77777777" w:rsidR="00F001BC" w:rsidRDefault="00F001BC" w:rsidP="001E1EB3">
            <w:pPr>
              <w:spacing w:before="60" w:after="60"/>
              <w:jc w:val="right"/>
              <w:rPr>
                <w:noProof/>
                <w:sz w:val="20"/>
              </w:rPr>
            </w:pPr>
            <w:r w:rsidRPr="00407155">
              <w:rPr>
                <w:noProof/>
                <w:sz w:val="20"/>
              </w:rPr>
              <w:t>0</w:t>
            </w:r>
            <w:r>
              <w:rPr>
                <w:noProof/>
                <w:sz w:val="20"/>
              </w:rPr>
              <w:t>.</w:t>
            </w:r>
            <w:r w:rsidR="00B852DC">
              <w:rPr>
                <w:noProof/>
                <w:sz w:val="20"/>
              </w:rPr>
              <w:t>239</w:t>
            </w:r>
          </w:p>
        </w:tc>
        <w:tc>
          <w:tcPr>
            <w:tcW w:w="868" w:type="dxa"/>
          </w:tcPr>
          <w:p w14:paraId="47CAB6A0" w14:textId="77777777" w:rsidR="00F001BC" w:rsidRDefault="00F001BC" w:rsidP="001E1EB3">
            <w:pPr>
              <w:spacing w:before="60" w:after="60"/>
              <w:jc w:val="right"/>
              <w:rPr>
                <w:noProof/>
                <w:sz w:val="20"/>
              </w:rPr>
            </w:pPr>
            <w:r w:rsidRPr="00407155">
              <w:rPr>
                <w:noProof/>
                <w:sz w:val="20"/>
              </w:rPr>
              <w:t>0</w:t>
            </w:r>
            <w:r>
              <w:rPr>
                <w:noProof/>
                <w:sz w:val="20"/>
              </w:rPr>
              <w:t>.</w:t>
            </w:r>
            <w:r w:rsidRPr="00407155">
              <w:rPr>
                <w:noProof/>
                <w:sz w:val="20"/>
              </w:rPr>
              <w:t>821</w:t>
            </w:r>
          </w:p>
        </w:tc>
        <w:tc>
          <w:tcPr>
            <w:tcW w:w="868" w:type="dxa"/>
          </w:tcPr>
          <w:p w14:paraId="46CD0299" w14:textId="77777777" w:rsidR="00F001BC" w:rsidRDefault="00F001BC" w:rsidP="001E1EB3">
            <w:pPr>
              <w:spacing w:before="60" w:after="60"/>
              <w:jc w:val="right"/>
              <w:rPr>
                <w:noProof/>
                <w:sz w:val="20"/>
              </w:rPr>
            </w:pPr>
            <w:r w:rsidRPr="00407155">
              <w:rPr>
                <w:noProof/>
                <w:sz w:val="20"/>
              </w:rPr>
              <w:t>0</w:t>
            </w:r>
            <w:r>
              <w:rPr>
                <w:noProof/>
                <w:sz w:val="20"/>
              </w:rPr>
              <w:t>.</w:t>
            </w:r>
            <w:r w:rsidRPr="00407155">
              <w:rPr>
                <w:noProof/>
                <w:sz w:val="20"/>
              </w:rPr>
              <w:t>846</w:t>
            </w:r>
          </w:p>
        </w:tc>
        <w:tc>
          <w:tcPr>
            <w:tcW w:w="1200" w:type="dxa"/>
          </w:tcPr>
          <w:p w14:paraId="41E985B1" w14:textId="77777777" w:rsidR="00F001BC" w:rsidRDefault="00F001BC" w:rsidP="001E1EB3">
            <w:pPr>
              <w:spacing w:before="60" w:after="60"/>
              <w:jc w:val="right"/>
              <w:rPr>
                <w:noProof/>
                <w:sz w:val="20"/>
              </w:rPr>
            </w:pPr>
            <w:r w:rsidRPr="00407155">
              <w:rPr>
                <w:noProof/>
                <w:sz w:val="20"/>
              </w:rPr>
              <w:t>4</w:t>
            </w:r>
            <w:r>
              <w:rPr>
                <w:noProof/>
                <w:sz w:val="20"/>
              </w:rPr>
              <w:t>.</w:t>
            </w:r>
            <w:r w:rsidRPr="00407155">
              <w:rPr>
                <w:noProof/>
                <w:sz w:val="20"/>
              </w:rPr>
              <w:t>172</w:t>
            </w:r>
          </w:p>
        </w:tc>
        <w:tc>
          <w:tcPr>
            <w:tcW w:w="1445" w:type="dxa"/>
          </w:tcPr>
          <w:p w14:paraId="36BAB689" w14:textId="77777777" w:rsidR="00F001BC" w:rsidRDefault="00F001BC" w:rsidP="001E1EB3">
            <w:pPr>
              <w:spacing w:before="60" w:after="60"/>
              <w:jc w:val="right"/>
              <w:rPr>
                <w:b/>
                <w:noProof/>
                <w:sz w:val="20"/>
              </w:rPr>
            </w:pPr>
            <w:r w:rsidRPr="00407155">
              <w:rPr>
                <w:b/>
                <w:noProof/>
                <w:sz w:val="20"/>
              </w:rPr>
              <w:t>6</w:t>
            </w:r>
            <w:r>
              <w:rPr>
                <w:b/>
                <w:noProof/>
                <w:sz w:val="20"/>
              </w:rPr>
              <w:t>.</w:t>
            </w:r>
            <w:r w:rsidR="00B852DC">
              <w:rPr>
                <w:b/>
                <w:noProof/>
                <w:sz w:val="20"/>
              </w:rPr>
              <w:t>078</w:t>
            </w:r>
          </w:p>
        </w:tc>
      </w:tr>
    </w:tbl>
    <w:p w14:paraId="04DAFE45" w14:textId="77777777" w:rsidR="001E1EB3" w:rsidRDefault="001E1EB3" w:rsidP="00F001BC">
      <w:pPr>
        <w:rPr>
          <w:noProof/>
        </w:rPr>
      </w:pPr>
    </w:p>
    <w:p w14:paraId="60595FE7" w14:textId="77777777" w:rsidR="001E1EB3" w:rsidRPr="001E1EB3" w:rsidRDefault="001E1EB3" w:rsidP="001E1EB3">
      <w:pPr>
        <w:rPr>
          <w:noProof/>
        </w:rPr>
      </w:pPr>
    </w:p>
    <w:p w14:paraId="5FC0FBA8" w14:textId="77777777" w:rsidR="001E1EB3" w:rsidRPr="001E1EB3" w:rsidRDefault="001E1EB3" w:rsidP="001E1EB3">
      <w:pPr>
        <w:rPr>
          <w:noProof/>
        </w:rPr>
      </w:pPr>
    </w:p>
    <w:p w14:paraId="0983349A" w14:textId="77777777" w:rsidR="001E1EB3" w:rsidRPr="001E1EB3" w:rsidRDefault="001E1EB3" w:rsidP="001E1EB3">
      <w:pPr>
        <w:rPr>
          <w:noProof/>
        </w:rPr>
      </w:pPr>
    </w:p>
    <w:p w14:paraId="09859FE3" w14:textId="77777777" w:rsidR="001E1EB3" w:rsidRPr="001E1EB3" w:rsidRDefault="001E1EB3" w:rsidP="001E1EB3">
      <w:pPr>
        <w:rPr>
          <w:noProof/>
        </w:rPr>
      </w:pPr>
    </w:p>
    <w:p w14:paraId="665373D2" w14:textId="77777777" w:rsidR="001E1EB3" w:rsidRDefault="001E1EB3" w:rsidP="001E1EB3">
      <w:pPr>
        <w:rPr>
          <w:noProof/>
        </w:rPr>
      </w:pPr>
    </w:p>
    <w:p w14:paraId="2A8F2D83" w14:textId="77777777" w:rsidR="001E1EB3" w:rsidRDefault="001E1EB3" w:rsidP="001E1EB3">
      <w:pPr>
        <w:rPr>
          <w:noProof/>
        </w:rPr>
      </w:pPr>
      <w:r w:rsidRPr="001E1EB3">
        <w:rPr>
          <w:noProof/>
        </w:rPr>
        <w:t>The budget impact beyond the current MFF is an indicative overview, without prejudice to the future MFF Agreement.</w:t>
      </w:r>
    </w:p>
    <w:p w14:paraId="51D1B57C" w14:textId="77777777" w:rsidR="001E1EB3" w:rsidRDefault="001E1EB3" w:rsidP="001E1EB3">
      <w:pPr>
        <w:rPr>
          <w:noProof/>
        </w:rPr>
      </w:pPr>
    </w:p>
    <w:p w14:paraId="752C270B" w14:textId="77777777" w:rsidR="00F001BC" w:rsidRPr="00ED3103" w:rsidRDefault="00F001BC" w:rsidP="00ED3103">
      <w:pPr>
        <w:rPr>
          <w:noProof/>
        </w:rPr>
        <w:sectPr w:rsidR="00F001BC" w:rsidRPr="00ED3103" w:rsidSect="00E321BE">
          <w:headerReference w:type="default" r:id="rId15"/>
          <w:footerReference w:type="default" r:id="rId16"/>
          <w:headerReference w:type="first" r:id="rId17"/>
          <w:footerReference w:type="first" r:id="rId18"/>
          <w:pgSz w:w="15840" w:h="12240" w:orient="landscape"/>
          <w:pgMar w:top="1134" w:right="1077" w:bottom="902" w:left="1247" w:header="709" w:footer="510" w:gutter="0"/>
          <w:cols w:space="720"/>
          <w:docGrid w:linePitch="326"/>
        </w:sectPr>
      </w:pPr>
    </w:p>
    <w:p w14:paraId="39E2B866" w14:textId="77777777" w:rsidR="00F001BC" w:rsidRDefault="00F001BC" w:rsidP="00F001BC">
      <w:pPr>
        <w:pStyle w:val="ManualHeading3"/>
        <w:rPr>
          <w:bCs/>
          <w:noProof/>
          <w:szCs w:val="24"/>
        </w:rPr>
      </w:pPr>
      <w:bookmarkStart w:id="57" w:name="_Toc514938687"/>
      <w:bookmarkStart w:id="58" w:name="_Toc520485446"/>
      <w:r w:rsidRPr="006D222F">
        <w:rPr>
          <w:noProof/>
        </w:rPr>
        <w:t>3.2.2.</w:t>
      </w:r>
      <w:r w:rsidRPr="006D222F">
        <w:rPr>
          <w:noProof/>
        </w:rPr>
        <w:tab/>
      </w:r>
      <w:r>
        <w:rPr>
          <w:noProof/>
        </w:rPr>
        <w:t>Estimated impact on EMSA's appropriations</w:t>
      </w:r>
      <w:bookmarkEnd w:id="57"/>
      <w:bookmarkEnd w:id="58"/>
      <w:r>
        <w:rPr>
          <w:noProof/>
        </w:rPr>
        <w:t xml:space="preserve"> </w:t>
      </w:r>
    </w:p>
    <w:p w14:paraId="49C8EE01" w14:textId="77777777" w:rsidR="00F001BC" w:rsidRDefault="00F001BC" w:rsidP="008305F0">
      <w:pPr>
        <w:pStyle w:val="ListDash1"/>
        <w:rPr>
          <w:noProof/>
        </w:rPr>
      </w:pPr>
      <w:r>
        <w:rPr>
          <w:noProof/>
        </w:rPr>
        <w:sym w:font="Wingdings" w:char="F0FE"/>
      </w:r>
      <w:r>
        <w:rPr>
          <w:noProof/>
        </w:rPr>
        <w:tab/>
        <w:t xml:space="preserve">The proposal/initiative does not require the use of operational appropriations </w:t>
      </w:r>
    </w:p>
    <w:p w14:paraId="3C5F8B1C" w14:textId="77777777" w:rsidR="00F001BC" w:rsidRDefault="00F001BC" w:rsidP="008305F0">
      <w:pPr>
        <w:pStyle w:val="ListDash1"/>
        <w:rPr>
          <w:noProof/>
        </w:rPr>
      </w:pPr>
      <w:r>
        <w:rPr>
          <w:noProof/>
        </w:rPr>
        <w:sym w:font="Wingdings" w:char="F0A8"/>
      </w:r>
      <w:r>
        <w:rPr>
          <w:noProof/>
        </w:rPr>
        <w:tab/>
        <w:t>The proposal/initiative requires the use of operational appropriations, as explained below:</w:t>
      </w:r>
    </w:p>
    <w:p w14:paraId="3868767B" w14:textId="77777777" w:rsidR="00F001BC" w:rsidRDefault="00F001BC" w:rsidP="00F001BC">
      <w:pPr>
        <w:jc w:val="right"/>
        <w:rPr>
          <w:noProof/>
          <w:sz w:val="20"/>
        </w:rPr>
      </w:pPr>
      <w:r>
        <w:rPr>
          <w:noProof/>
          <w:sz w:val="20"/>
        </w:rPr>
        <w:t>Amounts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F001BC" w14:paraId="17D9C150" w14:textId="77777777" w:rsidTr="005840B3">
        <w:trPr>
          <w:jc w:val="center"/>
        </w:trPr>
        <w:tc>
          <w:tcPr>
            <w:tcW w:w="1423" w:type="dxa"/>
            <w:vMerge w:val="restart"/>
            <w:vAlign w:val="center"/>
          </w:tcPr>
          <w:p w14:paraId="1A962733" w14:textId="77777777" w:rsidR="00F001BC" w:rsidRDefault="00F001BC" w:rsidP="005840B3">
            <w:pPr>
              <w:ind w:right="-29"/>
              <w:jc w:val="center"/>
              <w:rPr>
                <w:b/>
                <w:noProof/>
                <w:sz w:val="18"/>
              </w:rPr>
            </w:pPr>
            <w:r>
              <w:rPr>
                <w:b/>
                <w:noProof/>
                <w:sz w:val="18"/>
              </w:rPr>
              <w:t xml:space="preserve">Indicate objectives and outputs </w:t>
            </w:r>
          </w:p>
          <w:p w14:paraId="0D6A9331" w14:textId="77777777" w:rsidR="00F001BC" w:rsidRDefault="00F001BC" w:rsidP="005840B3">
            <w:pPr>
              <w:ind w:right="-29"/>
              <w:jc w:val="center"/>
              <w:rPr>
                <w:b/>
                <w:noProof/>
                <w:sz w:val="18"/>
              </w:rPr>
            </w:pPr>
          </w:p>
          <w:p w14:paraId="4C9D731A" w14:textId="77777777" w:rsidR="00F001BC" w:rsidRDefault="00F001BC" w:rsidP="005840B3">
            <w:pPr>
              <w:ind w:right="-29"/>
              <w:jc w:val="center"/>
              <w:rPr>
                <w:noProof/>
                <w:sz w:val="18"/>
              </w:rPr>
            </w:pPr>
            <w:r>
              <w:rPr>
                <w:noProof/>
                <w:sz w:val="18"/>
              </w:rPr>
              <w:sym w:font="Wingdings" w:char="F0F2"/>
            </w:r>
          </w:p>
        </w:tc>
        <w:tc>
          <w:tcPr>
            <w:tcW w:w="720" w:type="dxa"/>
            <w:vAlign w:val="center"/>
          </w:tcPr>
          <w:p w14:paraId="4F557E0B" w14:textId="77777777" w:rsidR="00F001BC" w:rsidRDefault="00F001BC" w:rsidP="005840B3">
            <w:pPr>
              <w:ind w:right="-29"/>
              <w:jc w:val="center"/>
              <w:rPr>
                <w:noProof/>
                <w:sz w:val="18"/>
              </w:rPr>
            </w:pPr>
          </w:p>
        </w:tc>
        <w:tc>
          <w:tcPr>
            <w:tcW w:w="701" w:type="dxa"/>
            <w:vAlign w:val="center"/>
          </w:tcPr>
          <w:p w14:paraId="1DD13E6B" w14:textId="77777777" w:rsidR="00F001BC" w:rsidRDefault="00F001BC" w:rsidP="005840B3">
            <w:pPr>
              <w:ind w:right="-29"/>
              <w:jc w:val="center"/>
              <w:rPr>
                <w:noProof/>
                <w:sz w:val="18"/>
              </w:rPr>
            </w:pPr>
          </w:p>
        </w:tc>
        <w:tc>
          <w:tcPr>
            <w:tcW w:w="1224" w:type="dxa"/>
            <w:gridSpan w:val="2"/>
            <w:tcBorders>
              <w:left w:val="nil"/>
            </w:tcBorders>
            <w:vAlign w:val="center"/>
          </w:tcPr>
          <w:p w14:paraId="7F546137" w14:textId="77777777" w:rsidR="00F001BC" w:rsidRDefault="00F001BC" w:rsidP="005840B3">
            <w:pPr>
              <w:ind w:right="-29"/>
              <w:jc w:val="center"/>
              <w:rPr>
                <w:noProof/>
                <w:sz w:val="18"/>
              </w:rPr>
            </w:pPr>
            <w:r>
              <w:rPr>
                <w:noProof/>
                <w:sz w:val="18"/>
              </w:rPr>
              <w:t>Year</w:t>
            </w:r>
            <w:r>
              <w:rPr>
                <w:noProof/>
                <w:sz w:val="22"/>
              </w:rPr>
              <w:br/>
            </w:r>
            <w:r>
              <w:rPr>
                <w:b/>
                <w:noProof/>
                <w:sz w:val="18"/>
              </w:rPr>
              <w:t>N</w:t>
            </w:r>
          </w:p>
        </w:tc>
        <w:tc>
          <w:tcPr>
            <w:tcW w:w="1260" w:type="dxa"/>
            <w:gridSpan w:val="2"/>
            <w:vAlign w:val="center"/>
          </w:tcPr>
          <w:p w14:paraId="63226CB8" w14:textId="77777777" w:rsidR="00F001BC" w:rsidRDefault="00F001BC" w:rsidP="005840B3">
            <w:pPr>
              <w:ind w:right="-29"/>
              <w:jc w:val="center"/>
              <w:rPr>
                <w:noProof/>
                <w:sz w:val="18"/>
              </w:rPr>
            </w:pPr>
            <w:r>
              <w:rPr>
                <w:noProof/>
                <w:sz w:val="18"/>
              </w:rPr>
              <w:t>Year</w:t>
            </w:r>
            <w:r>
              <w:rPr>
                <w:noProof/>
                <w:sz w:val="22"/>
              </w:rPr>
              <w:br/>
            </w:r>
            <w:r>
              <w:rPr>
                <w:b/>
                <w:noProof/>
                <w:sz w:val="18"/>
              </w:rPr>
              <w:t>N+1</w:t>
            </w:r>
          </w:p>
        </w:tc>
        <w:tc>
          <w:tcPr>
            <w:tcW w:w="1440" w:type="dxa"/>
            <w:gridSpan w:val="2"/>
            <w:vAlign w:val="center"/>
          </w:tcPr>
          <w:p w14:paraId="3AB1C4DB" w14:textId="77777777" w:rsidR="00F001BC" w:rsidRDefault="00F001BC" w:rsidP="005840B3">
            <w:pPr>
              <w:ind w:right="-29"/>
              <w:jc w:val="center"/>
              <w:rPr>
                <w:noProof/>
                <w:sz w:val="18"/>
              </w:rPr>
            </w:pPr>
            <w:r>
              <w:rPr>
                <w:noProof/>
                <w:sz w:val="18"/>
              </w:rPr>
              <w:t>Year</w:t>
            </w:r>
            <w:r>
              <w:rPr>
                <w:noProof/>
                <w:sz w:val="22"/>
              </w:rPr>
              <w:br/>
            </w:r>
            <w:r>
              <w:rPr>
                <w:b/>
                <w:noProof/>
                <w:sz w:val="18"/>
              </w:rPr>
              <w:t>N+2</w:t>
            </w:r>
          </w:p>
        </w:tc>
        <w:tc>
          <w:tcPr>
            <w:tcW w:w="1620" w:type="dxa"/>
            <w:gridSpan w:val="3"/>
            <w:vAlign w:val="center"/>
          </w:tcPr>
          <w:p w14:paraId="50D9E29E" w14:textId="77777777" w:rsidR="00F001BC" w:rsidRDefault="00F001BC" w:rsidP="005840B3">
            <w:pPr>
              <w:ind w:right="-29"/>
              <w:jc w:val="center"/>
              <w:rPr>
                <w:noProof/>
                <w:sz w:val="18"/>
              </w:rPr>
            </w:pPr>
            <w:r>
              <w:rPr>
                <w:noProof/>
                <w:sz w:val="18"/>
              </w:rPr>
              <w:t>Year</w:t>
            </w:r>
            <w:r>
              <w:rPr>
                <w:noProof/>
                <w:sz w:val="22"/>
              </w:rPr>
              <w:br/>
            </w:r>
            <w:r>
              <w:rPr>
                <w:b/>
                <w:noProof/>
                <w:sz w:val="18"/>
              </w:rPr>
              <w:t>N+3</w:t>
            </w:r>
          </w:p>
        </w:tc>
        <w:tc>
          <w:tcPr>
            <w:tcW w:w="3600" w:type="dxa"/>
            <w:gridSpan w:val="6"/>
            <w:vAlign w:val="center"/>
          </w:tcPr>
          <w:p w14:paraId="51D7B82A" w14:textId="77777777" w:rsidR="00F001BC" w:rsidRDefault="00F001BC" w:rsidP="005840B3">
            <w:pPr>
              <w:jc w:val="center"/>
              <w:rPr>
                <w:b/>
                <w:noProof/>
                <w:sz w:val="18"/>
              </w:rPr>
            </w:pPr>
            <w:r>
              <w:rPr>
                <w:noProof/>
                <w:sz w:val="18"/>
              </w:rPr>
              <w:t>Enter as many years as necessary to show the duration of the impact (see point 1.6)</w:t>
            </w:r>
          </w:p>
        </w:tc>
        <w:tc>
          <w:tcPr>
            <w:tcW w:w="1620" w:type="dxa"/>
            <w:gridSpan w:val="2"/>
            <w:tcBorders>
              <w:left w:val="nil"/>
              <w:bottom w:val="nil"/>
            </w:tcBorders>
            <w:vAlign w:val="center"/>
          </w:tcPr>
          <w:p w14:paraId="5BC10B42" w14:textId="77777777" w:rsidR="00F001BC" w:rsidRDefault="00F001BC" w:rsidP="005840B3">
            <w:pPr>
              <w:ind w:right="-29"/>
              <w:jc w:val="center"/>
              <w:rPr>
                <w:noProof/>
                <w:sz w:val="18"/>
              </w:rPr>
            </w:pPr>
            <w:r>
              <w:rPr>
                <w:b/>
                <w:noProof/>
                <w:sz w:val="18"/>
              </w:rPr>
              <w:t>TOTAL</w:t>
            </w:r>
          </w:p>
        </w:tc>
      </w:tr>
      <w:tr w:rsidR="00F001BC" w14:paraId="1B16FFDA" w14:textId="77777777" w:rsidTr="005840B3">
        <w:trPr>
          <w:jc w:val="center"/>
        </w:trPr>
        <w:tc>
          <w:tcPr>
            <w:tcW w:w="1423" w:type="dxa"/>
            <w:vMerge/>
            <w:vAlign w:val="center"/>
          </w:tcPr>
          <w:p w14:paraId="17D9E7D7" w14:textId="77777777" w:rsidR="00F001BC" w:rsidRDefault="00F001BC" w:rsidP="005840B3">
            <w:pPr>
              <w:rPr>
                <w:noProof/>
                <w:sz w:val="18"/>
              </w:rPr>
            </w:pPr>
          </w:p>
        </w:tc>
        <w:tc>
          <w:tcPr>
            <w:tcW w:w="12185" w:type="dxa"/>
            <w:gridSpan w:val="19"/>
            <w:vAlign w:val="center"/>
          </w:tcPr>
          <w:p w14:paraId="1D9FEB6A" w14:textId="77777777" w:rsidR="00F001BC" w:rsidRDefault="00F001BC" w:rsidP="005840B3">
            <w:pPr>
              <w:spacing w:before="60" w:after="60"/>
              <w:ind w:right="-29"/>
              <w:jc w:val="center"/>
              <w:rPr>
                <w:noProof/>
                <w:sz w:val="18"/>
              </w:rPr>
            </w:pPr>
            <w:r>
              <w:rPr>
                <w:b/>
                <w:noProof/>
                <w:sz w:val="18"/>
              </w:rPr>
              <w:t>OUTPUTS</w:t>
            </w:r>
          </w:p>
        </w:tc>
      </w:tr>
      <w:tr w:rsidR="00F001BC" w14:paraId="31CEDD49" w14:textId="77777777" w:rsidTr="005840B3">
        <w:trPr>
          <w:cantSplit/>
          <w:trHeight w:val="1134"/>
          <w:jc w:val="center"/>
        </w:trPr>
        <w:tc>
          <w:tcPr>
            <w:tcW w:w="1423" w:type="dxa"/>
            <w:vMerge/>
            <w:vAlign w:val="center"/>
          </w:tcPr>
          <w:p w14:paraId="5C620677" w14:textId="77777777" w:rsidR="00F001BC" w:rsidRDefault="00F001BC" w:rsidP="005840B3">
            <w:pPr>
              <w:rPr>
                <w:noProof/>
                <w:sz w:val="18"/>
              </w:rPr>
            </w:pPr>
          </w:p>
        </w:tc>
        <w:tc>
          <w:tcPr>
            <w:tcW w:w="720" w:type="dxa"/>
            <w:vAlign w:val="center"/>
          </w:tcPr>
          <w:p w14:paraId="379EECE1" w14:textId="77777777" w:rsidR="00F001BC" w:rsidRDefault="00F001BC" w:rsidP="005840B3">
            <w:pPr>
              <w:jc w:val="center"/>
              <w:rPr>
                <w:noProof/>
                <w:sz w:val="18"/>
              </w:rPr>
            </w:pPr>
            <w:r>
              <w:rPr>
                <w:noProof/>
                <w:sz w:val="18"/>
              </w:rPr>
              <w:t>Type</w:t>
            </w:r>
            <w:r>
              <w:rPr>
                <w:rStyle w:val="FootnoteReference"/>
                <w:noProof/>
                <w:sz w:val="18"/>
              </w:rPr>
              <w:footnoteReference w:id="36"/>
            </w:r>
          </w:p>
        </w:tc>
        <w:tc>
          <w:tcPr>
            <w:tcW w:w="701" w:type="dxa"/>
            <w:vAlign w:val="center"/>
          </w:tcPr>
          <w:p w14:paraId="66F251EC" w14:textId="77777777" w:rsidR="00F001BC" w:rsidRDefault="00F001BC" w:rsidP="005840B3">
            <w:pPr>
              <w:jc w:val="center"/>
              <w:rPr>
                <w:noProof/>
              </w:rPr>
            </w:pPr>
            <w:r>
              <w:rPr>
                <w:noProof/>
                <w:sz w:val="18"/>
              </w:rPr>
              <w:t>Average cost</w:t>
            </w:r>
          </w:p>
        </w:tc>
        <w:tc>
          <w:tcPr>
            <w:tcW w:w="504" w:type="dxa"/>
            <w:tcBorders>
              <w:left w:val="nil"/>
              <w:right w:val="dashSmallGap" w:sz="4" w:space="0" w:color="auto"/>
            </w:tcBorders>
            <w:shd w:val="pct10" w:color="auto" w:fill="auto"/>
            <w:textDirection w:val="btLr"/>
            <w:vAlign w:val="center"/>
          </w:tcPr>
          <w:p w14:paraId="793DB0EF" w14:textId="77777777" w:rsidR="00F001BC" w:rsidRDefault="00F001BC" w:rsidP="005840B3">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4EB9B7BC" w14:textId="77777777" w:rsidR="00F001BC" w:rsidRDefault="00F001BC" w:rsidP="005840B3">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14:paraId="45CA8B53" w14:textId="77777777" w:rsidR="00F001BC" w:rsidRDefault="00F001BC" w:rsidP="005840B3">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064FDBCD" w14:textId="77777777" w:rsidR="00F001BC" w:rsidRDefault="00F001BC" w:rsidP="005840B3">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14:paraId="40B0097C" w14:textId="77777777" w:rsidR="00F001BC" w:rsidRDefault="00F001BC" w:rsidP="005840B3">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3C68B4DC" w14:textId="77777777" w:rsidR="00F001BC" w:rsidRDefault="00F001BC" w:rsidP="005840B3">
            <w:pPr>
              <w:jc w:val="center"/>
              <w:rPr>
                <w:noProof/>
                <w:sz w:val="18"/>
              </w:rPr>
            </w:pPr>
            <w:r>
              <w:rPr>
                <w:noProof/>
                <w:sz w:val="18"/>
              </w:rPr>
              <w:t>Cost</w:t>
            </w:r>
          </w:p>
        </w:tc>
        <w:tc>
          <w:tcPr>
            <w:tcW w:w="900" w:type="dxa"/>
            <w:tcBorders>
              <w:right w:val="dashSmallGap" w:sz="4" w:space="0" w:color="auto"/>
            </w:tcBorders>
            <w:shd w:val="pct10" w:color="auto" w:fill="auto"/>
            <w:textDirection w:val="btLr"/>
            <w:vAlign w:val="center"/>
          </w:tcPr>
          <w:p w14:paraId="17EF3B75" w14:textId="77777777" w:rsidR="00F001BC" w:rsidRDefault="00F001BC" w:rsidP="005840B3">
            <w:pPr>
              <w:ind w:left="113" w:right="113"/>
              <w:jc w:val="center"/>
              <w:rPr>
                <w:noProof/>
              </w:rPr>
            </w:pPr>
            <w:r>
              <w:rPr>
                <w:noProof/>
                <w:sz w:val="18"/>
              </w:rPr>
              <w:t>No</w:t>
            </w:r>
          </w:p>
        </w:tc>
        <w:tc>
          <w:tcPr>
            <w:tcW w:w="720" w:type="dxa"/>
            <w:gridSpan w:val="2"/>
            <w:tcBorders>
              <w:left w:val="dashSmallGap" w:sz="4" w:space="0" w:color="auto"/>
            </w:tcBorders>
            <w:shd w:val="pct10" w:color="auto" w:fill="auto"/>
            <w:vAlign w:val="center"/>
          </w:tcPr>
          <w:p w14:paraId="4FC8C1AF" w14:textId="77777777" w:rsidR="00F001BC" w:rsidRDefault="00F001BC" w:rsidP="005840B3">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14:paraId="63BB29AB" w14:textId="77777777" w:rsidR="00F001BC" w:rsidRDefault="00F001BC" w:rsidP="005840B3">
            <w:pPr>
              <w:ind w:left="113" w:right="113"/>
              <w:jc w:val="center"/>
              <w:rPr>
                <w:noProof/>
              </w:rPr>
            </w:pPr>
            <w:r>
              <w:rPr>
                <w:noProof/>
                <w:sz w:val="18"/>
              </w:rPr>
              <w:t>No</w:t>
            </w:r>
          </w:p>
        </w:tc>
        <w:tc>
          <w:tcPr>
            <w:tcW w:w="648" w:type="dxa"/>
            <w:tcBorders>
              <w:left w:val="dashSmallGap" w:sz="4" w:space="0" w:color="auto"/>
            </w:tcBorders>
            <w:shd w:val="pct10" w:color="auto" w:fill="auto"/>
            <w:vAlign w:val="center"/>
          </w:tcPr>
          <w:p w14:paraId="1E3A6FD2" w14:textId="77777777" w:rsidR="00F001BC" w:rsidRDefault="00F001BC" w:rsidP="005840B3">
            <w:pPr>
              <w:jc w:val="center"/>
              <w:rPr>
                <w:noProof/>
                <w:sz w:val="18"/>
              </w:rPr>
            </w:pPr>
            <w:r>
              <w:rPr>
                <w:noProof/>
                <w:sz w:val="18"/>
              </w:rPr>
              <w:t>Cost</w:t>
            </w:r>
          </w:p>
        </w:tc>
        <w:tc>
          <w:tcPr>
            <w:tcW w:w="432" w:type="dxa"/>
            <w:tcBorders>
              <w:right w:val="dashSmallGap" w:sz="4" w:space="0" w:color="auto"/>
            </w:tcBorders>
            <w:shd w:val="pct10" w:color="auto" w:fill="auto"/>
            <w:textDirection w:val="btLr"/>
            <w:vAlign w:val="center"/>
          </w:tcPr>
          <w:p w14:paraId="42E097F1" w14:textId="77777777" w:rsidR="00F001BC" w:rsidRDefault="00F001BC" w:rsidP="005840B3">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3D31CB6C" w14:textId="77777777" w:rsidR="00F001BC" w:rsidRDefault="00F001BC" w:rsidP="005840B3">
            <w:pPr>
              <w:jc w:val="center"/>
              <w:rPr>
                <w:noProof/>
                <w:sz w:val="18"/>
              </w:rPr>
            </w:pPr>
            <w:r>
              <w:rPr>
                <w:noProof/>
                <w:sz w:val="18"/>
              </w:rPr>
              <w:t>Cost</w:t>
            </w:r>
          </w:p>
        </w:tc>
        <w:tc>
          <w:tcPr>
            <w:tcW w:w="540" w:type="dxa"/>
            <w:tcBorders>
              <w:right w:val="dashSmallGap" w:sz="4" w:space="0" w:color="auto"/>
            </w:tcBorders>
            <w:shd w:val="pct10" w:color="auto" w:fill="auto"/>
            <w:textDirection w:val="btLr"/>
            <w:vAlign w:val="center"/>
          </w:tcPr>
          <w:p w14:paraId="3A55C407" w14:textId="77777777" w:rsidR="00F001BC" w:rsidRDefault="00F001BC" w:rsidP="005840B3">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14:paraId="074E1990" w14:textId="77777777" w:rsidR="00F001BC" w:rsidRDefault="00F001BC" w:rsidP="005840B3">
            <w:pPr>
              <w:jc w:val="center"/>
              <w:rPr>
                <w:noProof/>
                <w:sz w:val="18"/>
              </w:rPr>
            </w:pPr>
            <w:r>
              <w:rPr>
                <w:noProof/>
                <w:sz w:val="18"/>
              </w:rPr>
              <w:t>Cost</w:t>
            </w:r>
          </w:p>
        </w:tc>
        <w:tc>
          <w:tcPr>
            <w:tcW w:w="720" w:type="dxa"/>
            <w:tcBorders>
              <w:right w:val="dashSmallGap" w:sz="4" w:space="0" w:color="auto"/>
            </w:tcBorders>
            <w:shd w:val="pct10" w:color="auto" w:fill="auto"/>
            <w:vAlign w:val="center"/>
          </w:tcPr>
          <w:p w14:paraId="5A3754B2" w14:textId="77777777" w:rsidR="00F001BC" w:rsidRDefault="00F001BC" w:rsidP="005840B3">
            <w:pPr>
              <w:jc w:val="center"/>
              <w:rPr>
                <w:noProof/>
                <w:sz w:val="18"/>
              </w:rPr>
            </w:pPr>
            <w:r>
              <w:rPr>
                <w:noProof/>
                <w:sz w:val="18"/>
              </w:rPr>
              <w:t>Total No</w:t>
            </w:r>
          </w:p>
        </w:tc>
        <w:tc>
          <w:tcPr>
            <w:tcW w:w="900" w:type="dxa"/>
            <w:tcBorders>
              <w:left w:val="dashSmallGap" w:sz="4" w:space="0" w:color="auto"/>
            </w:tcBorders>
            <w:shd w:val="pct10" w:color="auto" w:fill="auto"/>
            <w:vAlign w:val="center"/>
          </w:tcPr>
          <w:p w14:paraId="17B91106" w14:textId="77777777" w:rsidR="00F001BC" w:rsidRDefault="00F001BC" w:rsidP="005840B3">
            <w:pPr>
              <w:jc w:val="center"/>
              <w:rPr>
                <w:noProof/>
              </w:rPr>
            </w:pPr>
            <w:r>
              <w:rPr>
                <w:noProof/>
                <w:sz w:val="18"/>
              </w:rPr>
              <w:t>Total cost</w:t>
            </w:r>
          </w:p>
        </w:tc>
      </w:tr>
      <w:tr w:rsidR="00F001BC" w14:paraId="2CD5E1C2" w14:textId="77777777" w:rsidTr="005840B3">
        <w:trPr>
          <w:jc w:val="center"/>
        </w:trPr>
        <w:tc>
          <w:tcPr>
            <w:tcW w:w="2844" w:type="dxa"/>
            <w:gridSpan w:val="3"/>
            <w:vAlign w:val="center"/>
          </w:tcPr>
          <w:p w14:paraId="680C05A5" w14:textId="77777777" w:rsidR="00F001BC" w:rsidRDefault="00F001BC" w:rsidP="005840B3">
            <w:pPr>
              <w:spacing w:before="60" w:after="60"/>
              <w:ind w:right="-29"/>
              <w:jc w:val="center"/>
              <w:rPr>
                <w:noProof/>
                <w:sz w:val="18"/>
              </w:rPr>
            </w:pPr>
            <w:r>
              <w:rPr>
                <w:noProof/>
                <w:sz w:val="18"/>
              </w:rPr>
              <w:t>SPECIFIC OBJECTIVE No 1</w:t>
            </w:r>
            <w:r>
              <w:rPr>
                <w:rStyle w:val="FootnoteReference"/>
                <w:noProof/>
                <w:sz w:val="18"/>
              </w:rPr>
              <w:footnoteReference w:id="37"/>
            </w:r>
            <w:r>
              <w:rPr>
                <w:noProof/>
                <w:sz w:val="18"/>
              </w:rPr>
              <w:t>…</w:t>
            </w:r>
          </w:p>
        </w:tc>
        <w:tc>
          <w:tcPr>
            <w:tcW w:w="504" w:type="dxa"/>
            <w:tcBorders>
              <w:top w:val="nil"/>
              <w:left w:val="nil"/>
              <w:bottom w:val="nil"/>
              <w:right w:val="nil"/>
            </w:tcBorders>
          </w:tcPr>
          <w:p w14:paraId="304179C3"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5AE8FA1E" w14:textId="77777777" w:rsidR="00F001BC" w:rsidRDefault="00F001BC" w:rsidP="005840B3">
            <w:pPr>
              <w:spacing w:before="60" w:after="60"/>
              <w:ind w:right="-29"/>
              <w:jc w:val="center"/>
              <w:rPr>
                <w:noProof/>
                <w:sz w:val="18"/>
              </w:rPr>
            </w:pPr>
          </w:p>
        </w:tc>
        <w:tc>
          <w:tcPr>
            <w:tcW w:w="540" w:type="dxa"/>
            <w:tcBorders>
              <w:top w:val="nil"/>
              <w:left w:val="nil"/>
              <w:bottom w:val="nil"/>
              <w:right w:val="nil"/>
            </w:tcBorders>
          </w:tcPr>
          <w:p w14:paraId="36D0274B"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6A802C47"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522F9D4C"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07B24FF8" w14:textId="77777777" w:rsidR="00F001BC" w:rsidRDefault="00F001BC" w:rsidP="005840B3">
            <w:pPr>
              <w:spacing w:before="60" w:after="60"/>
              <w:ind w:right="-29"/>
              <w:jc w:val="center"/>
              <w:rPr>
                <w:noProof/>
                <w:sz w:val="18"/>
              </w:rPr>
            </w:pPr>
          </w:p>
        </w:tc>
        <w:tc>
          <w:tcPr>
            <w:tcW w:w="900" w:type="dxa"/>
            <w:tcBorders>
              <w:top w:val="nil"/>
              <w:left w:val="nil"/>
              <w:bottom w:val="nil"/>
              <w:right w:val="nil"/>
            </w:tcBorders>
          </w:tcPr>
          <w:p w14:paraId="5EB28B06" w14:textId="77777777" w:rsidR="00F001BC" w:rsidRDefault="00F001BC" w:rsidP="005840B3">
            <w:pPr>
              <w:spacing w:before="60" w:after="60"/>
              <w:ind w:right="-29"/>
              <w:jc w:val="center"/>
              <w:rPr>
                <w:noProof/>
                <w:sz w:val="18"/>
              </w:rPr>
            </w:pPr>
          </w:p>
        </w:tc>
        <w:tc>
          <w:tcPr>
            <w:tcW w:w="720" w:type="dxa"/>
            <w:gridSpan w:val="2"/>
            <w:tcBorders>
              <w:top w:val="nil"/>
              <w:left w:val="nil"/>
              <w:bottom w:val="nil"/>
              <w:right w:val="nil"/>
            </w:tcBorders>
          </w:tcPr>
          <w:p w14:paraId="028C4C49" w14:textId="77777777" w:rsidR="00F001BC" w:rsidRDefault="00F001BC" w:rsidP="005840B3">
            <w:pPr>
              <w:spacing w:before="60" w:after="60"/>
              <w:ind w:right="-29"/>
              <w:jc w:val="center"/>
              <w:rPr>
                <w:noProof/>
                <w:sz w:val="18"/>
              </w:rPr>
            </w:pPr>
          </w:p>
        </w:tc>
        <w:tc>
          <w:tcPr>
            <w:tcW w:w="540" w:type="dxa"/>
            <w:tcBorders>
              <w:top w:val="nil"/>
              <w:left w:val="nil"/>
              <w:bottom w:val="nil"/>
              <w:right w:val="nil"/>
            </w:tcBorders>
          </w:tcPr>
          <w:p w14:paraId="5B573D99" w14:textId="77777777" w:rsidR="00F001BC" w:rsidRDefault="00F001BC" w:rsidP="005840B3">
            <w:pPr>
              <w:spacing w:before="60" w:after="60"/>
              <w:ind w:right="-29"/>
              <w:jc w:val="center"/>
              <w:rPr>
                <w:noProof/>
                <w:sz w:val="18"/>
              </w:rPr>
            </w:pPr>
          </w:p>
        </w:tc>
        <w:tc>
          <w:tcPr>
            <w:tcW w:w="648" w:type="dxa"/>
            <w:tcBorders>
              <w:top w:val="nil"/>
              <w:left w:val="nil"/>
              <w:bottom w:val="nil"/>
              <w:right w:val="nil"/>
            </w:tcBorders>
          </w:tcPr>
          <w:p w14:paraId="3CE2EF73" w14:textId="77777777" w:rsidR="00F001BC" w:rsidRDefault="00F001BC" w:rsidP="005840B3">
            <w:pPr>
              <w:spacing w:before="60" w:after="60"/>
              <w:ind w:right="-29"/>
              <w:jc w:val="center"/>
              <w:rPr>
                <w:noProof/>
                <w:sz w:val="18"/>
              </w:rPr>
            </w:pPr>
          </w:p>
        </w:tc>
        <w:tc>
          <w:tcPr>
            <w:tcW w:w="432" w:type="dxa"/>
            <w:tcBorders>
              <w:top w:val="nil"/>
              <w:left w:val="nil"/>
              <w:bottom w:val="nil"/>
              <w:right w:val="nil"/>
            </w:tcBorders>
          </w:tcPr>
          <w:p w14:paraId="6908E997"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15F62564" w14:textId="77777777" w:rsidR="00F001BC" w:rsidRDefault="00F001BC" w:rsidP="005840B3">
            <w:pPr>
              <w:spacing w:before="60" w:after="60"/>
              <w:ind w:right="-29"/>
              <w:jc w:val="center"/>
              <w:rPr>
                <w:noProof/>
                <w:sz w:val="18"/>
              </w:rPr>
            </w:pPr>
          </w:p>
        </w:tc>
        <w:tc>
          <w:tcPr>
            <w:tcW w:w="540" w:type="dxa"/>
            <w:tcBorders>
              <w:top w:val="nil"/>
              <w:left w:val="nil"/>
              <w:bottom w:val="nil"/>
              <w:right w:val="nil"/>
            </w:tcBorders>
          </w:tcPr>
          <w:p w14:paraId="1F053782"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262F4953"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7F1CB97C" w14:textId="77777777" w:rsidR="00F001BC" w:rsidRDefault="00F001BC" w:rsidP="005840B3">
            <w:pPr>
              <w:spacing w:before="60" w:after="60"/>
              <w:ind w:right="-29"/>
              <w:jc w:val="center"/>
              <w:rPr>
                <w:noProof/>
                <w:sz w:val="18"/>
              </w:rPr>
            </w:pPr>
          </w:p>
        </w:tc>
        <w:tc>
          <w:tcPr>
            <w:tcW w:w="900" w:type="dxa"/>
            <w:tcBorders>
              <w:top w:val="nil"/>
              <w:left w:val="nil"/>
              <w:bottom w:val="nil"/>
              <w:right w:val="nil"/>
            </w:tcBorders>
          </w:tcPr>
          <w:p w14:paraId="0C04BD11" w14:textId="77777777" w:rsidR="00F001BC" w:rsidRDefault="00F001BC" w:rsidP="005840B3">
            <w:pPr>
              <w:spacing w:before="60" w:after="60"/>
              <w:ind w:right="-29"/>
              <w:jc w:val="center"/>
              <w:rPr>
                <w:noProof/>
                <w:sz w:val="18"/>
              </w:rPr>
            </w:pPr>
          </w:p>
        </w:tc>
      </w:tr>
      <w:tr w:rsidR="00F001BC" w14:paraId="6F179665" w14:textId="77777777" w:rsidTr="005840B3">
        <w:trPr>
          <w:trHeight w:hRule="exact" w:val="369"/>
          <w:jc w:val="center"/>
        </w:trPr>
        <w:tc>
          <w:tcPr>
            <w:tcW w:w="1423" w:type="dxa"/>
          </w:tcPr>
          <w:p w14:paraId="2442AC3D" w14:textId="77777777" w:rsidR="00F001BC" w:rsidRDefault="00F001BC" w:rsidP="005840B3">
            <w:pPr>
              <w:ind w:right="-29"/>
              <w:jc w:val="center"/>
              <w:rPr>
                <w:noProof/>
                <w:sz w:val="18"/>
              </w:rPr>
            </w:pPr>
            <w:r>
              <w:rPr>
                <w:noProof/>
                <w:sz w:val="18"/>
              </w:rPr>
              <w:t>- Output</w:t>
            </w:r>
          </w:p>
        </w:tc>
        <w:tc>
          <w:tcPr>
            <w:tcW w:w="720" w:type="dxa"/>
          </w:tcPr>
          <w:p w14:paraId="2CD6750E" w14:textId="77777777" w:rsidR="00F001BC" w:rsidRDefault="00F001BC" w:rsidP="005840B3">
            <w:pPr>
              <w:ind w:right="-29"/>
              <w:jc w:val="center"/>
              <w:rPr>
                <w:noProof/>
                <w:sz w:val="18"/>
              </w:rPr>
            </w:pPr>
          </w:p>
        </w:tc>
        <w:tc>
          <w:tcPr>
            <w:tcW w:w="701" w:type="dxa"/>
          </w:tcPr>
          <w:p w14:paraId="3A556C35" w14:textId="77777777" w:rsidR="00F001BC" w:rsidRDefault="00F001BC" w:rsidP="005840B3">
            <w:pPr>
              <w:ind w:right="-29"/>
              <w:jc w:val="center"/>
              <w:rPr>
                <w:noProof/>
                <w:sz w:val="18"/>
              </w:rPr>
            </w:pPr>
          </w:p>
        </w:tc>
        <w:tc>
          <w:tcPr>
            <w:tcW w:w="504" w:type="dxa"/>
            <w:tcBorders>
              <w:right w:val="dashSmallGap" w:sz="4" w:space="0" w:color="auto"/>
            </w:tcBorders>
          </w:tcPr>
          <w:p w14:paraId="7A250A16" w14:textId="77777777" w:rsidR="00F001BC" w:rsidRDefault="00F001BC" w:rsidP="005840B3">
            <w:pPr>
              <w:ind w:right="-29"/>
              <w:jc w:val="center"/>
              <w:rPr>
                <w:noProof/>
                <w:sz w:val="18"/>
              </w:rPr>
            </w:pPr>
          </w:p>
        </w:tc>
        <w:tc>
          <w:tcPr>
            <w:tcW w:w="720" w:type="dxa"/>
            <w:tcBorders>
              <w:left w:val="dashSmallGap" w:sz="4" w:space="0" w:color="auto"/>
            </w:tcBorders>
          </w:tcPr>
          <w:p w14:paraId="7A00F037" w14:textId="77777777" w:rsidR="00F001BC" w:rsidRDefault="00F001BC" w:rsidP="005840B3">
            <w:pPr>
              <w:ind w:right="-29"/>
              <w:jc w:val="center"/>
              <w:rPr>
                <w:noProof/>
                <w:sz w:val="18"/>
              </w:rPr>
            </w:pPr>
          </w:p>
        </w:tc>
        <w:tc>
          <w:tcPr>
            <w:tcW w:w="540" w:type="dxa"/>
            <w:tcBorders>
              <w:right w:val="dashSmallGap" w:sz="4" w:space="0" w:color="auto"/>
            </w:tcBorders>
          </w:tcPr>
          <w:p w14:paraId="110C627F" w14:textId="77777777" w:rsidR="00F001BC" w:rsidRDefault="00F001BC" w:rsidP="005840B3">
            <w:pPr>
              <w:ind w:right="-29"/>
              <w:jc w:val="center"/>
              <w:rPr>
                <w:noProof/>
                <w:sz w:val="18"/>
              </w:rPr>
            </w:pPr>
          </w:p>
        </w:tc>
        <w:tc>
          <w:tcPr>
            <w:tcW w:w="720" w:type="dxa"/>
            <w:tcBorders>
              <w:left w:val="dashSmallGap" w:sz="4" w:space="0" w:color="auto"/>
            </w:tcBorders>
          </w:tcPr>
          <w:p w14:paraId="232B66FF" w14:textId="77777777" w:rsidR="00F001BC" w:rsidRDefault="00F001BC" w:rsidP="005840B3">
            <w:pPr>
              <w:ind w:right="-29"/>
              <w:jc w:val="center"/>
              <w:rPr>
                <w:noProof/>
                <w:sz w:val="18"/>
              </w:rPr>
            </w:pPr>
          </w:p>
        </w:tc>
        <w:tc>
          <w:tcPr>
            <w:tcW w:w="720" w:type="dxa"/>
            <w:tcBorders>
              <w:right w:val="dashSmallGap" w:sz="4" w:space="0" w:color="auto"/>
            </w:tcBorders>
          </w:tcPr>
          <w:p w14:paraId="531B1BB4" w14:textId="77777777" w:rsidR="00F001BC" w:rsidRDefault="00F001BC" w:rsidP="005840B3">
            <w:pPr>
              <w:ind w:right="-29"/>
              <w:jc w:val="center"/>
              <w:rPr>
                <w:noProof/>
                <w:sz w:val="18"/>
              </w:rPr>
            </w:pPr>
          </w:p>
        </w:tc>
        <w:tc>
          <w:tcPr>
            <w:tcW w:w="720" w:type="dxa"/>
            <w:tcBorders>
              <w:left w:val="dashSmallGap" w:sz="4" w:space="0" w:color="auto"/>
            </w:tcBorders>
          </w:tcPr>
          <w:p w14:paraId="5202A4C7" w14:textId="77777777" w:rsidR="00F001BC" w:rsidRDefault="00F001BC" w:rsidP="005840B3">
            <w:pPr>
              <w:ind w:right="-29"/>
              <w:jc w:val="center"/>
              <w:rPr>
                <w:noProof/>
                <w:sz w:val="18"/>
              </w:rPr>
            </w:pPr>
          </w:p>
        </w:tc>
        <w:tc>
          <w:tcPr>
            <w:tcW w:w="900" w:type="dxa"/>
            <w:tcBorders>
              <w:right w:val="dashSmallGap" w:sz="4" w:space="0" w:color="auto"/>
            </w:tcBorders>
          </w:tcPr>
          <w:p w14:paraId="4A783EB5" w14:textId="77777777" w:rsidR="00F001BC" w:rsidRDefault="00F001BC" w:rsidP="005840B3">
            <w:pPr>
              <w:ind w:right="-29"/>
              <w:jc w:val="center"/>
              <w:rPr>
                <w:noProof/>
                <w:sz w:val="18"/>
              </w:rPr>
            </w:pPr>
          </w:p>
        </w:tc>
        <w:tc>
          <w:tcPr>
            <w:tcW w:w="720" w:type="dxa"/>
            <w:gridSpan w:val="2"/>
            <w:tcBorders>
              <w:left w:val="dashSmallGap" w:sz="4" w:space="0" w:color="auto"/>
            </w:tcBorders>
          </w:tcPr>
          <w:p w14:paraId="020A8C7C" w14:textId="77777777" w:rsidR="00F001BC" w:rsidRDefault="00F001BC" w:rsidP="005840B3">
            <w:pPr>
              <w:ind w:right="-29"/>
              <w:jc w:val="center"/>
              <w:rPr>
                <w:noProof/>
                <w:sz w:val="18"/>
              </w:rPr>
            </w:pPr>
          </w:p>
        </w:tc>
        <w:tc>
          <w:tcPr>
            <w:tcW w:w="540" w:type="dxa"/>
            <w:tcBorders>
              <w:right w:val="dashSmallGap" w:sz="4" w:space="0" w:color="auto"/>
            </w:tcBorders>
          </w:tcPr>
          <w:p w14:paraId="69BC25A5" w14:textId="77777777" w:rsidR="00F001BC" w:rsidRDefault="00F001BC" w:rsidP="005840B3">
            <w:pPr>
              <w:ind w:right="-29"/>
              <w:jc w:val="center"/>
              <w:rPr>
                <w:noProof/>
                <w:sz w:val="18"/>
              </w:rPr>
            </w:pPr>
          </w:p>
        </w:tc>
        <w:tc>
          <w:tcPr>
            <w:tcW w:w="648" w:type="dxa"/>
            <w:tcBorders>
              <w:left w:val="dashSmallGap" w:sz="4" w:space="0" w:color="auto"/>
            </w:tcBorders>
          </w:tcPr>
          <w:p w14:paraId="71FD1869" w14:textId="77777777" w:rsidR="00F001BC" w:rsidRDefault="00F001BC" w:rsidP="005840B3">
            <w:pPr>
              <w:ind w:right="-29"/>
              <w:jc w:val="center"/>
              <w:rPr>
                <w:noProof/>
                <w:sz w:val="18"/>
              </w:rPr>
            </w:pPr>
          </w:p>
        </w:tc>
        <w:tc>
          <w:tcPr>
            <w:tcW w:w="432" w:type="dxa"/>
            <w:tcBorders>
              <w:right w:val="dashSmallGap" w:sz="4" w:space="0" w:color="auto"/>
            </w:tcBorders>
          </w:tcPr>
          <w:p w14:paraId="159E7373" w14:textId="77777777" w:rsidR="00F001BC" w:rsidRDefault="00F001BC" w:rsidP="005840B3">
            <w:pPr>
              <w:ind w:right="-29"/>
              <w:jc w:val="center"/>
              <w:rPr>
                <w:noProof/>
                <w:sz w:val="18"/>
              </w:rPr>
            </w:pPr>
          </w:p>
        </w:tc>
        <w:tc>
          <w:tcPr>
            <w:tcW w:w="720" w:type="dxa"/>
            <w:tcBorders>
              <w:left w:val="dashSmallGap" w:sz="4" w:space="0" w:color="auto"/>
            </w:tcBorders>
          </w:tcPr>
          <w:p w14:paraId="7ABFCDA1" w14:textId="77777777" w:rsidR="00F001BC" w:rsidRDefault="00F001BC" w:rsidP="005840B3">
            <w:pPr>
              <w:ind w:right="-29"/>
              <w:jc w:val="center"/>
              <w:rPr>
                <w:noProof/>
                <w:sz w:val="18"/>
              </w:rPr>
            </w:pPr>
          </w:p>
        </w:tc>
        <w:tc>
          <w:tcPr>
            <w:tcW w:w="540" w:type="dxa"/>
            <w:tcBorders>
              <w:right w:val="dashSmallGap" w:sz="4" w:space="0" w:color="auto"/>
            </w:tcBorders>
          </w:tcPr>
          <w:p w14:paraId="2B4084F0" w14:textId="77777777" w:rsidR="00F001BC" w:rsidRDefault="00F001BC" w:rsidP="005840B3">
            <w:pPr>
              <w:ind w:right="-29"/>
              <w:jc w:val="center"/>
              <w:rPr>
                <w:noProof/>
                <w:sz w:val="18"/>
              </w:rPr>
            </w:pPr>
          </w:p>
        </w:tc>
        <w:tc>
          <w:tcPr>
            <w:tcW w:w="720" w:type="dxa"/>
            <w:tcBorders>
              <w:left w:val="dashSmallGap" w:sz="4" w:space="0" w:color="auto"/>
            </w:tcBorders>
          </w:tcPr>
          <w:p w14:paraId="6538B0F2" w14:textId="77777777" w:rsidR="00F001BC" w:rsidRDefault="00F001BC" w:rsidP="005840B3">
            <w:pPr>
              <w:ind w:right="-29"/>
              <w:jc w:val="center"/>
              <w:rPr>
                <w:noProof/>
                <w:sz w:val="18"/>
              </w:rPr>
            </w:pPr>
          </w:p>
        </w:tc>
        <w:tc>
          <w:tcPr>
            <w:tcW w:w="720" w:type="dxa"/>
          </w:tcPr>
          <w:p w14:paraId="4AE911E0" w14:textId="77777777" w:rsidR="00F001BC" w:rsidRDefault="00F001BC" w:rsidP="005840B3">
            <w:pPr>
              <w:ind w:right="-29"/>
              <w:jc w:val="center"/>
              <w:rPr>
                <w:noProof/>
                <w:sz w:val="18"/>
              </w:rPr>
            </w:pPr>
          </w:p>
        </w:tc>
        <w:tc>
          <w:tcPr>
            <w:tcW w:w="900" w:type="dxa"/>
          </w:tcPr>
          <w:p w14:paraId="6A5F8FAC" w14:textId="77777777" w:rsidR="00F001BC" w:rsidRDefault="00F001BC" w:rsidP="005840B3">
            <w:pPr>
              <w:ind w:right="-29"/>
              <w:jc w:val="center"/>
              <w:rPr>
                <w:noProof/>
                <w:sz w:val="18"/>
              </w:rPr>
            </w:pPr>
          </w:p>
        </w:tc>
      </w:tr>
      <w:tr w:rsidR="00F001BC" w14:paraId="3638B9C2" w14:textId="77777777" w:rsidTr="005840B3">
        <w:trPr>
          <w:trHeight w:hRule="exact" w:val="369"/>
          <w:jc w:val="center"/>
        </w:trPr>
        <w:tc>
          <w:tcPr>
            <w:tcW w:w="1423" w:type="dxa"/>
          </w:tcPr>
          <w:p w14:paraId="76F18385" w14:textId="77777777" w:rsidR="00F001BC" w:rsidRDefault="00F001BC" w:rsidP="005840B3">
            <w:pPr>
              <w:ind w:right="-29"/>
              <w:jc w:val="center"/>
              <w:rPr>
                <w:noProof/>
                <w:sz w:val="18"/>
              </w:rPr>
            </w:pPr>
            <w:r>
              <w:rPr>
                <w:noProof/>
                <w:sz w:val="18"/>
              </w:rPr>
              <w:t>- Output</w:t>
            </w:r>
          </w:p>
        </w:tc>
        <w:tc>
          <w:tcPr>
            <w:tcW w:w="720" w:type="dxa"/>
          </w:tcPr>
          <w:p w14:paraId="2A4F75A3" w14:textId="77777777" w:rsidR="00F001BC" w:rsidRDefault="00F001BC" w:rsidP="005840B3">
            <w:pPr>
              <w:ind w:right="-29"/>
              <w:jc w:val="center"/>
              <w:rPr>
                <w:noProof/>
                <w:sz w:val="18"/>
              </w:rPr>
            </w:pPr>
          </w:p>
        </w:tc>
        <w:tc>
          <w:tcPr>
            <w:tcW w:w="701" w:type="dxa"/>
          </w:tcPr>
          <w:p w14:paraId="4560AC7B" w14:textId="77777777" w:rsidR="00F001BC" w:rsidRDefault="00F001BC" w:rsidP="005840B3">
            <w:pPr>
              <w:ind w:right="-29"/>
              <w:jc w:val="center"/>
              <w:rPr>
                <w:noProof/>
                <w:sz w:val="18"/>
              </w:rPr>
            </w:pPr>
          </w:p>
        </w:tc>
        <w:tc>
          <w:tcPr>
            <w:tcW w:w="504" w:type="dxa"/>
            <w:tcBorders>
              <w:right w:val="dashSmallGap" w:sz="4" w:space="0" w:color="auto"/>
            </w:tcBorders>
          </w:tcPr>
          <w:p w14:paraId="28C5C25A" w14:textId="77777777" w:rsidR="00F001BC" w:rsidRDefault="00F001BC" w:rsidP="005840B3">
            <w:pPr>
              <w:ind w:right="-29"/>
              <w:jc w:val="center"/>
              <w:rPr>
                <w:noProof/>
                <w:sz w:val="18"/>
              </w:rPr>
            </w:pPr>
          </w:p>
        </w:tc>
        <w:tc>
          <w:tcPr>
            <w:tcW w:w="720" w:type="dxa"/>
            <w:tcBorders>
              <w:left w:val="dashSmallGap" w:sz="4" w:space="0" w:color="auto"/>
            </w:tcBorders>
          </w:tcPr>
          <w:p w14:paraId="45BDBE1A" w14:textId="77777777" w:rsidR="00F001BC" w:rsidRDefault="00F001BC" w:rsidP="005840B3">
            <w:pPr>
              <w:ind w:right="-29"/>
              <w:jc w:val="center"/>
              <w:rPr>
                <w:noProof/>
                <w:sz w:val="18"/>
              </w:rPr>
            </w:pPr>
          </w:p>
        </w:tc>
        <w:tc>
          <w:tcPr>
            <w:tcW w:w="540" w:type="dxa"/>
            <w:tcBorders>
              <w:right w:val="dashSmallGap" w:sz="4" w:space="0" w:color="auto"/>
            </w:tcBorders>
          </w:tcPr>
          <w:p w14:paraId="1B32C942" w14:textId="77777777" w:rsidR="00F001BC" w:rsidRDefault="00F001BC" w:rsidP="005840B3">
            <w:pPr>
              <w:ind w:right="-29"/>
              <w:jc w:val="center"/>
              <w:rPr>
                <w:noProof/>
                <w:sz w:val="18"/>
              </w:rPr>
            </w:pPr>
          </w:p>
        </w:tc>
        <w:tc>
          <w:tcPr>
            <w:tcW w:w="720" w:type="dxa"/>
            <w:tcBorders>
              <w:left w:val="dashSmallGap" w:sz="4" w:space="0" w:color="auto"/>
            </w:tcBorders>
          </w:tcPr>
          <w:p w14:paraId="065FAC57" w14:textId="77777777" w:rsidR="00F001BC" w:rsidRDefault="00F001BC" w:rsidP="005840B3">
            <w:pPr>
              <w:ind w:right="-29"/>
              <w:jc w:val="center"/>
              <w:rPr>
                <w:noProof/>
                <w:sz w:val="18"/>
              </w:rPr>
            </w:pPr>
          </w:p>
        </w:tc>
        <w:tc>
          <w:tcPr>
            <w:tcW w:w="720" w:type="dxa"/>
            <w:tcBorders>
              <w:right w:val="dashSmallGap" w:sz="4" w:space="0" w:color="auto"/>
            </w:tcBorders>
          </w:tcPr>
          <w:p w14:paraId="1F634466" w14:textId="77777777" w:rsidR="00F001BC" w:rsidRDefault="00F001BC" w:rsidP="005840B3">
            <w:pPr>
              <w:ind w:right="-29"/>
              <w:jc w:val="center"/>
              <w:rPr>
                <w:noProof/>
                <w:sz w:val="18"/>
              </w:rPr>
            </w:pPr>
          </w:p>
        </w:tc>
        <w:tc>
          <w:tcPr>
            <w:tcW w:w="720" w:type="dxa"/>
            <w:tcBorders>
              <w:left w:val="dashSmallGap" w:sz="4" w:space="0" w:color="auto"/>
            </w:tcBorders>
          </w:tcPr>
          <w:p w14:paraId="3E43B8C6" w14:textId="77777777" w:rsidR="00F001BC" w:rsidRDefault="00F001BC" w:rsidP="005840B3">
            <w:pPr>
              <w:ind w:right="-29"/>
              <w:jc w:val="center"/>
              <w:rPr>
                <w:noProof/>
                <w:sz w:val="18"/>
              </w:rPr>
            </w:pPr>
          </w:p>
        </w:tc>
        <w:tc>
          <w:tcPr>
            <w:tcW w:w="900" w:type="dxa"/>
            <w:tcBorders>
              <w:right w:val="dashSmallGap" w:sz="4" w:space="0" w:color="auto"/>
            </w:tcBorders>
          </w:tcPr>
          <w:p w14:paraId="471454DA" w14:textId="77777777" w:rsidR="00F001BC" w:rsidRDefault="00F001BC" w:rsidP="005840B3">
            <w:pPr>
              <w:ind w:right="-29"/>
              <w:jc w:val="center"/>
              <w:rPr>
                <w:noProof/>
                <w:sz w:val="18"/>
              </w:rPr>
            </w:pPr>
          </w:p>
        </w:tc>
        <w:tc>
          <w:tcPr>
            <w:tcW w:w="720" w:type="dxa"/>
            <w:gridSpan w:val="2"/>
            <w:tcBorders>
              <w:left w:val="dashSmallGap" w:sz="4" w:space="0" w:color="auto"/>
            </w:tcBorders>
          </w:tcPr>
          <w:p w14:paraId="72080FA0" w14:textId="77777777" w:rsidR="00F001BC" w:rsidRDefault="00F001BC" w:rsidP="005840B3">
            <w:pPr>
              <w:ind w:right="-29"/>
              <w:jc w:val="center"/>
              <w:rPr>
                <w:noProof/>
                <w:sz w:val="18"/>
              </w:rPr>
            </w:pPr>
          </w:p>
        </w:tc>
        <w:tc>
          <w:tcPr>
            <w:tcW w:w="540" w:type="dxa"/>
            <w:tcBorders>
              <w:right w:val="dashSmallGap" w:sz="4" w:space="0" w:color="auto"/>
            </w:tcBorders>
          </w:tcPr>
          <w:p w14:paraId="3A4C6490" w14:textId="77777777" w:rsidR="00F001BC" w:rsidRDefault="00F001BC" w:rsidP="005840B3">
            <w:pPr>
              <w:ind w:right="-29"/>
              <w:jc w:val="center"/>
              <w:rPr>
                <w:noProof/>
                <w:sz w:val="18"/>
              </w:rPr>
            </w:pPr>
          </w:p>
        </w:tc>
        <w:tc>
          <w:tcPr>
            <w:tcW w:w="648" w:type="dxa"/>
            <w:tcBorders>
              <w:left w:val="dashSmallGap" w:sz="4" w:space="0" w:color="auto"/>
            </w:tcBorders>
          </w:tcPr>
          <w:p w14:paraId="1FBAB079" w14:textId="77777777" w:rsidR="00F001BC" w:rsidRDefault="00F001BC" w:rsidP="005840B3">
            <w:pPr>
              <w:ind w:right="-29"/>
              <w:jc w:val="center"/>
              <w:rPr>
                <w:noProof/>
                <w:sz w:val="18"/>
              </w:rPr>
            </w:pPr>
          </w:p>
        </w:tc>
        <w:tc>
          <w:tcPr>
            <w:tcW w:w="432" w:type="dxa"/>
            <w:tcBorders>
              <w:right w:val="dashSmallGap" w:sz="4" w:space="0" w:color="auto"/>
            </w:tcBorders>
          </w:tcPr>
          <w:p w14:paraId="5810C25C" w14:textId="77777777" w:rsidR="00F001BC" w:rsidRDefault="00F001BC" w:rsidP="005840B3">
            <w:pPr>
              <w:ind w:right="-29"/>
              <w:jc w:val="center"/>
              <w:rPr>
                <w:noProof/>
                <w:sz w:val="18"/>
              </w:rPr>
            </w:pPr>
          </w:p>
        </w:tc>
        <w:tc>
          <w:tcPr>
            <w:tcW w:w="720" w:type="dxa"/>
            <w:tcBorders>
              <w:left w:val="dashSmallGap" w:sz="4" w:space="0" w:color="auto"/>
            </w:tcBorders>
          </w:tcPr>
          <w:p w14:paraId="15FD2A4D" w14:textId="77777777" w:rsidR="00F001BC" w:rsidRDefault="00F001BC" w:rsidP="005840B3">
            <w:pPr>
              <w:ind w:right="-29"/>
              <w:jc w:val="center"/>
              <w:rPr>
                <w:noProof/>
                <w:sz w:val="18"/>
              </w:rPr>
            </w:pPr>
          </w:p>
        </w:tc>
        <w:tc>
          <w:tcPr>
            <w:tcW w:w="540" w:type="dxa"/>
            <w:tcBorders>
              <w:right w:val="dashSmallGap" w:sz="4" w:space="0" w:color="auto"/>
            </w:tcBorders>
          </w:tcPr>
          <w:p w14:paraId="2C4C8E83" w14:textId="77777777" w:rsidR="00F001BC" w:rsidRDefault="00F001BC" w:rsidP="005840B3">
            <w:pPr>
              <w:ind w:right="-29"/>
              <w:jc w:val="center"/>
              <w:rPr>
                <w:noProof/>
                <w:sz w:val="18"/>
              </w:rPr>
            </w:pPr>
          </w:p>
        </w:tc>
        <w:tc>
          <w:tcPr>
            <w:tcW w:w="720" w:type="dxa"/>
            <w:tcBorders>
              <w:left w:val="dashSmallGap" w:sz="4" w:space="0" w:color="auto"/>
            </w:tcBorders>
          </w:tcPr>
          <w:p w14:paraId="1003F675" w14:textId="77777777" w:rsidR="00F001BC" w:rsidRDefault="00F001BC" w:rsidP="005840B3">
            <w:pPr>
              <w:ind w:right="-29"/>
              <w:jc w:val="center"/>
              <w:rPr>
                <w:noProof/>
                <w:sz w:val="18"/>
              </w:rPr>
            </w:pPr>
          </w:p>
        </w:tc>
        <w:tc>
          <w:tcPr>
            <w:tcW w:w="720" w:type="dxa"/>
          </w:tcPr>
          <w:p w14:paraId="0312A932" w14:textId="77777777" w:rsidR="00F001BC" w:rsidRDefault="00F001BC" w:rsidP="005840B3">
            <w:pPr>
              <w:ind w:right="-29"/>
              <w:jc w:val="center"/>
              <w:rPr>
                <w:noProof/>
                <w:sz w:val="18"/>
              </w:rPr>
            </w:pPr>
          </w:p>
        </w:tc>
        <w:tc>
          <w:tcPr>
            <w:tcW w:w="900" w:type="dxa"/>
          </w:tcPr>
          <w:p w14:paraId="7DF18999" w14:textId="77777777" w:rsidR="00F001BC" w:rsidRDefault="00F001BC" w:rsidP="005840B3">
            <w:pPr>
              <w:ind w:right="-29"/>
              <w:jc w:val="center"/>
              <w:rPr>
                <w:noProof/>
                <w:sz w:val="18"/>
              </w:rPr>
            </w:pPr>
          </w:p>
        </w:tc>
      </w:tr>
      <w:tr w:rsidR="00F001BC" w14:paraId="5322BFAB" w14:textId="77777777" w:rsidTr="005840B3">
        <w:trPr>
          <w:trHeight w:hRule="exact" w:val="369"/>
          <w:jc w:val="center"/>
        </w:trPr>
        <w:tc>
          <w:tcPr>
            <w:tcW w:w="1423" w:type="dxa"/>
          </w:tcPr>
          <w:p w14:paraId="393B05BE" w14:textId="77777777" w:rsidR="00F001BC" w:rsidRDefault="00F001BC" w:rsidP="005840B3">
            <w:pPr>
              <w:ind w:right="-29"/>
              <w:jc w:val="center"/>
              <w:rPr>
                <w:noProof/>
                <w:sz w:val="18"/>
              </w:rPr>
            </w:pPr>
            <w:r>
              <w:rPr>
                <w:noProof/>
                <w:sz w:val="18"/>
              </w:rPr>
              <w:t>- Output</w:t>
            </w:r>
          </w:p>
        </w:tc>
        <w:tc>
          <w:tcPr>
            <w:tcW w:w="720" w:type="dxa"/>
          </w:tcPr>
          <w:p w14:paraId="285821B1" w14:textId="77777777" w:rsidR="00F001BC" w:rsidRDefault="00F001BC" w:rsidP="005840B3">
            <w:pPr>
              <w:ind w:right="-29"/>
              <w:jc w:val="center"/>
              <w:rPr>
                <w:noProof/>
                <w:sz w:val="18"/>
              </w:rPr>
            </w:pPr>
          </w:p>
        </w:tc>
        <w:tc>
          <w:tcPr>
            <w:tcW w:w="701" w:type="dxa"/>
          </w:tcPr>
          <w:p w14:paraId="58114AB5" w14:textId="77777777" w:rsidR="00F001BC" w:rsidRDefault="00F001BC" w:rsidP="005840B3">
            <w:pPr>
              <w:ind w:right="-29"/>
              <w:jc w:val="center"/>
              <w:rPr>
                <w:noProof/>
                <w:sz w:val="18"/>
              </w:rPr>
            </w:pPr>
          </w:p>
        </w:tc>
        <w:tc>
          <w:tcPr>
            <w:tcW w:w="504" w:type="dxa"/>
          </w:tcPr>
          <w:p w14:paraId="2A6BDF91" w14:textId="77777777" w:rsidR="00F001BC" w:rsidRDefault="00F001BC" w:rsidP="005840B3">
            <w:pPr>
              <w:ind w:right="-29"/>
              <w:jc w:val="center"/>
              <w:rPr>
                <w:noProof/>
                <w:sz w:val="18"/>
              </w:rPr>
            </w:pPr>
          </w:p>
        </w:tc>
        <w:tc>
          <w:tcPr>
            <w:tcW w:w="720" w:type="dxa"/>
          </w:tcPr>
          <w:p w14:paraId="076C810A" w14:textId="77777777" w:rsidR="00F001BC" w:rsidRDefault="00F001BC" w:rsidP="005840B3">
            <w:pPr>
              <w:ind w:right="-29"/>
              <w:jc w:val="center"/>
              <w:rPr>
                <w:noProof/>
                <w:sz w:val="18"/>
              </w:rPr>
            </w:pPr>
          </w:p>
        </w:tc>
        <w:tc>
          <w:tcPr>
            <w:tcW w:w="540" w:type="dxa"/>
          </w:tcPr>
          <w:p w14:paraId="689F1B6C" w14:textId="77777777" w:rsidR="00F001BC" w:rsidRDefault="00F001BC" w:rsidP="005840B3">
            <w:pPr>
              <w:ind w:right="-29"/>
              <w:jc w:val="center"/>
              <w:rPr>
                <w:noProof/>
                <w:sz w:val="18"/>
              </w:rPr>
            </w:pPr>
          </w:p>
        </w:tc>
        <w:tc>
          <w:tcPr>
            <w:tcW w:w="720" w:type="dxa"/>
          </w:tcPr>
          <w:p w14:paraId="3AEBE051" w14:textId="77777777" w:rsidR="00F001BC" w:rsidRDefault="00F001BC" w:rsidP="005840B3">
            <w:pPr>
              <w:ind w:right="-29"/>
              <w:jc w:val="center"/>
              <w:rPr>
                <w:noProof/>
                <w:sz w:val="18"/>
              </w:rPr>
            </w:pPr>
          </w:p>
        </w:tc>
        <w:tc>
          <w:tcPr>
            <w:tcW w:w="720" w:type="dxa"/>
          </w:tcPr>
          <w:p w14:paraId="0609545A" w14:textId="77777777" w:rsidR="00F001BC" w:rsidRDefault="00F001BC" w:rsidP="005840B3">
            <w:pPr>
              <w:ind w:right="-29"/>
              <w:jc w:val="center"/>
              <w:rPr>
                <w:noProof/>
                <w:sz w:val="18"/>
              </w:rPr>
            </w:pPr>
          </w:p>
        </w:tc>
        <w:tc>
          <w:tcPr>
            <w:tcW w:w="720" w:type="dxa"/>
          </w:tcPr>
          <w:p w14:paraId="2EF5BAC4" w14:textId="77777777" w:rsidR="00F001BC" w:rsidRDefault="00F001BC" w:rsidP="005840B3">
            <w:pPr>
              <w:ind w:right="-29"/>
              <w:jc w:val="center"/>
              <w:rPr>
                <w:noProof/>
                <w:sz w:val="18"/>
              </w:rPr>
            </w:pPr>
          </w:p>
        </w:tc>
        <w:tc>
          <w:tcPr>
            <w:tcW w:w="900" w:type="dxa"/>
          </w:tcPr>
          <w:p w14:paraId="240AC247" w14:textId="77777777" w:rsidR="00F001BC" w:rsidRDefault="00F001BC" w:rsidP="005840B3">
            <w:pPr>
              <w:ind w:right="-29"/>
              <w:jc w:val="center"/>
              <w:rPr>
                <w:noProof/>
                <w:sz w:val="18"/>
              </w:rPr>
            </w:pPr>
          </w:p>
        </w:tc>
        <w:tc>
          <w:tcPr>
            <w:tcW w:w="720" w:type="dxa"/>
            <w:gridSpan w:val="2"/>
          </w:tcPr>
          <w:p w14:paraId="4BCBE5CC" w14:textId="77777777" w:rsidR="00F001BC" w:rsidRDefault="00F001BC" w:rsidP="005840B3">
            <w:pPr>
              <w:ind w:right="-29"/>
              <w:jc w:val="center"/>
              <w:rPr>
                <w:noProof/>
                <w:sz w:val="18"/>
              </w:rPr>
            </w:pPr>
          </w:p>
        </w:tc>
        <w:tc>
          <w:tcPr>
            <w:tcW w:w="540" w:type="dxa"/>
          </w:tcPr>
          <w:p w14:paraId="683BB24D" w14:textId="77777777" w:rsidR="00F001BC" w:rsidRDefault="00F001BC" w:rsidP="005840B3">
            <w:pPr>
              <w:ind w:right="-29"/>
              <w:jc w:val="center"/>
              <w:rPr>
                <w:noProof/>
                <w:sz w:val="18"/>
              </w:rPr>
            </w:pPr>
          </w:p>
        </w:tc>
        <w:tc>
          <w:tcPr>
            <w:tcW w:w="648" w:type="dxa"/>
          </w:tcPr>
          <w:p w14:paraId="55342317" w14:textId="77777777" w:rsidR="00F001BC" w:rsidRDefault="00F001BC" w:rsidP="005840B3">
            <w:pPr>
              <w:ind w:right="-29"/>
              <w:jc w:val="center"/>
              <w:rPr>
                <w:noProof/>
                <w:sz w:val="18"/>
              </w:rPr>
            </w:pPr>
          </w:p>
        </w:tc>
        <w:tc>
          <w:tcPr>
            <w:tcW w:w="432" w:type="dxa"/>
          </w:tcPr>
          <w:p w14:paraId="4C331181" w14:textId="77777777" w:rsidR="00F001BC" w:rsidRDefault="00F001BC" w:rsidP="005840B3">
            <w:pPr>
              <w:ind w:right="-29"/>
              <w:jc w:val="center"/>
              <w:rPr>
                <w:noProof/>
                <w:sz w:val="18"/>
              </w:rPr>
            </w:pPr>
          </w:p>
        </w:tc>
        <w:tc>
          <w:tcPr>
            <w:tcW w:w="720" w:type="dxa"/>
          </w:tcPr>
          <w:p w14:paraId="5E336E22" w14:textId="77777777" w:rsidR="00F001BC" w:rsidRDefault="00F001BC" w:rsidP="005840B3">
            <w:pPr>
              <w:ind w:right="-29"/>
              <w:jc w:val="center"/>
              <w:rPr>
                <w:noProof/>
                <w:sz w:val="18"/>
              </w:rPr>
            </w:pPr>
          </w:p>
        </w:tc>
        <w:tc>
          <w:tcPr>
            <w:tcW w:w="540" w:type="dxa"/>
          </w:tcPr>
          <w:p w14:paraId="7614FA3F" w14:textId="77777777" w:rsidR="00F001BC" w:rsidRDefault="00F001BC" w:rsidP="005840B3">
            <w:pPr>
              <w:ind w:right="-29"/>
              <w:jc w:val="center"/>
              <w:rPr>
                <w:noProof/>
                <w:sz w:val="18"/>
              </w:rPr>
            </w:pPr>
          </w:p>
        </w:tc>
        <w:tc>
          <w:tcPr>
            <w:tcW w:w="720" w:type="dxa"/>
          </w:tcPr>
          <w:p w14:paraId="1DD1324F" w14:textId="77777777" w:rsidR="00F001BC" w:rsidRDefault="00F001BC" w:rsidP="005840B3">
            <w:pPr>
              <w:ind w:right="-29"/>
              <w:jc w:val="center"/>
              <w:rPr>
                <w:noProof/>
                <w:sz w:val="18"/>
              </w:rPr>
            </w:pPr>
          </w:p>
        </w:tc>
        <w:tc>
          <w:tcPr>
            <w:tcW w:w="720" w:type="dxa"/>
          </w:tcPr>
          <w:p w14:paraId="7D83B811" w14:textId="77777777" w:rsidR="00F001BC" w:rsidRDefault="00F001BC" w:rsidP="005840B3">
            <w:pPr>
              <w:ind w:right="-29"/>
              <w:jc w:val="center"/>
              <w:rPr>
                <w:noProof/>
                <w:sz w:val="18"/>
              </w:rPr>
            </w:pPr>
          </w:p>
        </w:tc>
        <w:tc>
          <w:tcPr>
            <w:tcW w:w="900" w:type="dxa"/>
          </w:tcPr>
          <w:p w14:paraId="41396D4B" w14:textId="77777777" w:rsidR="00F001BC" w:rsidRDefault="00F001BC" w:rsidP="005840B3">
            <w:pPr>
              <w:ind w:right="-29"/>
              <w:jc w:val="center"/>
              <w:rPr>
                <w:noProof/>
                <w:sz w:val="18"/>
              </w:rPr>
            </w:pPr>
          </w:p>
        </w:tc>
      </w:tr>
      <w:tr w:rsidR="00F001BC" w14:paraId="0C93DED4" w14:textId="77777777" w:rsidTr="005840B3">
        <w:trPr>
          <w:jc w:val="center"/>
        </w:trPr>
        <w:tc>
          <w:tcPr>
            <w:tcW w:w="2844" w:type="dxa"/>
            <w:gridSpan w:val="3"/>
            <w:tcBorders>
              <w:bottom w:val="single" w:sz="12" w:space="0" w:color="auto"/>
            </w:tcBorders>
            <w:vAlign w:val="center"/>
          </w:tcPr>
          <w:p w14:paraId="771FF2C3" w14:textId="77777777" w:rsidR="00F001BC" w:rsidRDefault="00F001BC" w:rsidP="005840B3">
            <w:pPr>
              <w:ind w:right="-29"/>
              <w:jc w:val="center"/>
              <w:rPr>
                <w:noProof/>
                <w:sz w:val="18"/>
              </w:rPr>
            </w:pPr>
            <w:r>
              <w:rPr>
                <w:noProof/>
                <w:sz w:val="18"/>
              </w:rPr>
              <w:t>Subtotal for specific objective No 1</w:t>
            </w:r>
          </w:p>
        </w:tc>
        <w:tc>
          <w:tcPr>
            <w:tcW w:w="504" w:type="dxa"/>
            <w:tcBorders>
              <w:bottom w:val="single" w:sz="12" w:space="0" w:color="auto"/>
            </w:tcBorders>
          </w:tcPr>
          <w:p w14:paraId="1FB11568" w14:textId="77777777" w:rsidR="00F001BC" w:rsidRDefault="00F001BC" w:rsidP="005840B3">
            <w:pPr>
              <w:ind w:right="-29"/>
              <w:jc w:val="center"/>
              <w:rPr>
                <w:noProof/>
                <w:sz w:val="18"/>
              </w:rPr>
            </w:pPr>
          </w:p>
        </w:tc>
        <w:tc>
          <w:tcPr>
            <w:tcW w:w="720" w:type="dxa"/>
            <w:tcBorders>
              <w:bottom w:val="single" w:sz="12" w:space="0" w:color="auto"/>
            </w:tcBorders>
          </w:tcPr>
          <w:p w14:paraId="678F0647" w14:textId="77777777" w:rsidR="00F001BC" w:rsidRDefault="00F001BC" w:rsidP="005840B3">
            <w:pPr>
              <w:ind w:right="-29"/>
              <w:jc w:val="center"/>
              <w:rPr>
                <w:noProof/>
                <w:sz w:val="18"/>
              </w:rPr>
            </w:pPr>
          </w:p>
        </w:tc>
        <w:tc>
          <w:tcPr>
            <w:tcW w:w="540" w:type="dxa"/>
            <w:tcBorders>
              <w:bottom w:val="single" w:sz="12" w:space="0" w:color="auto"/>
            </w:tcBorders>
          </w:tcPr>
          <w:p w14:paraId="74F0C747" w14:textId="77777777" w:rsidR="00F001BC" w:rsidRDefault="00F001BC" w:rsidP="005840B3">
            <w:pPr>
              <w:ind w:right="-29"/>
              <w:jc w:val="center"/>
              <w:rPr>
                <w:noProof/>
                <w:sz w:val="18"/>
              </w:rPr>
            </w:pPr>
          </w:p>
        </w:tc>
        <w:tc>
          <w:tcPr>
            <w:tcW w:w="720" w:type="dxa"/>
            <w:tcBorders>
              <w:bottom w:val="single" w:sz="12" w:space="0" w:color="auto"/>
            </w:tcBorders>
          </w:tcPr>
          <w:p w14:paraId="5419E7CD" w14:textId="77777777" w:rsidR="00F001BC" w:rsidRDefault="00F001BC" w:rsidP="005840B3">
            <w:pPr>
              <w:ind w:right="-29"/>
              <w:jc w:val="center"/>
              <w:rPr>
                <w:noProof/>
                <w:sz w:val="18"/>
              </w:rPr>
            </w:pPr>
          </w:p>
        </w:tc>
        <w:tc>
          <w:tcPr>
            <w:tcW w:w="720" w:type="dxa"/>
            <w:tcBorders>
              <w:bottom w:val="single" w:sz="12" w:space="0" w:color="auto"/>
            </w:tcBorders>
          </w:tcPr>
          <w:p w14:paraId="00DE8ACE" w14:textId="77777777" w:rsidR="00F001BC" w:rsidRDefault="00F001BC" w:rsidP="005840B3">
            <w:pPr>
              <w:ind w:right="-29"/>
              <w:jc w:val="center"/>
              <w:rPr>
                <w:noProof/>
                <w:sz w:val="18"/>
              </w:rPr>
            </w:pPr>
          </w:p>
        </w:tc>
        <w:tc>
          <w:tcPr>
            <w:tcW w:w="720" w:type="dxa"/>
            <w:tcBorders>
              <w:bottom w:val="single" w:sz="12" w:space="0" w:color="auto"/>
            </w:tcBorders>
          </w:tcPr>
          <w:p w14:paraId="747FA074" w14:textId="77777777" w:rsidR="00F001BC" w:rsidRDefault="00F001BC" w:rsidP="005840B3">
            <w:pPr>
              <w:ind w:right="-29"/>
              <w:jc w:val="center"/>
              <w:rPr>
                <w:noProof/>
                <w:sz w:val="18"/>
              </w:rPr>
            </w:pPr>
          </w:p>
        </w:tc>
        <w:tc>
          <w:tcPr>
            <w:tcW w:w="900" w:type="dxa"/>
            <w:tcBorders>
              <w:bottom w:val="single" w:sz="12" w:space="0" w:color="auto"/>
            </w:tcBorders>
          </w:tcPr>
          <w:p w14:paraId="5F3B7501" w14:textId="77777777" w:rsidR="00F001BC" w:rsidRDefault="00F001BC" w:rsidP="005840B3">
            <w:pPr>
              <w:ind w:right="-29"/>
              <w:jc w:val="center"/>
              <w:rPr>
                <w:noProof/>
                <w:sz w:val="18"/>
              </w:rPr>
            </w:pPr>
          </w:p>
        </w:tc>
        <w:tc>
          <w:tcPr>
            <w:tcW w:w="720" w:type="dxa"/>
            <w:gridSpan w:val="2"/>
            <w:tcBorders>
              <w:bottom w:val="single" w:sz="12" w:space="0" w:color="auto"/>
            </w:tcBorders>
          </w:tcPr>
          <w:p w14:paraId="07049E47" w14:textId="77777777" w:rsidR="00F001BC" w:rsidRDefault="00F001BC" w:rsidP="005840B3">
            <w:pPr>
              <w:ind w:right="-29"/>
              <w:jc w:val="center"/>
              <w:rPr>
                <w:noProof/>
                <w:sz w:val="18"/>
              </w:rPr>
            </w:pPr>
          </w:p>
        </w:tc>
        <w:tc>
          <w:tcPr>
            <w:tcW w:w="540" w:type="dxa"/>
            <w:tcBorders>
              <w:bottom w:val="single" w:sz="12" w:space="0" w:color="auto"/>
            </w:tcBorders>
          </w:tcPr>
          <w:p w14:paraId="5738C762" w14:textId="77777777" w:rsidR="00F001BC" w:rsidRDefault="00F001BC" w:rsidP="005840B3">
            <w:pPr>
              <w:ind w:right="-29"/>
              <w:jc w:val="center"/>
              <w:rPr>
                <w:noProof/>
                <w:sz w:val="18"/>
              </w:rPr>
            </w:pPr>
          </w:p>
        </w:tc>
        <w:tc>
          <w:tcPr>
            <w:tcW w:w="648" w:type="dxa"/>
            <w:tcBorders>
              <w:bottom w:val="single" w:sz="12" w:space="0" w:color="auto"/>
            </w:tcBorders>
          </w:tcPr>
          <w:p w14:paraId="3845E048" w14:textId="77777777" w:rsidR="00F001BC" w:rsidRDefault="00F001BC" w:rsidP="005840B3">
            <w:pPr>
              <w:ind w:right="-29"/>
              <w:jc w:val="center"/>
              <w:rPr>
                <w:noProof/>
                <w:sz w:val="18"/>
              </w:rPr>
            </w:pPr>
          </w:p>
        </w:tc>
        <w:tc>
          <w:tcPr>
            <w:tcW w:w="432" w:type="dxa"/>
            <w:tcBorders>
              <w:bottom w:val="single" w:sz="12" w:space="0" w:color="auto"/>
            </w:tcBorders>
          </w:tcPr>
          <w:p w14:paraId="6BB9F049" w14:textId="77777777" w:rsidR="00F001BC" w:rsidRDefault="00F001BC" w:rsidP="005840B3">
            <w:pPr>
              <w:ind w:right="-29"/>
              <w:jc w:val="center"/>
              <w:rPr>
                <w:noProof/>
                <w:sz w:val="18"/>
              </w:rPr>
            </w:pPr>
          </w:p>
        </w:tc>
        <w:tc>
          <w:tcPr>
            <w:tcW w:w="720" w:type="dxa"/>
            <w:tcBorders>
              <w:bottom w:val="single" w:sz="12" w:space="0" w:color="auto"/>
            </w:tcBorders>
          </w:tcPr>
          <w:p w14:paraId="57442152" w14:textId="77777777" w:rsidR="00F001BC" w:rsidRDefault="00F001BC" w:rsidP="005840B3">
            <w:pPr>
              <w:ind w:right="-29"/>
              <w:jc w:val="center"/>
              <w:rPr>
                <w:noProof/>
                <w:sz w:val="18"/>
              </w:rPr>
            </w:pPr>
          </w:p>
        </w:tc>
        <w:tc>
          <w:tcPr>
            <w:tcW w:w="540" w:type="dxa"/>
            <w:tcBorders>
              <w:bottom w:val="single" w:sz="12" w:space="0" w:color="auto"/>
            </w:tcBorders>
          </w:tcPr>
          <w:p w14:paraId="6BBF29EB" w14:textId="77777777" w:rsidR="00F001BC" w:rsidRDefault="00F001BC" w:rsidP="005840B3">
            <w:pPr>
              <w:ind w:right="-29"/>
              <w:jc w:val="center"/>
              <w:rPr>
                <w:noProof/>
                <w:sz w:val="18"/>
              </w:rPr>
            </w:pPr>
          </w:p>
        </w:tc>
        <w:tc>
          <w:tcPr>
            <w:tcW w:w="720" w:type="dxa"/>
            <w:tcBorders>
              <w:bottom w:val="single" w:sz="12" w:space="0" w:color="auto"/>
            </w:tcBorders>
          </w:tcPr>
          <w:p w14:paraId="1FB80220" w14:textId="77777777" w:rsidR="00F001BC" w:rsidRDefault="00F001BC" w:rsidP="005840B3">
            <w:pPr>
              <w:ind w:right="-29"/>
              <w:jc w:val="center"/>
              <w:rPr>
                <w:noProof/>
                <w:sz w:val="18"/>
              </w:rPr>
            </w:pPr>
          </w:p>
        </w:tc>
        <w:tc>
          <w:tcPr>
            <w:tcW w:w="720" w:type="dxa"/>
            <w:tcBorders>
              <w:bottom w:val="single" w:sz="12" w:space="0" w:color="auto"/>
            </w:tcBorders>
          </w:tcPr>
          <w:p w14:paraId="713652E0" w14:textId="77777777" w:rsidR="00F001BC" w:rsidRDefault="00F001BC" w:rsidP="005840B3">
            <w:pPr>
              <w:ind w:right="-29"/>
              <w:jc w:val="center"/>
              <w:rPr>
                <w:noProof/>
                <w:sz w:val="18"/>
              </w:rPr>
            </w:pPr>
          </w:p>
        </w:tc>
        <w:tc>
          <w:tcPr>
            <w:tcW w:w="900" w:type="dxa"/>
            <w:tcBorders>
              <w:bottom w:val="single" w:sz="12" w:space="0" w:color="auto"/>
            </w:tcBorders>
          </w:tcPr>
          <w:p w14:paraId="4C163FA1" w14:textId="77777777" w:rsidR="00F001BC" w:rsidRDefault="00F001BC" w:rsidP="005840B3">
            <w:pPr>
              <w:ind w:right="-29"/>
              <w:jc w:val="center"/>
              <w:rPr>
                <w:noProof/>
                <w:sz w:val="18"/>
              </w:rPr>
            </w:pPr>
          </w:p>
        </w:tc>
      </w:tr>
      <w:tr w:rsidR="00F001BC" w14:paraId="25370FAF" w14:textId="77777777" w:rsidTr="005840B3">
        <w:trPr>
          <w:jc w:val="center"/>
        </w:trPr>
        <w:tc>
          <w:tcPr>
            <w:tcW w:w="2844" w:type="dxa"/>
            <w:gridSpan w:val="3"/>
            <w:vAlign w:val="center"/>
          </w:tcPr>
          <w:p w14:paraId="1FD82E9A" w14:textId="77777777" w:rsidR="00F001BC" w:rsidRDefault="00F001BC" w:rsidP="005840B3">
            <w:pPr>
              <w:spacing w:before="60" w:after="60"/>
              <w:ind w:right="-29"/>
              <w:jc w:val="center"/>
              <w:rPr>
                <w:noProof/>
                <w:sz w:val="18"/>
              </w:rPr>
            </w:pPr>
            <w:r>
              <w:rPr>
                <w:noProof/>
                <w:sz w:val="18"/>
              </w:rPr>
              <w:t>SPECIFIC OBJECTIVE No 2 ...</w:t>
            </w:r>
          </w:p>
        </w:tc>
        <w:tc>
          <w:tcPr>
            <w:tcW w:w="504" w:type="dxa"/>
            <w:tcBorders>
              <w:top w:val="nil"/>
              <w:left w:val="nil"/>
              <w:bottom w:val="nil"/>
              <w:right w:val="nil"/>
            </w:tcBorders>
          </w:tcPr>
          <w:p w14:paraId="43809DA4"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382C724C" w14:textId="77777777" w:rsidR="00F001BC" w:rsidRDefault="00F001BC" w:rsidP="005840B3">
            <w:pPr>
              <w:spacing w:before="60" w:after="60"/>
              <w:ind w:right="-29"/>
              <w:jc w:val="center"/>
              <w:rPr>
                <w:noProof/>
                <w:sz w:val="18"/>
              </w:rPr>
            </w:pPr>
          </w:p>
        </w:tc>
        <w:tc>
          <w:tcPr>
            <w:tcW w:w="540" w:type="dxa"/>
            <w:tcBorders>
              <w:top w:val="nil"/>
              <w:left w:val="nil"/>
              <w:bottom w:val="nil"/>
              <w:right w:val="nil"/>
            </w:tcBorders>
          </w:tcPr>
          <w:p w14:paraId="1C299FA9"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03DEC5E7"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145AE88A"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7E97C3C1" w14:textId="77777777" w:rsidR="00F001BC" w:rsidRDefault="00F001BC" w:rsidP="005840B3">
            <w:pPr>
              <w:spacing w:before="60" w:after="60"/>
              <w:ind w:right="-29"/>
              <w:jc w:val="center"/>
              <w:rPr>
                <w:noProof/>
                <w:sz w:val="18"/>
              </w:rPr>
            </w:pPr>
          </w:p>
        </w:tc>
        <w:tc>
          <w:tcPr>
            <w:tcW w:w="900" w:type="dxa"/>
            <w:tcBorders>
              <w:top w:val="nil"/>
              <w:left w:val="nil"/>
              <w:bottom w:val="nil"/>
              <w:right w:val="nil"/>
            </w:tcBorders>
          </w:tcPr>
          <w:p w14:paraId="1F3DCA36" w14:textId="77777777" w:rsidR="00F001BC" w:rsidRDefault="00F001BC" w:rsidP="005840B3">
            <w:pPr>
              <w:spacing w:before="60" w:after="60"/>
              <w:ind w:right="-29"/>
              <w:jc w:val="center"/>
              <w:rPr>
                <w:noProof/>
                <w:sz w:val="18"/>
              </w:rPr>
            </w:pPr>
          </w:p>
        </w:tc>
        <w:tc>
          <w:tcPr>
            <w:tcW w:w="720" w:type="dxa"/>
            <w:gridSpan w:val="2"/>
            <w:tcBorders>
              <w:top w:val="nil"/>
              <w:left w:val="nil"/>
              <w:bottom w:val="nil"/>
              <w:right w:val="nil"/>
            </w:tcBorders>
          </w:tcPr>
          <w:p w14:paraId="20834047" w14:textId="77777777" w:rsidR="00F001BC" w:rsidRDefault="00F001BC" w:rsidP="005840B3">
            <w:pPr>
              <w:spacing w:before="60" w:after="60"/>
              <w:ind w:right="-29"/>
              <w:jc w:val="center"/>
              <w:rPr>
                <w:noProof/>
                <w:sz w:val="18"/>
              </w:rPr>
            </w:pPr>
          </w:p>
        </w:tc>
        <w:tc>
          <w:tcPr>
            <w:tcW w:w="540" w:type="dxa"/>
            <w:tcBorders>
              <w:top w:val="nil"/>
              <w:left w:val="nil"/>
              <w:bottom w:val="nil"/>
              <w:right w:val="nil"/>
            </w:tcBorders>
          </w:tcPr>
          <w:p w14:paraId="6645A248" w14:textId="77777777" w:rsidR="00F001BC" w:rsidRDefault="00F001BC" w:rsidP="005840B3">
            <w:pPr>
              <w:spacing w:before="60" w:after="60"/>
              <w:ind w:right="-29"/>
              <w:jc w:val="center"/>
              <w:rPr>
                <w:noProof/>
                <w:sz w:val="18"/>
              </w:rPr>
            </w:pPr>
          </w:p>
        </w:tc>
        <w:tc>
          <w:tcPr>
            <w:tcW w:w="648" w:type="dxa"/>
            <w:tcBorders>
              <w:top w:val="nil"/>
              <w:left w:val="nil"/>
              <w:bottom w:val="nil"/>
              <w:right w:val="nil"/>
            </w:tcBorders>
          </w:tcPr>
          <w:p w14:paraId="186F90BB" w14:textId="77777777" w:rsidR="00F001BC" w:rsidRDefault="00F001BC" w:rsidP="005840B3">
            <w:pPr>
              <w:spacing w:before="60" w:after="60"/>
              <w:ind w:right="-29"/>
              <w:jc w:val="center"/>
              <w:rPr>
                <w:noProof/>
                <w:sz w:val="18"/>
              </w:rPr>
            </w:pPr>
          </w:p>
        </w:tc>
        <w:tc>
          <w:tcPr>
            <w:tcW w:w="432" w:type="dxa"/>
            <w:tcBorders>
              <w:top w:val="nil"/>
              <w:left w:val="nil"/>
              <w:bottom w:val="nil"/>
              <w:right w:val="nil"/>
            </w:tcBorders>
          </w:tcPr>
          <w:p w14:paraId="0B1010FB"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026825C2" w14:textId="77777777" w:rsidR="00F001BC" w:rsidRDefault="00F001BC" w:rsidP="005840B3">
            <w:pPr>
              <w:spacing w:before="60" w:after="60"/>
              <w:ind w:right="-29"/>
              <w:jc w:val="center"/>
              <w:rPr>
                <w:noProof/>
                <w:sz w:val="18"/>
              </w:rPr>
            </w:pPr>
          </w:p>
        </w:tc>
        <w:tc>
          <w:tcPr>
            <w:tcW w:w="540" w:type="dxa"/>
            <w:tcBorders>
              <w:top w:val="nil"/>
              <w:left w:val="nil"/>
              <w:bottom w:val="nil"/>
              <w:right w:val="nil"/>
            </w:tcBorders>
          </w:tcPr>
          <w:p w14:paraId="707D3C45"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0F7E1723" w14:textId="77777777" w:rsidR="00F001BC" w:rsidRDefault="00F001BC" w:rsidP="005840B3">
            <w:pPr>
              <w:spacing w:before="60" w:after="60"/>
              <w:ind w:right="-29"/>
              <w:jc w:val="center"/>
              <w:rPr>
                <w:noProof/>
                <w:sz w:val="18"/>
              </w:rPr>
            </w:pPr>
          </w:p>
        </w:tc>
        <w:tc>
          <w:tcPr>
            <w:tcW w:w="720" w:type="dxa"/>
            <w:tcBorders>
              <w:top w:val="nil"/>
              <w:left w:val="nil"/>
              <w:bottom w:val="nil"/>
              <w:right w:val="nil"/>
            </w:tcBorders>
          </w:tcPr>
          <w:p w14:paraId="734A4BB0" w14:textId="77777777" w:rsidR="00F001BC" w:rsidRDefault="00F001BC" w:rsidP="005840B3">
            <w:pPr>
              <w:spacing w:before="60" w:after="60"/>
              <w:ind w:right="-29"/>
              <w:jc w:val="center"/>
              <w:rPr>
                <w:noProof/>
                <w:sz w:val="18"/>
              </w:rPr>
            </w:pPr>
          </w:p>
        </w:tc>
        <w:tc>
          <w:tcPr>
            <w:tcW w:w="900" w:type="dxa"/>
            <w:tcBorders>
              <w:top w:val="nil"/>
              <w:left w:val="nil"/>
              <w:bottom w:val="nil"/>
              <w:right w:val="nil"/>
            </w:tcBorders>
          </w:tcPr>
          <w:p w14:paraId="0446A510" w14:textId="77777777" w:rsidR="00F001BC" w:rsidRDefault="00F001BC" w:rsidP="005840B3">
            <w:pPr>
              <w:spacing w:before="60" w:after="60"/>
              <w:ind w:right="-29"/>
              <w:jc w:val="center"/>
              <w:rPr>
                <w:noProof/>
                <w:sz w:val="18"/>
              </w:rPr>
            </w:pPr>
          </w:p>
        </w:tc>
      </w:tr>
      <w:tr w:rsidR="00F001BC" w14:paraId="21DA7DFF" w14:textId="77777777" w:rsidTr="005840B3">
        <w:trPr>
          <w:trHeight w:hRule="exact" w:val="369"/>
          <w:jc w:val="center"/>
        </w:trPr>
        <w:tc>
          <w:tcPr>
            <w:tcW w:w="1423" w:type="dxa"/>
          </w:tcPr>
          <w:p w14:paraId="4C61813E" w14:textId="77777777" w:rsidR="00F001BC" w:rsidRDefault="00F001BC" w:rsidP="005840B3">
            <w:pPr>
              <w:ind w:right="-29"/>
              <w:jc w:val="center"/>
              <w:rPr>
                <w:noProof/>
                <w:sz w:val="18"/>
              </w:rPr>
            </w:pPr>
            <w:r>
              <w:rPr>
                <w:noProof/>
                <w:sz w:val="18"/>
              </w:rPr>
              <w:t>- Output</w:t>
            </w:r>
          </w:p>
        </w:tc>
        <w:tc>
          <w:tcPr>
            <w:tcW w:w="720" w:type="dxa"/>
          </w:tcPr>
          <w:p w14:paraId="53A80B1A" w14:textId="77777777" w:rsidR="00F001BC" w:rsidRDefault="00F001BC" w:rsidP="005840B3">
            <w:pPr>
              <w:ind w:right="-29"/>
              <w:jc w:val="center"/>
              <w:rPr>
                <w:noProof/>
                <w:sz w:val="18"/>
              </w:rPr>
            </w:pPr>
          </w:p>
        </w:tc>
        <w:tc>
          <w:tcPr>
            <w:tcW w:w="701" w:type="dxa"/>
          </w:tcPr>
          <w:p w14:paraId="70BECDA4" w14:textId="77777777" w:rsidR="00F001BC" w:rsidRDefault="00F001BC" w:rsidP="005840B3">
            <w:pPr>
              <w:ind w:right="-29"/>
              <w:jc w:val="center"/>
              <w:rPr>
                <w:noProof/>
                <w:sz w:val="18"/>
              </w:rPr>
            </w:pPr>
          </w:p>
        </w:tc>
        <w:tc>
          <w:tcPr>
            <w:tcW w:w="504" w:type="dxa"/>
          </w:tcPr>
          <w:p w14:paraId="62E40DAE" w14:textId="77777777" w:rsidR="00F001BC" w:rsidRDefault="00F001BC" w:rsidP="005840B3">
            <w:pPr>
              <w:ind w:right="-29"/>
              <w:jc w:val="center"/>
              <w:rPr>
                <w:noProof/>
                <w:sz w:val="18"/>
              </w:rPr>
            </w:pPr>
          </w:p>
        </w:tc>
        <w:tc>
          <w:tcPr>
            <w:tcW w:w="720" w:type="dxa"/>
          </w:tcPr>
          <w:p w14:paraId="61EDA4D9" w14:textId="77777777" w:rsidR="00F001BC" w:rsidRDefault="00F001BC" w:rsidP="005840B3">
            <w:pPr>
              <w:ind w:right="-29"/>
              <w:jc w:val="center"/>
              <w:rPr>
                <w:noProof/>
                <w:sz w:val="18"/>
              </w:rPr>
            </w:pPr>
          </w:p>
        </w:tc>
        <w:tc>
          <w:tcPr>
            <w:tcW w:w="540" w:type="dxa"/>
          </w:tcPr>
          <w:p w14:paraId="74DA1476" w14:textId="77777777" w:rsidR="00F001BC" w:rsidRDefault="00F001BC" w:rsidP="005840B3">
            <w:pPr>
              <w:ind w:right="-29"/>
              <w:jc w:val="center"/>
              <w:rPr>
                <w:noProof/>
                <w:sz w:val="18"/>
              </w:rPr>
            </w:pPr>
          </w:p>
        </w:tc>
        <w:tc>
          <w:tcPr>
            <w:tcW w:w="720" w:type="dxa"/>
          </w:tcPr>
          <w:p w14:paraId="6D4FE7D4" w14:textId="77777777" w:rsidR="00F001BC" w:rsidRDefault="00F001BC" w:rsidP="005840B3">
            <w:pPr>
              <w:ind w:right="-29"/>
              <w:jc w:val="center"/>
              <w:rPr>
                <w:noProof/>
                <w:sz w:val="18"/>
              </w:rPr>
            </w:pPr>
          </w:p>
        </w:tc>
        <w:tc>
          <w:tcPr>
            <w:tcW w:w="720" w:type="dxa"/>
          </w:tcPr>
          <w:p w14:paraId="2D7D9EB0" w14:textId="77777777" w:rsidR="00F001BC" w:rsidRDefault="00F001BC" w:rsidP="005840B3">
            <w:pPr>
              <w:ind w:right="-29"/>
              <w:jc w:val="center"/>
              <w:rPr>
                <w:noProof/>
                <w:sz w:val="18"/>
              </w:rPr>
            </w:pPr>
          </w:p>
        </w:tc>
        <w:tc>
          <w:tcPr>
            <w:tcW w:w="720" w:type="dxa"/>
          </w:tcPr>
          <w:p w14:paraId="473D845A" w14:textId="77777777" w:rsidR="00F001BC" w:rsidRDefault="00F001BC" w:rsidP="005840B3">
            <w:pPr>
              <w:ind w:right="-29"/>
              <w:jc w:val="center"/>
              <w:rPr>
                <w:noProof/>
                <w:sz w:val="18"/>
              </w:rPr>
            </w:pPr>
          </w:p>
        </w:tc>
        <w:tc>
          <w:tcPr>
            <w:tcW w:w="900" w:type="dxa"/>
          </w:tcPr>
          <w:p w14:paraId="1E0B564D" w14:textId="77777777" w:rsidR="00F001BC" w:rsidRDefault="00F001BC" w:rsidP="005840B3">
            <w:pPr>
              <w:ind w:right="-29"/>
              <w:jc w:val="center"/>
              <w:rPr>
                <w:noProof/>
                <w:sz w:val="18"/>
              </w:rPr>
            </w:pPr>
          </w:p>
        </w:tc>
        <w:tc>
          <w:tcPr>
            <w:tcW w:w="720" w:type="dxa"/>
            <w:gridSpan w:val="2"/>
          </w:tcPr>
          <w:p w14:paraId="33FA8723" w14:textId="77777777" w:rsidR="00F001BC" w:rsidRDefault="00F001BC" w:rsidP="005840B3">
            <w:pPr>
              <w:ind w:right="-29"/>
              <w:jc w:val="center"/>
              <w:rPr>
                <w:noProof/>
                <w:sz w:val="18"/>
              </w:rPr>
            </w:pPr>
          </w:p>
        </w:tc>
        <w:tc>
          <w:tcPr>
            <w:tcW w:w="540" w:type="dxa"/>
          </w:tcPr>
          <w:p w14:paraId="2D1F2847" w14:textId="77777777" w:rsidR="00F001BC" w:rsidRDefault="00F001BC" w:rsidP="005840B3">
            <w:pPr>
              <w:ind w:right="-29"/>
              <w:jc w:val="center"/>
              <w:rPr>
                <w:noProof/>
                <w:sz w:val="18"/>
              </w:rPr>
            </w:pPr>
          </w:p>
        </w:tc>
        <w:tc>
          <w:tcPr>
            <w:tcW w:w="648" w:type="dxa"/>
          </w:tcPr>
          <w:p w14:paraId="1F58E81D" w14:textId="77777777" w:rsidR="00F001BC" w:rsidRDefault="00F001BC" w:rsidP="005840B3">
            <w:pPr>
              <w:ind w:right="-29"/>
              <w:jc w:val="center"/>
              <w:rPr>
                <w:noProof/>
                <w:sz w:val="18"/>
              </w:rPr>
            </w:pPr>
          </w:p>
        </w:tc>
        <w:tc>
          <w:tcPr>
            <w:tcW w:w="432" w:type="dxa"/>
          </w:tcPr>
          <w:p w14:paraId="30CD5C7B" w14:textId="77777777" w:rsidR="00F001BC" w:rsidRDefault="00F001BC" w:rsidP="005840B3">
            <w:pPr>
              <w:ind w:right="-29"/>
              <w:jc w:val="center"/>
              <w:rPr>
                <w:noProof/>
                <w:sz w:val="18"/>
              </w:rPr>
            </w:pPr>
          </w:p>
        </w:tc>
        <w:tc>
          <w:tcPr>
            <w:tcW w:w="720" w:type="dxa"/>
          </w:tcPr>
          <w:p w14:paraId="51619A26" w14:textId="77777777" w:rsidR="00F001BC" w:rsidRDefault="00F001BC" w:rsidP="005840B3">
            <w:pPr>
              <w:ind w:right="-29"/>
              <w:jc w:val="center"/>
              <w:rPr>
                <w:noProof/>
                <w:sz w:val="18"/>
              </w:rPr>
            </w:pPr>
          </w:p>
        </w:tc>
        <w:tc>
          <w:tcPr>
            <w:tcW w:w="540" w:type="dxa"/>
          </w:tcPr>
          <w:p w14:paraId="286377E0" w14:textId="77777777" w:rsidR="00F001BC" w:rsidRDefault="00F001BC" w:rsidP="005840B3">
            <w:pPr>
              <w:ind w:right="-29"/>
              <w:jc w:val="center"/>
              <w:rPr>
                <w:noProof/>
                <w:sz w:val="18"/>
              </w:rPr>
            </w:pPr>
          </w:p>
        </w:tc>
        <w:tc>
          <w:tcPr>
            <w:tcW w:w="720" w:type="dxa"/>
          </w:tcPr>
          <w:p w14:paraId="0AFA9E93" w14:textId="77777777" w:rsidR="00F001BC" w:rsidRDefault="00F001BC" w:rsidP="005840B3">
            <w:pPr>
              <w:ind w:right="-29"/>
              <w:jc w:val="center"/>
              <w:rPr>
                <w:noProof/>
                <w:sz w:val="18"/>
              </w:rPr>
            </w:pPr>
          </w:p>
        </w:tc>
        <w:tc>
          <w:tcPr>
            <w:tcW w:w="720" w:type="dxa"/>
          </w:tcPr>
          <w:p w14:paraId="4BA22AD8" w14:textId="77777777" w:rsidR="00F001BC" w:rsidRDefault="00F001BC" w:rsidP="005840B3">
            <w:pPr>
              <w:ind w:right="-29"/>
              <w:jc w:val="center"/>
              <w:rPr>
                <w:noProof/>
                <w:sz w:val="18"/>
              </w:rPr>
            </w:pPr>
          </w:p>
        </w:tc>
        <w:tc>
          <w:tcPr>
            <w:tcW w:w="900" w:type="dxa"/>
          </w:tcPr>
          <w:p w14:paraId="27527836" w14:textId="77777777" w:rsidR="00F001BC" w:rsidRDefault="00F001BC" w:rsidP="005840B3">
            <w:pPr>
              <w:ind w:right="-29"/>
              <w:jc w:val="center"/>
              <w:rPr>
                <w:noProof/>
                <w:sz w:val="18"/>
              </w:rPr>
            </w:pPr>
          </w:p>
        </w:tc>
      </w:tr>
      <w:tr w:rsidR="00F001BC" w14:paraId="057B5B76" w14:textId="77777777" w:rsidTr="005840B3">
        <w:trPr>
          <w:jc w:val="center"/>
        </w:trPr>
        <w:tc>
          <w:tcPr>
            <w:tcW w:w="2844" w:type="dxa"/>
            <w:gridSpan w:val="3"/>
            <w:tcBorders>
              <w:bottom w:val="single" w:sz="12" w:space="0" w:color="auto"/>
            </w:tcBorders>
            <w:vAlign w:val="center"/>
          </w:tcPr>
          <w:p w14:paraId="562052F6" w14:textId="77777777" w:rsidR="00F001BC" w:rsidRDefault="00F001BC" w:rsidP="005840B3">
            <w:pPr>
              <w:jc w:val="center"/>
              <w:rPr>
                <w:noProof/>
                <w:sz w:val="18"/>
              </w:rPr>
            </w:pPr>
            <w:r>
              <w:rPr>
                <w:noProof/>
                <w:sz w:val="18"/>
              </w:rPr>
              <w:t>Subtotal for specific objective No 2</w:t>
            </w:r>
          </w:p>
        </w:tc>
        <w:tc>
          <w:tcPr>
            <w:tcW w:w="504" w:type="dxa"/>
            <w:tcBorders>
              <w:bottom w:val="single" w:sz="12" w:space="0" w:color="auto"/>
            </w:tcBorders>
          </w:tcPr>
          <w:p w14:paraId="311B9178" w14:textId="77777777" w:rsidR="00F001BC" w:rsidRDefault="00F001BC" w:rsidP="005840B3">
            <w:pPr>
              <w:ind w:right="-29"/>
              <w:jc w:val="center"/>
              <w:rPr>
                <w:noProof/>
                <w:sz w:val="18"/>
              </w:rPr>
            </w:pPr>
          </w:p>
        </w:tc>
        <w:tc>
          <w:tcPr>
            <w:tcW w:w="720" w:type="dxa"/>
            <w:tcBorders>
              <w:bottom w:val="single" w:sz="12" w:space="0" w:color="auto"/>
            </w:tcBorders>
          </w:tcPr>
          <w:p w14:paraId="09A863DE" w14:textId="77777777" w:rsidR="00F001BC" w:rsidRDefault="00F001BC" w:rsidP="005840B3">
            <w:pPr>
              <w:ind w:right="-29"/>
              <w:jc w:val="center"/>
              <w:rPr>
                <w:noProof/>
                <w:sz w:val="18"/>
              </w:rPr>
            </w:pPr>
          </w:p>
        </w:tc>
        <w:tc>
          <w:tcPr>
            <w:tcW w:w="540" w:type="dxa"/>
            <w:tcBorders>
              <w:bottom w:val="single" w:sz="12" w:space="0" w:color="auto"/>
            </w:tcBorders>
          </w:tcPr>
          <w:p w14:paraId="1C0BE2C3" w14:textId="77777777" w:rsidR="00F001BC" w:rsidRDefault="00F001BC" w:rsidP="005840B3">
            <w:pPr>
              <w:ind w:right="-29"/>
              <w:jc w:val="center"/>
              <w:rPr>
                <w:noProof/>
                <w:sz w:val="18"/>
              </w:rPr>
            </w:pPr>
          </w:p>
        </w:tc>
        <w:tc>
          <w:tcPr>
            <w:tcW w:w="720" w:type="dxa"/>
            <w:tcBorders>
              <w:bottom w:val="single" w:sz="12" w:space="0" w:color="auto"/>
            </w:tcBorders>
          </w:tcPr>
          <w:p w14:paraId="0F0725A4" w14:textId="77777777" w:rsidR="00F001BC" w:rsidRDefault="00F001BC" w:rsidP="005840B3">
            <w:pPr>
              <w:ind w:right="-29"/>
              <w:jc w:val="center"/>
              <w:rPr>
                <w:noProof/>
                <w:sz w:val="18"/>
              </w:rPr>
            </w:pPr>
          </w:p>
        </w:tc>
        <w:tc>
          <w:tcPr>
            <w:tcW w:w="720" w:type="dxa"/>
            <w:tcBorders>
              <w:bottom w:val="single" w:sz="12" w:space="0" w:color="auto"/>
            </w:tcBorders>
          </w:tcPr>
          <w:p w14:paraId="203BAD0B" w14:textId="77777777" w:rsidR="00F001BC" w:rsidRDefault="00F001BC" w:rsidP="005840B3">
            <w:pPr>
              <w:ind w:right="-29"/>
              <w:jc w:val="center"/>
              <w:rPr>
                <w:noProof/>
                <w:sz w:val="18"/>
              </w:rPr>
            </w:pPr>
          </w:p>
        </w:tc>
        <w:tc>
          <w:tcPr>
            <w:tcW w:w="720" w:type="dxa"/>
            <w:tcBorders>
              <w:bottom w:val="single" w:sz="12" w:space="0" w:color="auto"/>
            </w:tcBorders>
          </w:tcPr>
          <w:p w14:paraId="2C6A35C5" w14:textId="77777777" w:rsidR="00F001BC" w:rsidRDefault="00F001BC" w:rsidP="005840B3">
            <w:pPr>
              <w:ind w:right="-29"/>
              <w:jc w:val="center"/>
              <w:rPr>
                <w:noProof/>
                <w:sz w:val="18"/>
              </w:rPr>
            </w:pPr>
          </w:p>
        </w:tc>
        <w:tc>
          <w:tcPr>
            <w:tcW w:w="951" w:type="dxa"/>
            <w:gridSpan w:val="2"/>
            <w:tcBorders>
              <w:bottom w:val="single" w:sz="12" w:space="0" w:color="auto"/>
            </w:tcBorders>
          </w:tcPr>
          <w:p w14:paraId="019D97F1" w14:textId="77777777" w:rsidR="00F001BC" w:rsidRDefault="00F001BC" w:rsidP="005840B3">
            <w:pPr>
              <w:ind w:right="-29"/>
              <w:jc w:val="center"/>
              <w:rPr>
                <w:noProof/>
                <w:sz w:val="18"/>
              </w:rPr>
            </w:pPr>
          </w:p>
        </w:tc>
        <w:tc>
          <w:tcPr>
            <w:tcW w:w="669" w:type="dxa"/>
            <w:tcBorders>
              <w:bottom w:val="single" w:sz="12" w:space="0" w:color="auto"/>
            </w:tcBorders>
          </w:tcPr>
          <w:p w14:paraId="15DAB612" w14:textId="77777777" w:rsidR="00F001BC" w:rsidRDefault="00F001BC" w:rsidP="005840B3">
            <w:pPr>
              <w:ind w:right="-29"/>
              <w:jc w:val="center"/>
              <w:rPr>
                <w:noProof/>
                <w:sz w:val="18"/>
              </w:rPr>
            </w:pPr>
          </w:p>
        </w:tc>
        <w:tc>
          <w:tcPr>
            <w:tcW w:w="540" w:type="dxa"/>
            <w:tcBorders>
              <w:bottom w:val="single" w:sz="12" w:space="0" w:color="auto"/>
            </w:tcBorders>
          </w:tcPr>
          <w:p w14:paraId="028788E4" w14:textId="77777777" w:rsidR="00F001BC" w:rsidRDefault="00F001BC" w:rsidP="005840B3">
            <w:pPr>
              <w:ind w:right="-29"/>
              <w:jc w:val="center"/>
              <w:rPr>
                <w:noProof/>
                <w:sz w:val="18"/>
              </w:rPr>
            </w:pPr>
          </w:p>
        </w:tc>
        <w:tc>
          <w:tcPr>
            <w:tcW w:w="648" w:type="dxa"/>
            <w:tcBorders>
              <w:bottom w:val="single" w:sz="12" w:space="0" w:color="auto"/>
            </w:tcBorders>
          </w:tcPr>
          <w:p w14:paraId="249B4239" w14:textId="77777777" w:rsidR="00F001BC" w:rsidRDefault="00F001BC" w:rsidP="005840B3">
            <w:pPr>
              <w:ind w:right="-29"/>
              <w:jc w:val="center"/>
              <w:rPr>
                <w:noProof/>
                <w:sz w:val="18"/>
              </w:rPr>
            </w:pPr>
          </w:p>
        </w:tc>
        <w:tc>
          <w:tcPr>
            <w:tcW w:w="432" w:type="dxa"/>
            <w:tcBorders>
              <w:bottom w:val="single" w:sz="12" w:space="0" w:color="auto"/>
            </w:tcBorders>
          </w:tcPr>
          <w:p w14:paraId="7348470E" w14:textId="77777777" w:rsidR="00F001BC" w:rsidRDefault="00F001BC" w:rsidP="005840B3">
            <w:pPr>
              <w:ind w:right="-29"/>
              <w:jc w:val="center"/>
              <w:rPr>
                <w:noProof/>
                <w:sz w:val="18"/>
              </w:rPr>
            </w:pPr>
          </w:p>
        </w:tc>
        <w:tc>
          <w:tcPr>
            <w:tcW w:w="720" w:type="dxa"/>
            <w:tcBorders>
              <w:bottom w:val="single" w:sz="12" w:space="0" w:color="auto"/>
            </w:tcBorders>
          </w:tcPr>
          <w:p w14:paraId="36DAE214" w14:textId="77777777" w:rsidR="00F001BC" w:rsidRDefault="00F001BC" w:rsidP="005840B3">
            <w:pPr>
              <w:ind w:right="-29"/>
              <w:jc w:val="center"/>
              <w:rPr>
                <w:noProof/>
                <w:sz w:val="18"/>
              </w:rPr>
            </w:pPr>
          </w:p>
        </w:tc>
        <w:tc>
          <w:tcPr>
            <w:tcW w:w="540" w:type="dxa"/>
            <w:tcBorders>
              <w:bottom w:val="single" w:sz="12" w:space="0" w:color="auto"/>
            </w:tcBorders>
          </w:tcPr>
          <w:p w14:paraId="061FF069" w14:textId="77777777" w:rsidR="00F001BC" w:rsidRDefault="00F001BC" w:rsidP="005840B3">
            <w:pPr>
              <w:ind w:right="-29"/>
              <w:jc w:val="center"/>
              <w:rPr>
                <w:noProof/>
                <w:sz w:val="18"/>
              </w:rPr>
            </w:pPr>
          </w:p>
        </w:tc>
        <w:tc>
          <w:tcPr>
            <w:tcW w:w="720" w:type="dxa"/>
            <w:tcBorders>
              <w:bottom w:val="single" w:sz="12" w:space="0" w:color="auto"/>
            </w:tcBorders>
          </w:tcPr>
          <w:p w14:paraId="1256A924" w14:textId="77777777" w:rsidR="00F001BC" w:rsidRDefault="00F001BC" w:rsidP="005840B3">
            <w:pPr>
              <w:ind w:right="-29"/>
              <w:jc w:val="center"/>
              <w:rPr>
                <w:noProof/>
                <w:sz w:val="18"/>
              </w:rPr>
            </w:pPr>
          </w:p>
        </w:tc>
        <w:tc>
          <w:tcPr>
            <w:tcW w:w="720" w:type="dxa"/>
            <w:tcBorders>
              <w:bottom w:val="single" w:sz="12" w:space="0" w:color="auto"/>
            </w:tcBorders>
          </w:tcPr>
          <w:p w14:paraId="21A37803" w14:textId="77777777" w:rsidR="00F001BC" w:rsidRDefault="00F001BC" w:rsidP="005840B3">
            <w:pPr>
              <w:ind w:right="-29"/>
              <w:jc w:val="center"/>
              <w:rPr>
                <w:noProof/>
                <w:sz w:val="18"/>
              </w:rPr>
            </w:pPr>
          </w:p>
        </w:tc>
        <w:tc>
          <w:tcPr>
            <w:tcW w:w="900" w:type="dxa"/>
            <w:tcBorders>
              <w:bottom w:val="single" w:sz="12" w:space="0" w:color="auto"/>
            </w:tcBorders>
          </w:tcPr>
          <w:p w14:paraId="173FCBD5" w14:textId="77777777" w:rsidR="00F001BC" w:rsidRDefault="00F001BC" w:rsidP="005840B3">
            <w:pPr>
              <w:ind w:right="-29"/>
              <w:jc w:val="center"/>
              <w:rPr>
                <w:noProof/>
                <w:sz w:val="18"/>
              </w:rPr>
            </w:pPr>
          </w:p>
        </w:tc>
      </w:tr>
      <w:tr w:rsidR="00F001BC" w14:paraId="0E3F07A2" w14:textId="77777777" w:rsidTr="005840B3">
        <w:trPr>
          <w:jc w:val="center"/>
        </w:trPr>
        <w:tc>
          <w:tcPr>
            <w:tcW w:w="2844" w:type="dxa"/>
            <w:gridSpan w:val="3"/>
            <w:tcBorders>
              <w:top w:val="single" w:sz="12" w:space="0" w:color="auto"/>
              <w:left w:val="single" w:sz="12" w:space="0" w:color="auto"/>
              <w:bottom w:val="single" w:sz="12" w:space="0" w:color="auto"/>
            </w:tcBorders>
            <w:vAlign w:val="center"/>
          </w:tcPr>
          <w:p w14:paraId="6870705E" w14:textId="77777777" w:rsidR="00F001BC" w:rsidRDefault="00F001BC" w:rsidP="005840B3">
            <w:pPr>
              <w:ind w:right="-29"/>
              <w:jc w:val="center"/>
              <w:rPr>
                <w:noProof/>
                <w:sz w:val="18"/>
              </w:rPr>
            </w:pPr>
            <w:r>
              <w:rPr>
                <w:b/>
                <w:noProof/>
                <w:sz w:val="18"/>
              </w:rPr>
              <w:t>TOTAL COST</w:t>
            </w:r>
          </w:p>
        </w:tc>
        <w:tc>
          <w:tcPr>
            <w:tcW w:w="504" w:type="dxa"/>
            <w:tcBorders>
              <w:top w:val="single" w:sz="12" w:space="0" w:color="auto"/>
              <w:bottom w:val="single" w:sz="12" w:space="0" w:color="auto"/>
            </w:tcBorders>
          </w:tcPr>
          <w:p w14:paraId="3C93B053" w14:textId="77777777" w:rsidR="00F001BC" w:rsidRDefault="00F001BC" w:rsidP="005840B3">
            <w:pPr>
              <w:spacing w:before="180" w:after="180"/>
              <w:ind w:right="-29"/>
              <w:jc w:val="center"/>
              <w:rPr>
                <w:noProof/>
                <w:sz w:val="18"/>
              </w:rPr>
            </w:pPr>
          </w:p>
        </w:tc>
        <w:tc>
          <w:tcPr>
            <w:tcW w:w="720" w:type="dxa"/>
            <w:tcBorders>
              <w:top w:val="single" w:sz="12" w:space="0" w:color="auto"/>
              <w:bottom w:val="single" w:sz="12" w:space="0" w:color="auto"/>
            </w:tcBorders>
          </w:tcPr>
          <w:p w14:paraId="08E02265" w14:textId="77777777" w:rsidR="00F001BC" w:rsidRDefault="00F001BC" w:rsidP="005840B3">
            <w:pPr>
              <w:spacing w:before="180" w:after="180"/>
              <w:ind w:right="-29"/>
              <w:jc w:val="center"/>
              <w:rPr>
                <w:noProof/>
                <w:sz w:val="18"/>
              </w:rPr>
            </w:pPr>
          </w:p>
        </w:tc>
        <w:tc>
          <w:tcPr>
            <w:tcW w:w="540" w:type="dxa"/>
            <w:tcBorders>
              <w:top w:val="single" w:sz="12" w:space="0" w:color="auto"/>
              <w:bottom w:val="single" w:sz="12" w:space="0" w:color="auto"/>
            </w:tcBorders>
          </w:tcPr>
          <w:p w14:paraId="19941FB0" w14:textId="77777777" w:rsidR="00F001BC" w:rsidRDefault="00F001BC" w:rsidP="005840B3">
            <w:pPr>
              <w:spacing w:before="180" w:after="180"/>
              <w:ind w:right="-29"/>
              <w:jc w:val="center"/>
              <w:rPr>
                <w:noProof/>
                <w:sz w:val="18"/>
              </w:rPr>
            </w:pPr>
          </w:p>
        </w:tc>
        <w:tc>
          <w:tcPr>
            <w:tcW w:w="720" w:type="dxa"/>
            <w:tcBorders>
              <w:top w:val="single" w:sz="12" w:space="0" w:color="auto"/>
              <w:bottom w:val="single" w:sz="12" w:space="0" w:color="auto"/>
            </w:tcBorders>
          </w:tcPr>
          <w:p w14:paraId="62904FBE" w14:textId="77777777" w:rsidR="00F001BC" w:rsidRDefault="00F001BC" w:rsidP="005840B3">
            <w:pPr>
              <w:spacing w:before="180" w:after="180"/>
              <w:ind w:right="-29"/>
              <w:jc w:val="center"/>
              <w:rPr>
                <w:noProof/>
                <w:sz w:val="18"/>
              </w:rPr>
            </w:pPr>
          </w:p>
        </w:tc>
        <w:tc>
          <w:tcPr>
            <w:tcW w:w="720" w:type="dxa"/>
            <w:tcBorders>
              <w:top w:val="single" w:sz="12" w:space="0" w:color="auto"/>
              <w:bottom w:val="single" w:sz="12" w:space="0" w:color="auto"/>
            </w:tcBorders>
          </w:tcPr>
          <w:p w14:paraId="55501DB0" w14:textId="77777777" w:rsidR="00F001BC" w:rsidRDefault="00F001BC" w:rsidP="005840B3">
            <w:pPr>
              <w:spacing w:before="180" w:after="180"/>
              <w:ind w:right="-29"/>
              <w:jc w:val="center"/>
              <w:rPr>
                <w:noProof/>
                <w:sz w:val="18"/>
              </w:rPr>
            </w:pPr>
          </w:p>
        </w:tc>
        <w:tc>
          <w:tcPr>
            <w:tcW w:w="720" w:type="dxa"/>
            <w:tcBorders>
              <w:top w:val="single" w:sz="12" w:space="0" w:color="auto"/>
              <w:bottom w:val="single" w:sz="12" w:space="0" w:color="auto"/>
            </w:tcBorders>
          </w:tcPr>
          <w:p w14:paraId="7D8FD7D4" w14:textId="77777777" w:rsidR="00F001BC" w:rsidRDefault="00F001BC" w:rsidP="005840B3">
            <w:pPr>
              <w:spacing w:before="180" w:after="180"/>
              <w:ind w:right="-29"/>
              <w:jc w:val="center"/>
              <w:rPr>
                <w:noProof/>
                <w:sz w:val="18"/>
              </w:rPr>
            </w:pPr>
          </w:p>
        </w:tc>
        <w:tc>
          <w:tcPr>
            <w:tcW w:w="900" w:type="dxa"/>
            <w:tcBorders>
              <w:top w:val="single" w:sz="12" w:space="0" w:color="auto"/>
              <w:bottom w:val="single" w:sz="12" w:space="0" w:color="auto"/>
            </w:tcBorders>
          </w:tcPr>
          <w:p w14:paraId="1257D9A1" w14:textId="77777777" w:rsidR="00F001BC" w:rsidRDefault="00F001BC" w:rsidP="005840B3">
            <w:pPr>
              <w:spacing w:before="180" w:after="180"/>
              <w:ind w:right="-29"/>
              <w:jc w:val="center"/>
              <w:rPr>
                <w:noProof/>
                <w:sz w:val="18"/>
              </w:rPr>
            </w:pPr>
          </w:p>
        </w:tc>
        <w:tc>
          <w:tcPr>
            <w:tcW w:w="720" w:type="dxa"/>
            <w:gridSpan w:val="2"/>
            <w:tcBorders>
              <w:top w:val="single" w:sz="12" w:space="0" w:color="auto"/>
              <w:bottom w:val="single" w:sz="12" w:space="0" w:color="auto"/>
            </w:tcBorders>
          </w:tcPr>
          <w:p w14:paraId="4F44A178" w14:textId="77777777" w:rsidR="00F001BC" w:rsidRDefault="00F001BC" w:rsidP="005840B3">
            <w:pPr>
              <w:spacing w:before="180" w:after="180"/>
              <w:ind w:right="-29"/>
              <w:jc w:val="center"/>
              <w:rPr>
                <w:noProof/>
                <w:sz w:val="18"/>
              </w:rPr>
            </w:pPr>
          </w:p>
        </w:tc>
        <w:tc>
          <w:tcPr>
            <w:tcW w:w="540" w:type="dxa"/>
            <w:tcBorders>
              <w:top w:val="single" w:sz="12" w:space="0" w:color="auto"/>
              <w:bottom w:val="single" w:sz="12" w:space="0" w:color="auto"/>
            </w:tcBorders>
          </w:tcPr>
          <w:p w14:paraId="16F36A56" w14:textId="77777777" w:rsidR="00F001BC" w:rsidRDefault="00F001BC" w:rsidP="005840B3">
            <w:pPr>
              <w:spacing w:before="180" w:after="180"/>
              <w:ind w:right="-29"/>
              <w:jc w:val="center"/>
              <w:rPr>
                <w:noProof/>
                <w:sz w:val="18"/>
              </w:rPr>
            </w:pPr>
          </w:p>
        </w:tc>
        <w:tc>
          <w:tcPr>
            <w:tcW w:w="648" w:type="dxa"/>
            <w:tcBorders>
              <w:top w:val="single" w:sz="12" w:space="0" w:color="auto"/>
              <w:bottom w:val="single" w:sz="12" w:space="0" w:color="auto"/>
            </w:tcBorders>
          </w:tcPr>
          <w:p w14:paraId="134334BF" w14:textId="77777777" w:rsidR="00F001BC" w:rsidRDefault="00F001BC" w:rsidP="005840B3">
            <w:pPr>
              <w:spacing w:before="180" w:after="180"/>
              <w:ind w:right="-29"/>
              <w:jc w:val="center"/>
              <w:rPr>
                <w:noProof/>
                <w:sz w:val="18"/>
              </w:rPr>
            </w:pPr>
          </w:p>
        </w:tc>
        <w:tc>
          <w:tcPr>
            <w:tcW w:w="432" w:type="dxa"/>
            <w:tcBorders>
              <w:top w:val="single" w:sz="12" w:space="0" w:color="auto"/>
              <w:bottom w:val="single" w:sz="12" w:space="0" w:color="auto"/>
            </w:tcBorders>
          </w:tcPr>
          <w:p w14:paraId="144B2C27" w14:textId="77777777" w:rsidR="00F001BC" w:rsidRDefault="00F001BC" w:rsidP="005840B3">
            <w:pPr>
              <w:spacing w:before="180" w:after="180"/>
              <w:ind w:right="-29"/>
              <w:jc w:val="center"/>
              <w:rPr>
                <w:noProof/>
                <w:sz w:val="18"/>
              </w:rPr>
            </w:pPr>
          </w:p>
        </w:tc>
        <w:tc>
          <w:tcPr>
            <w:tcW w:w="720" w:type="dxa"/>
            <w:tcBorders>
              <w:top w:val="single" w:sz="12" w:space="0" w:color="auto"/>
              <w:bottom w:val="single" w:sz="12" w:space="0" w:color="auto"/>
            </w:tcBorders>
          </w:tcPr>
          <w:p w14:paraId="22E98074" w14:textId="77777777" w:rsidR="00F001BC" w:rsidRDefault="00F001BC" w:rsidP="005840B3">
            <w:pPr>
              <w:spacing w:before="180" w:after="180"/>
              <w:ind w:right="-29"/>
              <w:jc w:val="center"/>
              <w:rPr>
                <w:noProof/>
                <w:sz w:val="18"/>
              </w:rPr>
            </w:pPr>
          </w:p>
        </w:tc>
        <w:tc>
          <w:tcPr>
            <w:tcW w:w="540" w:type="dxa"/>
            <w:tcBorders>
              <w:top w:val="single" w:sz="12" w:space="0" w:color="auto"/>
              <w:bottom w:val="single" w:sz="12" w:space="0" w:color="auto"/>
            </w:tcBorders>
          </w:tcPr>
          <w:p w14:paraId="72F1A307" w14:textId="77777777" w:rsidR="00F001BC" w:rsidRDefault="00F001BC" w:rsidP="005840B3">
            <w:pPr>
              <w:spacing w:before="180" w:after="180"/>
              <w:ind w:right="-29"/>
              <w:jc w:val="center"/>
              <w:rPr>
                <w:noProof/>
                <w:sz w:val="18"/>
              </w:rPr>
            </w:pPr>
          </w:p>
        </w:tc>
        <w:tc>
          <w:tcPr>
            <w:tcW w:w="720" w:type="dxa"/>
            <w:tcBorders>
              <w:top w:val="single" w:sz="12" w:space="0" w:color="auto"/>
              <w:bottom w:val="single" w:sz="12" w:space="0" w:color="auto"/>
            </w:tcBorders>
          </w:tcPr>
          <w:p w14:paraId="3B0828EC" w14:textId="77777777" w:rsidR="00F001BC" w:rsidRDefault="00F001BC" w:rsidP="005840B3">
            <w:pPr>
              <w:spacing w:before="180" w:after="180"/>
              <w:ind w:right="-29"/>
              <w:jc w:val="center"/>
              <w:rPr>
                <w:noProof/>
                <w:sz w:val="18"/>
              </w:rPr>
            </w:pPr>
          </w:p>
        </w:tc>
        <w:tc>
          <w:tcPr>
            <w:tcW w:w="720" w:type="dxa"/>
            <w:tcBorders>
              <w:top w:val="single" w:sz="12" w:space="0" w:color="auto"/>
              <w:bottom w:val="single" w:sz="12" w:space="0" w:color="auto"/>
            </w:tcBorders>
          </w:tcPr>
          <w:p w14:paraId="4316B66F" w14:textId="77777777" w:rsidR="00F001BC" w:rsidRDefault="00F001BC" w:rsidP="005840B3">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14:paraId="59618BDA" w14:textId="77777777" w:rsidR="00F001BC" w:rsidRDefault="00F001BC" w:rsidP="005840B3">
            <w:pPr>
              <w:spacing w:before="180" w:after="180"/>
              <w:ind w:right="-29"/>
              <w:jc w:val="center"/>
              <w:rPr>
                <w:noProof/>
                <w:sz w:val="18"/>
              </w:rPr>
            </w:pPr>
          </w:p>
        </w:tc>
      </w:tr>
    </w:tbl>
    <w:p w14:paraId="231498BC" w14:textId="77777777" w:rsidR="00F001BC" w:rsidRPr="00E23122" w:rsidRDefault="00F001BC" w:rsidP="00F001BC">
      <w:pPr>
        <w:jc w:val="left"/>
        <w:rPr>
          <w:noProof/>
          <w:sz w:val="20"/>
          <w:szCs w:val="20"/>
        </w:rPr>
        <w:sectPr w:rsidR="00F001BC" w:rsidRPr="00E23122" w:rsidSect="00E321BE">
          <w:pgSz w:w="15840" w:h="12240" w:orient="landscape"/>
          <w:pgMar w:top="1418" w:right="902" w:bottom="902" w:left="567" w:header="709" w:footer="709" w:gutter="0"/>
          <w:cols w:space="720"/>
          <w:docGrid w:linePitch="326"/>
        </w:sectPr>
      </w:pPr>
      <w:r w:rsidRPr="00E23122">
        <w:rPr>
          <w:noProof/>
          <w:sz w:val="20"/>
          <w:szCs w:val="20"/>
        </w:rPr>
        <w:t>Where applicable, amounts reflect the sum of the Union contribution to the agency and other revenue of the agency (fees and charges)</w:t>
      </w:r>
      <w:r>
        <w:rPr>
          <w:noProof/>
          <w:sz w:val="20"/>
          <w:szCs w:val="20"/>
        </w:rPr>
        <w:t>.</w:t>
      </w:r>
    </w:p>
    <w:p w14:paraId="683437B1" w14:textId="77777777" w:rsidR="00F001BC" w:rsidRDefault="00F001BC" w:rsidP="00F001BC">
      <w:pPr>
        <w:pStyle w:val="ManualHeading3"/>
        <w:rPr>
          <w:bCs/>
          <w:noProof/>
          <w:szCs w:val="24"/>
        </w:rPr>
      </w:pPr>
      <w:bookmarkStart w:id="59" w:name="_Toc514938688"/>
      <w:bookmarkStart w:id="60" w:name="_Toc520485447"/>
      <w:r w:rsidRPr="006D222F">
        <w:rPr>
          <w:noProof/>
        </w:rPr>
        <w:t>3.2.3.</w:t>
      </w:r>
      <w:r w:rsidRPr="006D222F">
        <w:rPr>
          <w:noProof/>
        </w:rPr>
        <w:tab/>
      </w:r>
      <w:r>
        <w:rPr>
          <w:noProof/>
        </w:rPr>
        <w:t>Estimated impact on EMSA’s human resources</w:t>
      </w:r>
      <w:bookmarkEnd w:id="59"/>
      <w:bookmarkEnd w:id="60"/>
      <w:r>
        <w:rPr>
          <w:noProof/>
        </w:rPr>
        <w:t xml:space="preserve"> </w:t>
      </w:r>
    </w:p>
    <w:p w14:paraId="36496182" w14:textId="77777777" w:rsidR="00F001BC" w:rsidRDefault="00F001BC" w:rsidP="00F001BC">
      <w:pPr>
        <w:pStyle w:val="ManualHeading4"/>
        <w:rPr>
          <w:bCs/>
          <w:noProof/>
          <w:szCs w:val="24"/>
        </w:rPr>
      </w:pPr>
      <w:r w:rsidRPr="006D222F">
        <w:rPr>
          <w:noProof/>
        </w:rPr>
        <w:t>3.2.3.1.</w:t>
      </w:r>
      <w:r w:rsidRPr="006D222F">
        <w:rPr>
          <w:noProof/>
        </w:rPr>
        <w:tab/>
      </w:r>
      <w:r>
        <w:rPr>
          <w:noProof/>
        </w:rPr>
        <w:t xml:space="preserve">Summary </w:t>
      </w:r>
    </w:p>
    <w:p w14:paraId="382E9AC2" w14:textId="77777777" w:rsidR="00F001BC" w:rsidRDefault="00F001BC" w:rsidP="008305F0">
      <w:pPr>
        <w:pStyle w:val="ListDash1"/>
        <w:rPr>
          <w:noProof/>
        </w:rPr>
      </w:pPr>
      <w:r>
        <w:rPr>
          <w:noProof/>
        </w:rPr>
        <w:sym w:font="Wingdings" w:char="F0A8"/>
      </w:r>
      <w:r>
        <w:rPr>
          <w:noProof/>
        </w:rPr>
        <w:tab/>
        <w:t xml:space="preserve">The proposal/initiative does not require the use of appropriations of an administrative nature </w:t>
      </w:r>
    </w:p>
    <w:p w14:paraId="6EF3D8D8" w14:textId="77777777" w:rsidR="00F001BC" w:rsidRDefault="00F001BC" w:rsidP="008305F0">
      <w:pPr>
        <w:pStyle w:val="ListDash1"/>
        <w:rPr>
          <w:noProof/>
        </w:rPr>
      </w:pPr>
      <w:r>
        <w:rPr>
          <w:noProof/>
        </w:rPr>
        <w:sym w:font="Wingdings" w:char="F0FE"/>
      </w:r>
      <w:r>
        <w:rPr>
          <w:noProof/>
        </w:rPr>
        <w:tab/>
        <w:t>The proposal/initiative requires the use of appropriations of an administrative nature, as explained below:</w:t>
      </w:r>
    </w:p>
    <w:p w14:paraId="1BD2C48A" w14:textId="77777777" w:rsidR="00F001BC" w:rsidRDefault="00F001BC" w:rsidP="00F001BC">
      <w:pPr>
        <w:rPr>
          <w:noProof/>
          <w:sz w:val="20"/>
        </w:rPr>
      </w:pPr>
      <w:r>
        <w:rPr>
          <w:noProof/>
          <w:sz w:val="20"/>
        </w:rPr>
        <w:t xml:space="preserve">EUR million (to three decimal places) Where applicable, </w:t>
      </w:r>
      <w:r>
        <w:rPr>
          <w:noProof/>
          <w:sz w:val="20"/>
          <w:szCs w:val="20"/>
        </w:rPr>
        <w:t>amounts reflect the sum of the Union contribution to the agency and other revenue of the agency (fees and charges).</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276"/>
      </w:tblGrid>
      <w:tr w:rsidR="00F001BC" w14:paraId="1ABE2648" w14:textId="77777777" w:rsidTr="005840B3">
        <w:trPr>
          <w:trHeight w:val="585"/>
        </w:trPr>
        <w:tc>
          <w:tcPr>
            <w:tcW w:w="1980" w:type="dxa"/>
          </w:tcPr>
          <w:p w14:paraId="7FCAB586" w14:textId="77777777" w:rsidR="00F001BC" w:rsidRDefault="00F001BC" w:rsidP="005840B3">
            <w:pPr>
              <w:spacing w:before="60" w:after="60"/>
              <w:rPr>
                <w:noProof/>
                <w:sz w:val="20"/>
              </w:rPr>
            </w:pPr>
          </w:p>
        </w:tc>
        <w:tc>
          <w:tcPr>
            <w:tcW w:w="1080" w:type="dxa"/>
            <w:vAlign w:val="center"/>
          </w:tcPr>
          <w:p w14:paraId="1EA2DC41" w14:textId="77777777" w:rsidR="00F001BC" w:rsidRDefault="00F001BC" w:rsidP="005840B3">
            <w:pPr>
              <w:spacing w:before="60" w:after="60"/>
              <w:jc w:val="center"/>
              <w:rPr>
                <w:noProof/>
                <w:sz w:val="20"/>
              </w:rPr>
            </w:pPr>
            <w:r>
              <w:rPr>
                <w:noProof/>
                <w:sz w:val="20"/>
              </w:rPr>
              <w:t>Year</w:t>
            </w:r>
            <w:r>
              <w:rPr>
                <w:noProof/>
                <w:sz w:val="22"/>
              </w:rPr>
              <w:br/>
            </w:r>
            <w:r>
              <w:rPr>
                <w:b/>
                <w:noProof/>
                <w:sz w:val="20"/>
              </w:rPr>
              <w:t>2025</w:t>
            </w:r>
          </w:p>
        </w:tc>
        <w:tc>
          <w:tcPr>
            <w:tcW w:w="1080" w:type="dxa"/>
            <w:vAlign w:val="center"/>
          </w:tcPr>
          <w:p w14:paraId="68E865C7" w14:textId="77777777" w:rsidR="00F001BC" w:rsidRDefault="00F001BC" w:rsidP="005840B3">
            <w:pPr>
              <w:spacing w:before="60" w:after="60"/>
              <w:jc w:val="center"/>
              <w:rPr>
                <w:noProof/>
                <w:sz w:val="20"/>
              </w:rPr>
            </w:pPr>
            <w:r>
              <w:rPr>
                <w:noProof/>
                <w:sz w:val="20"/>
              </w:rPr>
              <w:t>Year</w:t>
            </w:r>
            <w:r>
              <w:rPr>
                <w:noProof/>
                <w:sz w:val="22"/>
              </w:rPr>
              <w:br/>
            </w:r>
            <w:r>
              <w:rPr>
                <w:b/>
                <w:noProof/>
                <w:sz w:val="20"/>
              </w:rPr>
              <w:t>2026</w:t>
            </w:r>
          </w:p>
        </w:tc>
        <w:tc>
          <w:tcPr>
            <w:tcW w:w="1080" w:type="dxa"/>
            <w:vAlign w:val="center"/>
          </w:tcPr>
          <w:p w14:paraId="36957E07" w14:textId="77777777" w:rsidR="00F001BC" w:rsidRDefault="00F001BC" w:rsidP="005840B3">
            <w:pPr>
              <w:spacing w:before="60" w:after="60"/>
              <w:jc w:val="center"/>
              <w:rPr>
                <w:noProof/>
                <w:sz w:val="20"/>
              </w:rPr>
            </w:pPr>
            <w:r>
              <w:rPr>
                <w:noProof/>
                <w:sz w:val="20"/>
              </w:rPr>
              <w:t>Year</w:t>
            </w:r>
            <w:r>
              <w:rPr>
                <w:noProof/>
                <w:sz w:val="22"/>
              </w:rPr>
              <w:br/>
            </w:r>
            <w:r>
              <w:rPr>
                <w:b/>
                <w:noProof/>
                <w:sz w:val="20"/>
              </w:rPr>
              <w:t>2027</w:t>
            </w:r>
          </w:p>
        </w:tc>
        <w:tc>
          <w:tcPr>
            <w:tcW w:w="1170" w:type="dxa"/>
            <w:vAlign w:val="center"/>
          </w:tcPr>
          <w:p w14:paraId="20109A40" w14:textId="77777777" w:rsidR="00F001BC" w:rsidRDefault="00F001BC" w:rsidP="005840B3">
            <w:pPr>
              <w:spacing w:before="60" w:after="60"/>
              <w:jc w:val="center"/>
              <w:rPr>
                <w:noProof/>
                <w:sz w:val="20"/>
              </w:rPr>
            </w:pPr>
            <w:r>
              <w:rPr>
                <w:noProof/>
                <w:sz w:val="20"/>
              </w:rPr>
              <w:t>Year</w:t>
            </w:r>
            <w:r>
              <w:rPr>
                <w:noProof/>
                <w:sz w:val="22"/>
              </w:rPr>
              <w:br/>
            </w:r>
            <w:r>
              <w:rPr>
                <w:b/>
                <w:noProof/>
                <w:sz w:val="20"/>
              </w:rPr>
              <w:t>2028-2034</w:t>
            </w:r>
          </w:p>
        </w:tc>
        <w:tc>
          <w:tcPr>
            <w:tcW w:w="1276" w:type="dxa"/>
            <w:vAlign w:val="center"/>
          </w:tcPr>
          <w:p w14:paraId="37FA5C92" w14:textId="77777777" w:rsidR="00F001BC" w:rsidRDefault="00F001BC" w:rsidP="005840B3">
            <w:pPr>
              <w:spacing w:before="60" w:after="60"/>
              <w:jc w:val="center"/>
              <w:rPr>
                <w:b/>
                <w:noProof/>
                <w:sz w:val="20"/>
              </w:rPr>
            </w:pPr>
            <w:r>
              <w:rPr>
                <w:b/>
                <w:noProof/>
                <w:sz w:val="20"/>
              </w:rPr>
              <w:t>TOTAL</w:t>
            </w:r>
          </w:p>
        </w:tc>
      </w:tr>
    </w:tbl>
    <w:p w14:paraId="0BCF5873" w14:textId="77777777" w:rsidR="00F001BC" w:rsidRDefault="00F001BC" w:rsidP="00F001BC">
      <w:pPr>
        <w:rPr>
          <w:noProof/>
          <w:sz w:val="20"/>
        </w:rPr>
      </w:pPr>
    </w:p>
    <w:tbl>
      <w:tblPr>
        <w:tblW w:w="7666"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276"/>
      </w:tblGrid>
      <w:tr w:rsidR="00F001BC" w14:paraId="30C0E18C" w14:textId="77777777" w:rsidTr="005840B3">
        <w:trPr>
          <w:trHeight w:val="585"/>
        </w:trPr>
        <w:tc>
          <w:tcPr>
            <w:tcW w:w="1980" w:type="dxa"/>
            <w:shd w:val="clear" w:color="auto" w:fill="D9D9D9" w:themeFill="background1" w:themeFillShade="D9"/>
            <w:vAlign w:val="center"/>
          </w:tcPr>
          <w:p w14:paraId="2C80E169" w14:textId="77777777" w:rsidR="00F001BC" w:rsidRDefault="00F001BC" w:rsidP="005840B3">
            <w:pPr>
              <w:spacing w:before="60" w:after="60"/>
              <w:jc w:val="center"/>
              <w:rPr>
                <w:noProof/>
              </w:rPr>
            </w:pPr>
            <w:r>
              <w:rPr>
                <w:noProof/>
                <w:sz w:val="18"/>
              </w:rPr>
              <w:t>Temporary agents (AD Grades)</w:t>
            </w:r>
          </w:p>
        </w:tc>
        <w:tc>
          <w:tcPr>
            <w:tcW w:w="1080" w:type="dxa"/>
            <w:vAlign w:val="center"/>
          </w:tcPr>
          <w:p w14:paraId="6754445F" w14:textId="77777777" w:rsidR="00F001BC" w:rsidRDefault="00F001BC" w:rsidP="0019719B">
            <w:pPr>
              <w:spacing w:before="60" w:after="60"/>
              <w:jc w:val="right"/>
              <w:rPr>
                <w:noProof/>
                <w:sz w:val="20"/>
              </w:rPr>
            </w:pPr>
            <w:r>
              <w:rPr>
                <w:noProof/>
                <w:sz w:val="20"/>
              </w:rPr>
              <w:t>0.</w:t>
            </w:r>
            <w:r w:rsidR="0019719B">
              <w:rPr>
                <w:noProof/>
                <w:sz w:val="20"/>
              </w:rPr>
              <w:t>171</w:t>
            </w:r>
          </w:p>
        </w:tc>
        <w:tc>
          <w:tcPr>
            <w:tcW w:w="1080" w:type="dxa"/>
            <w:vAlign w:val="center"/>
          </w:tcPr>
          <w:p w14:paraId="26CFD870" w14:textId="77777777" w:rsidR="00F001BC" w:rsidRDefault="00F001BC" w:rsidP="005840B3">
            <w:pPr>
              <w:spacing w:before="60" w:after="60"/>
              <w:jc w:val="right"/>
              <w:rPr>
                <w:noProof/>
                <w:sz w:val="20"/>
              </w:rPr>
            </w:pPr>
            <w:r>
              <w:rPr>
                <w:noProof/>
                <w:sz w:val="20"/>
              </w:rPr>
              <w:t>0.342</w:t>
            </w:r>
          </w:p>
        </w:tc>
        <w:tc>
          <w:tcPr>
            <w:tcW w:w="1080" w:type="dxa"/>
            <w:vAlign w:val="center"/>
          </w:tcPr>
          <w:p w14:paraId="0EAF180F" w14:textId="77777777" w:rsidR="00F001BC" w:rsidRDefault="00F001BC" w:rsidP="005840B3">
            <w:pPr>
              <w:spacing w:before="60" w:after="60"/>
              <w:jc w:val="right"/>
              <w:rPr>
                <w:noProof/>
                <w:sz w:val="20"/>
              </w:rPr>
            </w:pPr>
            <w:r>
              <w:rPr>
                <w:noProof/>
                <w:sz w:val="20"/>
              </w:rPr>
              <w:t>0.342</w:t>
            </w:r>
          </w:p>
        </w:tc>
        <w:tc>
          <w:tcPr>
            <w:tcW w:w="1170" w:type="dxa"/>
            <w:vAlign w:val="center"/>
          </w:tcPr>
          <w:p w14:paraId="6E3AA2FB" w14:textId="77777777" w:rsidR="00F001BC" w:rsidRDefault="00F001BC" w:rsidP="005840B3">
            <w:pPr>
              <w:spacing w:before="60" w:after="60"/>
              <w:jc w:val="right"/>
              <w:rPr>
                <w:noProof/>
                <w:sz w:val="20"/>
              </w:rPr>
            </w:pPr>
            <w:r>
              <w:rPr>
                <w:noProof/>
                <w:sz w:val="20"/>
              </w:rPr>
              <w:t>2.394</w:t>
            </w:r>
          </w:p>
        </w:tc>
        <w:tc>
          <w:tcPr>
            <w:tcW w:w="1276" w:type="dxa"/>
            <w:vAlign w:val="center"/>
          </w:tcPr>
          <w:p w14:paraId="5A8B657A" w14:textId="77777777" w:rsidR="00F001BC" w:rsidRDefault="00F001BC" w:rsidP="0019719B">
            <w:pPr>
              <w:spacing w:before="60" w:after="60"/>
              <w:jc w:val="right"/>
              <w:rPr>
                <w:noProof/>
                <w:sz w:val="20"/>
              </w:rPr>
            </w:pPr>
            <w:r>
              <w:rPr>
                <w:b/>
                <w:noProof/>
                <w:sz w:val="20"/>
              </w:rPr>
              <w:t>3.</w:t>
            </w:r>
            <w:r w:rsidR="0019719B">
              <w:rPr>
                <w:b/>
                <w:noProof/>
                <w:sz w:val="20"/>
              </w:rPr>
              <w:t>249</w:t>
            </w:r>
          </w:p>
        </w:tc>
      </w:tr>
      <w:tr w:rsidR="00F001BC" w14:paraId="52CDAF60" w14:textId="77777777" w:rsidTr="005840B3">
        <w:trPr>
          <w:trHeight w:val="585"/>
        </w:trPr>
        <w:tc>
          <w:tcPr>
            <w:tcW w:w="1980" w:type="dxa"/>
            <w:shd w:val="clear" w:color="auto" w:fill="BFBFBF" w:themeFill="background1" w:themeFillShade="BF"/>
            <w:vAlign w:val="center"/>
          </w:tcPr>
          <w:p w14:paraId="729984BC" w14:textId="77777777" w:rsidR="00F001BC" w:rsidRDefault="00F001BC" w:rsidP="005840B3">
            <w:pPr>
              <w:spacing w:before="60" w:after="60"/>
              <w:ind w:left="72"/>
              <w:rPr>
                <w:noProof/>
              </w:rPr>
            </w:pPr>
            <w:r>
              <w:rPr>
                <w:noProof/>
                <w:sz w:val="20"/>
              </w:rPr>
              <w:t>Temporary agents (AST grades)</w:t>
            </w:r>
          </w:p>
        </w:tc>
        <w:tc>
          <w:tcPr>
            <w:tcW w:w="1080" w:type="dxa"/>
            <w:vAlign w:val="center"/>
          </w:tcPr>
          <w:p w14:paraId="06860814" w14:textId="77777777" w:rsidR="00F001BC" w:rsidRDefault="00F001BC" w:rsidP="005840B3">
            <w:pPr>
              <w:spacing w:before="60" w:after="60"/>
              <w:jc w:val="right"/>
              <w:rPr>
                <w:noProof/>
                <w:sz w:val="20"/>
              </w:rPr>
            </w:pPr>
          </w:p>
        </w:tc>
        <w:tc>
          <w:tcPr>
            <w:tcW w:w="1080" w:type="dxa"/>
            <w:vAlign w:val="center"/>
          </w:tcPr>
          <w:p w14:paraId="5EF08A68" w14:textId="77777777" w:rsidR="00F001BC" w:rsidRDefault="00F001BC" w:rsidP="005840B3">
            <w:pPr>
              <w:spacing w:before="60" w:after="60"/>
              <w:jc w:val="right"/>
              <w:rPr>
                <w:noProof/>
                <w:sz w:val="20"/>
              </w:rPr>
            </w:pPr>
          </w:p>
        </w:tc>
        <w:tc>
          <w:tcPr>
            <w:tcW w:w="1080" w:type="dxa"/>
            <w:vAlign w:val="center"/>
          </w:tcPr>
          <w:p w14:paraId="4CFA98E3" w14:textId="77777777" w:rsidR="00F001BC" w:rsidRDefault="00F001BC" w:rsidP="005840B3">
            <w:pPr>
              <w:spacing w:before="60" w:after="60"/>
              <w:jc w:val="right"/>
              <w:rPr>
                <w:noProof/>
                <w:sz w:val="20"/>
              </w:rPr>
            </w:pPr>
          </w:p>
        </w:tc>
        <w:tc>
          <w:tcPr>
            <w:tcW w:w="1170" w:type="dxa"/>
            <w:vAlign w:val="center"/>
          </w:tcPr>
          <w:p w14:paraId="44C825E4" w14:textId="77777777" w:rsidR="00F001BC" w:rsidRDefault="00F001BC" w:rsidP="005840B3">
            <w:pPr>
              <w:spacing w:before="60" w:after="60"/>
              <w:jc w:val="right"/>
              <w:rPr>
                <w:noProof/>
                <w:sz w:val="20"/>
              </w:rPr>
            </w:pPr>
          </w:p>
        </w:tc>
        <w:tc>
          <w:tcPr>
            <w:tcW w:w="1276" w:type="dxa"/>
            <w:vAlign w:val="center"/>
          </w:tcPr>
          <w:p w14:paraId="4D62651C" w14:textId="77777777" w:rsidR="00F001BC" w:rsidRDefault="00F001BC" w:rsidP="005840B3">
            <w:pPr>
              <w:spacing w:before="60" w:after="60"/>
              <w:jc w:val="right"/>
              <w:rPr>
                <w:noProof/>
                <w:sz w:val="20"/>
              </w:rPr>
            </w:pPr>
          </w:p>
        </w:tc>
      </w:tr>
      <w:tr w:rsidR="00F001BC" w14:paraId="48184C0D" w14:textId="77777777" w:rsidTr="005840B3">
        <w:trPr>
          <w:trHeight w:val="585"/>
        </w:trPr>
        <w:tc>
          <w:tcPr>
            <w:tcW w:w="1980" w:type="dxa"/>
            <w:shd w:val="clear" w:color="auto" w:fill="BFBFBF" w:themeFill="background1" w:themeFillShade="BF"/>
            <w:vAlign w:val="center"/>
          </w:tcPr>
          <w:p w14:paraId="37CDC54D" w14:textId="77777777" w:rsidR="00F001BC" w:rsidRDefault="00F001BC" w:rsidP="005840B3">
            <w:pPr>
              <w:spacing w:before="60" w:after="60"/>
              <w:ind w:left="72"/>
              <w:rPr>
                <w:noProof/>
              </w:rPr>
            </w:pPr>
            <w:r>
              <w:rPr>
                <w:noProof/>
                <w:sz w:val="20"/>
              </w:rPr>
              <w:t>Contract staff</w:t>
            </w:r>
          </w:p>
        </w:tc>
        <w:tc>
          <w:tcPr>
            <w:tcW w:w="1080" w:type="dxa"/>
            <w:shd w:val="clear" w:color="auto" w:fill="BFBFBF" w:themeFill="background1" w:themeFillShade="BF"/>
            <w:vAlign w:val="center"/>
          </w:tcPr>
          <w:p w14:paraId="6C16E320" w14:textId="77777777" w:rsidR="00F001BC" w:rsidRDefault="00F001BC" w:rsidP="005840B3">
            <w:pPr>
              <w:spacing w:before="60" w:after="60"/>
              <w:jc w:val="right"/>
              <w:rPr>
                <w:noProof/>
                <w:sz w:val="20"/>
              </w:rPr>
            </w:pPr>
          </w:p>
        </w:tc>
        <w:tc>
          <w:tcPr>
            <w:tcW w:w="1080" w:type="dxa"/>
            <w:shd w:val="clear" w:color="auto" w:fill="BFBFBF" w:themeFill="background1" w:themeFillShade="BF"/>
            <w:vAlign w:val="center"/>
          </w:tcPr>
          <w:p w14:paraId="45143FC1" w14:textId="77777777" w:rsidR="00F001BC" w:rsidRDefault="00F001BC" w:rsidP="005840B3">
            <w:pPr>
              <w:spacing w:before="60" w:after="60"/>
              <w:jc w:val="right"/>
              <w:rPr>
                <w:noProof/>
                <w:sz w:val="20"/>
              </w:rPr>
            </w:pPr>
          </w:p>
        </w:tc>
        <w:tc>
          <w:tcPr>
            <w:tcW w:w="1080" w:type="dxa"/>
            <w:shd w:val="clear" w:color="auto" w:fill="BFBFBF" w:themeFill="background1" w:themeFillShade="BF"/>
            <w:vAlign w:val="center"/>
          </w:tcPr>
          <w:p w14:paraId="34DEB624" w14:textId="77777777" w:rsidR="00F001BC" w:rsidRDefault="00F001BC" w:rsidP="005840B3">
            <w:pPr>
              <w:spacing w:before="60" w:after="60"/>
              <w:jc w:val="right"/>
              <w:rPr>
                <w:noProof/>
                <w:sz w:val="20"/>
              </w:rPr>
            </w:pPr>
          </w:p>
        </w:tc>
        <w:tc>
          <w:tcPr>
            <w:tcW w:w="1170" w:type="dxa"/>
            <w:shd w:val="clear" w:color="auto" w:fill="BFBFBF" w:themeFill="background1" w:themeFillShade="BF"/>
            <w:vAlign w:val="center"/>
          </w:tcPr>
          <w:p w14:paraId="5EFE538D" w14:textId="77777777" w:rsidR="00F001BC" w:rsidRDefault="00F001BC" w:rsidP="005840B3">
            <w:pPr>
              <w:spacing w:before="60" w:after="60"/>
              <w:jc w:val="right"/>
              <w:rPr>
                <w:noProof/>
                <w:sz w:val="20"/>
              </w:rPr>
            </w:pPr>
          </w:p>
        </w:tc>
        <w:tc>
          <w:tcPr>
            <w:tcW w:w="1276" w:type="dxa"/>
            <w:shd w:val="clear" w:color="auto" w:fill="BFBFBF" w:themeFill="background1" w:themeFillShade="BF"/>
            <w:vAlign w:val="center"/>
          </w:tcPr>
          <w:p w14:paraId="5DD82535" w14:textId="77777777" w:rsidR="00F001BC" w:rsidRDefault="00F001BC" w:rsidP="005840B3">
            <w:pPr>
              <w:spacing w:before="60" w:after="60"/>
              <w:jc w:val="right"/>
              <w:rPr>
                <w:noProof/>
                <w:sz w:val="20"/>
              </w:rPr>
            </w:pPr>
          </w:p>
        </w:tc>
      </w:tr>
      <w:tr w:rsidR="00F001BC" w14:paraId="16836400" w14:textId="77777777" w:rsidTr="005840B3">
        <w:trPr>
          <w:trHeight w:val="585"/>
        </w:trPr>
        <w:tc>
          <w:tcPr>
            <w:tcW w:w="1980" w:type="dxa"/>
            <w:shd w:val="clear" w:color="auto" w:fill="CCCCCC"/>
            <w:vAlign w:val="center"/>
          </w:tcPr>
          <w:p w14:paraId="672A7AD8" w14:textId="77777777" w:rsidR="00F001BC" w:rsidRDefault="00F001BC" w:rsidP="005840B3">
            <w:pPr>
              <w:spacing w:before="60" w:after="60"/>
              <w:jc w:val="center"/>
              <w:rPr>
                <w:noProof/>
              </w:rPr>
            </w:pPr>
            <w:r>
              <w:rPr>
                <w:noProof/>
                <w:sz w:val="18"/>
              </w:rPr>
              <w:t>Seconded National Experts</w:t>
            </w:r>
          </w:p>
        </w:tc>
        <w:tc>
          <w:tcPr>
            <w:tcW w:w="1080" w:type="dxa"/>
            <w:vAlign w:val="center"/>
          </w:tcPr>
          <w:p w14:paraId="63B78E6D" w14:textId="77777777" w:rsidR="00F001BC" w:rsidRDefault="00F001BC" w:rsidP="005840B3">
            <w:pPr>
              <w:spacing w:before="60" w:after="60"/>
              <w:jc w:val="right"/>
              <w:rPr>
                <w:noProof/>
                <w:sz w:val="20"/>
              </w:rPr>
            </w:pPr>
          </w:p>
        </w:tc>
        <w:tc>
          <w:tcPr>
            <w:tcW w:w="1080" w:type="dxa"/>
            <w:vAlign w:val="center"/>
          </w:tcPr>
          <w:p w14:paraId="13DFE343" w14:textId="77777777" w:rsidR="00F001BC" w:rsidRDefault="00F001BC" w:rsidP="005840B3">
            <w:pPr>
              <w:spacing w:before="60" w:after="60"/>
              <w:jc w:val="right"/>
              <w:rPr>
                <w:noProof/>
                <w:sz w:val="20"/>
              </w:rPr>
            </w:pPr>
          </w:p>
        </w:tc>
        <w:tc>
          <w:tcPr>
            <w:tcW w:w="1080" w:type="dxa"/>
            <w:vAlign w:val="center"/>
          </w:tcPr>
          <w:p w14:paraId="0F1E37E4" w14:textId="77777777" w:rsidR="00F001BC" w:rsidRDefault="00F001BC" w:rsidP="005840B3">
            <w:pPr>
              <w:spacing w:before="60" w:after="60"/>
              <w:jc w:val="right"/>
              <w:rPr>
                <w:noProof/>
                <w:sz w:val="20"/>
              </w:rPr>
            </w:pPr>
          </w:p>
        </w:tc>
        <w:tc>
          <w:tcPr>
            <w:tcW w:w="1170" w:type="dxa"/>
            <w:vAlign w:val="center"/>
          </w:tcPr>
          <w:p w14:paraId="1552E24C" w14:textId="77777777" w:rsidR="00F001BC" w:rsidRDefault="00F001BC" w:rsidP="005840B3">
            <w:pPr>
              <w:spacing w:before="60" w:after="60"/>
              <w:jc w:val="right"/>
              <w:rPr>
                <w:noProof/>
                <w:sz w:val="20"/>
              </w:rPr>
            </w:pPr>
          </w:p>
        </w:tc>
        <w:tc>
          <w:tcPr>
            <w:tcW w:w="1276" w:type="dxa"/>
            <w:vAlign w:val="center"/>
          </w:tcPr>
          <w:p w14:paraId="27C0477E" w14:textId="77777777" w:rsidR="00F001BC" w:rsidRDefault="00F001BC" w:rsidP="005840B3">
            <w:pPr>
              <w:spacing w:before="60" w:after="60"/>
              <w:jc w:val="right"/>
              <w:rPr>
                <w:noProof/>
                <w:sz w:val="20"/>
              </w:rPr>
            </w:pPr>
          </w:p>
        </w:tc>
      </w:tr>
    </w:tbl>
    <w:p w14:paraId="49A00275" w14:textId="77777777" w:rsidR="00F001BC" w:rsidRDefault="00F001BC" w:rsidP="00F001BC">
      <w:pPr>
        <w:rPr>
          <w:noProof/>
          <w:sz w:val="20"/>
        </w:rPr>
      </w:pPr>
    </w:p>
    <w:tbl>
      <w:tblPr>
        <w:tblW w:w="7666" w:type="dxa"/>
        <w:tblInd w:w="-612" w:type="dxa"/>
        <w:tblLayout w:type="fixed"/>
        <w:tblLook w:val="01E0" w:firstRow="1" w:lastRow="1" w:firstColumn="1" w:lastColumn="1" w:noHBand="0" w:noVBand="0"/>
      </w:tblPr>
      <w:tblGrid>
        <w:gridCol w:w="1980"/>
        <w:gridCol w:w="1080"/>
        <w:gridCol w:w="1080"/>
        <w:gridCol w:w="1080"/>
        <w:gridCol w:w="1170"/>
        <w:gridCol w:w="1276"/>
      </w:tblGrid>
      <w:tr w:rsidR="00F001BC" w14:paraId="68480E6F" w14:textId="77777777" w:rsidTr="005840B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A8B0DA9" w14:textId="77777777" w:rsidR="00F001BC" w:rsidRDefault="00F001BC" w:rsidP="005840B3">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6397C6FD" w14:textId="77777777" w:rsidR="00F001BC" w:rsidRPr="009B3DE7" w:rsidRDefault="00F001BC" w:rsidP="0019719B">
            <w:pPr>
              <w:spacing w:before="60" w:after="60"/>
              <w:jc w:val="right"/>
              <w:rPr>
                <w:b/>
                <w:noProof/>
                <w:sz w:val="20"/>
              </w:rPr>
            </w:pPr>
            <w:r w:rsidRPr="00063C36">
              <w:rPr>
                <w:b/>
                <w:noProof/>
                <w:sz w:val="20"/>
              </w:rPr>
              <w:t>0.</w:t>
            </w:r>
            <w:r w:rsidR="0019719B">
              <w:rPr>
                <w:b/>
                <w:noProof/>
                <w:sz w:val="20"/>
              </w:rPr>
              <w:t>171</w:t>
            </w:r>
          </w:p>
        </w:tc>
        <w:tc>
          <w:tcPr>
            <w:tcW w:w="1080" w:type="dxa"/>
            <w:tcBorders>
              <w:top w:val="single" w:sz="12" w:space="0" w:color="auto"/>
              <w:left w:val="single" w:sz="2" w:space="0" w:color="auto"/>
              <w:bottom w:val="single" w:sz="12" w:space="0" w:color="auto"/>
              <w:right w:val="single" w:sz="2" w:space="0" w:color="auto"/>
            </w:tcBorders>
            <w:vAlign w:val="center"/>
          </w:tcPr>
          <w:p w14:paraId="50B9B366" w14:textId="77777777" w:rsidR="00F001BC" w:rsidRPr="009B3DE7" w:rsidRDefault="00F001BC" w:rsidP="005840B3">
            <w:pPr>
              <w:spacing w:before="60" w:after="60"/>
              <w:jc w:val="right"/>
              <w:rPr>
                <w:b/>
                <w:noProof/>
                <w:sz w:val="20"/>
              </w:rPr>
            </w:pPr>
            <w:r w:rsidRPr="00063C36">
              <w:rPr>
                <w:b/>
                <w:noProof/>
                <w:sz w:val="20"/>
              </w:rPr>
              <w:t>0.342</w:t>
            </w:r>
          </w:p>
        </w:tc>
        <w:tc>
          <w:tcPr>
            <w:tcW w:w="1080" w:type="dxa"/>
            <w:tcBorders>
              <w:top w:val="single" w:sz="12" w:space="0" w:color="auto"/>
              <w:left w:val="single" w:sz="2" w:space="0" w:color="auto"/>
              <w:bottom w:val="single" w:sz="12" w:space="0" w:color="auto"/>
              <w:right w:val="single" w:sz="2" w:space="0" w:color="auto"/>
            </w:tcBorders>
            <w:vAlign w:val="center"/>
          </w:tcPr>
          <w:p w14:paraId="7F242193" w14:textId="77777777" w:rsidR="00F001BC" w:rsidRPr="009B3DE7" w:rsidRDefault="00F001BC" w:rsidP="005840B3">
            <w:pPr>
              <w:spacing w:before="60" w:after="60"/>
              <w:jc w:val="right"/>
              <w:rPr>
                <w:b/>
                <w:noProof/>
                <w:sz w:val="20"/>
              </w:rPr>
            </w:pPr>
            <w:r w:rsidRPr="00063C36">
              <w:rPr>
                <w:b/>
                <w:noProof/>
                <w:sz w:val="20"/>
              </w:rPr>
              <w:t>0.342</w:t>
            </w:r>
          </w:p>
        </w:tc>
        <w:tc>
          <w:tcPr>
            <w:tcW w:w="1170" w:type="dxa"/>
            <w:tcBorders>
              <w:top w:val="single" w:sz="12" w:space="0" w:color="auto"/>
              <w:left w:val="single" w:sz="2" w:space="0" w:color="auto"/>
              <w:bottom w:val="single" w:sz="12" w:space="0" w:color="auto"/>
              <w:right w:val="single" w:sz="2" w:space="0" w:color="auto"/>
            </w:tcBorders>
            <w:vAlign w:val="center"/>
          </w:tcPr>
          <w:p w14:paraId="2828F638" w14:textId="77777777" w:rsidR="00F001BC" w:rsidRPr="009B3DE7" w:rsidRDefault="00F001BC" w:rsidP="005840B3">
            <w:pPr>
              <w:spacing w:before="60" w:after="60"/>
              <w:jc w:val="right"/>
              <w:rPr>
                <w:b/>
                <w:noProof/>
                <w:sz w:val="20"/>
              </w:rPr>
            </w:pPr>
            <w:r w:rsidRPr="00063C36">
              <w:rPr>
                <w:b/>
                <w:noProof/>
                <w:sz w:val="20"/>
              </w:rPr>
              <w:t>2.394</w:t>
            </w:r>
          </w:p>
        </w:tc>
        <w:tc>
          <w:tcPr>
            <w:tcW w:w="1276" w:type="dxa"/>
            <w:tcBorders>
              <w:top w:val="single" w:sz="12" w:space="0" w:color="auto"/>
              <w:left w:val="single" w:sz="2" w:space="0" w:color="auto"/>
              <w:bottom w:val="single" w:sz="12" w:space="0" w:color="auto"/>
              <w:right w:val="single" w:sz="12" w:space="0" w:color="auto"/>
            </w:tcBorders>
            <w:vAlign w:val="center"/>
          </w:tcPr>
          <w:p w14:paraId="467A98E3" w14:textId="77777777" w:rsidR="00F001BC" w:rsidRDefault="00F001BC" w:rsidP="0019719B">
            <w:pPr>
              <w:spacing w:before="60" w:after="60"/>
              <w:jc w:val="right"/>
              <w:rPr>
                <w:b/>
                <w:noProof/>
                <w:sz w:val="20"/>
              </w:rPr>
            </w:pPr>
            <w:r>
              <w:rPr>
                <w:b/>
                <w:noProof/>
                <w:sz w:val="20"/>
              </w:rPr>
              <w:t>3.</w:t>
            </w:r>
            <w:r w:rsidR="0019719B">
              <w:rPr>
                <w:b/>
                <w:noProof/>
                <w:sz w:val="20"/>
              </w:rPr>
              <w:t>249</w:t>
            </w:r>
          </w:p>
        </w:tc>
      </w:tr>
    </w:tbl>
    <w:p w14:paraId="2F5EAD97" w14:textId="77777777" w:rsidR="00F001BC" w:rsidRDefault="001E1EB3" w:rsidP="00F001BC">
      <w:pPr>
        <w:rPr>
          <w:noProof/>
          <w:u w:val="single"/>
        </w:rPr>
      </w:pPr>
      <w:r w:rsidRPr="001E1EB3">
        <w:rPr>
          <w:noProof/>
          <w:u w:val="single"/>
        </w:rPr>
        <w:t>The budget impact beyond the current MFF is an indicative overview, without prejudice to the future MFF Agreement.</w:t>
      </w:r>
    </w:p>
    <w:p w14:paraId="5E363798" w14:textId="77777777" w:rsidR="00F001BC" w:rsidRDefault="00F001BC" w:rsidP="00F001BC">
      <w:pPr>
        <w:rPr>
          <w:noProof/>
          <w:sz w:val="20"/>
        </w:rPr>
      </w:pPr>
      <w:r>
        <w:rPr>
          <w:noProof/>
          <w:sz w:val="20"/>
        </w:rPr>
        <w:t>Staff requirements (FTE):</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276"/>
      </w:tblGrid>
      <w:tr w:rsidR="00F001BC" w14:paraId="3F42AAD9" w14:textId="77777777" w:rsidTr="005840B3">
        <w:trPr>
          <w:trHeight w:val="585"/>
        </w:trPr>
        <w:tc>
          <w:tcPr>
            <w:tcW w:w="1980" w:type="dxa"/>
          </w:tcPr>
          <w:p w14:paraId="60FFB5D5" w14:textId="77777777" w:rsidR="00F001BC" w:rsidRDefault="00F001BC" w:rsidP="005840B3">
            <w:pPr>
              <w:spacing w:before="60" w:after="60"/>
              <w:rPr>
                <w:noProof/>
                <w:sz w:val="20"/>
              </w:rPr>
            </w:pPr>
          </w:p>
        </w:tc>
        <w:tc>
          <w:tcPr>
            <w:tcW w:w="1080" w:type="dxa"/>
            <w:vAlign w:val="center"/>
          </w:tcPr>
          <w:p w14:paraId="4CEF90A2" w14:textId="77777777" w:rsidR="00F001BC" w:rsidRDefault="00F001BC" w:rsidP="005840B3">
            <w:pPr>
              <w:spacing w:before="60" w:after="60"/>
              <w:jc w:val="center"/>
              <w:rPr>
                <w:noProof/>
                <w:sz w:val="20"/>
              </w:rPr>
            </w:pPr>
            <w:r>
              <w:rPr>
                <w:noProof/>
                <w:sz w:val="20"/>
              </w:rPr>
              <w:t>Year</w:t>
            </w:r>
            <w:r>
              <w:rPr>
                <w:noProof/>
                <w:sz w:val="22"/>
              </w:rPr>
              <w:br/>
            </w:r>
            <w:r>
              <w:rPr>
                <w:b/>
                <w:noProof/>
                <w:sz w:val="20"/>
              </w:rPr>
              <w:t>2025</w:t>
            </w:r>
          </w:p>
        </w:tc>
        <w:tc>
          <w:tcPr>
            <w:tcW w:w="1080" w:type="dxa"/>
            <w:vAlign w:val="center"/>
          </w:tcPr>
          <w:p w14:paraId="1D8C720B" w14:textId="77777777" w:rsidR="00F001BC" w:rsidRDefault="00F001BC" w:rsidP="005840B3">
            <w:pPr>
              <w:spacing w:before="60" w:after="60"/>
              <w:jc w:val="center"/>
              <w:rPr>
                <w:noProof/>
                <w:sz w:val="20"/>
              </w:rPr>
            </w:pPr>
            <w:r>
              <w:rPr>
                <w:noProof/>
                <w:sz w:val="20"/>
              </w:rPr>
              <w:t>Year</w:t>
            </w:r>
            <w:r>
              <w:rPr>
                <w:noProof/>
                <w:sz w:val="22"/>
              </w:rPr>
              <w:br/>
            </w:r>
            <w:r>
              <w:rPr>
                <w:b/>
                <w:noProof/>
                <w:sz w:val="20"/>
              </w:rPr>
              <w:t>2026</w:t>
            </w:r>
          </w:p>
        </w:tc>
        <w:tc>
          <w:tcPr>
            <w:tcW w:w="1080" w:type="dxa"/>
            <w:vAlign w:val="center"/>
          </w:tcPr>
          <w:p w14:paraId="2FFFC5A5" w14:textId="77777777" w:rsidR="00F001BC" w:rsidRDefault="00F001BC" w:rsidP="005840B3">
            <w:pPr>
              <w:spacing w:before="60" w:after="60"/>
              <w:jc w:val="center"/>
              <w:rPr>
                <w:noProof/>
                <w:sz w:val="20"/>
              </w:rPr>
            </w:pPr>
            <w:r>
              <w:rPr>
                <w:noProof/>
                <w:sz w:val="20"/>
              </w:rPr>
              <w:t>Year</w:t>
            </w:r>
            <w:r>
              <w:rPr>
                <w:noProof/>
                <w:sz w:val="22"/>
              </w:rPr>
              <w:br/>
            </w:r>
            <w:r>
              <w:rPr>
                <w:b/>
                <w:noProof/>
                <w:sz w:val="20"/>
              </w:rPr>
              <w:t>2027</w:t>
            </w:r>
          </w:p>
        </w:tc>
        <w:tc>
          <w:tcPr>
            <w:tcW w:w="1170" w:type="dxa"/>
            <w:vAlign w:val="center"/>
          </w:tcPr>
          <w:p w14:paraId="024E26E2" w14:textId="77777777" w:rsidR="00F001BC" w:rsidRDefault="00F001BC" w:rsidP="005840B3">
            <w:pPr>
              <w:spacing w:before="60" w:after="60"/>
              <w:jc w:val="center"/>
              <w:rPr>
                <w:noProof/>
                <w:sz w:val="20"/>
              </w:rPr>
            </w:pPr>
            <w:r>
              <w:rPr>
                <w:noProof/>
                <w:sz w:val="20"/>
              </w:rPr>
              <w:t>Year</w:t>
            </w:r>
            <w:r>
              <w:rPr>
                <w:noProof/>
                <w:sz w:val="22"/>
              </w:rPr>
              <w:br/>
            </w:r>
            <w:r>
              <w:rPr>
                <w:b/>
                <w:noProof/>
                <w:sz w:val="20"/>
              </w:rPr>
              <w:t>2028-2034</w:t>
            </w:r>
          </w:p>
        </w:tc>
        <w:tc>
          <w:tcPr>
            <w:tcW w:w="1276" w:type="dxa"/>
            <w:vAlign w:val="center"/>
          </w:tcPr>
          <w:p w14:paraId="0B365AB6" w14:textId="77777777" w:rsidR="00F001BC" w:rsidRDefault="00F001BC" w:rsidP="005840B3">
            <w:pPr>
              <w:spacing w:before="60" w:after="60"/>
              <w:jc w:val="center"/>
              <w:rPr>
                <w:b/>
                <w:noProof/>
                <w:sz w:val="20"/>
              </w:rPr>
            </w:pPr>
            <w:r>
              <w:rPr>
                <w:b/>
                <w:noProof/>
                <w:sz w:val="20"/>
              </w:rPr>
              <w:t>TOTAL</w:t>
            </w:r>
          </w:p>
        </w:tc>
      </w:tr>
    </w:tbl>
    <w:p w14:paraId="7BA1102D" w14:textId="77777777" w:rsidR="00F001BC" w:rsidRDefault="00F001BC" w:rsidP="00F001BC">
      <w:pPr>
        <w:rPr>
          <w:noProof/>
          <w:sz w:val="20"/>
        </w:rPr>
      </w:pPr>
    </w:p>
    <w:tbl>
      <w:tblPr>
        <w:tblW w:w="7666"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170"/>
        <w:gridCol w:w="1276"/>
      </w:tblGrid>
      <w:tr w:rsidR="00F001BC" w14:paraId="47A7F3F1" w14:textId="77777777" w:rsidTr="005840B3">
        <w:trPr>
          <w:trHeight w:val="585"/>
        </w:trPr>
        <w:tc>
          <w:tcPr>
            <w:tcW w:w="1980" w:type="dxa"/>
            <w:shd w:val="clear" w:color="auto" w:fill="D9D9D9" w:themeFill="background1" w:themeFillShade="D9"/>
            <w:vAlign w:val="center"/>
          </w:tcPr>
          <w:p w14:paraId="6CF67898" w14:textId="77777777" w:rsidR="00F001BC" w:rsidRDefault="00F001BC" w:rsidP="005840B3">
            <w:pPr>
              <w:spacing w:before="60" w:after="60"/>
              <w:jc w:val="center"/>
              <w:rPr>
                <w:noProof/>
              </w:rPr>
            </w:pPr>
            <w:r>
              <w:rPr>
                <w:noProof/>
                <w:sz w:val="18"/>
              </w:rPr>
              <w:t>Temporary agents (AD Grades)</w:t>
            </w:r>
          </w:p>
        </w:tc>
        <w:tc>
          <w:tcPr>
            <w:tcW w:w="1080" w:type="dxa"/>
            <w:vAlign w:val="center"/>
          </w:tcPr>
          <w:p w14:paraId="467D4EF0" w14:textId="77777777" w:rsidR="00F001BC" w:rsidRDefault="00F001BC" w:rsidP="005840B3">
            <w:pPr>
              <w:spacing w:before="60" w:after="60"/>
              <w:jc w:val="right"/>
              <w:rPr>
                <w:noProof/>
                <w:sz w:val="20"/>
              </w:rPr>
            </w:pPr>
            <w:r>
              <w:rPr>
                <w:noProof/>
                <w:sz w:val="20"/>
              </w:rPr>
              <w:t>2</w:t>
            </w:r>
          </w:p>
        </w:tc>
        <w:tc>
          <w:tcPr>
            <w:tcW w:w="1080" w:type="dxa"/>
            <w:vAlign w:val="center"/>
          </w:tcPr>
          <w:p w14:paraId="504A206F" w14:textId="77777777" w:rsidR="00F001BC" w:rsidRDefault="00F001BC" w:rsidP="005840B3">
            <w:pPr>
              <w:spacing w:before="60" w:after="60"/>
              <w:jc w:val="right"/>
              <w:rPr>
                <w:noProof/>
                <w:sz w:val="20"/>
              </w:rPr>
            </w:pPr>
            <w:r>
              <w:rPr>
                <w:noProof/>
                <w:sz w:val="20"/>
              </w:rPr>
              <w:t>2</w:t>
            </w:r>
          </w:p>
        </w:tc>
        <w:tc>
          <w:tcPr>
            <w:tcW w:w="1080" w:type="dxa"/>
            <w:vAlign w:val="center"/>
          </w:tcPr>
          <w:p w14:paraId="46CB1498" w14:textId="77777777" w:rsidR="00F001BC" w:rsidRDefault="00F001BC" w:rsidP="005840B3">
            <w:pPr>
              <w:spacing w:before="60" w:after="60"/>
              <w:jc w:val="right"/>
              <w:rPr>
                <w:noProof/>
                <w:sz w:val="20"/>
              </w:rPr>
            </w:pPr>
            <w:r>
              <w:rPr>
                <w:noProof/>
                <w:sz w:val="20"/>
              </w:rPr>
              <w:t>2</w:t>
            </w:r>
          </w:p>
        </w:tc>
        <w:tc>
          <w:tcPr>
            <w:tcW w:w="1170" w:type="dxa"/>
            <w:vAlign w:val="center"/>
          </w:tcPr>
          <w:p w14:paraId="77E1F5FD" w14:textId="77777777" w:rsidR="00F001BC" w:rsidRDefault="00F001BC" w:rsidP="005840B3">
            <w:pPr>
              <w:spacing w:before="60" w:after="60"/>
              <w:jc w:val="right"/>
              <w:rPr>
                <w:noProof/>
                <w:sz w:val="20"/>
              </w:rPr>
            </w:pPr>
            <w:r>
              <w:rPr>
                <w:noProof/>
                <w:sz w:val="20"/>
              </w:rPr>
              <w:t>2</w:t>
            </w:r>
          </w:p>
        </w:tc>
        <w:tc>
          <w:tcPr>
            <w:tcW w:w="1276" w:type="dxa"/>
            <w:vAlign w:val="center"/>
          </w:tcPr>
          <w:p w14:paraId="32A6E4E5" w14:textId="77777777" w:rsidR="00F001BC" w:rsidRPr="00063C36" w:rsidRDefault="00F001BC" w:rsidP="005840B3">
            <w:pPr>
              <w:spacing w:before="60" w:after="60"/>
              <w:jc w:val="right"/>
              <w:rPr>
                <w:b/>
                <w:noProof/>
                <w:sz w:val="20"/>
              </w:rPr>
            </w:pPr>
            <w:r w:rsidRPr="00063C36">
              <w:rPr>
                <w:b/>
                <w:noProof/>
                <w:sz w:val="20"/>
              </w:rPr>
              <w:t>2</w:t>
            </w:r>
          </w:p>
        </w:tc>
      </w:tr>
      <w:tr w:rsidR="00F001BC" w14:paraId="795B9871" w14:textId="77777777" w:rsidTr="005840B3">
        <w:trPr>
          <w:trHeight w:val="585"/>
        </w:trPr>
        <w:tc>
          <w:tcPr>
            <w:tcW w:w="1980" w:type="dxa"/>
            <w:shd w:val="clear" w:color="auto" w:fill="BFBFBF" w:themeFill="background1" w:themeFillShade="BF"/>
            <w:vAlign w:val="center"/>
          </w:tcPr>
          <w:p w14:paraId="11463AB9" w14:textId="77777777" w:rsidR="00F001BC" w:rsidRDefault="00F001BC" w:rsidP="005840B3">
            <w:pPr>
              <w:spacing w:before="60" w:after="60"/>
              <w:ind w:left="72"/>
              <w:rPr>
                <w:noProof/>
              </w:rPr>
            </w:pPr>
            <w:r>
              <w:rPr>
                <w:noProof/>
                <w:sz w:val="20"/>
              </w:rPr>
              <w:t>Temporary agents (AST grades)</w:t>
            </w:r>
          </w:p>
        </w:tc>
        <w:tc>
          <w:tcPr>
            <w:tcW w:w="1080" w:type="dxa"/>
            <w:vAlign w:val="center"/>
          </w:tcPr>
          <w:p w14:paraId="4E477A56" w14:textId="77777777" w:rsidR="00F001BC" w:rsidRDefault="00F001BC" w:rsidP="005840B3">
            <w:pPr>
              <w:spacing w:before="60" w:after="60"/>
              <w:jc w:val="right"/>
              <w:rPr>
                <w:noProof/>
                <w:sz w:val="20"/>
              </w:rPr>
            </w:pPr>
          </w:p>
        </w:tc>
        <w:tc>
          <w:tcPr>
            <w:tcW w:w="1080" w:type="dxa"/>
            <w:vAlign w:val="center"/>
          </w:tcPr>
          <w:p w14:paraId="272D18C0" w14:textId="77777777" w:rsidR="00F001BC" w:rsidRDefault="00F001BC" w:rsidP="005840B3">
            <w:pPr>
              <w:spacing w:before="60" w:after="60"/>
              <w:jc w:val="right"/>
              <w:rPr>
                <w:noProof/>
                <w:sz w:val="20"/>
              </w:rPr>
            </w:pPr>
          </w:p>
        </w:tc>
        <w:tc>
          <w:tcPr>
            <w:tcW w:w="1080" w:type="dxa"/>
            <w:vAlign w:val="center"/>
          </w:tcPr>
          <w:p w14:paraId="081B399F" w14:textId="77777777" w:rsidR="00F001BC" w:rsidRDefault="00F001BC" w:rsidP="005840B3">
            <w:pPr>
              <w:spacing w:before="60" w:after="60"/>
              <w:jc w:val="right"/>
              <w:rPr>
                <w:noProof/>
                <w:sz w:val="20"/>
              </w:rPr>
            </w:pPr>
          </w:p>
        </w:tc>
        <w:tc>
          <w:tcPr>
            <w:tcW w:w="1170" w:type="dxa"/>
            <w:vAlign w:val="center"/>
          </w:tcPr>
          <w:p w14:paraId="177E4143" w14:textId="77777777" w:rsidR="00F001BC" w:rsidRDefault="00F001BC" w:rsidP="005840B3">
            <w:pPr>
              <w:spacing w:before="60" w:after="60"/>
              <w:jc w:val="right"/>
              <w:rPr>
                <w:noProof/>
                <w:sz w:val="20"/>
              </w:rPr>
            </w:pPr>
          </w:p>
        </w:tc>
        <w:tc>
          <w:tcPr>
            <w:tcW w:w="1276" w:type="dxa"/>
            <w:vAlign w:val="center"/>
          </w:tcPr>
          <w:p w14:paraId="619A592A" w14:textId="77777777" w:rsidR="00F001BC" w:rsidRPr="00063C36" w:rsidRDefault="00F001BC" w:rsidP="005840B3">
            <w:pPr>
              <w:spacing w:before="60" w:after="60"/>
              <w:jc w:val="right"/>
              <w:rPr>
                <w:b/>
                <w:noProof/>
                <w:sz w:val="20"/>
              </w:rPr>
            </w:pPr>
          </w:p>
        </w:tc>
      </w:tr>
      <w:tr w:rsidR="00F001BC" w14:paraId="1ED1BD39" w14:textId="77777777" w:rsidTr="005840B3">
        <w:trPr>
          <w:trHeight w:val="585"/>
        </w:trPr>
        <w:tc>
          <w:tcPr>
            <w:tcW w:w="1980" w:type="dxa"/>
            <w:shd w:val="clear" w:color="auto" w:fill="BFBFBF" w:themeFill="background1" w:themeFillShade="BF"/>
            <w:vAlign w:val="center"/>
          </w:tcPr>
          <w:p w14:paraId="49F40E60" w14:textId="77777777" w:rsidR="00F001BC" w:rsidRDefault="00F001BC" w:rsidP="005840B3">
            <w:pPr>
              <w:spacing w:before="60" w:after="60"/>
              <w:ind w:left="72"/>
              <w:rPr>
                <w:noProof/>
              </w:rPr>
            </w:pPr>
            <w:r>
              <w:rPr>
                <w:noProof/>
                <w:sz w:val="20"/>
              </w:rPr>
              <w:t>Contract staff</w:t>
            </w:r>
          </w:p>
        </w:tc>
        <w:tc>
          <w:tcPr>
            <w:tcW w:w="1080" w:type="dxa"/>
            <w:shd w:val="clear" w:color="auto" w:fill="BFBFBF" w:themeFill="background1" w:themeFillShade="BF"/>
            <w:vAlign w:val="center"/>
          </w:tcPr>
          <w:p w14:paraId="32D8654C" w14:textId="77777777" w:rsidR="00F001BC" w:rsidRDefault="00F001BC" w:rsidP="005840B3">
            <w:pPr>
              <w:spacing w:before="60" w:after="60"/>
              <w:jc w:val="right"/>
              <w:rPr>
                <w:noProof/>
                <w:sz w:val="20"/>
              </w:rPr>
            </w:pPr>
          </w:p>
        </w:tc>
        <w:tc>
          <w:tcPr>
            <w:tcW w:w="1080" w:type="dxa"/>
            <w:shd w:val="clear" w:color="auto" w:fill="BFBFBF" w:themeFill="background1" w:themeFillShade="BF"/>
            <w:vAlign w:val="center"/>
          </w:tcPr>
          <w:p w14:paraId="32B2E815" w14:textId="77777777" w:rsidR="00F001BC" w:rsidRDefault="00F001BC" w:rsidP="005840B3">
            <w:pPr>
              <w:spacing w:before="60" w:after="60"/>
              <w:jc w:val="right"/>
              <w:rPr>
                <w:noProof/>
                <w:sz w:val="20"/>
              </w:rPr>
            </w:pPr>
          </w:p>
        </w:tc>
        <w:tc>
          <w:tcPr>
            <w:tcW w:w="1080" w:type="dxa"/>
            <w:shd w:val="clear" w:color="auto" w:fill="BFBFBF" w:themeFill="background1" w:themeFillShade="BF"/>
            <w:vAlign w:val="center"/>
          </w:tcPr>
          <w:p w14:paraId="147E2E72" w14:textId="77777777" w:rsidR="00F001BC" w:rsidRDefault="00F001BC" w:rsidP="005840B3">
            <w:pPr>
              <w:spacing w:before="60" w:after="60"/>
              <w:jc w:val="right"/>
              <w:rPr>
                <w:noProof/>
                <w:sz w:val="20"/>
              </w:rPr>
            </w:pPr>
          </w:p>
        </w:tc>
        <w:tc>
          <w:tcPr>
            <w:tcW w:w="1170" w:type="dxa"/>
            <w:shd w:val="clear" w:color="auto" w:fill="BFBFBF" w:themeFill="background1" w:themeFillShade="BF"/>
            <w:vAlign w:val="center"/>
          </w:tcPr>
          <w:p w14:paraId="47C88376" w14:textId="77777777" w:rsidR="00F001BC" w:rsidRDefault="00F001BC" w:rsidP="005840B3">
            <w:pPr>
              <w:spacing w:before="60" w:after="60"/>
              <w:jc w:val="right"/>
              <w:rPr>
                <w:noProof/>
                <w:sz w:val="20"/>
              </w:rPr>
            </w:pPr>
          </w:p>
        </w:tc>
        <w:tc>
          <w:tcPr>
            <w:tcW w:w="1276" w:type="dxa"/>
            <w:shd w:val="clear" w:color="auto" w:fill="BFBFBF" w:themeFill="background1" w:themeFillShade="BF"/>
            <w:vAlign w:val="center"/>
          </w:tcPr>
          <w:p w14:paraId="72681A9C" w14:textId="77777777" w:rsidR="00F001BC" w:rsidRPr="00063C36" w:rsidRDefault="00F001BC" w:rsidP="005840B3">
            <w:pPr>
              <w:spacing w:before="60" w:after="60"/>
              <w:jc w:val="right"/>
              <w:rPr>
                <w:b/>
                <w:noProof/>
                <w:sz w:val="20"/>
              </w:rPr>
            </w:pPr>
          </w:p>
        </w:tc>
      </w:tr>
      <w:tr w:rsidR="00F001BC" w14:paraId="37F2920D" w14:textId="77777777" w:rsidTr="005840B3">
        <w:trPr>
          <w:trHeight w:val="585"/>
        </w:trPr>
        <w:tc>
          <w:tcPr>
            <w:tcW w:w="1980" w:type="dxa"/>
            <w:shd w:val="clear" w:color="auto" w:fill="CCCCCC"/>
            <w:vAlign w:val="center"/>
          </w:tcPr>
          <w:p w14:paraId="6F54F292" w14:textId="77777777" w:rsidR="00F001BC" w:rsidRDefault="00F001BC" w:rsidP="005840B3">
            <w:pPr>
              <w:spacing w:before="60" w:after="60"/>
              <w:jc w:val="center"/>
              <w:rPr>
                <w:noProof/>
              </w:rPr>
            </w:pPr>
            <w:r>
              <w:rPr>
                <w:noProof/>
                <w:sz w:val="18"/>
              </w:rPr>
              <w:t>Seconded National Experts</w:t>
            </w:r>
          </w:p>
        </w:tc>
        <w:tc>
          <w:tcPr>
            <w:tcW w:w="1080" w:type="dxa"/>
            <w:vAlign w:val="center"/>
          </w:tcPr>
          <w:p w14:paraId="28EAB417" w14:textId="77777777" w:rsidR="00F001BC" w:rsidRDefault="00F001BC" w:rsidP="005840B3">
            <w:pPr>
              <w:spacing w:before="60" w:after="60"/>
              <w:jc w:val="right"/>
              <w:rPr>
                <w:noProof/>
                <w:sz w:val="20"/>
              </w:rPr>
            </w:pPr>
          </w:p>
        </w:tc>
        <w:tc>
          <w:tcPr>
            <w:tcW w:w="1080" w:type="dxa"/>
            <w:vAlign w:val="center"/>
          </w:tcPr>
          <w:p w14:paraId="4F0BA34E" w14:textId="77777777" w:rsidR="00F001BC" w:rsidRDefault="00F001BC" w:rsidP="005840B3">
            <w:pPr>
              <w:spacing w:before="60" w:after="60"/>
              <w:jc w:val="right"/>
              <w:rPr>
                <w:noProof/>
                <w:sz w:val="20"/>
              </w:rPr>
            </w:pPr>
          </w:p>
        </w:tc>
        <w:tc>
          <w:tcPr>
            <w:tcW w:w="1080" w:type="dxa"/>
            <w:vAlign w:val="center"/>
          </w:tcPr>
          <w:p w14:paraId="0C84D615" w14:textId="77777777" w:rsidR="00F001BC" w:rsidRDefault="00F001BC" w:rsidP="005840B3">
            <w:pPr>
              <w:spacing w:before="60" w:after="60"/>
              <w:jc w:val="right"/>
              <w:rPr>
                <w:noProof/>
                <w:sz w:val="20"/>
              </w:rPr>
            </w:pPr>
          </w:p>
        </w:tc>
        <w:tc>
          <w:tcPr>
            <w:tcW w:w="1170" w:type="dxa"/>
            <w:vAlign w:val="center"/>
          </w:tcPr>
          <w:p w14:paraId="5F15A8F0" w14:textId="77777777" w:rsidR="00F001BC" w:rsidRDefault="00F001BC" w:rsidP="005840B3">
            <w:pPr>
              <w:spacing w:before="60" w:after="60"/>
              <w:jc w:val="right"/>
              <w:rPr>
                <w:noProof/>
                <w:sz w:val="20"/>
              </w:rPr>
            </w:pPr>
          </w:p>
        </w:tc>
        <w:tc>
          <w:tcPr>
            <w:tcW w:w="1276" w:type="dxa"/>
            <w:vAlign w:val="center"/>
          </w:tcPr>
          <w:p w14:paraId="5CFED9B3" w14:textId="77777777" w:rsidR="00F001BC" w:rsidRPr="00063C36" w:rsidRDefault="00F001BC" w:rsidP="005840B3">
            <w:pPr>
              <w:spacing w:before="60" w:after="60"/>
              <w:jc w:val="right"/>
              <w:rPr>
                <w:b/>
                <w:noProof/>
                <w:sz w:val="20"/>
              </w:rPr>
            </w:pPr>
          </w:p>
        </w:tc>
      </w:tr>
    </w:tbl>
    <w:p w14:paraId="6FD9D762" w14:textId="77777777" w:rsidR="00F001BC" w:rsidRDefault="00F001BC" w:rsidP="00F001BC">
      <w:pPr>
        <w:rPr>
          <w:noProof/>
          <w:sz w:val="20"/>
        </w:rPr>
      </w:pPr>
    </w:p>
    <w:tbl>
      <w:tblPr>
        <w:tblW w:w="7666" w:type="dxa"/>
        <w:tblInd w:w="-612" w:type="dxa"/>
        <w:tblLayout w:type="fixed"/>
        <w:tblLook w:val="01E0" w:firstRow="1" w:lastRow="1" w:firstColumn="1" w:lastColumn="1" w:noHBand="0" w:noVBand="0"/>
      </w:tblPr>
      <w:tblGrid>
        <w:gridCol w:w="1980"/>
        <w:gridCol w:w="1080"/>
        <w:gridCol w:w="1080"/>
        <w:gridCol w:w="1080"/>
        <w:gridCol w:w="1170"/>
        <w:gridCol w:w="1276"/>
      </w:tblGrid>
      <w:tr w:rsidR="00F001BC" w14:paraId="085E522C" w14:textId="77777777" w:rsidTr="005840B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1328C291" w14:textId="77777777" w:rsidR="00F001BC" w:rsidRDefault="00F001BC" w:rsidP="005840B3">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1DBCE0D0" w14:textId="77777777" w:rsidR="00F001BC" w:rsidRPr="009B3DE7" w:rsidRDefault="00F001BC" w:rsidP="005840B3">
            <w:pPr>
              <w:spacing w:before="60" w:after="60"/>
              <w:jc w:val="right"/>
              <w:rPr>
                <w:b/>
                <w:noProof/>
                <w:sz w:val="20"/>
              </w:rPr>
            </w:pPr>
            <w:r w:rsidRPr="00063C36">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14:paraId="72093E83" w14:textId="77777777" w:rsidR="00F001BC" w:rsidRPr="009B3DE7" w:rsidRDefault="00F001BC" w:rsidP="005840B3">
            <w:pPr>
              <w:spacing w:before="60" w:after="60"/>
              <w:jc w:val="right"/>
              <w:rPr>
                <w:b/>
                <w:noProof/>
                <w:sz w:val="20"/>
              </w:rPr>
            </w:pPr>
            <w:r w:rsidRPr="00063C36">
              <w:rPr>
                <w:b/>
                <w:noProof/>
                <w:sz w:val="20"/>
              </w:rPr>
              <w:t>2</w:t>
            </w:r>
          </w:p>
        </w:tc>
        <w:tc>
          <w:tcPr>
            <w:tcW w:w="1080" w:type="dxa"/>
            <w:tcBorders>
              <w:top w:val="single" w:sz="12" w:space="0" w:color="auto"/>
              <w:left w:val="single" w:sz="2" w:space="0" w:color="auto"/>
              <w:bottom w:val="single" w:sz="12" w:space="0" w:color="auto"/>
              <w:right w:val="single" w:sz="2" w:space="0" w:color="auto"/>
            </w:tcBorders>
            <w:vAlign w:val="center"/>
          </w:tcPr>
          <w:p w14:paraId="67B01535" w14:textId="77777777" w:rsidR="00F001BC" w:rsidRPr="009B3DE7" w:rsidRDefault="00F001BC" w:rsidP="005840B3">
            <w:pPr>
              <w:spacing w:before="60" w:after="60"/>
              <w:jc w:val="right"/>
              <w:rPr>
                <w:b/>
                <w:noProof/>
                <w:sz w:val="20"/>
              </w:rPr>
            </w:pPr>
            <w:r w:rsidRPr="00063C36">
              <w:rPr>
                <w:b/>
                <w:noProof/>
                <w:sz w:val="20"/>
              </w:rPr>
              <w:t>2</w:t>
            </w:r>
          </w:p>
        </w:tc>
        <w:tc>
          <w:tcPr>
            <w:tcW w:w="1170" w:type="dxa"/>
            <w:tcBorders>
              <w:top w:val="single" w:sz="12" w:space="0" w:color="auto"/>
              <w:left w:val="single" w:sz="2" w:space="0" w:color="auto"/>
              <w:bottom w:val="single" w:sz="12" w:space="0" w:color="auto"/>
              <w:right w:val="single" w:sz="2" w:space="0" w:color="auto"/>
            </w:tcBorders>
            <w:vAlign w:val="center"/>
          </w:tcPr>
          <w:p w14:paraId="692A8890" w14:textId="77777777" w:rsidR="00F001BC" w:rsidRPr="009B3DE7" w:rsidRDefault="00F001BC" w:rsidP="005840B3">
            <w:pPr>
              <w:spacing w:before="60" w:after="60"/>
              <w:jc w:val="right"/>
              <w:rPr>
                <w:b/>
                <w:noProof/>
                <w:sz w:val="20"/>
              </w:rPr>
            </w:pPr>
            <w:r w:rsidRPr="00063C36">
              <w:rPr>
                <w:b/>
                <w:noProof/>
                <w:sz w:val="20"/>
              </w:rPr>
              <w:t>2</w:t>
            </w:r>
          </w:p>
        </w:tc>
        <w:tc>
          <w:tcPr>
            <w:tcW w:w="1276" w:type="dxa"/>
            <w:tcBorders>
              <w:top w:val="single" w:sz="12" w:space="0" w:color="auto"/>
              <w:left w:val="single" w:sz="2" w:space="0" w:color="auto"/>
              <w:bottom w:val="single" w:sz="12" w:space="0" w:color="auto"/>
              <w:right w:val="single" w:sz="12" w:space="0" w:color="auto"/>
            </w:tcBorders>
            <w:vAlign w:val="center"/>
          </w:tcPr>
          <w:p w14:paraId="1FC5F540" w14:textId="77777777" w:rsidR="00F001BC" w:rsidRPr="009B3DE7" w:rsidRDefault="00F001BC" w:rsidP="005840B3">
            <w:pPr>
              <w:spacing w:before="60" w:after="60"/>
              <w:jc w:val="right"/>
              <w:rPr>
                <w:b/>
                <w:noProof/>
                <w:sz w:val="20"/>
              </w:rPr>
            </w:pPr>
            <w:r w:rsidRPr="009B3DE7">
              <w:rPr>
                <w:b/>
                <w:noProof/>
                <w:sz w:val="20"/>
              </w:rPr>
              <w:t>2</w:t>
            </w:r>
          </w:p>
        </w:tc>
      </w:tr>
    </w:tbl>
    <w:p w14:paraId="2583251F" w14:textId="77777777" w:rsidR="00F001BC" w:rsidRDefault="001E1EB3" w:rsidP="00F001BC">
      <w:pPr>
        <w:rPr>
          <w:noProof/>
          <w:u w:val="single"/>
        </w:rPr>
      </w:pPr>
      <w:r w:rsidRPr="001E1EB3">
        <w:rPr>
          <w:noProof/>
          <w:u w:val="single"/>
        </w:rPr>
        <w:t>The budget impact beyond the current MFF is an indicative overview, without prejudice to the future MFF Agreement.</w:t>
      </w:r>
    </w:p>
    <w:p w14:paraId="3333E683" w14:textId="77777777" w:rsidR="001E1EB3" w:rsidRDefault="001E1EB3" w:rsidP="00F001BC">
      <w:pPr>
        <w:rPr>
          <w:noProof/>
          <w:u w:val="single"/>
        </w:rPr>
      </w:pPr>
      <w:r w:rsidRPr="001E1EB3">
        <w:rPr>
          <w:noProof/>
          <w:u w:val="single"/>
        </w:rPr>
        <w:t xml:space="preserve">EMSA will start preparing the recruitment as soon as the proposal is adopted. The costs are estimated based on the assumption that the 2 FTEs are recruited as of 1st July 2025. So only 50% of the HR costs are needed for the first year. </w:t>
      </w:r>
    </w:p>
    <w:p w14:paraId="691EF7AB" w14:textId="77777777" w:rsidR="00F001BC" w:rsidRDefault="00F001BC" w:rsidP="00F001BC">
      <w:pPr>
        <w:pStyle w:val="ManualHeading4"/>
        <w:rPr>
          <w:bCs/>
          <w:noProof/>
          <w:szCs w:val="24"/>
        </w:rPr>
      </w:pPr>
      <w:r w:rsidRPr="006D222F">
        <w:rPr>
          <w:noProof/>
        </w:rPr>
        <w:t>3.2.3.2.</w:t>
      </w:r>
      <w:r w:rsidRPr="006D222F">
        <w:rPr>
          <w:noProof/>
        </w:rPr>
        <w:tab/>
      </w:r>
      <w:r>
        <w:rPr>
          <w:noProof/>
        </w:rPr>
        <w:t>Estimated requirements of human resources for the parent DG</w:t>
      </w:r>
    </w:p>
    <w:p w14:paraId="64105148" w14:textId="77777777" w:rsidR="00F001BC" w:rsidRDefault="00F001BC" w:rsidP="008305F0">
      <w:pPr>
        <w:pStyle w:val="ListDash1"/>
        <w:rPr>
          <w:noProof/>
        </w:rPr>
      </w:pPr>
      <w:r>
        <w:rPr>
          <w:noProof/>
        </w:rPr>
        <w:sym w:font="Wingdings" w:char="F0FE"/>
      </w:r>
      <w:r>
        <w:rPr>
          <w:noProof/>
        </w:rPr>
        <w:tab/>
        <w:t xml:space="preserve">The proposal/initiative does not require the use of human resources. </w:t>
      </w:r>
    </w:p>
    <w:p w14:paraId="610B2227" w14:textId="77777777" w:rsidR="00F001BC" w:rsidRDefault="00F001BC" w:rsidP="008305F0">
      <w:pPr>
        <w:pStyle w:val="ListDash1"/>
        <w:rPr>
          <w:noProof/>
        </w:rPr>
      </w:pPr>
      <w:r>
        <w:rPr>
          <w:noProof/>
        </w:rPr>
        <w:sym w:font="Wingdings" w:char="F0A8"/>
      </w:r>
      <w:r>
        <w:rPr>
          <w:noProof/>
        </w:rPr>
        <w:tab/>
        <w:t>The proposal/initiative requires the use of human resources, as explained below:</w:t>
      </w:r>
    </w:p>
    <w:p w14:paraId="032A1AB2" w14:textId="77777777" w:rsidR="00F001BC" w:rsidRDefault="00F001BC" w:rsidP="00F001BC">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F001BC" w14:paraId="72562755" w14:textId="77777777" w:rsidTr="005840B3">
        <w:trPr>
          <w:gridAfter w:val="1"/>
          <w:wAfter w:w="5" w:type="pct"/>
          <w:trHeight w:val="289"/>
          <w:jc w:val="center"/>
        </w:trPr>
        <w:tc>
          <w:tcPr>
            <w:tcW w:w="2043" w:type="pct"/>
            <w:gridSpan w:val="2"/>
            <w:shd w:val="clear" w:color="auto" w:fill="auto"/>
          </w:tcPr>
          <w:p w14:paraId="014EE10E" w14:textId="77777777" w:rsidR="00F001BC" w:rsidRDefault="00F001BC" w:rsidP="005840B3">
            <w:pPr>
              <w:pStyle w:val="Text1"/>
              <w:spacing w:before="40" w:after="40"/>
              <w:ind w:left="0"/>
              <w:jc w:val="center"/>
              <w:rPr>
                <w:i/>
                <w:noProof/>
                <w:sz w:val="20"/>
              </w:rPr>
            </w:pPr>
          </w:p>
        </w:tc>
        <w:tc>
          <w:tcPr>
            <w:tcW w:w="377" w:type="pct"/>
            <w:shd w:val="clear" w:color="auto" w:fill="auto"/>
            <w:vAlign w:val="center"/>
          </w:tcPr>
          <w:p w14:paraId="4A1C8704" w14:textId="77777777" w:rsidR="00F001BC" w:rsidRDefault="00F001BC" w:rsidP="005840B3">
            <w:pPr>
              <w:spacing w:before="20" w:after="20"/>
              <w:jc w:val="center"/>
              <w:rPr>
                <w:noProof/>
                <w:sz w:val="20"/>
              </w:rPr>
            </w:pPr>
            <w:r>
              <w:rPr>
                <w:noProof/>
                <w:sz w:val="20"/>
              </w:rPr>
              <w:t>Year</w:t>
            </w:r>
            <w:r>
              <w:rPr>
                <w:noProof/>
                <w:sz w:val="20"/>
              </w:rPr>
              <w:br/>
            </w:r>
            <w:r>
              <w:rPr>
                <w:b/>
                <w:noProof/>
                <w:sz w:val="20"/>
              </w:rPr>
              <w:t>N</w:t>
            </w:r>
          </w:p>
        </w:tc>
        <w:tc>
          <w:tcPr>
            <w:tcW w:w="377" w:type="pct"/>
            <w:shd w:val="clear" w:color="auto" w:fill="auto"/>
            <w:vAlign w:val="center"/>
          </w:tcPr>
          <w:p w14:paraId="43748661" w14:textId="77777777" w:rsidR="00F001BC" w:rsidRDefault="00F001BC" w:rsidP="005840B3">
            <w:pPr>
              <w:spacing w:before="20" w:after="20"/>
              <w:jc w:val="center"/>
              <w:rPr>
                <w:noProof/>
                <w:sz w:val="20"/>
              </w:rPr>
            </w:pPr>
            <w:r>
              <w:rPr>
                <w:noProof/>
                <w:sz w:val="20"/>
              </w:rPr>
              <w:t>Year</w:t>
            </w:r>
            <w:r>
              <w:rPr>
                <w:noProof/>
                <w:sz w:val="20"/>
              </w:rPr>
              <w:br/>
            </w:r>
            <w:r>
              <w:rPr>
                <w:b/>
                <w:noProof/>
                <w:sz w:val="20"/>
              </w:rPr>
              <w:t>N+1</w:t>
            </w:r>
          </w:p>
        </w:tc>
        <w:tc>
          <w:tcPr>
            <w:tcW w:w="406" w:type="pct"/>
            <w:shd w:val="clear" w:color="auto" w:fill="auto"/>
            <w:vAlign w:val="center"/>
          </w:tcPr>
          <w:p w14:paraId="68540D7B" w14:textId="77777777" w:rsidR="00F001BC" w:rsidRDefault="00F001BC" w:rsidP="005840B3">
            <w:pPr>
              <w:spacing w:before="20" w:after="20"/>
              <w:jc w:val="center"/>
              <w:rPr>
                <w:noProof/>
                <w:sz w:val="20"/>
              </w:rPr>
            </w:pPr>
            <w:r>
              <w:rPr>
                <w:noProof/>
                <w:sz w:val="20"/>
              </w:rPr>
              <w:t xml:space="preserve">Year </w:t>
            </w:r>
            <w:r>
              <w:rPr>
                <w:b/>
                <w:noProof/>
                <w:sz w:val="20"/>
              </w:rPr>
              <w:t>N+2</w:t>
            </w:r>
          </w:p>
        </w:tc>
        <w:tc>
          <w:tcPr>
            <w:tcW w:w="497" w:type="pct"/>
            <w:shd w:val="clear" w:color="auto" w:fill="auto"/>
            <w:vAlign w:val="center"/>
          </w:tcPr>
          <w:p w14:paraId="7B960424" w14:textId="77777777" w:rsidR="00F001BC" w:rsidRDefault="00F001BC" w:rsidP="005840B3">
            <w:pPr>
              <w:spacing w:before="20" w:after="20"/>
              <w:jc w:val="center"/>
              <w:rPr>
                <w:noProof/>
                <w:sz w:val="20"/>
              </w:rPr>
            </w:pPr>
            <w:r>
              <w:rPr>
                <w:noProof/>
                <w:sz w:val="20"/>
              </w:rPr>
              <w:t xml:space="preserve">Year </w:t>
            </w:r>
            <w:r>
              <w:rPr>
                <w:b/>
                <w:noProof/>
                <w:sz w:val="20"/>
              </w:rPr>
              <w:t>N+3</w:t>
            </w:r>
          </w:p>
        </w:tc>
        <w:tc>
          <w:tcPr>
            <w:tcW w:w="1294" w:type="pct"/>
            <w:gridSpan w:val="3"/>
            <w:shd w:val="clear" w:color="auto" w:fill="auto"/>
            <w:vAlign w:val="center"/>
          </w:tcPr>
          <w:p w14:paraId="4529DED3" w14:textId="77777777" w:rsidR="00F001BC" w:rsidRDefault="00F001BC" w:rsidP="005840B3">
            <w:pPr>
              <w:tabs>
                <w:tab w:val="left" w:pos="685"/>
              </w:tabs>
              <w:jc w:val="center"/>
              <w:rPr>
                <w:b/>
                <w:noProof/>
                <w:sz w:val="20"/>
              </w:rPr>
            </w:pPr>
            <w:r>
              <w:rPr>
                <w:noProof/>
                <w:sz w:val="20"/>
              </w:rPr>
              <w:t>Enter as many years as necessary to show the duration of the impact (see point 1.6)</w:t>
            </w:r>
          </w:p>
        </w:tc>
      </w:tr>
      <w:tr w:rsidR="00F001BC" w14:paraId="62950873" w14:textId="77777777" w:rsidTr="005840B3">
        <w:trPr>
          <w:trHeight w:val="289"/>
          <w:jc w:val="center"/>
        </w:trPr>
        <w:tc>
          <w:tcPr>
            <w:tcW w:w="2043" w:type="pct"/>
            <w:gridSpan w:val="2"/>
            <w:shd w:val="clear" w:color="auto" w:fill="auto"/>
            <w:vAlign w:val="center"/>
          </w:tcPr>
          <w:p w14:paraId="6E2FCA2F" w14:textId="77777777" w:rsidR="00F001BC" w:rsidRDefault="00F001BC" w:rsidP="008305F0">
            <w:pPr>
              <w:pStyle w:val="Text1"/>
              <w:numPr>
                <w:ilvl w:val="0"/>
                <w:numId w:val="17"/>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14:paraId="3A6C52E7"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68B53C0F"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0BCE0AFB"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7A87F880"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4D5544FA"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5B441C09"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5EF470B7" w14:textId="77777777" w:rsidR="00F001BC" w:rsidRDefault="00F001BC" w:rsidP="005840B3">
            <w:pPr>
              <w:spacing w:beforeLines="20" w:before="48" w:afterLines="20" w:after="48"/>
              <w:jc w:val="center"/>
              <w:rPr>
                <w:noProof/>
                <w:sz w:val="20"/>
              </w:rPr>
            </w:pPr>
          </w:p>
        </w:tc>
      </w:tr>
      <w:tr w:rsidR="00F001BC" w14:paraId="3DEE5582" w14:textId="77777777" w:rsidTr="005840B3">
        <w:trPr>
          <w:trHeight w:val="289"/>
          <w:jc w:val="center"/>
        </w:trPr>
        <w:tc>
          <w:tcPr>
            <w:tcW w:w="2043" w:type="pct"/>
            <w:gridSpan w:val="2"/>
            <w:shd w:val="clear" w:color="auto" w:fill="auto"/>
            <w:vAlign w:val="center"/>
          </w:tcPr>
          <w:p w14:paraId="0A721A2B" w14:textId="77777777" w:rsidR="00F001BC" w:rsidRDefault="00F001BC" w:rsidP="005840B3">
            <w:pPr>
              <w:pStyle w:val="Text1"/>
              <w:spacing w:beforeLines="20" w:before="48" w:afterLines="20" w:after="48"/>
              <w:ind w:left="984"/>
              <w:jc w:val="left"/>
              <w:rPr>
                <w:b/>
                <w:noProof/>
                <w:sz w:val="20"/>
              </w:rPr>
            </w:pPr>
            <w:r>
              <w:rPr>
                <w:noProof/>
                <w:sz w:val="20"/>
              </w:rPr>
              <w:t>20 01 02 01 and 20 01 02 02 (Headquarters and Commission’s Representation Offices)</w:t>
            </w:r>
          </w:p>
        </w:tc>
        <w:tc>
          <w:tcPr>
            <w:tcW w:w="377" w:type="pct"/>
            <w:shd w:val="clear" w:color="auto" w:fill="auto"/>
            <w:vAlign w:val="center"/>
          </w:tcPr>
          <w:p w14:paraId="566296CC"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1F3FEC46"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7257FCF0"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348F7647"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7EB95BA1"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27FD2786"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35E21938" w14:textId="77777777" w:rsidR="00F001BC" w:rsidRDefault="00F001BC" w:rsidP="005840B3">
            <w:pPr>
              <w:spacing w:beforeLines="20" w:before="48" w:afterLines="20" w:after="48"/>
              <w:jc w:val="center"/>
              <w:rPr>
                <w:noProof/>
                <w:sz w:val="20"/>
              </w:rPr>
            </w:pPr>
          </w:p>
        </w:tc>
      </w:tr>
      <w:tr w:rsidR="00F001BC" w14:paraId="31C67D3C" w14:textId="77777777" w:rsidTr="005840B3">
        <w:trPr>
          <w:trHeight w:val="289"/>
          <w:jc w:val="center"/>
        </w:trPr>
        <w:tc>
          <w:tcPr>
            <w:tcW w:w="2043" w:type="pct"/>
            <w:gridSpan w:val="2"/>
            <w:shd w:val="clear" w:color="auto" w:fill="auto"/>
            <w:vAlign w:val="center"/>
          </w:tcPr>
          <w:p w14:paraId="7B531FBC" w14:textId="77777777" w:rsidR="00F001BC" w:rsidRDefault="00F001BC" w:rsidP="005840B3">
            <w:pPr>
              <w:pStyle w:val="Text1"/>
              <w:spacing w:beforeLines="20" w:before="48" w:afterLines="20" w:after="48"/>
              <w:ind w:left="984"/>
              <w:jc w:val="left"/>
              <w:rPr>
                <w:noProof/>
                <w:sz w:val="20"/>
              </w:rPr>
            </w:pPr>
            <w:r>
              <w:rPr>
                <w:noProof/>
                <w:sz w:val="20"/>
              </w:rPr>
              <w:t>20 01 02 03 (Delegations)</w:t>
            </w:r>
          </w:p>
        </w:tc>
        <w:tc>
          <w:tcPr>
            <w:tcW w:w="377" w:type="pct"/>
            <w:shd w:val="clear" w:color="auto" w:fill="auto"/>
            <w:vAlign w:val="center"/>
          </w:tcPr>
          <w:p w14:paraId="3EF56263"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66CC49CD"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46383582"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7569959D"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6E9D9C9F"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2F8E71E1"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06B390CB" w14:textId="77777777" w:rsidR="00F001BC" w:rsidRDefault="00F001BC" w:rsidP="005840B3">
            <w:pPr>
              <w:spacing w:beforeLines="20" w:before="48" w:afterLines="20" w:after="48"/>
              <w:jc w:val="center"/>
              <w:rPr>
                <w:noProof/>
                <w:sz w:val="20"/>
              </w:rPr>
            </w:pPr>
          </w:p>
        </w:tc>
      </w:tr>
      <w:tr w:rsidR="00F001BC" w14:paraId="62CDD868" w14:textId="77777777" w:rsidTr="005840B3">
        <w:trPr>
          <w:trHeight w:val="953"/>
          <w:jc w:val="center"/>
        </w:trPr>
        <w:tc>
          <w:tcPr>
            <w:tcW w:w="2043" w:type="pct"/>
            <w:gridSpan w:val="2"/>
            <w:shd w:val="clear" w:color="auto" w:fill="auto"/>
            <w:vAlign w:val="center"/>
          </w:tcPr>
          <w:p w14:paraId="26BF3732" w14:textId="77777777" w:rsidR="00F001BC" w:rsidRDefault="00F001BC" w:rsidP="005840B3">
            <w:pPr>
              <w:pStyle w:val="Text1"/>
              <w:spacing w:beforeLines="20" w:before="48" w:afterLines="20" w:after="48"/>
              <w:ind w:left="984"/>
              <w:jc w:val="left"/>
              <w:rPr>
                <w:noProof/>
                <w:sz w:val="20"/>
              </w:rPr>
            </w:pPr>
            <w:r>
              <w:rPr>
                <w:noProof/>
                <w:sz w:val="20"/>
              </w:rPr>
              <w:t>01 01 01 01 (Indirect research)</w:t>
            </w:r>
          </w:p>
        </w:tc>
        <w:tc>
          <w:tcPr>
            <w:tcW w:w="377" w:type="pct"/>
            <w:shd w:val="clear" w:color="auto" w:fill="auto"/>
            <w:vAlign w:val="center"/>
          </w:tcPr>
          <w:p w14:paraId="10B54F2F"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16AB85A2"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4D325D3C"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202FA848"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5F5791B2"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3D7D34B4"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075BAB78" w14:textId="77777777" w:rsidR="00F001BC" w:rsidRDefault="00F001BC" w:rsidP="005840B3">
            <w:pPr>
              <w:spacing w:beforeLines="20" w:before="48" w:afterLines="20" w:after="48"/>
              <w:jc w:val="center"/>
              <w:rPr>
                <w:noProof/>
                <w:sz w:val="20"/>
              </w:rPr>
            </w:pPr>
          </w:p>
        </w:tc>
      </w:tr>
      <w:tr w:rsidR="00F001BC" w14:paraId="5DB8DD12" w14:textId="77777777" w:rsidTr="005840B3">
        <w:trPr>
          <w:trHeight w:val="289"/>
          <w:jc w:val="center"/>
        </w:trPr>
        <w:tc>
          <w:tcPr>
            <w:tcW w:w="2043" w:type="pct"/>
            <w:gridSpan w:val="2"/>
            <w:shd w:val="clear" w:color="auto" w:fill="auto"/>
            <w:vAlign w:val="center"/>
          </w:tcPr>
          <w:p w14:paraId="0DF4085E" w14:textId="77777777" w:rsidR="00F001BC" w:rsidRDefault="00F001BC" w:rsidP="005840B3">
            <w:pPr>
              <w:pStyle w:val="Text1"/>
              <w:spacing w:beforeLines="20" w:before="48" w:afterLines="20" w:after="48"/>
              <w:ind w:left="984"/>
              <w:jc w:val="left"/>
              <w:rPr>
                <w:noProof/>
                <w:sz w:val="20"/>
              </w:rPr>
            </w:pPr>
            <w:r w:rsidRPr="001D4F31">
              <w:rPr>
                <w:noProof/>
                <w:sz w:val="20"/>
              </w:rPr>
              <w:t>10 01 05 01</w:t>
            </w:r>
            <w:r>
              <w:rPr>
                <w:noProof/>
                <w:sz w:val="20"/>
              </w:rPr>
              <w:t xml:space="preserve"> (Direct research)</w:t>
            </w:r>
          </w:p>
        </w:tc>
        <w:tc>
          <w:tcPr>
            <w:tcW w:w="377" w:type="pct"/>
            <w:shd w:val="clear" w:color="auto" w:fill="auto"/>
            <w:vAlign w:val="center"/>
          </w:tcPr>
          <w:p w14:paraId="65F1B7EB"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05298DF0"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2636E251"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229504C2"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49E45D51"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58DCDA45"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2BAE6DD9" w14:textId="77777777" w:rsidR="00F001BC" w:rsidRDefault="00F001BC" w:rsidP="005840B3">
            <w:pPr>
              <w:spacing w:beforeLines="20" w:before="48" w:afterLines="20" w:after="48"/>
              <w:jc w:val="center"/>
              <w:rPr>
                <w:noProof/>
                <w:sz w:val="20"/>
              </w:rPr>
            </w:pPr>
          </w:p>
        </w:tc>
      </w:tr>
      <w:tr w:rsidR="00F001BC" w14:paraId="3C14D6E4" w14:textId="77777777" w:rsidTr="005840B3">
        <w:trPr>
          <w:trHeight w:val="289"/>
          <w:jc w:val="center"/>
        </w:trPr>
        <w:tc>
          <w:tcPr>
            <w:tcW w:w="2043" w:type="pct"/>
            <w:gridSpan w:val="2"/>
            <w:shd w:val="clear" w:color="auto" w:fill="auto"/>
            <w:vAlign w:val="center"/>
          </w:tcPr>
          <w:p w14:paraId="1805E112" w14:textId="77777777" w:rsidR="00F001BC" w:rsidRDefault="00F001BC" w:rsidP="005840B3">
            <w:pPr>
              <w:pStyle w:val="Text1"/>
              <w:spacing w:beforeLines="20" w:before="48" w:afterLines="20" w:after="48"/>
              <w:ind w:left="984"/>
              <w:jc w:val="left"/>
              <w:rPr>
                <w:noProof/>
                <w:sz w:val="20"/>
              </w:rPr>
            </w:pPr>
          </w:p>
        </w:tc>
        <w:tc>
          <w:tcPr>
            <w:tcW w:w="377" w:type="pct"/>
            <w:shd w:val="clear" w:color="auto" w:fill="auto"/>
            <w:vAlign w:val="center"/>
          </w:tcPr>
          <w:p w14:paraId="349827BC"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4C3939FA"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4A720E20"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1494C775"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2AB48136"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69CDC6D0"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1650FD5F" w14:textId="77777777" w:rsidR="00F001BC" w:rsidRDefault="00F001BC" w:rsidP="005840B3">
            <w:pPr>
              <w:spacing w:beforeLines="20" w:before="48" w:afterLines="20" w:after="48"/>
              <w:jc w:val="center"/>
              <w:rPr>
                <w:noProof/>
                <w:sz w:val="20"/>
              </w:rPr>
            </w:pPr>
          </w:p>
        </w:tc>
      </w:tr>
      <w:tr w:rsidR="00F001BC" w14:paraId="5EB722E6" w14:textId="77777777" w:rsidTr="005840B3">
        <w:trPr>
          <w:trHeight w:val="289"/>
          <w:jc w:val="center"/>
        </w:trPr>
        <w:tc>
          <w:tcPr>
            <w:tcW w:w="2043" w:type="pct"/>
            <w:gridSpan w:val="2"/>
            <w:shd w:val="clear" w:color="auto" w:fill="auto"/>
            <w:vAlign w:val="center"/>
          </w:tcPr>
          <w:p w14:paraId="0684B735" w14:textId="77777777" w:rsidR="00F001BC" w:rsidRDefault="00F001BC" w:rsidP="005840B3">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38"/>
            </w:r>
          </w:p>
        </w:tc>
        <w:tc>
          <w:tcPr>
            <w:tcW w:w="377" w:type="pct"/>
            <w:shd w:val="clear" w:color="auto" w:fill="auto"/>
            <w:vAlign w:val="center"/>
          </w:tcPr>
          <w:p w14:paraId="2C751F95"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24495ADE"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2D2FB1EB"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19C951D9"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5B55C4A0"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04652351"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37089133" w14:textId="77777777" w:rsidR="00F001BC" w:rsidRDefault="00F001BC" w:rsidP="005840B3">
            <w:pPr>
              <w:spacing w:beforeLines="20" w:before="48" w:afterLines="20" w:after="48"/>
              <w:jc w:val="center"/>
              <w:rPr>
                <w:noProof/>
                <w:sz w:val="20"/>
              </w:rPr>
            </w:pPr>
          </w:p>
        </w:tc>
      </w:tr>
      <w:tr w:rsidR="00F001BC" w14:paraId="5866FDE9" w14:textId="77777777" w:rsidTr="005840B3">
        <w:trPr>
          <w:trHeight w:val="289"/>
          <w:jc w:val="center"/>
        </w:trPr>
        <w:tc>
          <w:tcPr>
            <w:tcW w:w="2043" w:type="pct"/>
            <w:gridSpan w:val="2"/>
            <w:shd w:val="clear" w:color="auto" w:fill="auto"/>
            <w:vAlign w:val="center"/>
          </w:tcPr>
          <w:p w14:paraId="32C2B56F" w14:textId="77777777" w:rsidR="00F001BC" w:rsidRDefault="00F001BC" w:rsidP="005840B3">
            <w:pPr>
              <w:pStyle w:val="Text1"/>
              <w:spacing w:beforeLines="20" w:before="48" w:afterLines="20" w:after="48"/>
              <w:ind w:left="986"/>
              <w:jc w:val="left"/>
              <w:rPr>
                <w:b/>
                <w:noProof/>
                <w:sz w:val="20"/>
              </w:rPr>
            </w:pPr>
            <w:r>
              <w:rPr>
                <w:noProof/>
                <w:sz w:val="20"/>
              </w:rPr>
              <w:t>20 02 01 (AC, END, INT from the ‘global envelope’)</w:t>
            </w:r>
          </w:p>
        </w:tc>
        <w:tc>
          <w:tcPr>
            <w:tcW w:w="377" w:type="pct"/>
            <w:shd w:val="clear" w:color="auto" w:fill="auto"/>
            <w:vAlign w:val="center"/>
          </w:tcPr>
          <w:p w14:paraId="72B74208"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7B6D1D85"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241277D2"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738B7A8B"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48E91CBC"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3200240D"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4A73D2B3" w14:textId="77777777" w:rsidR="00F001BC" w:rsidRDefault="00F001BC" w:rsidP="005840B3">
            <w:pPr>
              <w:spacing w:beforeLines="20" w:before="48" w:afterLines="20" w:after="48"/>
              <w:jc w:val="center"/>
              <w:rPr>
                <w:noProof/>
                <w:sz w:val="20"/>
              </w:rPr>
            </w:pPr>
          </w:p>
        </w:tc>
      </w:tr>
      <w:tr w:rsidR="00F001BC" w14:paraId="285A000B" w14:textId="77777777" w:rsidTr="005840B3">
        <w:trPr>
          <w:trHeight w:val="289"/>
          <w:jc w:val="center"/>
        </w:trPr>
        <w:tc>
          <w:tcPr>
            <w:tcW w:w="2043" w:type="pct"/>
            <w:gridSpan w:val="2"/>
            <w:shd w:val="clear" w:color="auto" w:fill="auto"/>
            <w:vAlign w:val="center"/>
          </w:tcPr>
          <w:p w14:paraId="0227A82B" w14:textId="77777777" w:rsidR="00F001BC" w:rsidRDefault="00F001BC" w:rsidP="005840B3">
            <w:pPr>
              <w:pStyle w:val="Text1"/>
              <w:spacing w:beforeLines="20" w:before="48" w:afterLines="20" w:after="48"/>
              <w:ind w:left="986"/>
              <w:jc w:val="left"/>
              <w:rPr>
                <w:noProof/>
                <w:sz w:val="20"/>
              </w:rPr>
            </w:pPr>
            <w:r>
              <w:rPr>
                <w:noProof/>
                <w:sz w:val="20"/>
              </w:rPr>
              <w:t>20 02 03 (AC, AL, END, INT and JPD in the Delegations)</w:t>
            </w:r>
          </w:p>
        </w:tc>
        <w:tc>
          <w:tcPr>
            <w:tcW w:w="377" w:type="pct"/>
            <w:shd w:val="clear" w:color="auto" w:fill="auto"/>
            <w:vAlign w:val="center"/>
          </w:tcPr>
          <w:p w14:paraId="466B28E7"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180CF100"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438657A1"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13DC9209"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0FDB0EE2"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61D69CA3"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0143FD53" w14:textId="77777777" w:rsidR="00F001BC" w:rsidRDefault="00F001BC" w:rsidP="005840B3">
            <w:pPr>
              <w:spacing w:beforeLines="20" w:before="48" w:afterLines="20" w:after="48"/>
              <w:jc w:val="center"/>
              <w:rPr>
                <w:noProof/>
                <w:sz w:val="20"/>
              </w:rPr>
            </w:pPr>
          </w:p>
        </w:tc>
      </w:tr>
      <w:tr w:rsidR="00F001BC" w14:paraId="005EAE22" w14:textId="77777777" w:rsidTr="005840B3">
        <w:trPr>
          <w:trHeight w:val="289"/>
          <w:jc w:val="center"/>
        </w:trPr>
        <w:tc>
          <w:tcPr>
            <w:tcW w:w="1018" w:type="pct"/>
            <w:vMerge w:val="restart"/>
            <w:shd w:val="clear" w:color="auto" w:fill="auto"/>
            <w:vAlign w:val="center"/>
          </w:tcPr>
          <w:p w14:paraId="1FC063E4" w14:textId="77777777" w:rsidR="00F001BC" w:rsidRDefault="00F001BC" w:rsidP="005840B3">
            <w:pPr>
              <w:pStyle w:val="Text1"/>
              <w:spacing w:beforeLines="20" w:before="48" w:afterLines="20" w:after="48"/>
              <w:ind w:left="986"/>
              <w:jc w:val="left"/>
              <w:rPr>
                <w:b/>
                <w:noProof/>
                <w:sz w:val="20"/>
              </w:rPr>
            </w:pPr>
            <w:r w:rsidRPr="005A76B6">
              <w:rPr>
                <w:noProof/>
                <w:sz w:val="20"/>
              </w:rPr>
              <w:t>B</w:t>
            </w:r>
            <w:r w:rsidRPr="001D4F31">
              <w:rPr>
                <w:noProof/>
                <w:sz w:val="20"/>
              </w:rPr>
              <w:t>udget line</w:t>
            </w:r>
            <w:r>
              <w:rPr>
                <w:noProof/>
                <w:sz w:val="20"/>
              </w:rPr>
              <w:t>(</w:t>
            </w:r>
            <w:r w:rsidRPr="001D4F31">
              <w:rPr>
                <w:noProof/>
                <w:sz w:val="20"/>
              </w:rPr>
              <w:t>s</w:t>
            </w:r>
            <w:r>
              <w:rPr>
                <w:noProof/>
                <w:sz w:val="20"/>
              </w:rPr>
              <w:t>) (specify)</w:t>
            </w:r>
            <w:r w:rsidRPr="005A76B6">
              <w:rPr>
                <w:b/>
                <w:noProof/>
                <w:sz w:val="20"/>
              </w:rPr>
              <w:t xml:space="preserve"> </w:t>
            </w:r>
            <w:r w:rsidRPr="009E26C4">
              <w:rPr>
                <w:rStyle w:val="FootnoteReference"/>
                <w:b/>
                <w:noProof/>
                <w:sz w:val="20"/>
              </w:rPr>
              <w:footnoteReference w:id="39"/>
            </w:r>
          </w:p>
        </w:tc>
        <w:tc>
          <w:tcPr>
            <w:tcW w:w="1025" w:type="pct"/>
            <w:shd w:val="clear" w:color="auto" w:fill="auto"/>
            <w:vAlign w:val="center"/>
          </w:tcPr>
          <w:p w14:paraId="32C4E228" w14:textId="77777777" w:rsidR="00F001BC" w:rsidRDefault="00F001BC" w:rsidP="005840B3">
            <w:pPr>
              <w:pStyle w:val="Text1"/>
              <w:spacing w:beforeLines="20" w:before="48" w:afterLines="20" w:after="48"/>
              <w:ind w:left="598"/>
              <w:jc w:val="left"/>
              <w:rPr>
                <w:b/>
                <w:noProof/>
                <w:sz w:val="20"/>
              </w:rPr>
            </w:pPr>
            <w:r>
              <w:rPr>
                <w:noProof/>
                <w:sz w:val="20"/>
              </w:rPr>
              <w:t>- at Headquarters</w:t>
            </w:r>
            <w:r>
              <w:rPr>
                <w:rStyle w:val="FootnoteReference"/>
                <w:noProof/>
                <w:sz w:val="20"/>
              </w:rPr>
              <w:footnoteReference w:id="40"/>
            </w:r>
            <w:r>
              <w:rPr>
                <w:noProof/>
                <w:sz w:val="20"/>
              </w:rPr>
              <w:br/>
            </w:r>
          </w:p>
        </w:tc>
        <w:tc>
          <w:tcPr>
            <w:tcW w:w="377" w:type="pct"/>
            <w:shd w:val="clear" w:color="auto" w:fill="auto"/>
            <w:vAlign w:val="center"/>
          </w:tcPr>
          <w:p w14:paraId="4624DCD4" w14:textId="77777777" w:rsidR="00F001BC" w:rsidRDefault="00F001BC" w:rsidP="005840B3">
            <w:pPr>
              <w:pStyle w:val="Text1"/>
              <w:spacing w:beforeLines="20" w:before="48" w:afterLines="20" w:after="48"/>
              <w:rPr>
                <w:noProof/>
                <w:sz w:val="20"/>
              </w:rPr>
            </w:pPr>
          </w:p>
        </w:tc>
        <w:tc>
          <w:tcPr>
            <w:tcW w:w="377" w:type="pct"/>
            <w:shd w:val="clear" w:color="auto" w:fill="auto"/>
            <w:vAlign w:val="center"/>
          </w:tcPr>
          <w:p w14:paraId="0F388D5E"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079410F0"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565A8D18"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6AE3BD9D"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3DEE1F74"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733982E0" w14:textId="77777777" w:rsidR="00F001BC" w:rsidRDefault="00F001BC" w:rsidP="005840B3">
            <w:pPr>
              <w:spacing w:beforeLines="20" w:before="48" w:afterLines="20" w:after="48"/>
              <w:jc w:val="center"/>
              <w:rPr>
                <w:noProof/>
                <w:sz w:val="20"/>
              </w:rPr>
            </w:pPr>
          </w:p>
        </w:tc>
      </w:tr>
      <w:tr w:rsidR="00F001BC" w14:paraId="1047ED51" w14:textId="77777777" w:rsidTr="005840B3">
        <w:trPr>
          <w:trHeight w:val="289"/>
          <w:jc w:val="center"/>
        </w:trPr>
        <w:tc>
          <w:tcPr>
            <w:tcW w:w="1018" w:type="pct"/>
            <w:vMerge/>
            <w:shd w:val="clear" w:color="auto" w:fill="auto"/>
            <w:vAlign w:val="center"/>
          </w:tcPr>
          <w:p w14:paraId="4B4B1169" w14:textId="77777777" w:rsidR="00F001BC" w:rsidRDefault="00F001BC" w:rsidP="005840B3">
            <w:pPr>
              <w:rPr>
                <w:b/>
                <w:noProof/>
                <w:sz w:val="20"/>
              </w:rPr>
            </w:pPr>
          </w:p>
        </w:tc>
        <w:tc>
          <w:tcPr>
            <w:tcW w:w="1025" w:type="pct"/>
            <w:shd w:val="clear" w:color="auto" w:fill="auto"/>
            <w:vAlign w:val="center"/>
          </w:tcPr>
          <w:p w14:paraId="19E7D8CB" w14:textId="77777777" w:rsidR="00F001BC" w:rsidRDefault="00F001BC" w:rsidP="005840B3">
            <w:pPr>
              <w:pStyle w:val="Text1"/>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14:paraId="6E7497F8" w14:textId="77777777" w:rsidR="00F001BC" w:rsidRDefault="00F001BC" w:rsidP="005840B3">
            <w:pPr>
              <w:pStyle w:val="Text1"/>
              <w:spacing w:beforeLines="20" w:before="48" w:afterLines="20" w:after="48"/>
              <w:rPr>
                <w:noProof/>
                <w:sz w:val="20"/>
              </w:rPr>
            </w:pPr>
          </w:p>
        </w:tc>
        <w:tc>
          <w:tcPr>
            <w:tcW w:w="377" w:type="pct"/>
            <w:shd w:val="clear" w:color="auto" w:fill="auto"/>
            <w:vAlign w:val="center"/>
          </w:tcPr>
          <w:p w14:paraId="09F6F617"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624B8088"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058ED9BF"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54441CEC"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54166DD6"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7B809E5A" w14:textId="77777777" w:rsidR="00F001BC" w:rsidRDefault="00F001BC" w:rsidP="005840B3">
            <w:pPr>
              <w:spacing w:beforeLines="20" w:before="48" w:afterLines="20" w:after="48"/>
              <w:jc w:val="center"/>
              <w:rPr>
                <w:noProof/>
                <w:sz w:val="20"/>
              </w:rPr>
            </w:pPr>
          </w:p>
        </w:tc>
      </w:tr>
      <w:tr w:rsidR="00F001BC" w14:paraId="1B6480A9" w14:textId="77777777" w:rsidTr="005840B3">
        <w:trPr>
          <w:trHeight w:val="289"/>
          <w:jc w:val="center"/>
        </w:trPr>
        <w:tc>
          <w:tcPr>
            <w:tcW w:w="2043" w:type="pct"/>
            <w:gridSpan w:val="2"/>
            <w:shd w:val="clear" w:color="auto" w:fill="auto"/>
            <w:vAlign w:val="center"/>
          </w:tcPr>
          <w:p w14:paraId="3267F167" w14:textId="77777777" w:rsidR="00F001BC" w:rsidRDefault="00F001BC" w:rsidP="005840B3">
            <w:pPr>
              <w:pStyle w:val="Text1"/>
              <w:spacing w:beforeLines="20" w:before="48" w:afterLines="20" w:after="48"/>
              <w:ind w:left="986"/>
              <w:jc w:val="left"/>
              <w:rPr>
                <w:noProof/>
                <w:sz w:val="20"/>
              </w:rPr>
            </w:pPr>
            <w:r>
              <w:rPr>
                <w:b/>
                <w:noProof/>
                <w:sz w:val="20"/>
              </w:rPr>
              <w:t>01 01 01 02</w:t>
            </w:r>
            <w:r>
              <w:rPr>
                <w:noProof/>
                <w:sz w:val="20"/>
              </w:rPr>
              <w:t xml:space="preserve"> (AC, END, INT – Indirect research)</w:t>
            </w:r>
          </w:p>
        </w:tc>
        <w:tc>
          <w:tcPr>
            <w:tcW w:w="377" w:type="pct"/>
            <w:shd w:val="clear" w:color="auto" w:fill="auto"/>
            <w:vAlign w:val="center"/>
          </w:tcPr>
          <w:p w14:paraId="58A4C001"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4366BA0F"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56FCA72B"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35A5EEAB"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39C1EBFD"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5F8728E4"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5F38A6D1" w14:textId="77777777" w:rsidR="00F001BC" w:rsidRDefault="00F001BC" w:rsidP="005840B3">
            <w:pPr>
              <w:spacing w:beforeLines="20" w:before="48" w:afterLines="20" w:after="48"/>
              <w:jc w:val="center"/>
              <w:rPr>
                <w:noProof/>
                <w:sz w:val="20"/>
              </w:rPr>
            </w:pPr>
          </w:p>
        </w:tc>
      </w:tr>
      <w:tr w:rsidR="00F001BC" w14:paraId="2385390E" w14:textId="77777777" w:rsidTr="005840B3">
        <w:trPr>
          <w:trHeight w:val="289"/>
          <w:jc w:val="center"/>
        </w:trPr>
        <w:tc>
          <w:tcPr>
            <w:tcW w:w="2043" w:type="pct"/>
            <w:gridSpan w:val="2"/>
            <w:shd w:val="clear" w:color="auto" w:fill="auto"/>
            <w:vAlign w:val="center"/>
          </w:tcPr>
          <w:p w14:paraId="79A899F9" w14:textId="77777777" w:rsidR="00F001BC" w:rsidRDefault="00F001BC" w:rsidP="005840B3">
            <w:pPr>
              <w:pStyle w:val="Text1"/>
              <w:spacing w:beforeLines="20" w:before="48" w:afterLines="20" w:after="48"/>
              <w:ind w:left="986"/>
              <w:jc w:val="left"/>
              <w:rPr>
                <w:noProof/>
                <w:sz w:val="20"/>
              </w:rPr>
            </w:pPr>
            <w:r w:rsidRPr="001D4F31">
              <w:rPr>
                <w:noProof/>
                <w:sz w:val="20"/>
              </w:rPr>
              <w:t>10 01 05 02</w:t>
            </w:r>
            <w:r>
              <w:rPr>
                <w:noProof/>
                <w:sz w:val="20"/>
              </w:rPr>
              <w:t xml:space="preserve"> (AC, END, INT – Direct research)</w:t>
            </w:r>
          </w:p>
        </w:tc>
        <w:tc>
          <w:tcPr>
            <w:tcW w:w="377" w:type="pct"/>
            <w:shd w:val="clear" w:color="auto" w:fill="auto"/>
            <w:vAlign w:val="center"/>
          </w:tcPr>
          <w:p w14:paraId="5427E9B4" w14:textId="77777777" w:rsidR="00F001BC" w:rsidRDefault="00F001BC" w:rsidP="005840B3">
            <w:pPr>
              <w:spacing w:beforeLines="20" w:before="48" w:afterLines="20" w:after="48"/>
              <w:jc w:val="center"/>
              <w:rPr>
                <w:noProof/>
                <w:sz w:val="20"/>
              </w:rPr>
            </w:pPr>
          </w:p>
        </w:tc>
        <w:tc>
          <w:tcPr>
            <w:tcW w:w="377" w:type="pct"/>
            <w:shd w:val="clear" w:color="auto" w:fill="auto"/>
            <w:vAlign w:val="center"/>
          </w:tcPr>
          <w:p w14:paraId="1A3D8F29" w14:textId="77777777" w:rsidR="00F001BC" w:rsidRDefault="00F001BC" w:rsidP="005840B3">
            <w:pPr>
              <w:spacing w:beforeLines="20" w:before="48" w:afterLines="20" w:after="48"/>
              <w:jc w:val="center"/>
              <w:rPr>
                <w:noProof/>
                <w:sz w:val="20"/>
              </w:rPr>
            </w:pPr>
          </w:p>
        </w:tc>
        <w:tc>
          <w:tcPr>
            <w:tcW w:w="406" w:type="pct"/>
            <w:shd w:val="clear" w:color="auto" w:fill="auto"/>
            <w:vAlign w:val="center"/>
          </w:tcPr>
          <w:p w14:paraId="46A9D988" w14:textId="77777777" w:rsidR="00F001BC" w:rsidRDefault="00F001BC" w:rsidP="005840B3">
            <w:pPr>
              <w:spacing w:beforeLines="20" w:before="48" w:afterLines="20" w:after="48"/>
              <w:jc w:val="center"/>
              <w:rPr>
                <w:noProof/>
                <w:sz w:val="20"/>
              </w:rPr>
            </w:pPr>
          </w:p>
        </w:tc>
        <w:tc>
          <w:tcPr>
            <w:tcW w:w="497" w:type="pct"/>
            <w:shd w:val="clear" w:color="auto" w:fill="auto"/>
            <w:vAlign w:val="center"/>
          </w:tcPr>
          <w:p w14:paraId="7D0B14BD" w14:textId="77777777" w:rsidR="00F001BC" w:rsidRDefault="00F001BC" w:rsidP="005840B3">
            <w:pPr>
              <w:spacing w:beforeLines="20" w:before="48" w:afterLines="20" w:after="48"/>
              <w:jc w:val="center"/>
              <w:rPr>
                <w:noProof/>
                <w:sz w:val="20"/>
              </w:rPr>
            </w:pPr>
          </w:p>
        </w:tc>
        <w:tc>
          <w:tcPr>
            <w:tcW w:w="424" w:type="pct"/>
            <w:shd w:val="clear" w:color="auto" w:fill="auto"/>
            <w:vAlign w:val="center"/>
          </w:tcPr>
          <w:p w14:paraId="2D278ACD" w14:textId="77777777" w:rsidR="00F001BC" w:rsidRDefault="00F001BC" w:rsidP="005840B3">
            <w:pPr>
              <w:spacing w:beforeLines="20" w:before="48" w:afterLines="20" w:after="48"/>
              <w:jc w:val="center"/>
              <w:rPr>
                <w:noProof/>
                <w:sz w:val="20"/>
              </w:rPr>
            </w:pPr>
          </w:p>
        </w:tc>
        <w:tc>
          <w:tcPr>
            <w:tcW w:w="423" w:type="pct"/>
            <w:shd w:val="clear" w:color="auto" w:fill="auto"/>
            <w:vAlign w:val="center"/>
          </w:tcPr>
          <w:p w14:paraId="6104A2ED" w14:textId="77777777" w:rsidR="00F001BC" w:rsidRDefault="00F001BC" w:rsidP="005840B3">
            <w:pPr>
              <w:spacing w:beforeLines="20" w:before="48" w:afterLines="20" w:after="48"/>
              <w:jc w:val="center"/>
              <w:rPr>
                <w:noProof/>
                <w:sz w:val="20"/>
              </w:rPr>
            </w:pPr>
          </w:p>
        </w:tc>
        <w:tc>
          <w:tcPr>
            <w:tcW w:w="452" w:type="pct"/>
            <w:gridSpan w:val="2"/>
            <w:shd w:val="clear" w:color="auto" w:fill="auto"/>
            <w:vAlign w:val="center"/>
          </w:tcPr>
          <w:p w14:paraId="09EB50BE" w14:textId="77777777" w:rsidR="00F001BC" w:rsidRDefault="00F001BC" w:rsidP="005840B3">
            <w:pPr>
              <w:spacing w:beforeLines="20" w:before="48" w:afterLines="20" w:after="48"/>
              <w:jc w:val="center"/>
              <w:rPr>
                <w:noProof/>
                <w:sz w:val="20"/>
              </w:rPr>
            </w:pPr>
          </w:p>
        </w:tc>
      </w:tr>
      <w:tr w:rsidR="00F001BC" w14:paraId="2A1A214F" w14:textId="77777777" w:rsidTr="005840B3">
        <w:trPr>
          <w:trHeight w:val="289"/>
          <w:jc w:val="center"/>
        </w:trPr>
        <w:tc>
          <w:tcPr>
            <w:tcW w:w="2043" w:type="pct"/>
            <w:gridSpan w:val="2"/>
            <w:tcBorders>
              <w:bottom w:val="double" w:sz="4" w:space="0" w:color="auto"/>
            </w:tcBorders>
            <w:shd w:val="clear" w:color="auto" w:fill="auto"/>
            <w:vAlign w:val="center"/>
          </w:tcPr>
          <w:p w14:paraId="48EA921F" w14:textId="77777777" w:rsidR="00F001BC" w:rsidRDefault="00F001BC" w:rsidP="005840B3">
            <w:pPr>
              <w:pStyle w:val="Text1"/>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14:paraId="69F48667" w14:textId="77777777" w:rsidR="00F001BC" w:rsidRDefault="00F001BC" w:rsidP="005840B3">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14:paraId="64D500C5" w14:textId="77777777" w:rsidR="00F001BC" w:rsidRDefault="00F001BC" w:rsidP="005840B3">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14:paraId="5A8B8039" w14:textId="77777777" w:rsidR="00F001BC" w:rsidRDefault="00F001BC" w:rsidP="005840B3">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14:paraId="34C2F1CF" w14:textId="77777777" w:rsidR="00F001BC" w:rsidRDefault="00F001BC" w:rsidP="005840B3">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14:paraId="35C369A4" w14:textId="77777777" w:rsidR="00F001BC" w:rsidRDefault="00F001BC" w:rsidP="005840B3">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14:paraId="24B89172" w14:textId="77777777" w:rsidR="00F001BC" w:rsidRDefault="00F001BC" w:rsidP="005840B3">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14:paraId="57B08639" w14:textId="77777777" w:rsidR="00F001BC" w:rsidRDefault="00F001BC" w:rsidP="005840B3">
            <w:pPr>
              <w:spacing w:beforeLines="20" w:before="48" w:afterLines="20" w:after="48"/>
              <w:jc w:val="center"/>
              <w:rPr>
                <w:noProof/>
                <w:sz w:val="20"/>
              </w:rPr>
            </w:pPr>
          </w:p>
        </w:tc>
      </w:tr>
      <w:tr w:rsidR="00F001BC" w14:paraId="3104DCB1" w14:textId="77777777" w:rsidTr="005840B3">
        <w:trPr>
          <w:trHeight w:val="289"/>
          <w:jc w:val="center"/>
        </w:trPr>
        <w:tc>
          <w:tcPr>
            <w:tcW w:w="2043" w:type="pct"/>
            <w:gridSpan w:val="2"/>
            <w:tcBorders>
              <w:top w:val="double" w:sz="4" w:space="0" w:color="auto"/>
            </w:tcBorders>
            <w:shd w:val="clear" w:color="auto" w:fill="auto"/>
            <w:vAlign w:val="center"/>
          </w:tcPr>
          <w:p w14:paraId="477C9D0E" w14:textId="77777777" w:rsidR="00F001BC" w:rsidRDefault="00F001BC" w:rsidP="005840B3">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14:paraId="12A1F542" w14:textId="77777777" w:rsidR="00F001BC" w:rsidRDefault="00F001BC" w:rsidP="005840B3">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14:paraId="6A4AB047" w14:textId="77777777" w:rsidR="00F001BC" w:rsidRDefault="00F001BC" w:rsidP="005840B3">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14:paraId="4E5982B0" w14:textId="77777777" w:rsidR="00F001BC" w:rsidRDefault="00F001BC" w:rsidP="005840B3">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14:paraId="5AF76D2E" w14:textId="77777777" w:rsidR="00F001BC" w:rsidRDefault="00F001BC" w:rsidP="005840B3">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14:paraId="61247658" w14:textId="77777777" w:rsidR="00F001BC" w:rsidRDefault="00F001BC" w:rsidP="005840B3">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14:paraId="4EDCF8BE" w14:textId="77777777" w:rsidR="00F001BC" w:rsidRDefault="00F001BC" w:rsidP="005840B3">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14:paraId="0E3F64A6" w14:textId="77777777" w:rsidR="00F001BC" w:rsidRDefault="00F001BC" w:rsidP="005840B3">
            <w:pPr>
              <w:spacing w:beforeLines="20" w:before="48" w:afterLines="20" w:after="48"/>
              <w:jc w:val="center"/>
              <w:rPr>
                <w:b/>
                <w:noProof/>
                <w:sz w:val="20"/>
              </w:rPr>
            </w:pPr>
          </w:p>
        </w:tc>
      </w:tr>
    </w:tbl>
    <w:p w14:paraId="22934878" w14:textId="77777777" w:rsidR="00F001BC" w:rsidRDefault="00F001BC" w:rsidP="00F001BC">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14:paraId="074FF917" w14:textId="77777777" w:rsidR="00F001BC" w:rsidRDefault="00F001BC" w:rsidP="00F001BC">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001BC" w14:paraId="4FEEBB02" w14:textId="77777777" w:rsidTr="005840B3">
        <w:tc>
          <w:tcPr>
            <w:tcW w:w="3240" w:type="dxa"/>
          </w:tcPr>
          <w:p w14:paraId="2213A480" w14:textId="77777777" w:rsidR="00F001BC" w:rsidRDefault="00F001BC" w:rsidP="005840B3">
            <w:pPr>
              <w:rPr>
                <w:noProof/>
                <w:sz w:val="20"/>
              </w:rPr>
            </w:pPr>
            <w:r>
              <w:rPr>
                <w:noProof/>
                <w:sz w:val="20"/>
              </w:rPr>
              <w:t>Officials and temporary staff</w:t>
            </w:r>
          </w:p>
        </w:tc>
        <w:tc>
          <w:tcPr>
            <w:tcW w:w="7200" w:type="dxa"/>
          </w:tcPr>
          <w:p w14:paraId="669A7E5E" w14:textId="77777777" w:rsidR="00F001BC" w:rsidRDefault="00F001BC" w:rsidP="005840B3">
            <w:pPr>
              <w:rPr>
                <w:noProof/>
                <w:sz w:val="20"/>
              </w:rPr>
            </w:pPr>
          </w:p>
        </w:tc>
      </w:tr>
      <w:tr w:rsidR="00F001BC" w14:paraId="1C846F21" w14:textId="77777777" w:rsidTr="005840B3">
        <w:tc>
          <w:tcPr>
            <w:tcW w:w="3240" w:type="dxa"/>
          </w:tcPr>
          <w:p w14:paraId="148913EC" w14:textId="77777777" w:rsidR="00F001BC" w:rsidRDefault="00F001BC" w:rsidP="005840B3">
            <w:pPr>
              <w:spacing w:before="60" w:after="60"/>
              <w:rPr>
                <w:noProof/>
                <w:sz w:val="20"/>
              </w:rPr>
            </w:pPr>
            <w:r>
              <w:rPr>
                <w:noProof/>
                <w:sz w:val="20"/>
              </w:rPr>
              <w:t>External staff</w:t>
            </w:r>
          </w:p>
        </w:tc>
        <w:tc>
          <w:tcPr>
            <w:tcW w:w="7200" w:type="dxa"/>
          </w:tcPr>
          <w:p w14:paraId="69CDF031" w14:textId="77777777" w:rsidR="00F001BC" w:rsidRDefault="00F001BC" w:rsidP="005840B3">
            <w:pPr>
              <w:rPr>
                <w:noProof/>
                <w:sz w:val="20"/>
              </w:rPr>
            </w:pPr>
          </w:p>
        </w:tc>
      </w:tr>
    </w:tbl>
    <w:p w14:paraId="1FA80AF9" w14:textId="77777777" w:rsidR="00F001BC" w:rsidRDefault="00F001BC" w:rsidP="00F001BC">
      <w:pPr>
        <w:rPr>
          <w:noProof/>
        </w:rPr>
      </w:pPr>
    </w:p>
    <w:p w14:paraId="0CB9BEF6" w14:textId="77777777" w:rsidR="00F001BC" w:rsidRDefault="00F001BC" w:rsidP="00F001BC">
      <w:pPr>
        <w:rPr>
          <w:noProof/>
        </w:rPr>
      </w:pPr>
      <w:r>
        <w:rPr>
          <w:noProof/>
        </w:rPr>
        <w:t xml:space="preserve">Description of the calculation of cost for FTE units should be included in the Annex V, section 3. </w:t>
      </w:r>
    </w:p>
    <w:p w14:paraId="4CDFA84D" w14:textId="77777777" w:rsidR="00F001BC" w:rsidRDefault="00F001BC" w:rsidP="00F001BC">
      <w:pPr>
        <w:rPr>
          <w:noProof/>
        </w:rPr>
        <w:sectPr w:rsidR="00F001BC" w:rsidSect="00E321BE">
          <w:headerReference w:type="default" r:id="rId19"/>
          <w:footerReference w:type="default" r:id="rId20"/>
          <w:headerReference w:type="first" r:id="rId21"/>
          <w:footerReference w:type="first" r:id="rId22"/>
          <w:pgSz w:w="11907" w:h="16839"/>
          <w:pgMar w:top="1134" w:right="1417" w:bottom="1134" w:left="1417" w:header="709" w:footer="709" w:gutter="0"/>
          <w:cols w:space="720"/>
          <w:docGrid w:linePitch="326"/>
        </w:sectPr>
      </w:pPr>
    </w:p>
    <w:p w14:paraId="3B487002" w14:textId="77777777" w:rsidR="00F001BC" w:rsidRDefault="00F001BC" w:rsidP="00F001BC">
      <w:pPr>
        <w:pStyle w:val="ManualHeading3"/>
        <w:rPr>
          <w:bCs/>
          <w:noProof/>
          <w:szCs w:val="24"/>
        </w:rPr>
      </w:pPr>
      <w:bookmarkStart w:id="61" w:name="_Toc514938689"/>
      <w:bookmarkStart w:id="62" w:name="_Toc520485448"/>
      <w:r w:rsidRPr="006D222F">
        <w:rPr>
          <w:noProof/>
        </w:rPr>
        <w:t>3.2.4.</w:t>
      </w:r>
      <w:r w:rsidRPr="006D222F">
        <w:rPr>
          <w:noProof/>
        </w:rPr>
        <w:tab/>
      </w:r>
      <w:r>
        <w:rPr>
          <w:noProof/>
        </w:rPr>
        <w:t>Compatibility with the current multiannual financial framework</w:t>
      </w:r>
      <w:bookmarkEnd w:id="61"/>
      <w:bookmarkEnd w:id="62"/>
      <w:r>
        <w:rPr>
          <w:noProof/>
        </w:rPr>
        <w:t xml:space="preserve"> </w:t>
      </w:r>
    </w:p>
    <w:p w14:paraId="64FDD4FD" w14:textId="77777777" w:rsidR="00F001BC" w:rsidRDefault="00F001BC" w:rsidP="008305F0">
      <w:pPr>
        <w:pStyle w:val="ListDash1"/>
        <w:rPr>
          <w:noProof/>
        </w:rPr>
      </w:pPr>
      <w:r>
        <w:rPr>
          <w:noProof/>
        </w:rPr>
        <w:sym w:font="Wingdings" w:char="F0FE"/>
      </w:r>
      <w:r>
        <w:rPr>
          <w:noProof/>
        </w:rPr>
        <w:tab/>
        <w:t>The proposal/initiative is compatible the current multiannual financial framework.</w:t>
      </w:r>
    </w:p>
    <w:p w14:paraId="78E0ED0F" w14:textId="77777777" w:rsidR="00F001BC" w:rsidRDefault="00F001BC" w:rsidP="008305F0">
      <w:pPr>
        <w:pStyle w:val="ListDash1"/>
        <w:rPr>
          <w:noProof/>
        </w:rPr>
      </w:pPr>
      <w:r>
        <w:rPr>
          <w:noProof/>
        </w:rPr>
        <w:sym w:font="Wingdings" w:char="F0FE"/>
      </w:r>
      <w:r>
        <w:rPr>
          <w:noProof/>
        </w:rPr>
        <w:tab/>
        <w:t>The proposal/initiative will entail reprogramming of the relevant heading in the multiannual financial framework.</w:t>
      </w:r>
    </w:p>
    <w:p w14:paraId="67F36204"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sz w:val="20"/>
        </w:rPr>
      </w:pPr>
      <w:r w:rsidRPr="00F22FDD">
        <w:rPr>
          <w:noProof/>
          <w:szCs w:val="24"/>
        </w:rPr>
        <w:t>The tasks allocated to EMSA will require reprogramming of the budget line for the annual contribution to the Agency (02 10 02)</w:t>
      </w:r>
      <w:r>
        <w:rPr>
          <w:noProof/>
          <w:szCs w:val="24"/>
        </w:rPr>
        <w:t xml:space="preserve"> under the current multiannual financial framework</w:t>
      </w:r>
      <w:r w:rsidRPr="00F22FDD">
        <w:rPr>
          <w:noProof/>
          <w:szCs w:val="24"/>
        </w:rPr>
        <w:t>. The increase in appropriations for EMSA will be offset by a compensatory reduction of programmed spending under CEF Transport (02 03 01)</w:t>
      </w:r>
      <w:r>
        <w:rPr>
          <w:noProof/>
          <w:sz w:val="20"/>
        </w:rPr>
        <w:t xml:space="preserve"> </w:t>
      </w:r>
      <w:r>
        <w:rPr>
          <w:noProof/>
          <w:szCs w:val="24"/>
        </w:rPr>
        <w:t>under the current multiannual financial framework</w:t>
      </w:r>
      <w:r>
        <w:rPr>
          <w:noProof/>
          <w:sz w:val="20"/>
        </w:rPr>
        <w:t>.</w:t>
      </w:r>
      <w:r w:rsidR="001E1EB3">
        <w:rPr>
          <w:noProof/>
          <w:sz w:val="20"/>
        </w:rPr>
        <w:t xml:space="preserve"> </w:t>
      </w:r>
      <w:r w:rsidR="001E1EB3" w:rsidRPr="001E1EB3">
        <w:rPr>
          <w:noProof/>
          <w:szCs w:val="24"/>
        </w:rPr>
        <w:t>The budget impact beyond the current MFF is an indicative overview, without prejudice to the future MFF Agreement.</w:t>
      </w:r>
    </w:p>
    <w:p w14:paraId="7F04202C" w14:textId="77777777" w:rsidR="00F001BC" w:rsidRDefault="00F001BC" w:rsidP="008305F0">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41"/>
      </w:r>
      <w:r>
        <w:rPr>
          <w:noProof/>
        </w:rPr>
        <w:t>.</w:t>
      </w:r>
    </w:p>
    <w:p w14:paraId="5C532754"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14:paraId="7D18985B"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sz w:val="20"/>
        </w:rPr>
      </w:pPr>
    </w:p>
    <w:p w14:paraId="3399C8E8" w14:textId="77777777" w:rsidR="00F001BC" w:rsidRDefault="00F001BC" w:rsidP="00F001BC">
      <w:pPr>
        <w:pStyle w:val="ManualHeading3"/>
        <w:rPr>
          <w:bCs/>
          <w:noProof/>
          <w:szCs w:val="24"/>
        </w:rPr>
      </w:pPr>
      <w:bookmarkStart w:id="63" w:name="_Toc514938690"/>
      <w:bookmarkStart w:id="64" w:name="_Toc520485449"/>
      <w:r w:rsidRPr="006D222F">
        <w:rPr>
          <w:noProof/>
        </w:rPr>
        <w:t>3.2.5.</w:t>
      </w:r>
      <w:r w:rsidRPr="006D222F">
        <w:rPr>
          <w:noProof/>
        </w:rPr>
        <w:tab/>
      </w:r>
      <w:r>
        <w:rPr>
          <w:noProof/>
        </w:rPr>
        <w:t>Third-party contributions</w:t>
      </w:r>
      <w:bookmarkEnd w:id="63"/>
      <w:bookmarkEnd w:id="64"/>
      <w:r>
        <w:rPr>
          <w:noProof/>
        </w:rPr>
        <w:t xml:space="preserve"> </w:t>
      </w:r>
    </w:p>
    <w:p w14:paraId="2DBD2AD9" w14:textId="77777777" w:rsidR="00F001BC" w:rsidRDefault="00F001BC" w:rsidP="008305F0">
      <w:pPr>
        <w:pStyle w:val="ListDash1"/>
        <w:rPr>
          <w:noProof/>
        </w:rPr>
      </w:pPr>
      <w:r>
        <w:rPr>
          <w:noProof/>
        </w:rPr>
        <w:t xml:space="preserve">The proposal/initiative does not provide for co-financing by third parties. </w:t>
      </w:r>
    </w:p>
    <w:p w14:paraId="4D219402" w14:textId="77777777" w:rsidR="00F001BC" w:rsidRDefault="00F001BC" w:rsidP="008305F0">
      <w:pPr>
        <w:pStyle w:val="ListDash1"/>
        <w:rPr>
          <w:noProof/>
        </w:rPr>
      </w:pPr>
      <w:r>
        <w:rPr>
          <w:noProof/>
        </w:rPr>
        <w:t>The proposal/initiative provides for the co-financing estimated below:</w:t>
      </w:r>
    </w:p>
    <w:p w14:paraId="1C37EE04" w14:textId="77777777" w:rsidR="00F001BC" w:rsidRDefault="00F001BC" w:rsidP="00F001BC">
      <w:pPr>
        <w:jc w:val="right"/>
        <w:rPr>
          <w:noProof/>
          <w:sz w:val="20"/>
        </w:rPr>
      </w:pPr>
      <w:r>
        <w:rPr>
          <w:noProof/>
          <w:sz w:val="20"/>
        </w:rPr>
        <w:t>EUR million (to three decimal places)</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F001BC" w14:paraId="647B9B0D" w14:textId="77777777" w:rsidTr="005840B3">
        <w:trPr>
          <w:cantSplit/>
        </w:trPr>
        <w:tc>
          <w:tcPr>
            <w:tcW w:w="2340" w:type="dxa"/>
          </w:tcPr>
          <w:p w14:paraId="28B2C866" w14:textId="77777777" w:rsidR="00F001BC" w:rsidRDefault="00F001BC" w:rsidP="005840B3">
            <w:pPr>
              <w:spacing w:before="60" w:after="60"/>
              <w:rPr>
                <w:noProof/>
                <w:sz w:val="20"/>
              </w:rPr>
            </w:pPr>
          </w:p>
        </w:tc>
        <w:tc>
          <w:tcPr>
            <w:tcW w:w="964" w:type="dxa"/>
            <w:vAlign w:val="center"/>
          </w:tcPr>
          <w:p w14:paraId="6DBECCB1" w14:textId="77777777" w:rsidR="00F001BC" w:rsidRDefault="00F001BC" w:rsidP="005840B3">
            <w:pPr>
              <w:jc w:val="center"/>
              <w:rPr>
                <w:noProof/>
                <w:sz w:val="20"/>
              </w:rPr>
            </w:pPr>
            <w:r>
              <w:rPr>
                <w:noProof/>
                <w:sz w:val="20"/>
              </w:rPr>
              <w:t>Year</w:t>
            </w:r>
            <w:r>
              <w:rPr>
                <w:noProof/>
                <w:sz w:val="22"/>
              </w:rPr>
              <w:br/>
            </w:r>
            <w:r>
              <w:rPr>
                <w:b/>
                <w:noProof/>
                <w:sz w:val="20"/>
              </w:rPr>
              <w:t>N</w:t>
            </w:r>
          </w:p>
        </w:tc>
        <w:tc>
          <w:tcPr>
            <w:tcW w:w="964" w:type="dxa"/>
            <w:vAlign w:val="center"/>
          </w:tcPr>
          <w:p w14:paraId="4BBF81C2" w14:textId="77777777" w:rsidR="00F001BC" w:rsidRDefault="00F001BC" w:rsidP="005840B3">
            <w:pPr>
              <w:jc w:val="center"/>
              <w:rPr>
                <w:noProof/>
                <w:sz w:val="20"/>
              </w:rPr>
            </w:pPr>
            <w:r>
              <w:rPr>
                <w:noProof/>
                <w:sz w:val="20"/>
              </w:rPr>
              <w:t>Year</w:t>
            </w:r>
            <w:r>
              <w:rPr>
                <w:noProof/>
                <w:sz w:val="22"/>
              </w:rPr>
              <w:br/>
            </w:r>
            <w:r>
              <w:rPr>
                <w:b/>
                <w:noProof/>
                <w:sz w:val="20"/>
              </w:rPr>
              <w:t>N+1</w:t>
            </w:r>
          </w:p>
        </w:tc>
        <w:tc>
          <w:tcPr>
            <w:tcW w:w="964" w:type="dxa"/>
            <w:vAlign w:val="center"/>
          </w:tcPr>
          <w:p w14:paraId="0CE1D934" w14:textId="77777777" w:rsidR="00F001BC" w:rsidRDefault="00F001BC" w:rsidP="005840B3">
            <w:pPr>
              <w:jc w:val="center"/>
              <w:rPr>
                <w:noProof/>
                <w:sz w:val="20"/>
              </w:rPr>
            </w:pPr>
            <w:r>
              <w:rPr>
                <w:noProof/>
                <w:sz w:val="20"/>
              </w:rPr>
              <w:t>Year</w:t>
            </w:r>
            <w:r>
              <w:rPr>
                <w:noProof/>
                <w:sz w:val="22"/>
              </w:rPr>
              <w:br/>
            </w:r>
            <w:r>
              <w:rPr>
                <w:b/>
                <w:noProof/>
                <w:sz w:val="20"/>
              </w:rPr>
              <w:t>N+2</w:t>
            </w:r>
          </w:p>
        </w:tc>
        <w:tc>
          <w:tcPr>
            <w:tcW w:w="964" w:type="dxa"/>
            <w:vAlign w:val="center"/>
          </w:tcPr>
          <w:p w14:paraId="4F565EAE" w14:textId="77777777" w:rsidR="00F001BC" w:rsidRDefault="00F001BC" w:rsidP="005840B3">
            <w:pPr>
              <w:jc w:val="center"/>
              <w:rPr>
                <w:noProof/>
                <w:sz w:val="20"/>
              </w:rPr>
            </w:pPr>
            <w:r>
              <w:rPr>
                <w:noProof/>
                <w:sz w:val="20"/>
              </w:rPr>
              <w:t>Year</w:t>
            </w:r>
            <w:r>
              <w:rPr>
                <w:noProof/>
                <w:sz w:val="22"/>
              </w:rPr>
              <w:br/>
            </w:r>
            <w:r>
              <w:rPr>
                <w:b/>
                <w:noProof/>
                <w:sz w:val="20"/>
              </w:rPr>
              <w:t>N+3</w:t>
            </w:r>
          </w:p>
        </w:tc>
        <w:tc>
          <w:tcPr>
            <w:tcW w:w="2892" w:type="dxa"/>
            <w:gridSpan w:val="3"/>
            <w:vAlign w:val="center"/>
          </w:tcPr>
          <w:p w14:paraId="3F7B1B4B" w14:textId="77777777" w:rsidR="00F001BC" w:rsidRDefault="00F001BC" w:rsidP="005840B3">
            <w:pPr>
              <w:jc w:val="center"/>
              <w:rPr>
                <w:b/>
                <w:noProof/>
                <w:sz w:val="20"/>
              </w:rPr>
            </w:pPr>
            <w:r>
              <w:rPr>
                <w:noProof/>
                <w:sz w:val="20"/>
              </w:rPr>
              <w:t>Enter as many years as necessary to show the duration of the impact (see point 1.6)</w:t>
            </w:r>
          </w:p>
        </w:tc>
        <w:tc>
          <w:tcPr>
            <w:tcW w:w="1158" w:type="dxa"/>
            <w:vAlign w:val="center"/>
          </w:tcPr>
          <w:p w14:paraId="70D2DD2A" w14:textId="77777777" w:rsidR="00F001BC" w:rsidRDefault="00F001BC" w:rsidP="005840B3">
            <w:pPr>
              <w:spacing w:before="60" w:after="60"/>
              <w:jc w:val="center"/>
              <w:rPr>
                <w:noProof/>
                <w:sz w:val="20"/>
              </w:rPr>
            </w:pPr>
            <w:r>
              <w:rPr>
                <w:noProof/>
                <w:sz w:val="20"/>
              </w:rPr>
              <w:t>Total</w:t>
            </w:r>
          </w:p>
        </w:tc>
      </w:tr>
      <w:tr w:rsidR="00F001BC" w14:paraId="1005B041" w14:textId="77777777" w:rsidTr="005840B3">
        <w:trPr>
          <w:cantSplit/>
        </w:trPr>
        <w:tc>
          <w:tcPr>
            <w:tcW w:w="2340" w:type="dxa"/>
          </w:tcPr>
          <w:p w14:paraId="74F8393B" w14:textId="77777777" w:rsidR="00F001BC" w:rsidRDefault="00F001BC" w:rsidP="005840B3">
            <w:pPr>
              <w:rPr>
                <w:noProof/>
              </w:rPr>
            </w:pPr>
            <w:r>
              <w:rPr>
                <w:noProof/>
                <w:sz w:val="20"/>
              </w:rPr>
              <w:t>Specify the co-financing body</w:t>
            </w:r>
            <w:r>
              <w:rPr>
                <w:i/>
                <w:noProof/>
                <w:sz w:val="20"/>
              </w:rPr>
              <w:t xml:space="preserve"> </w:t>
            </w:r>
          </w:p>
        </w:tc>
        <w:tc>
          <w:tcPr>
            <w:tcW w:w="964" w:type="dxa"/>
            <w:vAlign w:val="center"/>
          </w:tcPr>
          <w:p w14:paraId="71B881C5" w14:textId="77777777" w:rsidR="00F001BC" w:rsidRDefault="00F001BC" w:rsidP="005840B3">
            <w:pPr>
              <w:spacing w:before="60" w:after="60"/>
              <w:jc w:val="center"/>
              <w:rPr>
                <w:noProof/>
                <w:sz w:val="20"/>
              </w:rPr>
            </w:pPr>
          </w:p>
        </w:tc>
        <w:tc>
          <w:tcPr>
            <w:tcW w:w="964" w:type="dxa"/>
            <w:vAlign w:val="center"/>
          </w:tcPr>
          <w:p w14:paraId="4E574DCA" w14:textId="77777777" w:rsidR="00F001BC" w:rsidRDefault="00F001BC" w:rsidP="005840B3">
            <w:pPr>
              <w:spacing w:before="60" w:after="60"/>
              <w:jc w:val="center"/>
              <w:rPr>
                <w:noProof/>
                <w:sz w:val="20"/>
              </w:rPr>
            </w:pPr>
          </w:p>
        </w:tc>
        <w:tc>
          <w:tcPr>
            <w:tcW w:w="964" w:type="dxa"/>
            <w:vAlign w:val="center"/>
          </w:tcPr>
          <w:p w14:paraId="06501587" w14:textId="77777777" w:rsidR="00F001BC" w:rsidRDefault="00F001BC" w:rsidP="005840B3">
            <w:pPr>
              <w:spacing w:before="60" w:after="60"/>
              <w:jc w:val="center"/>
              <w:rPr>
                <w:noProof/>
                <w:sz w:val="20"/>
              </w:rPr>
            </w:pPr>
          </w:p>
        </w:tc>
        <w:tc>
          <w:tcPr>
            <w:tcW w:w="964" w:type="dxa"/>
            <w:vAlign w:val="center"/>
          </w:tcPr>
          <w:p w14:paraId="49569909" w14:textId="77777777" w:rsidR="00F001BC" w:rsidRDefault="00F001BC" w:rsidP="005840B3">
            <w:pPr>
              <w:spacing w:before="60" w:after="60"/>
              <w:jc w:val="center"/>
              <w:rPr>
                <w:noProof/>
                <w:sz w:val="20"/>
              </w:rPr>
            </w:pPr>
          </w:p>
        </w:tc>
        <w:tc>
          <w:tcPr>
            <w:tcW w:w="964" w:type="dxa"/>
            <w:vAlign w:val="center"/>
          </w:tcPr>
          <w:p w14:paraId="1A39C291" w14:textId="77777777" w:rsidR="00F001BC" w:rsidRDefault="00F001BC" w:rsidP="005840B3">
            <w:pPr>
              <w:spacing w:before="60" w:after="60"/>
              <w:jc w:val="center"/>
              <w:rPr>
                <w:noProof/>
                <w:sz w:val="20"/>
              </w:rPr>
            </w:pPr>
          </w:p>
        </w:tc>
        <w:tc>
          <w:tcPr>
            <w:tcW w:w="964" w:type="dxa"/>
            <w:vAlign w:val="center"/>
          </w:tcPr>
          <w:p w14:paraId="34E9F56A" w14:textId="77777777" w:rsidR="00F001BC" w:rsidRDefault="00F001BC" w:rsidP="005840B3">
            <w:pPr>
              <w:spacing w:before="60" w:after="60"/>
              <w:jc w:val="center"/>
              <w:rPr>
                <w:noProof/>
                <w:sz w:val="20"/>
              </w:rPr>
            </w:pPr>
          </w:p>
        </w:tc>
        <w:tc>
          <w:tcPr>
            <w:tcW w:w="964" w:type="dxa"/>
            <w:vAlign w:val="center"/>
          </w:tcPr>
          <w:p w14:paraId="0E78BAF4" w14:textId="77777777" w:rsidR="00F001BC" w:rsidRDefault="00F001BC" w:rsidP="005840B3">
            <w:pPr>
              <w:spacing w:before="60" w:after="60"/>
              <w:jc w:val="center"/>
              <w:rPr>
                <w:noProof/>
                <w:sz w:val="20"/>
              </w:rPr>
            </w:pPr>
          </w:p>
        </w:tc>
        <w:tc>
          <w:tcPr>
            <w:tcW w:w="1158" w:type="dxa"/>
            <w:vAlign w:val="center"/>
          </w:tcPr>
          <w:p w14:paraId="48A8D524" w14:textId="77777777" w:rsidR="00F001BC" w:rsidRDefault="00F001BC" w:rsidP="005840B3">
            <w:pPr>
              <w:spacing w:before="60" w:after="60"/>
              <w:jc w:val="center"/>
              <w:rPr>
                <w:noProof/>
                <w:sz w:val="20"/>
              </w:rPr>
            </w:pPr>
          </w:p>
        </w:tc>
      </w:tr>
      <w:tr w:rsidR="00F001BC" w14:paraId="748C9257" w14:textId="77777777" w:rsidTr="005840B3">
        <w:trPr>
          <w:cantSplit/>
        </w:trPr>
        <w:tc>
          <w:tcPr>
            <w:tcW w:w="2340" w:type="dxa"/>
          </w:tcPr>
          <w:p w14:paraId="45476FDA" w14:textId="77777777" w:rsidR="00F001BC" w:rsidRDefault="00F001BC" w:rsidP="005840B3">
            <w:pPr>
              <w:spacing w:before="60" w:after="60"/>
              <w:rPr>
                <w:noProof/>
                <w:sz w:val="20"/>
              </w:rPr>
            </w:pPr>
            <w:r>
              <w:rPr>
                <w:noProof/>
                <w:sz w:val="20"/>
              </w:rPr>
              <w:t xml:space="preserve">TOTAL appropriations co-financed </w:t>
            </w:r>
          </w:p>
        </w:tc>
        <w:tc>
          <w:tcPr>
            <w:tcW w:w="964" w:type="dxa"/>
            <w:vAlign w:val="center"/>
          </w:tcPr>
          <w:p w14:paraId="609AC78C" w14:textId="77777777" w:rsidR="00F001BC" w:rsidRDefault="00F001BC" w:rsidP="005840B3">
            <w:pPr>
              <w:spacing w:before="60" w:after="60"/>
              <w:jc w:val="center"/>
              <w:rPr>
                <w:noProof/>
                <w:sz w:val="20"/>
              </w:rPr>
            </w:pPr>
          </w:p>
        </w:tc>
        <w:tc>
          <w:tcPr>
            <w:tcW w:w="964" w:type="dxa"/>
            <w:vAlign w:val="center"/>
          </w:tcPr>
          <w:p w14:paraId="2CE63F65" w14:textId="77777777" w:rsidR="00F001BC" w:rsidRDefault="00F001BC" w:rsidP="005840B3">
            <w:pPr>
              <w:spacing w:before="60" w:after="60"/>
              <w:jc w:val="center"/>
              <w:rPr>
                <w:noProof/>
                <w:sz w:val="20"/>
              </w:rPr>
            </w:pPr>
          </w:p>
        </w:tc>
        <w:tc>
          <w:tcPr>
            <w:tcW w:w="964" w:type="dxa"/>
            <w:vAlign w:val="center"/>
          </w:tcPr>
          <w:p w14:paraId="181AD0FF" w14:textId="77777777" w:rsidR="00F001BC" w:rsidRDefault="00F001BC" w:rsidP="005840B3">
            <w:pPr>
              <w:spacing w:before="60" w:after="60"/>
              <w:jc w:val="center"/>
              <w:rPr>
                <w:noProof/>
                <w:sz w:val="20"/>
              </w:rPr>
            </w:pPr>
          </w:p>
        </w:tc>
        <w:tc>
          <w:tcPr>
            <w:tcW w:w="964" w:type="dxa"/>
            <w:vAlign w:val="center"/>
          </w:tcPr>
          <w:p w14:paraId="57D08F2B" w14:textId="77777777" w:rsidR="00F001BC" w:rsidRDefault="00F001BC" w:rsidP="005840B3">
            <w:pPr>
              <w:spacing w:before="60" w:after="60"/>
              <w:jc w:val="center"/>
              <w:rPr>
                <w:noProof/>
                <w:sz w:val="20"/>
              </w:rPr>
            </w:pPr>
          </w:p>
        </w:tc>
        <w:tc>
          <w:tcPr>
            <w:tcW w:w="964" w:type="dxa"/>
            <w:vAlign w:val="center"/>
          </w:tcPr>
          <w:p w14:paraId="771137DD" w14:textId="77777777" w:rsidR="00F001BC" w:rsidRDefault="00F001BC" w:rsidP="005840B3">
            <w:pPr>
              <w:spacing w:before="60" w:after="60"/>
              <w:jc w:val="center"/>
              <w:rPr>
                <w:noProof/>
                <w:sz w:val="20"/>
              </w:rPr>
            </w:pPr>
          </w:p>
        </w:tc>
        <w:tc>
          <w:tcPr>
            <w:tcW w:w="964" w:type="dxa"/>
            <w:vAlign w:val="center"/>
          </w:tcPr>
          <w:p w14:paraId="6A9911EB" w14:textId="77777777" w:rsidR="00F001BC" w:rsidRDefault="00F001BC" w:rsidP="005840B3">
            <w:pPr>
              <w:spacing w:before="60" w:after="60"/>
              <w:jc w:val="center"/>
              <w:rPr>
                <w:noProof/>
                <w:sz w:val="20"/>
              </w:rPr>
            </w:pPr>
          </w:p>
        </w:tc>
        <w:tc>
          <w:tcPr>
            <w:tcW w:w="964" w:type="dxa"/>
            <w:vAlign w:val="center"/>
          </w:tcPr>
          <w:p w14:paraId="0D514F4C" w14:textId="77777777" w:rsidR="00F001BC" w:rsidRDefault="00F001BC" w:rsidP="005840B3">
            <w:pPr>
              <w:spacing w:before="60" w:after="60"/>
              <w:jc w:val="center"/>
              <w:rPr>
                <w:noProof/>
                <w:sz w:val="20"/>
              </w:rPr>
            </w:pPr>
          </w:p>
        </w:tc>
        <w:tc>
          <w:tcPr>
            <w:tcW w:w="1158" w:type="dxa"/>
            <w:vAlign w:val="center"/>
          </w:tcPr>
          <w:p w14:paraId="035BD1CF" w14:textId="77777777" w:rsidR="00F001BC" w:rsidRDefault="00F001BC" w:rsidP="005840B3">
            <w:pPr>
              <w:spacing w:before="60" w:after="60"/>
              <w:jc w:val="center"/>
              <w:rPr>
                <w:noProof/>
                <w:sz w:val="20"/>
              </w:rPr>
            </w:pPr>
          </w:p>
        </w:tc>
      </w:tr>
    </w:tbl>
    <w:p w14:paraId="4FD710E3" w14:textId="77777777" w:rsidR="00F001BC" w:rsidRDefault="00F001BC" w:rsidP="00F001BC">
      <w:pPr>
        <w:rPr>
          <w:noProof/>
        </w:rPr>
      </w:pPr>
      <w:r>
        <w:rPr>
          <w:noProof/>
        </w:rPr>
        <w:br/>
      </w:r>
    </w:p>
    <w:p w14:paraId="08AFA2EB" w14:textId="77777777" w:rsidR="00F001BC" w:rsidRDefault="00F001BC" w:rsidP="00F001BC">
      <w:pPr>
        <w:pStyle w:val="ManualHeading2"/>
        <w:rPr>
          <w:bCs/>
          <w:noProof/>
          <w:szCs w:val="24"/>
        </w:rPr>
      </w:pPr>
      <w:r>
        <w:rPr>
          <w:noProof/>
        </w:rPr>
        <w:br w:type="page"/>
      </w:r>
      <w:bookmarkStart w:id="65" w:name="_Toc514938691"/>
      <w:bookmarkStart w:id="66" w:name="_Toc520485450"/>
      <w:r w:rsidRPr="006D222F">
        <w:rPr>
          <w:noProof/>
        </w:rPr>
        <w:t>3.3.</w:t>
      </w:r>
      <w:r w:rsidRPr="006D222F">
        <w:rPr>
          <w:noProof/>
        </w:rPr>
        <w:tab/>
      </w:r>
      <w:r>
        <w:rPr>
          <w:noProof/>
        </w:rPr>
        <w:t>Estimated impact on revenue</w:t>
      </w:r>
      <w:bookmarkEnd w:id="65"/>
      <w:bookmarkEnd w:id="66"/>
      <w:r>
        <w:rPr>
          <w:noProof/>
        </w:rPr>
        <w:t xml:space="preserve"> </w:t>
      </w:r>
    </w:p>
    <w:p w14:paraId="5509CBAA" w14:textId="77777777" w:rsidR="00F001BC" w:rsidRDefault="00F001BC" w:rsidP="008305F0">
      <w:pPr>
        <w:pStyle w:val="ListDash1"/>
        <w:rPr>
          <w:noProof/>
        </w:rPr>
      </w:pPr>
      <w:r>
        <w:rPr>
          <w:noProof/>
        </w:rPr>
        <w:sym w:font="Wingdings" w:char="F0FE"/>
      </w:r>
      <w:r>
        <w:rPr>
          <w:noProof/>
        </w:rPr>
        <w:tab/>
        <w:t>The proposal/initiative has no financial impact on revenue.</w:t>
      </w:r>
    </w:p>
    <w:p w14:paraId="73D71EBB" w14:textId="77777777" w:rsidR="00F001BC" w:rsidRDefault="00F001BC" w:rsidP="008305F0">
      <w:pPr>
        <w:pStyle w:val="ListDash1"/>
        <w:rPr>
          <w:noProof/>
        </w:rPr>
      </w:pPr>
      <w:r>
        <w:rPr>
          <w:noProof/>
        </w:rPr>
        <w:sym w:font="Wingdings" w:char="F0A8"/>
      </w:r>
      <w:r>
        <w:rPr>
          <w:noProof/>
        </w:rPr>
        <w:tab/>
        <w:t>The proposal/initiative has the following financial impact:</w:t>
      </w:r>
    </w:p>
    <w:p w14:paraId="1EC2F44E" w14:textId="77777777" w:rsidR="00F001BC" w:rsidRDefault="00F001BC" w:rsidP="00596E2C">
      <w:pPr>
        <w:pStyle w:val="ListNumberLevel3"/>
        <w:tabs>
          <w:tab w:val="clear" w:pos="2126"/>
        </w:tabs>
        <w:rPr>
          <w:noProof/>
        </w:rPr>
      </w:pPr>
      <w:r>
        <w:rPr>
          <w:noProof/>
        </w:rPr>
        <w:sym w:font="Wingdings" w:char="F0A8"/>
      </w:r>
      <w:r>
        <w:rPr>
          <w:noProof/>
        </w:rPr>
        <w:tab/>
        <w:t xml:space="preserve">on own resources </w:t>
      </w:r>
    </w:p>
    <w:p w14:paraId="38231E4A" w14:textId="77777777" w:rsidR="00F001BC" w:rsidRDefault="00F001BC" w:rsidP="00596E2C">
      <w:pPr>
        <w:pStyle w:val="ListNumberLevel3"/>
        <w:tabs>
          <w:tab w:val="clear" w:pos="2126"/>
        </w:tabs>
        <w:rPr>
          <w:noProof/>
        </w:rPr>
      </w:pPr>
      <w:r>
        <w:rPr>
          <w:noProof/>
        </w:rPr>
        <w:sym w:font="Wingdings" w:char="F0A8"/>
      </w:r>
      <w:r>
        <w:rPr>
          <w:noProof/>
        </w:rPr>
        <w:tab/>
        <w:t xml:space="preserve">on other revenue </w:t>
      </w:r>
    </w:p>
    <w:p w14:paraId="364DE170" w14:textId="77777777" w:rsidR="00F001BC" w:rsidRPr="005B5680" w:rsidRDefault="00F001BC" w:rsidP="00596E2C">
      <w:pPr>
        <w:pStyle w:val="ListNumberLevel3"/>
        <w:tabs>
          <w:tab w:val="clear" w:pos="2126"/>
        </w:tabs>
        <w:rPr>
          <w:noProof/>
        </w:rPr>
      </w:pPr>
      <w:r>
        <w:rPr>
          <w:noProof/>
        </w:rPr>
        <w:t xml:space="preserve"> </w:t>
      </w:r>
      <w:r w:rsidRPr="005B5680">
        <w:rPr>
          <w:noProof/>
        </w:rPr>
        <w:t xml:space="preserve">please indicate, if the revenue is assigned to expenditure lines </w:t>
      </w:r>
      <w:r w:rsidRPr="005B5680">
        <w:rPr>
          <w:noProof/>
        </w:rPr>
        <w:sym w:font="Wingdings" w:char="F0A8"/>
      </w:r>
    </w:p>
    <w:p w14:paraId="64CE5662" w14:textId="77777777" w:rsidR="00F001BC" w:rsidRDefault="00F001BC" w:rsidP="00F001BC">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F001BC" w14:paraId="28F8F9E6" w14:textId="77777777" w:rsidTr="005840B3">
        <w:trPr>
          <w:trHeight w:val="388"/>
        </w:trPr>
        <w:tc>
          <w:tcPr>
            <w:tcW w:w="2144" w:type="dxa"/>
            <w:vMerge w:val="restart"/>
            <w:vAlign w:val="center"/>
          </w:tcPr>
          <w:p w14:paraId="5AD4DF7E" w14:textId="77777777" w:rsidR="00F001BC" w:rsidRDefault="00F001BC" w:rsidP="005840B3">
            <w:pPr>
              <w:spacing w:before="40" w:after="40"/>
              <w:rPr>
                <w:noProof/>
                <w:sz w:val="18"/>
              </w:rPr>
            </w:pPr>
            <w:r>
              <w:rPr>
                <w:noProof/>
                <w:sz w:val="18"/>
              </w:rPr>
              <w:t>Budget revenue line:</w:t>
            </w:r>
          </w:p>
        </w:tc>
        <w:tc>
          <w:tcPr>
            <w:tcW w:w="1276" w:type="dxa"/>
            <w:vMerge w:val="restart"/>
            <w:vAlign w:val="center"/>
          </w:tcPr>
          <w:p w14:paraId="338EC236" w14:textId="77777777" w:rsidR="00F001BC" w:rsidRDefault="00F001BC" w:rsidP="005840B3">
            <w:pPr>
              <w:jc w:val="center"/>
              <w:rPr>
                <w:noProof/>
                <w:sz w:val="18"/>
              </w:rPr>
            </w:pPr>
            <w:r>
              <w:rPr>
                <w:noProof/>
                <w:sz w:val="18"/>
              </w:rPr>
              <w:t>Appropriations available for the current financial year</w:t>
            </w:r>
          </w:p>
        </w:tc>
        <w:tc>
          <w:tcPr>
            <w:tcW w:w="7200" w:type="dxa"/>
            <w:gridSpan w:val="7"/>
            <w:vAlign w:val="center"/>
          </w:tcPr>
          <w:p w14:paraId="06BD5881" w14:textId="77777777" w:rsidR="00F001BC" w:rsidRDefault="00F001BC" w:rsidP="005840B3">
            <w:pPr>
              <w:jc w:val="center"/>
              <w:rPr>
                <w:noProof/>
                <w:sz w:val="18"/>
              </w:rPr>
            </w:pPr>
            <w:r>
              <w:rPr>
                <w:noProof/>
                <w:sz w:val="18"/>
              </w:rPr>
              <w:t>Impact of the proposal/initiative</w:t>
            </w:r>
            <w:r>
              <w:rPr>
                <w:rStyle w:val="FootnoteReference"/>
                <w:noProof/>
                <w:sz w:val="18"/>
              </w:rPr>
              <w:footnoteReference w:id="42"/>
            </w:r>
          </w:p>
        </w:tc>
      </w:tr>
      <w:tr w:rsidR="00F001BC" w14:paraId="11F613D7" w14:textId="77777777" w:rsidTr="005840B3">
        <w:trPr>
          <w:trHeight w:val="388"/>
        </w:trPr>
        <w:tc>
          <w:tcPr>
            <w:tcW w:w="2144" w:type="dxa"/>
            <w:vMerge/>
            <w:vAlign w:val="center"/>
          </w:tcPr>
          <w:p w14:paraId="7297A666" w14:textId="77777777" w:rsidR="00F001BC" w:rsidRDefault="00F001BC" w:rsidP="005840B3">
            <w:pPr>
              <w:rPr>
                <w:noProof/>
                <w:sz w:val="18"/>
              </w:rPr>
            </w:pPr>
          </w:p>
        </w:tc>
        <w:tc>
          <w:tcPr>
            <w:tcW w:w="1276" w:type="dxa"/>
            <w:vMerge/>
            <w:vAlign w:val="center"/>
          </w:tcPr>
          <w:p w14:paraId="3ED77996" w14:textId="77777777" w:rsidR="00F001BC" w:rsidRDefault="00F001BC" w:rsidP="005840B3">
            <w:pPr>
              <w:rPr>
                <w:noProof/>
                <w:sz w:val="18"/>
              </w:rPr>
            </w:pPr>
          </w:p>
        </w:tc>
        <w:tc>
          <w:tcPr>
            <w:tcW w:w="1080" w:type="dxa"/>
            <w:vAlign w:val="center"/>
          </w:tcPr>
          <w:p w14:paraId="6B6043EF" w14:textId="77777777" w:rsidR="00F001BC" w:rsidRDefault="00F001BC" w:rsidP="005840B3">
            <w:pPr>
              <w:jc w:val="center"/>
              <w:rPr>
                <w:noProof/>
                <w:sz w:val="18"/>
              </w:rPr>
            </w:pPr>
            <w:r>
              <w:rPr>
                <w:noProof/>
                <w:sz w:val="18"/>
              </w:rPr>
              <w:t>Year</w:t>
            </w:r>
            <w:r>
              <w:rPr>
                <w:noProof/>
                <w:sz w:val="22"/>
              </w:rPr>
              <w:br/>
            </w:r>
            <w:r>
              <w:rPr>
                <w:b/>
                <w:noProof/>
                <w:sz w:val="18"/>
              </w:rPr>
              <w:t>N</w:t>
            </w:r>
          </w:p>
        </w:tc>
        <w:tc>
          <w:tcPr>
            <w:tcW w:w="900" w:type="dxa"/>
            <w:vAlign w:val="center"/>
          </w:tcPr>
          <w:p w14:paraId="671B1CDC" w14:textId="77777777" w:rsidR="00F001BC" w:rsidRDefault="00F001BC" w:rsidP="005840B3">
            <w:pPr>
              <w:jc w:val="center"/>
              <w:rPr>
                <w:noProof/>
                <w:sz w:val="18"/>
              </w:rPr>
            </w:pPr>
            <w:r>
              <w:rPr>
                <w:noProof/>
                <w:sz w:val="18"/>
              </w:rPr>
              <w:t>Year</w:t>
            </w:r>
            <w:r>
              <w:rPr>
                <w:noProof/>
                <w:sz w:val="22"/>
              </w:rPr>
              <w:br/>
            </w:r>
            <w:r>
              <w:rPr>
                <w:b/>
                <w:noProof/>
                <w:sz w:val="18"/>
              </w:rPr>
              <w:t>N+1</w:t>
            </w:r>
          </w:p>
        </w:tc>
        <w:tc>
          <w:tcPr>
            <w:tcW w:w="900" w:type="dxa"/>
            <w:vAlign w:val="center"/>
          </w:tcPr>
          <w:p w14:paraId="162F19A3" w14:textId="77777777" w:rsidR="00F001BC" w:rsidRDefault="00F001BC" w:rsidP="005840B3">
            <w:pPr>
              <w:jc w:val="center"/>
              <w:rPr>
                <w:noProof/>
                <w:sz w:val="18"/>
              </w:rPr>
            </w:pPr>
            <w:r>
              <w:rPr>
                <w:noProof/>
                <w:sz w:val="18"/>
              </w:rPr>
              <w:t>Year</w:t>
            </w:r>
            <w:r>
              <w:rPr>
                <w:noProof/>
                <w:sz w:val="22"/>
              </w:rPr>
              <w:br/>
            </w:r>
            <w:r>
              <w:rPr>
                <w:b/>
                <w:noProof/>
                <w:sz w:val="18"/>
              </w:rPr>
              <w:t>N+2</w:t>
            </w:r>
          </w:p>
        </w:tc>
        <w:tc>
          <w:tcPr>
            <w:tcW w:w="1080" w:type="dxa"/>
            <w:vAlign w:val="center"/>
          </w:tcPr>
          <w:p w14:paraId="27F74367" w14:textId="77777777" w:rsidR="00F001BC" w:rsidRDefault="00F001BC" w:rsidP="005840B3">
            <w:pPr>
              <w:jc w:val="center"/>
              <w:rPr>
                <w:noProof/>
                <w:sz w:val="18"/>
              </w:rPr>
            </w:pPr>
            <w:r>
              <w:rPr>
                <w:noProof/>
                <w:sz w:val="18"/>
              </w:rPr>
              <w:t>Year</w:t>
            </w:r>
            <w:r>
              <w:rPr>
                <w:noProof/>
                <w:sz w:val="22"/>
              </w:rPr>
              <w:br/>
            </w:r>
            <w:r>
              <w:rPr>
                <w:b/>
                <w:noProof/>
                <w:sz w:val="18"/>
              </w:rPr>
              <w:t>N+3</w:t>
            </w:r>
          </w:p>
        </w:tc>
        <w:tc>
          <w:tcPr>
            <w:tcW w:w="3240" w:type="dxa"/>
            <w:gridSpan w:val="3"/>
            <w:vAlign w:val="center"/>
          </w:tcPr>
          <w:p w14:paraId="53E1A14E" w14:textId="77777777" w:rsidR="00F001BC" w:rsidRDefault="00F001BC" w:rsidP="005840B3">
            <w:pPr>
              <w:jc w:val="center"/>
              <w:rPr>
                <w:b/>
                <w:noProof/>
                <w:sz w:val="18"/>
              </w:rPr>
            </w:pPr>
            <w:r>
              <w:rPr>
                <w:noProof/>
                <w:sz w:val="18"/>
              </w:rPr>
              <w:t>Enter as many years as necessary to show the duration of the impact (see point 1.6)</w:t>
            </w:r>
          </w:p>
        </w:tc>
      </w:tr>
      <w:tr w:rsidR="00F001BC" w14:paraId="11F9B556" w14:textId="77777777" w:rsidTr="005840B3">
        <w:trPr>
          <w:trHeight w:val="388"/>
        </w:trPr>
        <w:tc>
          <w:tcPr>
            <w:tcW w:w="2144" w:type="dxa"/>
            <w:vAlign w:val="center"/>
          </w:tcPr>
          <w:p w14:paraId="2863E52A" w14:textId="77777777" w:rsidR="00F001BC" w:rsidRDefault="00F001BC" w:rsidP="005840B3">
            <w:pPr>
              <w:spacing w:before="40" w:after="40"/>
              <w:rPr>
                <w:noProof/>
                <w:sz w:val="18"/>
              </w:rPr>
            </w:pPr>
            <w:r>
              <w:rPr>
                <w:noProof/>
                <w:sz w:val="18"/>
              </w:rPr>
              <w:t>Article ………….</w:t>
            </w:r>
          </w:p>
        </w:tc>
        <w:tc>
          <w:tcPr>
            <w:tcW w:w="1276" w:type="dxa"/>
          </w:tcPr>
          <w:p w14:paraId="1B5B4FBB" w14:textId="77777777" w:rsidR="00F001BC" w:rsidRDefault="00F001BC" w:rsidP="005840B3">
            <w:pPr>
              <w:spacing w:beforeLines="40" w:before="96" w:afterLines="40" w:after="96"/>
              <w:jc w:val="center"/>
              <w:rPr>
                <w:i/>
                <w:noProof/>
                <w:sz w:val="18"/>
              </w:rPr>
            </w:pPr>
          </w:p>
        </w:tc>
        <w:tc>
          <w:tcPr>
            <w:tcW w:w="1080" w:type="dxa"/>
          </w:tcPr>
          <w:p w14:paraId="190E79C0" w14:textId="77777777" w:rsidR="00F001BC" w:rsidRDefault="00F001BC" w:rsidP="005840B3">
            <w:pPr>
              <w:spacing w:beforeLines="40" w:before="96" w:afterLines="40" w:after="96"/>
              <w:jc w:val="center"/>
              <w:rPr>
                <w:noProof/>
                <w:sz w:val="18"/>
              </w:rPr>
            </w:pPr>
          </w:p>
        </w:tc>
        <w:tc>
          <w:tcPr>
            <w:tcW w:w="900" w:type="dxa"/>
          </w:tcPr>
          <w:p w14:paraId="5B6172CC" w14:textId="77777777" w:rsidR="00F001BC" w:rsidRDefault="00F001BC" w:rsidP="005840B3">
            <w:pPr>
              <w:spacing w:beforeLines="40" w:before="96" w:afterLines="40" w:after="96"/>
              <w:jc w:val="center"/>
              <w:rPr>
                <w:noProof/>
                <w:sz w:val="18"/>
              </w:rPr>
            </w:pPr>
          </w:p>
        </w:tc>
        <w:tc>
          <w:tcPr>
            <w:tcW w:w="900" w:type="dxa"/>
          </w:tcPr>
          <w:p w14:paraId="447DD0DA" w14:textId="77777777" w:rsidR="00F001BC" w:rsidRDefault="00F001BC" w:rsidP="005840B3">
            <w:pPr>
              <w:spacing w:beforeLines="40" w:before="96" w:afterLines="40" w:after="96"/>
              <w:jc w:val="center"/>
              <w:rPr>
                <w:noProof/>
                <w:sz w:val="18"/>
              </w:rPr>
            </w:pPr>
          </w:p>
        </w:tc>
        <w:tc>
          <w:tcPr>
            <w:tcW w:w="1080" w:type="dxa"/>
          </w:tcPr>
          <w:p w14:paraId="29C225BF" w14:textId="77777777" w:rsidR="00F001BC" w:rsidRDefault="00F001BC" w:rsidP="005840B3">
            <w:pPr>
              <w:spacing w:beforeLines="40" w:before="96" w:afterLines="40" w:after="96"/>
              <w:jc w:val="center"/>
              <w:rPr>
                <w:noProof/>
                <w:sz w:val="18"/>
              </w:rPr>
            </w:pPr>
          </w:p>
        </w:tc>
        <w:tc>
          <w:tcPr>
            <w:tcW w:w="1080" w:type="dxa"/>
          </w:tcPr>
          <w:p w14:paraId="182ECF1B" w14:textId="77777777" w:rsidR="00F001BC" w:rsidRDefault="00F001BC" w:rsidP="005840B3">
            <w:pPr>
              <w:spacing w:beforeLines="40" w:before="96" w:afterLines="40" w:after="96"/>
              <w:jc w:val="center"/>
              <w:rPr>
                <w:noProof/>
                <w:sz w:val="18"/>
              </w:rPr>
            </w:pPr>
          </w:p>
        </w:tc>
        <w:tc>
          <w:tcPr>
            <w:tcW w:w="1080" w:type="dxa"/>
          </w:tcPr>
          <w:p w14:paraId="56CBF38F" w14:textId="77777777" w:rsidR="00F001BC" w:rsidRDefault="00F001BC" w:rsidP="005840B3">
            <w:pPr>
              <w:spacing w:beforeLines="40" w:before="96" w:afterLines="40" w:after="96"/>
              <w:jc w:val="center"/>
              <w:rPr>
                <w:noProof/>
                <w:sz w:val="18"/>
              </w:rPr>
            </w:pPr>
          </w:p>
        </w:tc>
        <w:tc>
          <w:tcPr>
            <w:tcW w:w="1080" w:type="dxa"/>
          </w:tcPr>
          <w:p w14:paraId="694B89FE" w14:textId="77777777" w:rsidR="00F001BC" w:rsidRDefault="00F001BC" w:rsidP="005840B3">
            <w:pPr>
              <w:spacing w:beforeLines="40" w:before="96" w:afterLines="40" w:after="96"/>
              <w:jc w:val="center"/>
              <w:rPr>
                <w:noProof/>
                <w:sz w:val="18"/>
              </w:rPr>
            </w:pPr>
          </w:p>
        </w:tc>
      </w:tr>
    </w:tbl>
    <w:p w14:paraId="33AE5279" w14:textId="77777777" w:rsidR="00F001BC" w:rsidRPr="00A32156" w:rsidRDefault="00F001BC" w:rsidP="00F001BC">
      <w:pPr>
        <w:pStyle w:val="Text1"/>
        <w:rPr>
          <w:noProof/>
          <w:sz w:val="20"/>
        </w:rPr>
      </w:pPr>
      <w:r w:rsidRPr="00A32156">
        <w:rPr>
          <w:noProof/>
          <w:sz w:val="20"/>
        </w:rPr>
        <w:t>For miscellaneous ‘assigned’ revenue, specify the budget expenditure line(s) affected.</w:t>
      </w:r>
    </w:p>
    <w:p w14:paraId="419EC892" w14:textId="77777777" w:rsidR="00F001BC" w:rsidRDefault="00F001BC" w:rsidP="00F001BC">
      <w:pPr>
        <w:pStyle w:val="Text1"/>
        <w:pBdr>
          <w:top w:val="single" w:sz="4" w:space="1" w:color="auto"/>
          <w:left w:val="single" w:sz="4" w:space="4" w:color="auto"/>
          <w:bottom w:val="single" w:sz="4" w:space="1" w:color="auto"/>
          <w:right w:val="single" w:sz="4" w:space="4" w:color="auto"/>
        </w:pBdr>
        <w:rPr>
          <w:noProof/>
        </w:rPr>
      </w:pPr>
    </w:p>
    <w:p w14:paraId="03815000" w14:textId="77777777" w:rsidR="00F001BC" w:rsidRPr="00A32156" w:rsidRDefault="00F001BC" w:rsidP="00F001BC">
      <w:pPr>
        <w:pStyle w:val="Text1"/>
        <w:rPr>
          <w:noProof/>
          <w:sz w:val="20"/>
        </w:rPr>
      </w:pPr>
      <w:r w:rsidRPr="00A32156">
        <w:rPr>
          <w:noProof/>
          <w:sz w:val="20"/>
        </w:rPr>
        <w:t>Specify the method for calculating the impact on revenue.</w:t>
      </w:r>
    </w:p>
    <w:p w14:paraId="12E6C401" w14:textId="77777777" w:rsidR="00F001BC" w:rsidRPr="00C30527" w:rsidRDefault="00F001BC" w:rsidP="00F001BC">
      <w:pPr>
        <w:pStyle w:val="Text1"/>
        <w:pBdr>
          <w:top w:val="single" w:sz="4" w:space="1" w:color="auto"/>
          <w:left w:val="single" w:sz="4" w:space="4" w:color="auto"/>
          <w:bottom w:val="single" w:sz="4" w:space="1" w:color="auto"/>
          <w:right w:val="single" w:sz="4" w:space="4" w:color="auto"/>
        </w:pBdr>
        <w:rPr>
          <w:noProof/>
        </w:rPr>
      </w:pPr>
    </w:p>
    <w:p w14:paraId="39FA1016" w14:textId="77777777" w:rsidR="00267F1A" w:rsidRDefault="00267F1A">
      <w:pPr>
        <w:spacing w:before="0" w:after="200" w:line="276" w:lineRule="auto"/>
        <w:jc w:val="left"/>
        <w:rPr>
          <w:i/>
          <w:noProof/>
        </w:rPr>
      </w:pPr>
    </w:p>
    <w:sectPr w:rsidR="00267F1A" w:rsidSect="00E321B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E75E2" w14:textId="77777777" w:rsidR="008615F7" w:rsidRDefault="008615F7" w:rsidP="005B3330">
      <w:pPr>
        <w:spacing w:before="0" w:after="0"/>
      </w:pPr>
      <w:r>
        <w:separator/>
      </w:r>
    </w:p>
  </w:endnote>
  <w:endnote w:type="continuationSeparator" w:id="0">
    <w:p w14:paraId="3F8E482D" w14:textId="77777777" w:rsidR="008615F7" w:rsidRDefault="008615F7" w:rsidP="005B33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D328" w14:textId="41101E64" w:rsidR="008615F7" w:rsidRPr="00E321BE" w:rsidRDefault="00E321BE" w:rsidP="00E321BE">
    <w:pPr>
      <w:pStyle w:val="Footer"/>
      <w:rPr>
        <w:rFonts w:ascii="Arial" w:hAnsi="Arial" w:cs="Arial"/>
        <w:b/>
        <w:sz w:val="48"/>
      </w:rPr>
    </w:pPr>
    <w:r w:rsidRPr="00E321BE">
      <w:rPr>
        <w:rFonts w:ascii="Arial" w:hAnsi="Arial" w:cs="Arial"/>
        <w:b/>
        <w:sz w:val="48"/>
      </w:rPr>
      <w:t>EN</w:t>
    </w:r>
    <w:r w:rsidRPr="00E321BE">
      <w:rPr>
        <w:rFonts w:ascii="Arial" w:hAnsi="Arial" w:cs="Arial"/>
        <w:b/>
        <w:sz w:val="48"/>
      </w:rPr>
      <w:tab/>
    </w:r>
    <w:r w:rsidRPr="00E321BE">
      <w:rPr>
        <w:rFonts w:ascii="Arial" w:hAnsi="Arial" w:cs="Arial"/>
        <w:b/>
        <w:sz w:val="48"/>
      </w:rPr>
      <w:tab/>
    </w:r>
    <w:r w:rsidRPr="00E321BE">
      <w:tab/>
    </w:r>
    <w:r w:rsidRPr="00E321BE">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3C48" w14:textId="26A5DA75" w:rsidR="00E321BE" w:rsidRPr="00E321BE" w:rsidRDefault="00E321BE" w:rsidP="00E321BE">
    <w:pPr>
      <w:pStyle w:val="Footer"/>
      <w:rPr>
        <w:rFonts w:ascii="Arial" w:hAnsi="Arial" w:cs="Arial"/>
        <w:b/>
        <w:sz w:val="48"/>
      </w:rPr>
    </w:pPr>
    <w:r w:rsidRPr="00E321BE">
      <w:rPr>
        <w:rFonts w:ascii="Arial" w:hAnsi="Arial" w:cs="Arial"/>
        <w:b/>
        <w:sz w:val="48"/>
      </w:rPr>
      <w:t>EN</w:t>
    </w:r>
    <w:r w:rsidRPr="00E321BE">
      <w:rPr>
        <w:rFonts w:ascii="Arial" w:hAnsi="Arial" w:cs="Arial"/>
        <w:b/>
        <w:sz w:val="48"/>
      </w:rPr>
      <w:tab/>
    </w:r>
    <w:r>
      <w:fldChar w:fldCharType="begin"/>
    </w:r>
    <w:r>
      <w:instrText xml:space="preserve"> PAGE  \* MERGEFORMAT </w:instrText>
    </w:r>
    <w:r>
      <w:fldChar w:fldCharType="separate"/>
    </w:r>
    <w:r w:rsidR="00052561">
      <w:rPr>
        <w:noProof/>
      </w:rPr>
      <w:t>22</w:t>
    </w:r>
    <w:r>
      <w:fldChar w:fldCharType="end"/>
    </w:r>
    <w:r>
      <w:tab/>
    </w:r>
    <w:r w:rsidRPr="00E321BE">
      <w:tab/>
    </w:r>
    <w:r w:rsidRPr="00E321B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05797" w14:textId="77777777" w:rsidR="00E321BE" w:rsidRPr="00E321BE" w:rsidRDefault="00E321BE" w:rsidP="00E321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48A0" w14:textId="5AEAB61B" w:rsidR="001C5481" w:rsidRPr="00E321BE" w:rsidRDefault="00E321BE" w:rsidP="00E321BE">
    <w:pPr>
      <w:pStyle w:val="FooterLandscape"/>
      <w:rPr>
        <w:rFonts w:ascii="Arial" w:hAnsi="Arial" w:cs="Arial"/>
        <w:b/>
        <w:sz w:val="48"/>
      </w:rPr>
    </w:pPr>
    <w:r w:rsidRPr="00E321BE">
      <w:rPr>
        <w:rFonts w:ascii="Arial" w:hAnsi="Arial" w:cs="Arial"/>
        <w:b/>
        <w:sz w:val="48"/>
      </w:rPr>
      <w:t>EN</w:t>
    </w:r>
    <w:r w:rsidRPr="00E321B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321BE">
      <w:tab/>
    </w:r>
    <w:r w:rsidRPr="00E321B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A26C" w14:textId="77777777" w:rsidR="00E321BE" w:rsidRPr="00E321BE" w:rsidRDefault="00E321BE" w:rsidP="00E321BE">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1E71" w14:textId="45A66A04" w:rsidR="00415748" w:rsidRPr="00E321BE" w:rsidRDefault="00E321BE" w:rsidP="00E321BE">
    <w:pPr>
      <w:pStyle w:val="Footer"/>
      <w:rPr>
        <w:rFonts w:ascii="Arial" w:hAnsi="Arial" w:cs="Arial"/>
        <w:b/>
        <w:sz w:val="48"/>
      </w:rPr>
    </w:pPr>
    <w:r w:rsidRPr="00E321BE">
      <w:rPr>
        <w:rFonts w:ascii="Arial" w:hAnsi="Arial" w:cs="Arial"/>
        <w:b/>
        <w:sz w:val="48"/>
      </w:rPr>
      <w:t>EN</w:t>
    </w:r>
    <w:r w:rsidRPr="00E321B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E321BE">
      <w:tab/>
    </w:r>
    <w:r w:rsidRPr="00E321BE">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4EC6" w14:textId="77777777" w:rsidR="00E321BE" w:rsidRPr="00E321BE" w:rsidRDefault="00E321BE" w:rsidP="00E32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9F78" w14:textId="77777777" w:rsidR="008615F7" w:rsidRDefault="008615F7" w:rsidP="005B3330">
      <w:pPr>
        <w:spacing w:before="0" w:after="0"/>
      </w:pPr>
      <w:r>
        <w:separator/>
      </w:r>
    </w:p>
  </w:footnote>
  <w:footnote w:type="continuationSeparator" w:id="0">
    <w:p w14:paraId="0085A6D4" w14:textId="77777777" w:rsidR="008615F7" w:rsidRDefault="008615F7" w:rsidP="005B3330">
      <w:pPr>
        <w:spacing w:before="0" w:after="0"/>
      </w:pPr>
      <w:r>
        <w:continuationSeparator/>
      </w:r>
    </w:p>
  </w:footnote>
  <w:footnote w:id="1">
    <w:p w14:paraId="5A87C3F9" w14:textId="77777777" w:rsidR="008615F7" w:rsidRPr="00BC7CD6" w:rsidRDefault="008615F7" w:rsidP="003B48CD">
      <w:pPr>
        <w:pStyle w:val="FootnoteText"/>
        <w:rPr>
          <w:lang w:val="en-IE"/>
        </w:rPr>
      </w:pPr>
      <w:r w:rsidRPr="00D24830">
        <w:rPr>
          <w:rStyle w:val="FootnoteReference"/>
        </w:rPr>
        <w:footnoteRef/>
      </w:r>
      <w:r>
        <w:tab/>
      </w:r>
      <w:r w:rsidRPr="003B48CD">
        <w:rPr>
          <w:lang w:val="en-IE"/>
        </w:rPr>
        <w:t>OJ L 131, 28.5.2009, p. 57</w:t>
      </w:r>
    </w:p>
  </w:footnote>
  <w:footnote w:id="2">
    <w:p w14:paraId="257611EF" w14:textId="77777777" w:rsidR="008615F7" w:rsidRPr="00586426" w:rsidRDefault="008615F7" w:rsidP="005840B3">
      <w:pPr>
        <w:pStyle w:val="FootnoteText"/>
        <w:rPr>
          <w:lang w:val="en-IE"/>
        </w:rPr>
      </w:pPr>
      <w:r w:rsidRPr="00D24830">
        <w:rPr>
          <w:rStyle w:val="FootnoteReference"/>
        </w:rPr>
        <w:footnoteRef/>
      </w:r>
      <w:r>
        <w:tab/>
      </w:r>
      <w:r w:rsidRPr="00586426">
        <w:t xml:space="preserve">International rules include </w:t>
      </w:r>
      <w:r>
        <w:t>t</w:t>
      </w:r>
      <w:r w:rsidRPr="00586426">
        <w:t xml:space="preserve">he International Convention for the Safety of Life at Sea (SOLAS 74), </w:t>
      </w:r>
      <w:r>
        <w:t xml:space="preserve">the </w:t>
      </w:r>
      <w:r w:rsidRPr="00586426">
        <w:t>International Convention for the Prevention of Pollution from Ships (MARPOL 73/78), Standards of Training, Certification and Watchkeeping (STCW), the International Convention on Load Lines, 1966</w:t>
      </w:r>
      <w:r>
        <w:t xml:space="preserve"> and</w:t>
      </w:r>
      <w:r w:rsidRPr="00586426">
        <w:t xml:space="preserve"> the Convention on the International Regulations for Preventing Collisions at Sea, 1972 (COLREG 72).</w:t>
      </w:r>
    </w:p>
  </w:footnote>
  <w:footnote w:id="3">
    <w:p w14:paraId="3D9AB592" w14:textId="77777777" w:rsidR="008615F7" w:rsidRPr="00586426" w:rsidRDefault="008615F7" w:rsidP="00CE41A1">
      <w:pPr>
        <w:pStyle w:val="FootnoteText"/>
        <w:rPr>
          <w:lang w:val="en-IE"/>
        </w:rPr>
      </w:pPr>
      <w:r w:rsidRPr="00D24830">
        <w:rPr>
          <w:rStyle w:val="FootnoteReference"/>
        </w:rPr>
        <w:footnoteRef/>
      </w:r>
      <w:r>
        <w:tab/>
      </w:r>
      <w:hyperlink r:id="rId1" w:history="1">
        <w:r w:rsidRPr="00586426">
          <w:t>www.parismou.org</w:t>
        </w:r>
      </w:hyperlink>
      <w:r>
        <w:t xml:space="preserve"> </w:t>
      </w:r>
    </w:p>
  </w:footnote>
  <w:footnote w:id="4">
    <w:p w14:paraId="73348145" w14:textId="77777777" w:rsidR="008615F7" w:rsidRPr="00CE41A1" w:rsidRDefault="008615F7">
      <w:pPr>
        <w:pStyle w:val="FootnoteText"/>
        <w:rPr>
          <w:lang w:val="en-IE"/>
        </w:rPr>
      </w:pPr>
      <w:r w:rsidRPr="005655A9">
        <w:rPr>
          <w:rStyle w:val="FootnoteReference"/>
        </w:rPr>
        <w:footnoteRef/>
      </w:r>
      <w:r>
        <w:tab/>
      </w:r>
      <w:r w:rsidRPr="00CE41A1">
        <w:rPr>
          <w:lang w:val="en-IE"/>
        </w:rPr>
        <w:t xml:space="preserve">Following the invasion of Ukraine, Russian Federation </w:t>
      </w:r>
      <w:r>
        <w:rPr>
          <w:lang w:val="en-IE"/>
        </w:rPr>
        <w:t xml:space="preserve">membership </w:t>
      </w:r>
      <w:r w:rsidRPr="00CE41A1">
        <w:rPr>
          <w:lang w:val="en-IE"/>
        </w:rPr>
        <w:t>of the Paris MoU was suspended in May 2022.</w:t>
      </w:r>
    </w:p>
  </w:footnote>
  <w:footnote w:id="5">
    <w:p w14:paraId="40502F19" w14:textId="77777777" w:rsidR="008615F7" w:rsidRPr="00586426" w:rsidRDefault="008615F7" w:rsidP="008212D9">
      <w:pPr>
        <w:pStyle w:val="FootnoteText"/>
        <w:rPr>
          <w:lang w:val="en-IE"/>
        </w:rPr>
      </w:pPr>
      <w:r w:rsidRPr="0096060D">
        <w:rPr>
          <w:rStyle w:val="FootnoteReference"/>
        </w:rPr>
        <w:footnoteRef/>
      </w:r>
      <w:r>
        <w:tab/>
      </w:r>
      <w:r w:rsidRPr="00586426">
        <w:t xml:space="preserve">This is a system </w:t>
      </w:r>
      <w:r>
        <w:t xml:space="preserve">hosted and </w:t>
      </w:r>
      <w:r w:rsidRPr="00586426">
        <w:t>developed by EMSA which enables Member States to provide and receive information on ships and their hazardous cargoes. It provides, among others, the identification, position and status of a ship; times of departure and arrival; incidents reports, details on hazardous cargoes.</w:t>
      </w:r>
    </w:p>
  </w:footnote>
  <w:footnote w:id="6">
    <w:p w14:paraId="5F2BB5CF" w14:textId="77777777" w:rsidR="008615F7" w:rsidRPr="00586426" w:rsidRDefault="008615F7" w:rsidP="00A31F84">
      <w:pPr>
        <w:pStyle w:val="FootnoteText"/>
      </w:pPr>
      <w:r w:rsidRPr="0096060D">
        <w:rPr>
          <w:rStyle w:val="FootnoteReference"/>
        </w:rPr>
        <w:footnoteRef/>
      </w:r>
      <w:r>
        <w:tab/>
      </w:r>
      <w:r w:rsidRPr="00586426">
        <w:t>Directive 2013/38/EU of 12 August 2013 amending Directive 2009/16/EC on port State control (OJ L 218, 14.8.2013, p. 1)</w:t>
      </w:r>
    </w:p>
  </w:footnote>
  <w:footnote w:id="7">
    <w:p w14:paraId="2AEABD56" w14:textId="77777777" w:rsidR="008615F7" w:rsidRPr="00586426" w:rsidRDefault="008615F7" w:rsidP="00A31F84">
      <w:pPr>
        <w:pStyle w:val="FootnoteText"/>
        <w:rPr>
          <w:lang w:val="en-IE"/>
        </w:rPr>
      </w:pPr>
      <w:r w:rsidRPr="0096060D">
        <w:rPr>
          <w:rStyle w:val="FootnoteReference"/>
        </w:rPr>
        <w:footnoteRef/>
      </w:r>
      <w:r>
        <w:tab/>
      </w:r>
      <w:r w:rsidRPr="00586426">
        <w:t>Directive (EU) 2017/2110 of 15 November 2017 on a system of inspections for the safe operation of ro-ro passenger ships and high-speed passenger craft in regular service and amending Directive 2009/16/EC and repealing Council Directive 1999/35/EC (OJ L 315, 30.11.2017)</w:t>
      </w:r>
    </w:p>
  </w:footnote>
  <w:footnote w:id="8">
    <w:p w14:paraId="0A6E5EBE" w14:textId="77777777" w:rsidR="008615F7" w:rsidRPr="00586426" w:rsidRDefault="008615F7" w:rsidP="00A31F84">
      <w:pPr>
        <w:pStyle w:val="FootnoteText"/>
        <w:rPr>
          <w:lang w:val="en-IE"/>
        </w:rPr>
      </w:pPr>
      <w:r w:rsidRPr="0096060D">
        <w:rPr>
          <w:rStyle w:val="FootnoteReference"/>
        </w:rPr>
        <w:footnoteRef/>
      </w:r>
      <w:r>
        <w:tab/>
      </w:r>
      <w:r w:rsidRPr="00586426">
        <w:t>Directive 2009/20/EC of the European Parliament and of the Council of 23 April 2009 on the insurance of shipowners for maritime claims (OJ L 131, 28.5.2009, p.128)</w:t>
      </w:r>
    </w:p>
  </w:footnote>
  <w:footnote w:id="9">
    <w:p w14:paraId="473551F9" w14:textId="77777777" w:rsidR="008615F7" w:rsidRPr="00586426" w:rsidRDefault="008615F7" w:rsidP="00A31F84">
      <w:pPr>
        <w:pStyle w:val="FootnoteText"/>
        <w:rPr>
          <w:lang w:val="en-IE"/>
        </w:rPr>
      </w:pPr>
      <w:r w:rsidRPr="0096060D">
        <w:rPr>
          <w:rStyle w:val="FootnoteReference"/>
        </w:rPr>
        <w:footnoteRef/>
      </w:r>
      <w:r>
        <w:tab/>
      </w:r>
      <w:r w:rsidRPr="00586426">
        <w:t>Directive (EU) 2019/883 of the European Parliament and of the Council of 17 April 2019 on port reception facilities for the delivery of waste from ships, amending Directive 2010/65/EU and repealing Directive 2000/59/EC (OJ L 151, 7.6.2019, p. 11)</w:t>
      </w:r>
    </w:p>
  </w:footnote>
  <w:footnote w:id="10">
    <w:p w14:paraId="6396AB13" w14:textId="77777777" w:rsidR="008615F7" w:rsidRPr="00586426" w:rsidRDefault="008615F7" w:rsidP="00A31F84">
      <w:pPr>
        <w:pStyle w:val="FootnoteText"/>
        <w:rPr>
          <w:lang w:val="en-IE"/>
        </w:rPr>
      </w:pPr>
      <w:r w:rsidRPr="0096060D">
        <w:rPr>
          <w:rStyle w:val="FootnoteReference"/>
        </w:rPr>
        <w:footnoteRef/>
      </w:r>
      <w:r>
        <w:tab/>
      </w:r>
      <w:r w:rsidRPr="00586426">
        <w:t>Regulation (EU) No 1257/2013 of the European Parliament and of the Council of 20 November 2013 on ship recycling and amending Regulation (EC) No 1013/2006 and Directive 2009/16/EC (OJ L 330, 10.12.2013, p. 1)</w:t>
      </w:r>
    </w:p>
  </w:footnote>
  <w:footnote w:id="11">
    <w:p w14:paraId="262DEE24" w14:textId="77777777" w:rsidR="008615F7" w:rsidRPr="00586426" w:rsidRDefault="008615F7" w:rsidP="00A31F84">
      <w:pPr>
        <w:pStyle w:val="FootnoteText"/>
        <w:rPr>
          <w:lang w:val="en-IE"/>
        </w:rPr>
      </w:pPr>
      <w:r w:rsidRPr="0096060D">
        <w:rPr>
          <w:rStyle w:val="FootnoteReference"/>
        </w:rPr>
        <w:footnoteRef/>
      </w:r>
      <w:r>
        <w:tab/>
      </w:r>
      <w:r w:rsidRPr="00586426">
        <w:t>Regulation (EU) 2015/757 of the European Parliament and of the Council of 29 April 2015 on the monitoring, reporting and verification of carbon dioxide emissions from maritime transport, and amending Directive 2009/16/EC (OJ L 123, 19.5.2015, p. 55)</w:t>
      </w:r>
    </w:p>
  </w:footnote>
  <w:footnote w:id="12">
    <w:p w14:paraId="4B15A6AE" w14:textId="77777777" w:rsidR="008615F7" w:rsidRPr="00586426" w:rsidRDefault="008615F7" w:rsidP="00A31F84">
      <w:pPr>
        <w:pStyle w:val="FootnoteText"/>
        <w:rPr>
          <w:lang w:val="en-IE"/>
        </w:rPr>
      </w:pPr>
      <w:r w:rsidRPr="0096060D">
        <w:rPr>
          <w:rStyle w:val="FootnoteReference"/>
        </w:rPr>
        <w:footnoteRef/>
      </w:r>
      <w:r>
        <w:tab/>
      </w:r>
      <w:r w:rsidRPr="00586426">
        <w:t xml:space="preserve">Directive </w:t>
      </w:r>
      <w:r>
        <w:t xml:space="preserve">(EU) </w:t>
      </w:r>
      <w:r w:rsidRPr="00586426">
        <w:t>201</w:t>
      </w:r>
      <w:r>
        <w:t>6</w:t>
      </w:r>
      <w:r w:rsidRPr="00586426">
        <w:t>/</w:t>
      </w:r>
      <w:r>
        <w:t>802</w:t>
      </w:r>
      <w:r w:rsidRPr="00586426">
        <w:t xml:space="preserve"> of the European Parliament and of the Council of </w:t>
      </w:r>
      <w:r>
        <w:t xml:space="preserve">11 May 2016 </w:t>
      </w:r>
      <w:r w:rsidRPr="00586426">
        <w:t>re</w:t>
      </w:r>
      <w:r>
        <w:t xml:space="preserve">lating to a reduction in the </w:t>
      </w:r>
      <w:r w:rsidRPr="00586426">
        <w:t xml:space="preserve">sulphur content of </w:t>
      </w:r>
      <w:r>
        <w:t xml:space="preserve">certain liquid fuels (codification) </w:t>
      </w:r>
      <w:r w:rsidRPr="00586426">
        <w:t xml:space="preserve">(OJ L </w:t>
      </w:r>
      <w:r>
        <w:t>132</w:t>
      </w:r>
      <w:r w:rsidRPr="00586426">
        <w:t xml:space="preserve">, </w:t>
      </w:r>
      <w:r>
        <w:t>21.5.2016</w:t>
      </w:r>
      <w:r w:rsidRPr="00586426">
        <w:t>, p.</w:t>
      </w:r>
      <w:r>
        <w:t>58</w:t>
      </w:r>
      <w:r w:rsidRPr="00586426">
        <w:t>)</w:t>
      </w:r>
    </w:p>
  </w:footnote>
  <w:footnote w:id="13">
    <w:p w14:paraId="18A8459E" w14:textId="77777777" w:rsidR="008615F7" w:rsidRPr="00C8711F" w:rsidRDefault="008615F7" w:rsidP="0041008C">
      <w:pPr>
        <w:pStyle w:val="FootnoteText"/>
      </w:pPr>
      <w:r w:rsidRPr="00C8711F">
        <w:rPr>
          <w:rStyle w:val="FootnoteReference"/>
        </w:rPr>
        <w:footnoteRef/>
      </w:r>
      <w:r w:rsidRPr="00C8711F">
        <w:tab/>
      </w:r>
      <w:r w:rsidRPr="008F410E">
        <w:t>OJ L 131, 28.5.20</w:t>
      </w:r>
      <w:r w:rsidRPr="00BC0E23">
        <w:t>09, p. 114</w:t>
      </w:r>
    </w:p>
  </w:footnote>
  <w:footnote w:id="14">
    <w:p w14:paraId="0A83812A" w14:textId="77777777" w:rsidR="008615F7" w:rsidRPr="008F410E" w:rsidRDefault="008615F7">
      <w:pPr>
        <w:pStyle w:val="FootnoteText"/>
        <w:rPr>
          <w:lang w:val="en-IE"/>
        </w:rPr>
      </w:pPr>
      <w:r w:rsidRPr="0096060D">
        <w:rPr>
          <w:rStyle w:val="FootnoteReference"/>
        </w:rPr>
        <w:footnoteRef/>
      </w:r>
      <w:r>
        <w:tab/>
      </w:r>
      <w:r w:rsidRPr="008F410E">
        <w:rPr>
          <w:lang w:val="en-IE"/>
        </w:rPr>
        <w:t>OJ L 131, 28.5.2009, p.132</w:t>
      </w:r>
    </w:p>
  </w:footnote>
  <w:footnote w:id="15">
    <w:p w14:paraId="71FED5A9" w14:textId="77777777" w:rsidR="008615F7" w:rsidRPr="009B423D" w:rsidRDefault="008615F7" w:rsidP="00BA263E">
      <w:pPr>
        <w:pStyle w:val="FootnoteText"/>
        <w:rPr>
          <w:lang w:val="en-IE"/>
        </w:rPr>
      </w:pPr>
      <w:r w:rsidRPr="0096060D">
        <w:rPr>
          <w:rStyle w:val="FootnoteReference"/>
        </w:rPr>
        <w:footnoteRef/>
      </w:r>
      <w:r>
        <w:tab/>
      </w:r>
      <w:r w:rsidRPr="009B423D" w:rsidDel="0010541D">
        <w:t xml:space="preserve">Directive 2002/59/EC </w:t>
      </w:r>
      <w:r w:rsidRPr="009B423D">
        <w:t xml:space="preserve">establishing a Community vessel traffic monitoring and information system (OJ L </w:t>
      </w:r>
      <w:r w:rsidRPr="009B423D" w:rsidDel="0010541D">
        <w:t>208</w:t>
      </w:r>
      <w:r w:rsidRPr="009B423D">
        <w:t xml:space="preserve">, </w:t>
      </w:r>
      <w:r w:rsidRPr="009B423D" w:rsidDel="0010541D">
        <w:t>5.8.2002</w:t>
      </w:r>
      <w:r w:rsidRPr="009B423D">
        <w:t>, p. 10)</w:t>
      </w:r>
    </w:p>
  </w:footnote>
  <w:footnote w:id="16">
    <w:p w14:paraId="5857B771" w14:textId="77777777" w:rsidR="008615F7" w:rsidRPr="005231FB" w:rsidRDefault="008615F7" w:rsidP="00304F61">
      <w:pPr>
        <w:pStyle w:val="FootnoteText"/>
        <w:rPr>
          <w:lang w:val="en-IE"/>
        </w:rPr>
      </w:pPr>
      <w:r w:rsidRPr="0096060D">
        <w:rPr>
          <w:rStyle w:val="FootnoteReference"/>
        </w:rPr>
        <w:footnoteRef/>
      </w:r>
      <w:r>
        <w:tab/>
      </w:r>
      <w:r w:rsidRPr="005231FB">
        <w:t>OJ L 208, 5.8.2002, p. 1</w:t>
      </w:r>
    </w:p>
  </w:footnote>
  <w:footnote w:id="17">
    <w:p w14:paraId="38255E6A" w14:textId="77777777" w:rsidR="008615F7" w:rsidRPr="00C23BED" w:rsidRDefault="008615F7" w:rsidP="00304F61">
      <w:pPr>
        <w:pStyle w:val="FootnoteText"/>
        <w:rPr>
          <w:lang w:val="en-IE"/>
        </w:rPr>
      </w:pPr>
      <w:r w:rsidRPr="0096060D">
        <w:rPr>
          <w:rStyle w:val="FootnoteReference"/>
        </w:rPr>
        <w:footnoteRef/>
      </w:r>
      <w:r>
        <w:tab/>
      </w:r>
      <w:r w:rsidRPr="00C23BED">
        <w:t>OJ L 34, 9.2.1998, p. 1</w:t>
      </w:r>
    </w:p>
  </w:footnote>
  <w:footnote w:id="18">
    <w:p w14:paraId="0CA3E5B9" w14:textId="77777777" w:rsidR="008615F7" w:rsidRPr="009B423D" w:rsidRDefault="008615F7" w:rsidP="00BA263E">
      <w:pPr>
        <w:pStyle w:val="FootnoteText"/>
        <w:rPr>
          <w:lang w:val="en-IE"/>
        </w:rPr>
      </w:pPr>
      <w:r w:rsidRPr="0096060D">
        <w:rPr>
          <w:rStyle w:val="FootnoteReference"/>
        </w:rPr>
        <w:footnoteRef/>
      </w:r>
      <w:r>
        <w:tab/>
      </w:r>
      <w:r w:rsidRPr="009B423D">
        <w:t>Regulation (EC) No 391/2009 on common rules and standards for ship inspection and survey organisations (OJ L 131, 28.5.2009, p.11) and Directive 2009/15/EC on common rules and standards for ship inspection and survey organisations and for the relevant activities of maritime administrations (OJ L131, 28.5.2009, p.47)</w:t>
      </w:r>
    </w:p>
  </w:footnote>
  <w:footnote w:id="19">
    <w:p w14:paraId="06B09C30" w14:textId="77777777" w:rsidR="008615F7" w:rsidRPr="009B423D" w:rsidRDefault="008615F7" w:rsidP="00BA263E">
      <w:pPr>
        <w:pStyle w:val="FootnoteText"/>
        <w:rPr>
          <w:lang w:val="en-IE"/>
        </w:rPr>
      </w:pPr>
      <w:r w:rsidRPr="0096060D">
        <w:rPr>
          <w:rStyle w:val="FootnoteReference"/>
        </w:rPr>
        <w:footnoteRef/>
      </w:r>
      <w:r>
        <w:tab/>
      </w:r>
      <w:r w:rsidRPr="009B423D">
        <w:t>OJ L 164, 25.6.2008, p. 19</w:t>
      </w:r>
    </w:p>
  </w:footnote>
  <w:footnote w:id="20">
    <w:p w14:paraId="406496D5" w14:textId="77777777" w:rsidR="008615F7" w:rsidRPr="009B423D" w:rsidRDefault="008615F7" w:rsidP="000C6A8C">
      <w:pPr>
        <w:pStyle w:val="FootnoteText"/>
        <w:rPr>
          <w:lang w:val="en-IE"/>
        </w:rPr>
      </w:pPr>
      <w:r w:rsidRPr="0096060D">
        <w:rPr>
          <w:rStyle w:val="FootnoteReference"/>
        </w:rPr>
        <w:footnoteRef/>
      </w:r>
      <w:r>
        <w:tab/>
      </w:r>
      <w:r w:rsidRPr="009B423D">
        <w:t xml:space="preserve">Such as Directive 92/43/EEC (the “Habitats Directive”), Directive 2009/147/EC (the </w:t>
      </w:r>
      <w:r>
        <w:t>‘</w:t>
      </w:r>
      <w:r w:rsidRPr="009B423D">
        <w:t>EU Birds Directive</w:t>
      </w:r>
      <w:r>
        <w:t>’)</w:t>
      </w:r>
      <w:r w:rsidRPr="009B423D">
        <w:t>, Directive (EU) 2019/904 (Single use Plastics Directive)</w:t>
      </w:r>
      <w:r w:rsidRPr="009B423D">
        <w:rPr>
          <w:lang w:val="en-IE"/>
        </w:rPr>
        <w:t xml:space="preserve"> </w:t>
      </w:r>
    </w:p>
  </w:footnote>
  <w:footnote w:id="21">
    <w:p w14:paraId="6DFB4876" w14:textId="77777777" w:rsidR="008615F7" w:rsidRPr="007E768A" w:rsidRDefault="008615F7" w:rsidP="00285256">
      <w:pPr>
        <w:pStyle w:val="FootnoteText"/>
        <w:rPr>
          <w:lang w:val="en-IE"/>
        </w:rPr>
      </w:pPr>
      <w:r w:rsidRPr="0096060D">
        <w:rPr>
          <w:rStyle w:val="FootnoteReference"/>
        </w:rPr>
        <w:footnoteRef/>
      </w:r>
      <w:r>
        <w:tab/>
      </w:r>
      <w:r w:rsidRPr="007E768A">
        <w:rPr>
          <w:lang w:val="en-IE"/>
        </w:rPr>
        <w:t>EMS</w:t>
      </w:r>
      <w:r>
        <w:rPr>
          <w:lang w:val="en-IE"/>
        </w:rPr>
        <w:t>A</w:t>
      </w:r>
      <w:r w:rsidRPr="007E768A">
        <w:rPr>
          <w:lang w:val="en-IE"/>
        </w:rPr>
        <w:t xml:space="preserve"> carries out such visits under Article 3 </w:t>
      </w:r>
      <w:r>
        <w:rPr>
          <w:lang w:val="en-IE"/>
        </w:rPr>
        <w:t>o</w:t>
      </w:r>
      <w:r w:rsidRPr="007E768A">
        <w:rPr>
          <w:lang w:val="en-IE"/>
        </w:rPr>
        <w:t>f Regulation (EC) No 1406/2002 establishing a European Maritime Safety Agency</w:t>
      </w:r>
      <w:r>
        <w:rPr>
          <w:lang w:val="en-IE"/>
        </w:rPr>
        <w:t xml:space="preserve"> as part of its core tasks; therefore, no additional costs are expected to arise.</w:t>
      </w:r>
    </w:p>
  </w:footnote>
  <w:footnote w:id="22">
    <w:p w14:paraId="5C17C3F6" w14:textId="77777777" w:rsidR="008615F7" w:rsidRPr="00285256" w:rsidRDefault="008615F7">
      <w:pPr>
        <w:pStyle w:val="FootnoteText"/>
        <w:rPr>
          <w:lang w:val="en-IE"/>
        </w:rPr>
      </w:pPr>
      <w:r w:rsidRPr="0096060D">
        <w:rPr>
          <w:rStyle w:val="FootnoteReference"/>
        </w:rPr>
        <w:footnoteRef/>
      </w:r>
      <w:r>
        <w:tab/>
      </w:r>
      <w:r w:rsidRPr="00285256">
        <w:t>As provided for in the EMSA Methodology for visits to Member States, http://emsa.europa.eu/implementation-tasks/visits-and-inspections/items.html?cid=89&amp;id=3065</w:t>
      </w:r>
    </w:p>
  </w:footnote>
  <w:footnote w:id="23">
    <w:p w14:paraId="16C5A031" w14:textId="2EDC1A35" w:rsidR="008615F7" w:rsidRPr="004A28D2" w:rsidRDefault="008615F7" w:rsidP="007800DD">
      <w:pPr>
        <w:pStyle w:val="FootnoteText"/>
        <w:rPr>
          <w:lang w:val="en-US"/>
        </w:rPr>
      </w:pPr>
      <w:r>
        <w:rPr>
          <w:rStyle w:val="FootnoteReference"/>
        </w:rPr>
        <w:footnoteRef/>
      </w:r>
      <w:r w:rsidRPr="004A28D2">
        <w:rPr>
          <w:lang w:val="en-US"/>
        </w:rPr>
        <w:tab/>
        <w:t>OJ C , , p. .</w:t>
      </w:r>
    </w:p>
  </w:footnote>
  <w:footnote w:id="24">
    <w:p w14:paraId="369F39E3" w14:textId="621068EF" w:rsidR="008615F7" w:rsidRPr="004A28D2" w:rsidRDefault="008615F7" w:rsidP="007800DD">
      <w:pPr>
        <w:pStyle w:val="FootnoteText"/>
        <w:rPr>
          <w:lang w:val="en-US"/>
        </w:rPr>
      </w:pPr>
      <w:r>
        <w:rPr>
          <w:rStyle w:val="FootnoteReference"/>
        </w:rPr>
        <w:footnoteRef/>
      </w:r>
      <w:r w:rsidRPr="004A28D2">
        <w:rPr>
          <w:lang w:val="en-US"/>
        </w:rPr>
        <w:tab/>
        <w:t>OJ C , , p. .</w:t>
      </w:r>
    </w:p>
  </w:footnote>
  <w:footnote w:id="25">
    <w:p w14:paraId="157C9B40" w14:textId="77777777" w:rsidR="008615F7" w:rsidRPr="007E6B68" w:rsidRDefault="008615F7" w:rsidP="00572511">
      <w:pPr>
        <w:pStyle w:val="FootnoteText"/>
        <w:rPr>
          <w:lang w:val="en-IE"/>
        </w:rPr>
      </w:pPr>
      <w:r w:rsidRPr="0096060D">
        <w:rPr>
          <w:rStyle w:val="FootnoteReference"/>
        </w:rPr>
        <w:footnoteRef/>
      </w:r>
      <w:r>
        <w:tab/>
      </w:r>
      <w:r w:rsidRPr="007E6B68">
        <w:rPr>
          <w:lang w:val="en-IE"/>
        </w:rPr>
        <w:t xml:space="preserve">OJ L 131, 28.5.2009, p. </w:t>
      </w:r>
      <w:r>
        <w:rPr>
          <w:lang w:val="en-IE"/>
        </w:rPr>
        <w:t>57</w:t>
      </w:r>
    </w:p>
  </w:footnote>
  <w:footnote w:id="26">
    <w:p w14:paraId="685C9B4C" w14:textId="77777777" w:rsidR="008615F7" w:rsidRPr="00AC4F13" w:rsidRDefault="008615F7" w:rsidP="00C67387">
      <w:pPr>
        <w:pStyle w:val="FootnoteText"/>
        <w:rPr>
          <w:lang w:val="lt-LT"/>
        </w:rPr>
      </w:pPr>
      <w:r w:rsidRPr="001C5481">
        <w:rPr>
          <w:rStyle w:val="FootnoteReference"/>
        </w:rPr>
        <w:footnoteRef/>
      </w:r>
      <w:r w:rsidR="001C5481">
        <w:tab/>
      </w:r>
      <w:r w:rsidRPr="00960606">
        <w:rPr>
          <w:lang w:val="lt-LT"/>
        </w:rPr>
        <w:t>Directive 2009/21/EC of the European Parliament and of the Council of 23 April 2009 on compliance with flag State requir</w:t>
      </w:r>
      <w:r>
        <w:rPr>
          <w:lang w:val="lt-LT"/>
        </w:rPr>
        <w:t>ements (</w:t>
      </w:r>
      <w:r w:rsidRPr="00960606">
        <w:rPr>
          <w:lang w:val="lt-LT"/>
        </w:rPr>
        <w:t>OJ L 131, 28.5.2009, p. 132</w:t>
      </w:r>
      <w:r>
        <w:rPr>
          <w:lang w:val="lt-LT"/>
        </w:rPr>
        <w:t>).</w:t>
      </w:r>
    </w:p>
  </w:footnote>
  <w:footnote w:id="27">
    <w:p w14:paraId="43BEA387" w14:textId="77777777" w:rsidR="008615F7" w:rsidRPr="00AC4F13" w:rsidRDefault="008615F7" w:rsidP="007E0A64">
      <w:pPr>
        <w:pStyle w:val="FootnoteText"/>
        <w:rPr>
          <w:lang w:val="lt-LT"/>
        </w:rPr>
      </w:pPr>
      <w:r w:rsidRPr="001C5481">
        <w:rPr>
          <w:rStyle w:val="FootnoteReference"/>
        </w:rPr>
        <w:footnoteRef/>
      </w:r>
      <w:r w:rsidR="001C5481">
        <w:tab/>
      </w:r>
      <w:r w:rsidRPr="00A714D3">
        <w:rPr>
          <w:lang w:val="en-IE"/>
        </w:rPr>
        <w:t>OJ L 123, 12.5.2016, p. 1</w:t>
      </w:r>
      <w:r>
        <w:rPr>
          <w:lang w:val="en-IE"/>
        </w:rPr>
        <w:t>.</w:t>
      </w:r>
    </w:p>
  </w:footnote>
  <w:footnote w:id="28">
    <w:p w14:paraId="0394419F" w14:textId="77777777" w:rsidR="008615F7" w:rsidRPr="000162E9" w:rsidRDefault="008615F7">
      <w:pPr>
        <w:pStyle w:val="FootnoteText"/>
        <w:rPr>
          <w:lang w:val="en-IE"/>
        </w:rPr>
      </w:pPr>
      <w:r w:rsidRPr="005655A9">
        <w:rPr>
          <w:rStyle w:val="FootnoteReference"/>
        </w:rPr>
        <w:footnoteRef/>
      </w:r>
      <w:r>
        <w:tab/>
      </w:r>
      <w:r w:rsidRPr="000162E9">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9">
    <w:p w14:paraId="69A6207D" w14:textId="77777777" w:rsidR="008615F7" w:rsidRPr="00363592" w:rsidRDefault="008615F7">
      <w:pPr>
        <w:pStyle w:val="FootnoteText"/>
        <w:rPr>
          <w:lang w:val="en-IE"/>
        </w:rPr>
      </w:pPr>
      <w:r w:rsidRPr="001C5481">
        <w:rPr>
          <w:rStyle w:val="FootnoteReference"/>
        </w:rPr>
        <w:footnoteRef/>
      </w:r>
      <w:r w:rsidR="001C5481">
        <w:tab/>
      </w:r>
      <w:r w:rsidRPr="00363592">
        <w:t>Regulation (EC) No 391/2009 of the European Parliament and of the Council of 23 April 2009 on common rules and standards for ship inspection and survey organisations (OJ L 131, 28.5.2009, p.11.)’;</w:t>
      </w:r>
    </w:p>
  </w:footnote>
  <w:footnote w:id="30">
    <w:p w14:paraId="2539504D" w14:textId="77777777" w:rsidR="008615F7" w:rsidRPr="00363592" w:rsidRDefault="008615F7">
      <w:pPr>
        <w:pStyle w:val="FootnoteText"/>
        <w:rPr>
          <w:lang w:val="en-IE"/>
        </w:rPr>
      </w:pPr>
      <w:r w:rsidRPr="001C5481">
        <w:rPr>
          <w:rStyle w:val="FootnoteReference"/>
        </w:rPr>
        <w:footnoteRef/>
      </w:r>
      <w:r w:rsidR="001C5481">
        <w:tab/>
      </w:r>
      <w:r w:rsidRPr="00FA34C4">
        <w:t>Directive (EU) 2019/883 of the European Parliament and of the Council of 17 April 2019 on port reception facilities for the delivery of waste from ships (OJ L 151, 7.6.2019, p. 116).’</w:t>
      </w:r>
    </w:p>
  </w:footnote>
  <w:footnote w:id="31">
    <w:p w14:paraId="22CA5B3D" w14:textId="77777777" w:rsidR="008615F7" w:rsidRDefault="008615F7" w:rsidP="00F001BC">
      <w:pPr>
        <w:pStyle w:val="FootnoteText"/>
        <w:rPr>
          <w:szCs w:val="24"/>
        </w:rPr>
      </w:pPr>
      <w:r>
        <w:rPr>
          <w:rStyle w:val="FootnoteReference"/>
        </w:rPr>
        <w:footnoteRef/>
      </w:r>
      <w:r>
        <w:tab/>
        <w:t>As referred to in Article 58(2)(a) or (b) of the Financial Regulation.</w:t>
      </w:r>
    </w:p>
  </w:footnote>
  <w:footnote w:id="32">
    <w:p w14:paraId="481AEEA7" w14:textId="77777777" w:rsidR="008615F7" w:rsidRDefault="008615F7" w:rsidP="00F001BC">
      <w:pPr>
        <w:pStyle w:val="FootnoteText"/>
        <w:rPr>
          <w:szCs w:val="24"/>
        </w:rPr>
      </w:pPr>
      <w:r>
        <w:rPr>
          <w:rStyle w:val="FootnoteReference"/>
        </w:rPr>
        <w:footnoteRef/>
      </w:r>
      <w:r>
        <w:tab/>
        <w:t xml:space="preserve">Details of budget implementation methods and references to the Financial Regulation may be found on the BUDGpedia site: </w:t>
      </w:r>
      <w:hyperlink w:history="1"/>
      <w:hyperlink r:id="rId2" w:history="1">
        <w:r w:rsidRPr="00BA7749">
          <w:rPr>
            <w:rStyle w:val="Hyperlink"/>
            <w:szCs w:val="24"/>
          </w:rPr>
          <w:t>https://myintracomm.ec.europa.eu/corp/budget/financial-rules/budget-implementation/Pages/implementation-methods.aspx</w:t>
        </w:r>
      </w:hyperlink>
    </w:p>
    <w:p w14:paraId="4C425F0C" w14:textId="77777777" w:rsidR="008615F7" w:rsidRDefault="008615F7" w:rsidP="00F001BC">
      <w:pPr>
        <w:pStyle w:val="FootnoteText"/>
        <w:rPr>
          <w:szCs w:val="24"/>
        </w:rPr>
      </w:pPr>
    </w:p>
  </w:footnote>
  <w:footnote w:id="33">
    <w:p w14:paraId="29453C28" w14:textId="77777777" w:rsidR="008615F7" w:rsidRDefault="008615F7" w:rsidP="00F001BC">
      <w:pPr>
        <w:pStyle w:val="FootnoteText"/>
        <w:rPr>
          <w:szCs w:val="24"/>
        </w:rPr>
      </w:pPr>
      <w:r>
        <w:rPr>
          <w:rStyle w:val="FootnoteReference"/>
        </w:rPr>
        <w:footnoteRef/>
      </w:r>
      <w:r>
        <w:tab/>
        <w:t>Diff. = Differentiated appropriations / Non-diff. = Non-differentiated appropriations.</w:t>
      </w:r>
    </w:p>
  </w:footnote>
  <w:footnote w:id="34">
    <w:p w14:paraId="60219A7A" w14:textId="77777777" w:rsidR="008615F7" w:rsidRDefault="008615F7" w:rsidP="00F001BC">
      <w:pPr>
        <w:pStyle w:val="FootnoteText"/>
        <w:rPr>
          <w:szCs w:val="24"/>
        </w:rPr>
      </w:pPr>
      <w:r>
        <w:rPr>
          <w:rStyle w:val="FootnoteReference"/>
        </w:rPr>
        <w:footnoteRef/>
      </w:r>
      <w:r>
        <w:tab/>
        <w:t xml:space="preserve">EFTA: European Free Trade Association. </w:t>
      </w:r>
    </w:p>
  </w:footnote>
  <w:footnote w:id="35">
    <w:p w14:paraId="04303342" w14:textId="77777777" w:rsidR="008615F7" w:rsidRDefault="008615F7" w:rsidP="00F001BC">
      <w:pPr>
        <w:pStyle w:val="FootnoteText"/>
        <w:rPr>
          <w:szCs w:val="24"/>
        </w:rPr>
      </w:pPr>
      <w:r>
        <w:rPr>
          <w:rStyle w:val="FootnoteReference"/>
        </w:rPr>
        <w:footnoteRef/>
      </w:r>
      <w:r>
        <w:tab/>
        <w:t>Candidate countries and, where applicable, potential candidates from the Western Balkans.</w:t>
      </w:r>
    </w:p>
  </w:footnote>
  <w:footnote w:id="36">
    <w:p w14:paraId="482B24E5" w14:textId="77777777" w:rsidR="008615F7" w:rsidRDefault="008615F7" w:rsidP="00F001BC">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7">
    <w:p w14:paraId="3A334EB1" w14:textId="77777777" w:rsidR="008615F7" w:rsidRDefault="008615F7" w:rsidP="00F001BC">
      <w:pPr>
        <w:pStyle w:val="FootnoteText"/>
        <w:rPr>
          <w:szCs w:val="24"/>
        </w:rPr>
      </w:pPr>
      <w:r>
        <w:rPr>
          <w:rStyle w:val="FootnoteReference"/>
        </w:rPr>
        <w:footnoteRef/>
      </w:r>
      <w:r>
        <w:tab/>
        <w:t>As described in point 1.4.2. ‘Specific objective(s)…’</w:t>
      </w:r>
    </w:p>
  </w:footnote>
  <w:footnote w:id="38">
    <w:p w14:paraId="5D5EAC8C" w14:textId="77777777" w:rsidR="008615F7" w:rsidRDefault="008615F7" w:rsidP="00F001BC">
      <w:pPr>
        <w:pStyle w:val="FootnoteText"/>
        <w:rPr>
          <w:szCs w:val="24"/>
        </w:rPr>
      </w:pPr>
      <w:r>
        <w:rPr>
          <w:rStyle w:val="FootnoteReference"/>
        </w:rPr>
        <w:footnoteRef/>
      </w:r>
      <w:r>
        <w:tab/>
        <w:t xml:space="preserve">AC = Contract Staff; AL = Local Staff; END = Seconded National Expert; INT = agency staff; JPD = Junior </w:t>
      </w:r>
      <w:r w:rsidRPr="00547C99">
        <w:t>Professional</w:t>
      </w:r>
      <w:r>
        <w:t>s</w:t>
      </w:r>
      <w:r w:rsidRPr="00547C99">
        <w:t xml:space="preserve"> </w:t>
      </w:r>
      <w:r>
        <w:t xml:space="preserve">in Delegations. </w:t>
      </w:r>
    </w:p>
  </w:footnote>
  <w:footnote w:id="39">
    <w:p w14:paraId="140E654F" w14:textId="77777777" w:rsidR="008615F7" w:rsidRDefault="008615F7" w:rsidP="00F001BC">
      <w:pPr>
        <w:pStyle w:val="FootnoteText"/>
        <w:rPr>
          <w:szCs w:val="24"/>
        </w:rPr>
      </w:pPr>
      <w:r>
        <w:rPr>
          <w:rStyle w:val="FootnoteReference"/>
        </w:rPr>
        <w:footnoteRef/>
      </w:r>
      <w:r>
        <w:tab/>
        <w:t>Sub-ceiling for external staff covered by operational appropriations (former ‘BA’ lines).</w:t>
      </w:r>
    </w:p>
  </w:footnote>
  <w:footnote w:id="40">
    <w:p w14:paraId="07513123" w14:textId="77777777" w:rsidR="008615F7" w:rsidRDefault="008615F7" w:rsidP="00F001BC">
      <w:pPr>
        <w:pStyle w:val="FootnoteText"/>
      </w:pPr>
      <w:r>
        <w:rPr>
          <w:rStyle w:val="FootnoteReference"/>
        </w:rPr>
        <w:footnoteRef/>
      </w:r>
      <w:r>
        <w:tab/>
        <w:t xml:space="preserve">Mainly for the EU Cohesion Policy Funds, the European Agricultural Fund for Rural Development (EAFRD) and the European Maritime Fisheries and Aquaculture Fund (EMFAF).  </w:t>
      </w:r>
    </w:p>
    <w:p w14:paraId="50D6D059" w14:textId="77777777" w:rsidR="008615F7" w:rsidRPr="001D4F31" w:rsidRDefault="008615F7" w:rsidP="00F001BC">
      <w:pPr>
        <w:pStyle w:val="FootnoteText"/>
        <w:rPr>
          <w:szCs w:val="24"/>
          <w:lang w:val="en-IE"/>
        </w:rPr>
      </w:pPr>
    </w:p>
  </w:footnote>
  <w:footnote w:id="41">
    <w:p w14:paraId="5C03CEDB" w14:textId="77777777" w:rsidR="008615F7" w:rsidRDefault="008615F7" w:rsidP="00F001BC">
      <w:pPr>
        <w:pStyle w:val="FootnoteText"/>
        <w:rPr>
          <w:szCs w:val="24"/>
        </w:rPr>
      </w:pPr>
      <w:r>
        <w:rPr>
          <w:rStyle w:val="FootnoteReference"/>
        </w:rPr>
        <w:footnoteRef/>
      </w:r>
      <w:r>
        <w:tab/>
        <w:t>See Articles 12 and 13 of Council Regulation (EU, Euratom) No 2093/2020 of 17 December 2020 laying down the multiannual financial framework for the years 2021 to 2027.</w:t>
      </w:r>
    </w:p>
  </w:footnote>
  <w:footnote w:id="42">
    <w:p w14:paraId="19239050" w14:textId="77777777" w:rsidR="008615F7" w:rsidRDefault="008615F7" w:rsidP="00F001BC">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9E55" w14:textId="77777777" w:rsidR="001C5481" w:rsidRPr="001C5481" w:rsidRDefault="001C5481" w:rsidP="00E321BE">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C27A" w14:textId="77777777" w:rsidR="00E321BE" w:rsidRPr="00E321BE" w:rsidRDefault="00E321BE" w:rsidP="00E321BE">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DE30D" w14:textId="77777777" w:rsidR="00415748" w:rsidRPr="001C5481" w:rsidRDefault="00415748" w:rsidP="00E321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0D1F" w14:textId="77777777" w:rsidR="00E321BE" w:rsidRPr="00E321BE" w:rsidRDefault="00E321BE" w:rsidP="00E32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2720B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146C3E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4C21EA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99ACC9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BDA070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E16B6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4208E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12A215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2"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0"/>
    <w:lvlOverride w:ilvl="0">
      <w:startOverride w:val="1"/>
    </w:lvlOverride>
  </w:num>
  <w:num w:numId="8">
    <w:abstractNumId w:val="26"/>
    <w:lvlOverride w:ilvl="0">
      <w:startOverride w:val="1"/>
    </w:lvlOverride>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2"/>
  </w:num>
  <w:num w:numId="16">
    <w:abstractNumId w:val="17"/>
  </w:num>
  <w:num w:numId="17">
    <w:abstractNumId w:val="21"/>
  </w:num>
  <w:num w:numId="18">
    <w:abstractNumId w:val="20"/>
    <w:lvlOverride w:ilvl="0">
      <w:startOverride w:val="1"/>
    </w:lvlOverride>
  </w:num>
  <w:num w:numId="19">
    <w:abstractNumId w:val="20"/>
  </w:num>
  <w:num w:numId="20">
    <w:abstractNumId w:val="12"/>
  </w:num>
  <w:num w:numId="21">
    <w:abstractNumId w:val="24"/>
  </w:num>
  <w:num w:numId="22">
    <w:abstractNumId w:val="11"/>
  </w:num>
  <w:num w:numId="23">
    <w:abstractNumId w:val="13"/>
  </w:num>
  <w:num w:numId="24">
    <w:abstractNumId w:val="14"/>
  </w:num>
  <w:num w:numId="25">
    <w:abstractNumId w:val="9"/>
  </w:num>
  <w:num w:numId="26">
    <w:abstractNumId w:val="23"/>
  </w:num>
  <w:num w:numId="27">
    <w:abstractNumId w:val="8"/>
  </w:num>
  <w:num w:numId="28">
    <w:abstractNumId w:val="15"/>
  </w:num>
  <w:num w:numId="29">
    <w:abstractNumId w:val="18"/>
  </w:num>
  <w:num w:numId="30">
    <w:abstractNumId w:val="19"/>
  </w:num>
  <w:num w:numId="31">
    <w:abstractNumId w:val="10"/>
  </w:num>
  <w:num w:numId="32">
    <w:abstractNumId w:val="16"/>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5-26 12:34:5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2D7080A6-3B98-4963-94C9-7BBABCCF93B4"/>
    <w:docVar w:name="LW_COVERPAGE_TYPE" w:val="1"/>
    <w:docVar w:name="LW_CROSSREFERENCE" w:val="{SEC(2023) 202 final} - {SWD(2023) 148 final} - {SWD(2023) 149 final}"/>
    <w:docVar w:name="LW_DocType" w:val="COM"/>
    <w:docVar w:name="LW_EMISSION" w:val="1.6.2023"/>
    <w:docVar w:name="LW_EMISSION_ISODATE" w:val="2023-06-0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65"/>
    <w:docVar w:name="LW_REF.II.NEW.CP_YEAR" w:val="2023"/>
    <w:docVar w:name="LW_REF.INST.NEW" w:val="COM"/>
    <w:docVar w:name="LW_REF.INST.NEW_ADOPTED" w:val="final"/>
    <w:docVar w:name="LW_REF.INST.NEW_TEXT" w:val="(2023)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irective 2009/16/EC on port State control"/>
    <w:docVar w:name="LW_TYPE.DOC.CP" w:val="DIRECTIVE OF THE EUROPEAN PARLIAMENT AND OF THE COUNCIL"/>
    <w:docVar w:name="LwApiVersions" w:val="LW4CoDe 1.23.2.0; LW 8.0, Build 20211117"/>
  </w:docVars>
  <w:rsids>
    <w:rsidRoot w:val="005B3330"/>
    <w:rsid w:val="00002C9B"/>
    <w:rsid w:val="00002D11"/>
    <w:rsid w:val="00010F5D"/>
    <w:rsid w:val="00012E16"/>
    <w:rsid w:val="0001405B"/>
    <w:rsid w:val="0001549A"/>
    <w:rsid w:val="000162E9"/>
    <w:rsid w:val="0002208E"/>
    <w:rsid w:val="00023BC3"/>
    <w:rsid w:val="00024483"/>
    <w:rsid w:val="000251DB"/>
    <w:rsid w:val="0002571D"/>
    <w:rsid w:val="00025A4C"/>
    <w:rsid w:val="0002622D"/>
    <w:rsid w:val="00027510"/>
    <w:rsid w:val="00035B4F"/>
    <w:rsid w:val="0003726E"/>
    <w:rsid w:val="00037886"/>
    <w:rsid w:val="0004039E"/>
    <w:rsid w:val="0004052B"/>
    <w:rsid w:val="0004095A"/>
    <w:rsid w:val="00041596"/>
    <w:rsid w:val="000452C3"/>
    <w:rsid w:val="0004569C"/>
    <w:rsid w:val="000466C9"/>
    <w:rsid w:val="00052561"/>
    <w:rsid w:val="000547A8"/>
    <w:rsid w:val="000601B7"/>
    <w:rsid w:val="000615E9"/>
    <w:rsid w:val="000670A0"/>
    <w:rsid w:val="00070AF3"/>
    <w:rsid w:val="00072F72"/>
    <w:rsid w:val="0007713D"/>
    <w:rsid w:val="00077A25"/>
    <w:rsid w:val="000807A9"/>
    <w:rsid w:val="00083E1E"/>
    <w:rsid w:val="0008430D"/>
    <w:rsid w:val="00084AC4"/>
    <w:rsid w:val="00085CF2"/>
    <w:rsid w:val="000866F8"/>
    <w:rsid w:val="00086E7E"/>
    <w:rsid w:val="00091353"/>
    <w:rsid w:val="000914C6"/>
    <w:rsid w:val="00092280"/>
    <w:rsid w:val="000933D3"/>
    <w:rsid w:val="000958D2"/>
    <w:rsid w:val="00096C75"/>
    <w:rsid w:val="000971DF"/>
    <w:rsid w:val="000A0F35"/>
    <w:rsid w:val="000A10F4"/>
    <w:rsid w:val="000A1787"/>
    <w:rsid w:val="000A3963"/>
    <w:rsid w:val="000A45F3"/>
    <w:rsid w:val="000A7517"/>
    <w:rsid w:val="000B2F20"/>
    <w:rsid w:val="000B554D"/>
    <w:rsid w:val="000B730D"/>
    <w:rsid w:val="000C535B"/>
    <w:rsid w:val="000C5DB8"/>
    <w:rsid w:val="000C6A8C"/>
    <w:rsid w:val="000C6B7C"/>
    <w:rsid w:val="000C7A77"/>
    <w:rsid w:val="000D3328"/>
    <w:rsid w:val="000D6544"/>
    <w:rsid w:val="000D6C53"/>
    <w:rsid w:val="000D6EFF"/>
    <w:rsid w:val="000E0796"/>
    <w:rsid w:val="000E198E"/>
    <w:rsid w:val="000E251E"/>
    <w:rsid w:val="000E3000"/>
    <w:rsid w:val="000E30B0"/>
    <w:rsid w:val="000E5042"/>
    <w:rsid w:val="000E5692"/>
    <w:rsid w:val="000E5A7B"/>
    <w:rsid w:val="000E625C"/>
    <w:rsid w:val="000F233C"/>
    <w:rsid w:val="000F47C0"/>
    <w:rsid w:val="000F5051"/>
    <w:rsid w:val="000F5CEE"/>
    <w:rsid w:val="000F66F8"/>
    <w:rsid w:val="000F6F1B"/>
    <w:rsid w:val="000F7360"/>
    <w:rsid w:val="000F7894"/>
    <w:rsid w:val="0010093C"/>
    <w:rsid w:val="00100B02"/>
    <w:rsid w:val="00101A7E"/>
    <w:rsid w:val="00102474"/>
    <w:rsid w:val="001118B6"/>
    <w:rsid w:val="001127F3"/>
    <w:rsid w:val="001128BF"/>
    <w:rsid w:val="0011310E"/>
    <w:rsid w:val="001149F4"/>
    <w:rsid w:val="00115FC8"/>
    <w:rsid w:val="001206A7"/>
    <w:rsid w:val="00121864"/>
    <w:rsid w:val="00121D1B"/>
    <w:rsid w:val="0012401E"/>
    <w:rsid w:val="0012526F"/>
    <w:rsid w:val="00125AE1"/>
    <w:rsid w:val="001276D9"/>
    <w:rsid w:val="00132DD9"/>
    <w:rsid w:val="00133872"/>
    <w:rsid w:val="00134872"/>
    <w:rsid w:val="001373CB"/>
    <w:rsid w:val="001503E7"/>
    <w:rsid w:val="00150BA3"/>
    <w:rsid w:val="00151230"/>
    <w:rsid w:val="00153647"/>
    <w:rsid w:val="00156A75"/>
    <w:rsid w:val="00161AE0"/>
    <w:rsid w:val="001631E7"/>
    <w:rsid w:val="0016347A"/>
    <w:rsid w:val="00165EE4"/>
    <w:rsid w:val="00167041"/>
    <w:rsid w:val="001678FB"/>
    <w:rsid w:val="00171078"/>
    <w:rsid w:val="0017114A"/>
    <w:rsid w:val="0017134F"/>
    <w:rsid w:val="00173542"/>
    <w:rsid w:val="00173546"/>
    <w:rsid w:val="00173B52"/>
    <w:rsid w:val="00174AE9"/>
    <w:rsid w:val="001759F1"/>
    <w:rsid w:val="00175B5D"/>
    <w:rsid w:val="0018065F"/>
    <w:rsid w:val="00181AD8"/>
    <w:rsid w:val="00182E30"/>
    <w:rsid w:val="001844F0"/>
    <w:rsid w:val="00190237"/>
    <w:rsid w:val="00190930"/>
    <w:rsid w:val="00192D62"/>
    <w:rsid w:val="0019469C"/>
    <w:rsid w:val="0019719B"/>
    <w:rsid w:val="00197C26"/>
    <w:rsid w:val="001A27C3"/>
    <w:rsid w:val="001A3534"/>
    <w:rsid w:val="001A3896"/>
    <w:rsid w:val="001A45D5"/>
    <w:rsid w:val="001B2032"/>
    <w:rsid w:val="001B2B27"/>
    <w:rsid w:val="001B30BD"/>
    <w:rsid w:val="001B5150"/>
    <w:rsid w:val="001B68A4"/>
    <w:rsid w:val="001B6F52"/>
    <w:rsid w:val="001B6F72"/>
    <w:rsid w:val="001B77AF"/>
    <w:rsid w:val="001C0305"/>
    <w:rsid w:val="001C2816"/>
    <w:rsid w:val="001C3985"/>
    <w:rsid w:val="001C451B"/>
    <w:rsid w:val="001C4641"/>
    <w:rsid w:val="001C5481"/>
    <w:rsid w:val="001C6FE1"/>
    <w:rsid w:val="001C744B"/>
    <w:rsid w:val="001C74FF"/>
    <w:rsid w:val="001D12BB"/>
    <w:rsid w:val="001D266C"/>
    <w:rsid w:val="001D464C"/>
    <w:rsid w:val="001D4AA3"/>
    <w:rsid w:val="001D51F8"/>
    <w:rsid w:val="001D5D70"/>
    <w:rsid w:val="001D6B42"/>
    <w:rsid w:val="001D7E51"/>
    <w:rsid w:val="001E04B2"/>
    <w:rsid w:val="001E1372"/>
    <w:rsid w:val="001E17F6"/>
    <w:rsid w:val="001E1EB3"/>
    <w:rsid w:val="001E46B8"/>
    <w:rsid w:val="001E633B"/>
    <w:rsid w:val="001F09EB"/>
    <w:rsid w:val="001F12E9"/>
    <w:rsid w:val="001F14C6"/>
    <w:rsid w:val="001F2E65"/>
    <w:rsid w:val="002000AA"/>
    <w:rsid w:val="002004A5"/>
    <w:rsid w:val="00201995"/>
    <w:rsid w:val="00202F34"/>
    <w:rsid w:val="002034E8"/>
    <w:rsid w:val="00203BA4"/>
    <w:rsid w:val="002041BB"/>
    <w:rsid w:val="002052C5"/>
    <w:rsid w:val="00205CF5"/>
    <w:rsid w:val="00206B4C"/>
    <w:rsid w:val="00207ACF"/>
    <w:rsid w:val="00207E19"/>
    <w:rsid w:val="002130D2"/>
    <w:rsid w:val="00214EF3"/>
    <w:rsid w:val="00215C01"/>
    <w:rsid w:val="00221BF0"/>
    <w:rsid w:val="002220C7"/>
    <w:rsid w:val="00222E00"/>
    <w:rsid w:val="002237C6"/>
    <w:rsid w:val="002260BE"/>
    <w:rsid w:val="00232E98"/>
    <w:rsid w:val="002332AC"/>
    <w:rsid w:val="002336BA"/>
    <w:rsid w:val="00233E35"/>
    <w:rsid w:val="00234E29"/>
    <w:rsid w:val="002361DF"/>
    <w:rsid w:val="00241DEF"/>
    <w:rsid w:val="002430F2"/>
    <w:rsid w:val="00244CE7"/>
    <w:rsid w:val="00244E7B"/>
    <w:rsid w:val="002562EB"/>
    <w:rsid w:val="00260AA7"/>
    <w:rsid w:val="00262E74"/>
    <w:rsid w:val="00263B01"/>
    <w:rsid w:val="00266E74"/>
    <w:rsid w:val="00266FE8"/>
    <w:rsid w:val="00267F1A"/>
    <w:rsid w:val="00270016"/>
    <w:rsid w:val="002702A9"/>
    <w:rsid w:val="00270ACF"/>
    <w:rsid w:val="00270DE4"/>
    <w:rsid w:val="00271E0D"/>
    <w:rsid w:val="00273F19"/>
    <w:rsid w:val="0027418B"/>
    <w:rsid w:val="00274D16"/>
    <w:rsid w:val="00274E0D"/>
    <w:rsid w:val="0027697F"/>
    <w:rsid w:val="00276E6C"/>
    <w:rsid w:val="00285256"/>
    <w:rsid w:val="00285A8C"/>
    <w:rsid w:val="00285C45"/>
    <w:rsid w:val="002864AB"/>
    <w:rsid w:val="00286EE2"/>
    <w:rsid w:val="00287FD0"/>
    <w:rsid w:val="00292074"/>
    <w:rsid w:val="0029291A"/>
    <w:rsid w:val="00294252"/>
    <w:rsid w:val="00295B8B"/>
    <w:rsid w:val="00295CB6"/>
    <w:rsid w:val="00296CCC"/>
    <w:rsid w:val="00297899"/>
    <w:rsid w:val="00297D62"/>
    <w:rsid w:val="002A3B06"/>
    <w:rsid w:val="002A5CEC"/>
    <w:rsid w:val="002A617A"/>
    <w:rsid w:val="002B04F9"/>
    <w:rsid w:val="002B426B"/>
    <w:rsid w:val="002B5181"/>
    <w:rsid w:val="002C08E4"/>
    <w:rsid w:val="002D7BE6"/>
    <w:rsid w:val="002E0790"/>
    <w:rsid w:val="002E180B"/>
    <w:rsid w:val="002E42FF"/>
    <w:rsid w:val="002E443C"/>
    <w:rsid w:val="002E44BA"/>
    <w:rsid w:val="002E616C"/>
    <w:rsid w:val="002E6F5F"/>
    <w:rsid w:val="002E775F"/>
    <w:rsid w:val="002F012D"/>
    <w:rsid w:val="002F014D"/>
    <w:rsid w:val="002F0EE3"/>
    <w:rsid w:val="002F36DA"/>
    <w:rsid w:val="002F4CD6"/>
    <w:rsid w:val="00301CF6"/>
    <w:rsid w:val="0030366C"/>
    <w:rsid w:val="00303EA3"/>
    <w:rsid w:val="00304F61"/>
    <w:rsid w:val="00310D55"/>
    <w:rsid w:val="00311FB8"/>
    <w:rsid w:val="00314011"/>
    <w:rsid w:val="00316592"/>
    <w:rsid w:val="00317CDF"/>
    <w:rsid w:val="0032001C"/>
    <w:rsid w:val="0032310D"/>
    <w:rsid w:val="00323ADF"/>
    <w:rsid w:val="00324A30"/>
    <w:rsid w:val="00325285"/>
    <w:rsid w:val="003347D1"/>
    <w:rsid w:val="00334F7C"/>
    <w:rsid w:val="00335B76"/>
    <w:rsid w:val="00340D1E"/>
    <w:rsid w:val="00346F5E"/>
    <w:rsid w:val="00347BF8"/>
    <w:rsid w:val="003503C3"/>
    <w:rsid w:val="00351037"/>
    <w:rsid w:val="003516BB"/>
    <w:rsid w:val="00351C23"/>
    <w:rsid w:val="00354D48"/>
    <w:rsid w:val="003562AE"/>
    <w:rsid w:val="00363592"/>
    <w:rsid w:val="003636BF"/>
    <w:rsid w:val="003643FC"/>
    <w:rsid w:val="00364F45"/>
    <w:rsid w:val="00367BAA"/>
    <w:rsid w:val="00371DA9"/>
    <w:rsid w:val="0037297B"/>
    <w:rsid w:val="00375395"/>
    <w:rsid w:val="003829A4"/>
    <w:rsid w:val="00383022"/>
    <w:rsid w:val="003837C4"/>
    <w:rsid w:val="00386AA5"/>
    <w:rsid w:val="00387509"/>
    <w:rsid w:val="003876A1"/>
    <w:rsid w:val="003914FB"/>
    <w:rsid w:val="0039246D"/>
    <w:rsid w:val="003950F4"/>
    <w:rsid w:val="003951E3"/>
    <w:rsid w:val="003A3CFC"/>
    <w:rsid w:val="003A4AE6"/>
    <w:rsid w:val="003A6E5A"/>
    <w:rsid w:val="003B0897"/>
    <w:rsid w:val="003B3181"/>
    <w:rsid w:val="003B3560"/>
    <w:rsid w:val="003B3ADF"/>
    <w:rsid w:val="003B3FB9"/>
    <w:rsid w:val="003B48CD"/>
    <w:rsid w:val="003B5A1B"/>
    <w:rsid w:val="003B5E34"/>
    <w:rsid w:val="003C1A92"/>
    <w:rsid w:val="003C25F2"/>
    <w:rsid w:val="003C27C0"/>
    <w:rsid w:val="003C46EF"/>
    <w:rsid w:val="003C7199"/>
    <w:rsid w:val="003C7222"/>
    <w:rsid w:val="003D1645"/>
    <w:rsid w:val="003D2EEA"/>
    <w:rsid w:val="003D4EDF"/>
    <w:rsid w:val="003D5695"/>
    <w:rsid w:val="003D6ED2"/>
    <w:rsid w:val="003E25D2"/>
    <w:rsid w:val="003E2BCC"/>
    <w:rsid w:val="003E2E29"/>
    <w:rsid w:val="003E5B5F"/>
    <w:rsid w:val="003E5E8F"/>
    <w:rsid w:val="003F4478"/>
    <w:rsid w:val="003F56BA"/>
    <w:rsid w:val="003F5FD6"/>
    <w:rsid w:val="003F65E2"/>
    <w:rsid w:val="00400FAC"/>
    <w:rsid w:val="00401B8A"/>
    <w:rsid w:val="004062E4"/>
    <w:rsid w:val="0041008C"/>
    <w:rsid w:val="00411DFD"/>
    <w:rsid w:val="004123E8"/>
    <w:rsid w:val="00412A27"/>
    <w:rsid w:val="00412CDF"/>
    <w:rsid w:val="00415748"/>
    <w:rsid w:val="004163BB"/>
    <w:rsid w:val="00416567"/>
    <w:rsid w:val="00416AA6"/>
    <w:rsid w:val="00420526"/>
    <w:rsid w:val="00421CDC"/>
    <w:rsid w:val="004226A3"/>
    <w:rsid w:val="00423252"/>
    <w:rsid w:val="00423CA0"/>
    <w:rsid w:val="00424AFD"/>
    <w:rsid w:val="00430B38"/>
    <w:rsid w:val="0043453C"/>
    <w:rsid w:val="00436BBB"/>
    <w:rsid w:val="0043708B"/>
    <w:rsid w:val="00437E4D"/>
    <w:rsid w:val="004428AB"/>
    <w:rsid w:val="00442BA1"/>
    <w:rsid w:val="0044313C"/>
    <w:rsid w:val="00446697"/>
    <w:rsid w:val="0044790D"/>
    <w:rsid w:val="00447E21"/>
    <w:rsid w:val="00450912"/>
    <w:rsid w:val="00451133"/>
    <w:rsid w:val="00451165"/>
    <w:rsid w:val="00451685"/>
    <w:rsid w:val="004516ED"/>
    <w:rsid w:val="004567F0"/>
    <w:rsid w:val="004570C4"/>
    <w:rsid w:val="00461A76"/>
    <w:rsid w:val="004623E5"/>
    <w:rsid w:val="00464E9F"/>
    <w:rsid w:val="0046611A"/>
    <w:rsid w:val="00470BD9"/>
    <w:rsid w:val="004710C8"/>
    <w:rsid w:val="00474628"/>
    <w:rsid w:val="00477B6D"/>
    <w:rsid w:val="0048248A"/>
    <w:rsid w:val="00485A3A"/>
    <w:rsid w:val="0048635F"/>
    <w:rsid w:val="00487173"/>
    <w:rsid w:val="004872B9"/>
    <w:rsid w:val="00487712"/>
    <w:rsid w:val="004914C4"/>
    <w:rsid w:val="00491943"/>
    <w:rsid w:val="00492AAB"/>
    <w:rsid w:val="00494735"/>
    <w:rsid w:val="00494F05"/>
    <w:rsid w:val="004956D5"/>
    <w:rsid w:val="0049786D"/>
    <w:rsid w:val="00497896"/>
    <w:rsid w:val="004A0157"/>
    <w:rsid w:val="004A038B"/>
    <w:rsid w:val="004A0664"/>
    <w:rsid w:val="004A067C"/>
    <w:rsid w:val="004A28D2"/>
    <w:rsid w:val="004A29C6"/>
    <w:rsid w:val="004A3E89"/>
    <w:rsid w:val="004A4EE9"/>
    <w:rsid w:val="004B1F16"/>
    <w:rsid w:val="004B2D5F"/>
    <w:rsid w:val="004B305B"/>
    <w:rsid w:val="004B351E"/>
    <w:rsid w:val="004B3BDE"/>
    <w:rsid w:val="004B4258"/>
    <w:rsid w:val="004B4345"/>
    <w:rsid w:val="004B4E25"/>
    <w:rsid w:val="004B57A2"/>
    <w:rsid w:val="004B6474"/>
    <w:rsid w:val="004C0C4C"/>
    <w:rsid w:val="004C1AAE"/>
    <w:rsid w:val="004C3C5E"/>
    <w:rsid w:val="004C46D1"/>
    <w:rsid w:val="004C7834"/>
    <w:rsid w:val="004D1D35"/>
    <w:rsid w:val="004D3033"/>
    <w:rsid w:val="004D39DD"/>
    <w:rsid w:val="004D5E0B"/>
    <w:rsid w:val="004D5F39"/>
    <w:rsid w:val="004E0E40"/>
    <w:rsid w:val="004E1482"/>
    <w:rsid w:val="004E3BC2"/>
    <w:rsid w:val="004E40A1"/>
    <w:rsid w:val="004E4671"/>
    <w:rsid w:val="004E5A21"/>
    <w:rsid w:val="004E7E65"/>
    <w:rsid w:val="004F1097"/>
    <w:rsid w:val="004F14DB"/>
    <w:rsid w:val="004F60D2"/>
    <w:rsid w:val="004F7260"/>
    <w:rsid w:val="004F747A"/>
    <w:rsid w:val="00500212"/>
    <w:rsid w:val="00506BF5"/>
    <w:rsid w:val="00506C56"/>
    <w:rsid w:val="00507488"/>
    <w:rsid w:val="005114F9"/>
    <w:rsid w:val="0051340B"/>
    <w:rsid w:val="00513497"/>
    <w:rsid w:val="005160FB"/>
    <w:rsid w:val="00520463"/>
    <w:rsid w:val="00521F1C"/>
    <w:rsid w:val="00522C38"/>
    <w:rsid w:val="00524633"/>
    <w:rsid w:val="00524DA9"/>
    <w:rsid w:val="005279DE"/>
    <w:rsid w:val="00531437"/>
    <w:rsid w:val="005336F1"/>
    <w:rsid w:val="00534C5C"/>
    <w:rsid w:val="00537D0E"/>
    <w:rsid w:val="005427A3"/>
    <w:rsid w:val="0054297B"/>
    <w:rsid w:val="0054298E"/>
    <w:rsid w:val="00543ED2"/>
    <w:rsid w:val="00545515"/>
    <w:rsid w:val="0054776A"/>
    <w:rsid w:val="0055777B"/>
    <w:rsid w:val="005577B5"/>
    <w:rsid w:val="00557B9A"/>
    <w:rsid w:val="00561FD1"/>
    <w:rsid w:val="005655A9"/>
    <w:rsid w:val="00566FAF"/>
    <w:rsid w:val="00570074"/>
    <w:rsid w:val="005721DB"/>
    <w:rsid w:val="00572511"/>
    <w:rsid w:val="00574DBD"/>
    <w:rsid w:val="00575BBD"/>
    <w:rsid w:val="005767AC"/>
    <w:rsid w:val="00577969"/>
    <w:rsid w:val="00577F9C"/>
    <w:rsid w:val="005807B7"/>
    <w:rsid w:val="00580873"/>
    <w:rsid w:val="0058129E"/>
    <w:rsid w:val="00581A22"/>
    <w:rsid w:val="005840B3"/>
    <w:rsid w:val="005840C7"/>
    <w:rsid w:val="00584DDC"/>
    <w:rsid w:val="00584E9B"/>
    <w:rsid w:val="00586CD7"/>
    <w:rsid w:val="0058786E"/>
    <w:rsid w:val="00587A6B"/>
    <w:rsid w:val="00591F89"/>
    <w:rsid w:val="005927FD"/>
    <w:rsid w:val="00592C15"/>
    <w:rsid w:val="00593403"/>
    <w:rsid w:val="005938A0"/>
    <w:rsid w:val="0059416B"/>
    <w:rsid w:val="00594529"/>
    <w:rsid w:val="005949F7"/>
    <w:rsid w:val="00594E03"/>
    <w:rsid w:val="00595A8D"/>
    <w:rsid w:val="00596E2C"/>
    <w:rsid w:val="005A0009"/>
    <w:rsid w:val="005A0796"/>
    <w:rsid w:val="005A2FB6"/>
    <w:rsid w:val="005A4362"/>
    <w:rsid w:val="005A4D59"/>
    <w:rsid w:val="005A5405"/>
    <w:rsid w:val="005A7474"/>
    <w:rsid w:val="005B1CCB"/>
    <w:rsid w:val="005B3330"/>
    <w:rsid w:val="005B5DDB"/>
    <w:rsid w:val="005C2DA8"/>
    <w:rsid w:val="005C477D"/>
    <w:rsid w:val="005C58FF"/>
    <w:rsid w:val="005C747E"/>
    <w:rsid w:val="005C77A1"/>
    <w:rsid w:val="005D4800"/>
    <w:rsid w:val="005D4838"/>
    <w:rsid w:val="005D54E4"/>
    <w:rsid w:val="005D5C26"/>
    <w:rsid w:val="005D640C"/>
    <w:rsid w:val="005D64B7"/>
    <w:rsid w:val="005E2C4A"/>
    <w:rsid w:val="005E48D7"/>
    <w:rsid w:val="005E66BF"/>
    <w:rsid w:val="005F2473"/>
    <w:rsid w:val="005F2C76"/>
    <w:rsid w:val="005F35D8"/>
    <w:rsid w:val="005F366A"/>
    <w:rsid w:val="005F5EA3"/>
    <w:rsid w:val="005F727B"/>
    <w:rsid w:val="00600459"/>
    <w:rsid w:val="00603C80"/>
    <w:rsid w:val="00607614"/>
    <w:rsid w:val="00613EE8"/>
    <w:rsid w:val="00616AAA"/>
    <w:rsid w:val="00616E0C"/>
    <w:rsid w:val="00620857"/>
    <w:rsid w:val="006239A1"/>
    <w:rsid w:val="00623C93"/>
    <w:rsid w:val="00624301"/>
    <w:rsid w:val="0062434F"/>
    <w:rsid w:val="0062463F"/>
    <w:rsid w:val="0062780F"/>
    <w:rsid w:val="00632680"/>
    <w:rsid w:val="00632C69"/>
    <w:rsid w:val="006408E9"/>
    <w:rsid w:val="00642659"/>
    <w:rsid w:val="00642ACB"/>
    <w:rsid w:val="00644EB8"/>
    <w:rsid w:val="00646CA2"/>
    <w:rsid w:val="00647354"/>
    <w:rsid w:val="00650433"/>
    <w:rsid w:val="00650588"/>
    <w:rsid w:val="00651B36"/>
    <w:rsid w:val="00652419"/>
    <w:rsid w:val="006554A9"/>
    <w:rsid w:val="00656819"/>
    <w:rsid w:val="00657432"/>
    <w:rsid w:val="006577A7"/>
    <w:rsid w:val="00657971"/>
    <w:rsid w:val="00662DAD"/>
    <w:rsid w:val="00663ED5"/>
    <w:rsid w:val="006711A8"/>
    <w:rsid w:val="00684D78"/>
    <w:rsid w:val="00684E2A"/>
    <w:rsid w:val="00685405"/>
    <w:rsid w:val="006879C8"/>
    <w:rsid w:val="006909F6"/>
    <w:rsid w:val="006929ED"/>
    <w:rsid w:val="00694070"/>
    <w:rsid w:val="00695CF0"/>
    <w:rsid w:val="00696D5A"/>
    <w:rsid w:val="0069736B"/>
    <w:rsid w:val="006A09D6"/>
    <w:rsid w:val="006A0B50"/>
    <w:rsid w:val="006A106C"/>
    <w:rsid w:val="006A1DB1"/>
    <w:rsid w:val="006A2AC2"/>
    <w:rsid w:val="006A3274"/>
    <w:rsid w:val="006A4EFA"/>
    <w:rsid w:val="006A577E"/>
    <w:rsid w:val="006B0C04"/>
    <w:rsid w:val="006B2687"/>
    <w:rsid w:val="006B2EC8"/>
    <w:rsid w:val="006B7928"/>
    <w:rsid w:val="006B7983"/>
    <w:rsid w:val="006C00D7"/>
    <w:rsid w:val="006C0BD8"/>
    <w:rsid w:val="006C0EFD"/>
    <w:rsid w:val="006C1A98"/>
    <w:rsid w:val="006C1B2A"/>
    <w:rsid w:val="006C2A18"/>
    <w:rsid w:val="006C6226"/>
    <w:rsid w:val="006C70B9"/>
    <w:rsid w:val="006C7458"/>
    <w:rsid w:val="006D3629"/>
    <w:rsid w:val="006D4606"/>
    <w:rsid w:val="006D4CA9"/>
    <w:rsid w:val="006D7649"/>
    <w:rsid w:val="006E0060"/>
    <w:rsid w:val="006E0611"/>
    <w:rsid w:val="006E06E5"/>
    <w:rsid w:val="006E091C"/>
    <w:rsid w:val="006E166A"/>
    <w:rsid w:val="006E259C"/>
    <w:rsid w:val="006E7DED"/>
    <w:rsid w:val="006F1406"/>
    <w:rsid w:val="006F1428"/>
    <w:rsid w:val="006F1E15"/>
    <w:rsid w:val="006F21E5"/>
    <w:rsid w:val="006F33A0"/>
    <w:rsid w:val="006F6092"/>
    <w:rsid w:val="007008E6"/>
    <w:rsid w:val="00700FF2"/>
    <w:rsid w:val="00701157"/>
    <w:rsid w:val="0070128F"/>
    <w:rsid w:val="00702329"/>
    <w:rsid w:val="007024B8"/>
    <w:rsid w:val="00703610"/>
    <w:rsid w:val="0070499B"/>
    <w:rsid w:val="00706BE4"/>
    <w:rsid w:val="00707FE5"/>
    <w:rsid w:val="00711D00"/>
    <w:rsid w:val="007151B9"/>
    <w:rsid w:val="00715814"/>
    <w:rsid w:val="00717C9E"/>
    <w:rsid w:val="007209F7"/>
    <w:rsid w:val="00720A4E"/>
    <w:rsid w:val="00720BA8"/>
    <w:rsid w:val="00720BF7"/>
    <w:rsid w:val="00721C2F"/>
    <w:rsid w:val="00724B46"/>
    <w:rsid w:val="00725DD0"/>
    <w:rsid w:val="007265A6"/>
    <w:rsid w:val="00731B34"/>
    <w:rsid w:val="0073214D"/>
    <w:rsid w:val="0073235F"/>
    <w:rsid w:val="0073355D"/>
    <w:rsid w:val="00737023"/>
    <w:rsid w:val="007376E1"/>
    <w:rsid w:val="00740594"/>
    <w:rsid w:val="00742FDF"/>
    <w:rsid w:val="0074344A"/>
    <w:rsid w:val="0074521C"/>
    <w:rsid w:val="007505C6"/>
    <w:rsid w:val="0075160F"/>
    <w:rsid w:val="00751800"/>
    <w:rsid w:val="00751953"/>
    <w:rsid w:val="00751D02"/>
    <w:rsid w:val="00754B45"/>
    <w:rsid w:val="007566F1"/>
    <w:rsid w:val="00760DD1"/>
    <w:rsid w:val="00761425"/>
    <w:rsid w:val="0076567F"/>
    <w:rsid w:val="007705F8"/>
    <w:rsid w:val="0077161C"/>
    <w:rsid w:val="00773623"/>
    <w:rsid w:val="00774B74"/>
    <w:rsid w:val="00775DDC"/>
    <w:rsid w:val="007760BF"/>
    <w:rsid w:val="00776300"/>
    <w:rsid w:val="00776A4F"/>
    <w:rsid w:val="007774C2"/>
    <w:rsid w:val="007800A6"/>
    <w:rsid w:val="007800DD"/>
    <w:rsid w:val="007802D0"/>
    <w:rsid w:val="00782C61"/>
    <w:rsid w:val="0078552A"/>
    <w:rsid w:val="0078634E"/>
    <w:rsid w:val="00786D33"/>
    <w:rsid w:val="007945BD"/>
    <w:rsid w:val="00796504"/>
    <w:rsid w:val="007A0C9E"/>
    <w:rsid w:val="007A33A7"/>
    <w:rsid w:val="007A39E9"/>
    <w:rsid w:val="007A63AC"/>
    <w:rsid w:val="007B5CBB"/>
    <w:rsid w:val="007C06B3"/>
    <w:rsid w:val="007C06F6"/>
    <w:rsid w:val="007C0ABF"/>
    <w:rsid w:val="007C621C"/>
    <w:rsid w:val="007C7CA1"/>
    <w:rsid w:val="007D0889"/>
    <w:rsid w:val="007D2920"/>
    <w:rsid w:val="007D2EE4"/>
    <w:rsid w:val="007D5008"/>
    <w:rsid w:val="007D6B42"/>
    <w:rsid w:val="007D77DF"/>
    <w:rsid w:val="007E0A64"/>
    <w:rsid w:val="007E12CE"/>
    <w:rsid w:val="007E23A1"/>
    <w:rsid w:val="007E2D1E"/>
    <w:rsid w:val="007E335B"/>
    <w:rsid w:val="007E357E"/>
    <w:rsid w:val="007E4150"/>
    <w:rsid w:val="007E5949"/>
    <w:rsid w:val="007E6918"/>
    <w:rsid w:val="007E6B68"/>
    <w:rsid w:val="007E71DA"/>
    <w:rsid w:val="007E7215"/>
    <w:rsid w:val="007F1418"/>
    <w:rsid w:val="007F318C"/>
    <w:rsid w:val="007F4641"/>
    <w:rsid w:val="007F78EF"/>
    <w:rsid w:val="007F7C24"/>
    <w:rsid w:val="00802B31"/>
    <w:rsid w:val="00804FAC"/>
    <w:rsid w:val="00806080"/>
    <w:rsid w:val="00807C4D"/>
    <w:rsid w:val="008106DB"/>
    <w:rsid w:val="00810A07"/>
    <w:rsid w:val="00811678"/>
    <w:rsid w:val="00812A82"/>
    <w:rsid w:val="00815D43"/>
    <w:rsid w:val="008204F3"/>
    <w:rsid w:val="008212D9"/>
    <w:rsid w:val="00823122"/>
    <w:rsid w:val="00824AC5"/>
    <w:rsid w:val="0082786A"/>
    <w:rsid w:val="008305F0"/>
    <w:rsid w:val="0083284A"/>
    <w:rsid w:val="00833470"/>
    <w:rsid w:val="00834030"/>
    <w:rsid w:val="00837444"/>
    <w:rsid w:val="008404A1"/>
    <w:rsid w:val="0084402E"/>
    <w:rsid w:val="00845247"/>
    <w:rsid w:val="0085572F"/>
    <w:rsid w:val="00860ABA"/>
    <w:rsid w:val="00860E74"/>
    <w:rsid w:val="008615F7"/>
    <w:rsid w:val="00864295"/>
    <w:rsid w:val="00864F9F"/>
    <w:rsid w:val="00866A8B"/>
    <w:rsid w:val="00866BB3"/>
    <w:rsid w:val="00866D2C"/>
    <w:rsid w:val="008676F7"/>
    <w:rsid w:val="00867CF7"/>
    <w:rsid w:val="00870C6F"/>
    <w:rsid w:val="00870D9D"/>
    <w:rsid w:val="00875317"/>
    <w:rsid w:val="008767FD"/>
    <w:rsid w:val="00877F5D"/>
    <w:rsid w:val="008807D7"/>
    <w:rsid w:val="00883737"/>
    <w:rsid w:val="0088529F"/>
    <w:rsid w:val="00885B57"/>
    <w:rsid w:val="0088745B"/>
    <w:rsid w:val="00887981"/>
    <w:rsid w:val="00890635"/>
    <w:rsid w:val="00890E3E"/>
    <w:rsid w:val="0089335A"/>
    <w:rsid w:val="00894990"/>
    <w:rsid w:val="00896858"/>
    <w:rsid w:val="008A07C3"/>
    <w:rsid w:val="008A5E41"/>
    <w:rsid w:val="008A720F"/>
    <w:rsid w:val="008B0E24"/>
    <w:rsid w:val="008B2F57"/>
    <w:rsid w:val="008B3A80"/>
    <w:rsid w:val="008B3DB4"/>
    <w:rsid w:val="008B6238"/>
    <w:rsid w:val="008C0B4B"/>
    <w:rsid w:val="008C1CC4"/>
    <w:rsid w:val="008C1DE3"/>
    <w:rsid w:val="008C4DA0"/>
    <w:rsid w:val="008C615A"/>
    <w:rsid w:val="008D392F"/>
    <w:rsid w:val="008D403C"/>
    <w:rsid w:val="008D7E8F"/>
    <w:rsid w:val="008E00AE"/>
    <w:rsid w:val="008E0301"/>
    <w:rsid w:val="008E4895"/>
    <w:rsid w:val="008E4F8D"/>
    <w:rsid w:val="008E540D"/>
    <w:rsid w:val="008F403C"/>
    <w:rsid w:val="008F410E"/>
    <w:rsid w:val="008F739B"/>
    <w:rsid w:val="008F7C8E"/>
    <w:rsid w:val="0090009E"/>
    <w:rsid w:val="00900E42"/>
    <w:rsid w:val="00902034"/>
    <w:rsid w:val="009031BE"/>
    <w:rsid w:val="00904570"/>
    <w:rsid w:val="00905959"/>
    <w:rsid w:val="009132E1"/>
    <w:rsid w:val="00913537"/>
    <w:rsid w:val="0091381D"/>
    <w:rsid w:val="00913F32"/>
    <w:rsid w:val="00920517"/>
    <w:rsid w:val="0092133A"/>
    <w:rsid w:val="00923633"/>
    <w:rsid w:val="00925797"/>
    <w:rsid w:val="009259B3"/>
    <w:rsid w:val="00926B3B"/>
    <w:rsid w:val="00926E78"/>
    <w:rsid w:val="00930E79"/>
    <w:rsid w:val="009345C8"/>
    <w:rsid w:val="009346B6"/>
    <w:rsid w:val="00934EF2"/>
    <w:rsid w:val="00935E24"/>
    <w:rsid w:val="00936671"/>
    <w:rsid w:val="00936DB8"/>
    <w:rsid w:val="0093760B"/>
    <w:rsid w:val="00937B64"/>
    <w:rsid w:val="00937D40"/>
    <w:rsid w:val="00942599"/>
    <w:rsid w:val="00943034"/>
    <w:rsid w:val="00943833"/>
    <w:rsid w:val="00946477"/>
    <w:rsid w:val="009502BF"/>
    <w:rsid w:val="00951E8E"/>
    <w:rsid w:val="0095401B"/>
    <w:rsid w:val="00954474"/>
    <w:rsid w:val="00955968"/>
    <w:rsid w:val="00957ABA"/>
    <w:rsid w:val="0096060D"/>
    <w:rsid w:val="00962C61"/>
    <w:rsid w:val="00964514"/>
    <w:rsid w:val="00965D08"/>
    <w:rsid w:val="00967168"/>
    <w:rsid w:val="00972059"/>
    <w:rsid w:val="00972F91"/>
    <w:rsid w:val="00973508"/>
    <w:rsid w:val="009736BF"/>
    <w:rsid w:val="00980D57"/>
    <w:rsid w:val="00984B33"/>
    <w:rsid w:val="00986B33"/>
    <w:rsid w:val="00987AD5"/>
    <w:rsid w:val="00994341"/>
    <w:rsid w:val="00994710"/>
    <w:rsid w:val="009949D8"/>
    <w:rsid w:val="00996683"/>
    <w:rsid w:val="00997726"/>
    <w:rsid w:val="00997A66"/>
    <w:rsid w:val="00997F2F"/>
    <w:rsid w:val="009A216D"/>
    <w:rsid w:val="009A2248"/>
    <w:rsid w:val="009A2E9E"/>
    <w:rsid w:val="009A406F"/>
    <w:rsid w:val="009A46B0"/>
    <w:rsid w:val="009A48AF"/>
    <w:rsid w:val="009A6ECE"/>
    <w:rsid w:val="009B04EE"/>
    <w:rsid w:val="009B1852"/>
    <w:rsid w:val="009B36FE"/>
    <w:rsid w:val="009B7138"/>
    <w:rsid w:val="009B75CC"/>
    <w:rsid w:val="009C0945"/>
    <w:rsid w:val="009C4053"/>
    <w:rsid w:val="009C5321"/>
    <w:rsid w:val="009C6D5D"/>
    <w:rsid w:val="009D0274"/>
    <w:rsid w:val="009D757A"/>
    <w:rsid w:val="009E1B23"/>
    <w:rsid w:val="009E2869"/>
    <w:rsid w:val="009E2A2A"/>
    <w:rsid w:val="009F0C3C"/>
    <w:rsid w:val="009F16C3"/>
    <w:rsid w:val="009F36D7"/>
    <w:rsid w:val="009F64E6"/>
    <w:rsid w:val="00A01206"/>
    <w:rsid w:val="00A0208C"/>
    <w:rsid w:val="00A025AB"/>
    <w:rsid w:val="00A05108"/>
    <w:rsid w:val="00A058C4"/>
    <w:rsid w:val="00A06262"/>
    <w:rsid w:val="00A0743A"/>
    <w:rsid w:val="00A10F33"/>
    <w:rsid w:val="00A233A1"/>
    <w:rsid w:val="00A23711"/>
    <w:rsid w:val="00A23821"/>
    <w:rsid w:val="00A24FE9"/>
    <w:rsid w:val="00A25043"/>
    <w:rsid w:val="00A251BB"/>
    <w:rsid w:val="00A256AD"/>
    <w:rsid w:val="00A3170D"/>
    <w:rsid w:val="00A31F84"/>
    <w:rsid w:val="00A33452"/>
    <w:rsid w:val="00A33DBB"/>
    <w:rsid w:val="00A35297"/>
    <w:rsid w:val="00A36A37"/>
    <w:rsid w:val="00A411E0"/>
    <w:rsid w:val="00A413BC"/>
    <w:rsid w:val="00A4203C"/>
    <w:rsid w:val="00A4372D"/>
    <w:rsid w:val="00A44063"/>
    <w:rsid w:val="00A462BA"/>
    <w:rsid w:val="00A463E5"/>
    <w:rsid w:val="00A50719"/>
    <w:rsid w:val="00A515E5"/>
    <w:rsid w:val="00A57F4F"/>
    <w:rsid w:val="00A61577"/>
    <w:rsid w:val="00A6162A"/>
    <w:rsid w:val="00A61B01"/>
    <w:rsid w:val="00A657B1"/>
    <w:rsid w:val="00A72B97"/>
    <w:rsid w:val="00A73327"/>
    <w:rsid w:val="00A73A98"/>
    <w:rsid w:val="00A76482"/>
    <w:rsid w:val="00A77282"/>
    <w:rsid w:val="00A77434"/>
    <w:rsid w:val="00A811D7"/>
    <w:rsid w:val="00A81531"/>
    <w:rsid w:val="00A85338"/>
    <w:rsid w:val="00A92D83"/>
    <w:rsid w:val="00A92DFD"/>
    <w:rsid w:val="00A94D56"/>
    <w:rsid w:val="00A97211"/>
    <w:rsid w:val="00AA0016"/>
    <w:rsid w:val="00AA1C10"/>
    <w:rsid w:val="00AA3996"/>
    <w:rsid w:val="00AA561C"/>
    <w:rsid w:val="00AA68A4"/>
    <w:rsid w:val="00AB0D79"/>
    <w:rsid w:val="00AB1A72"/>
    <w:rsid w:val="00AB4A92"/>
    <w:rsid w:val="00AC1300"/>
    <w:rsid w:val="00AC1CFC"/>
    <w:rsid w:val="00AC2B76"/>
    <w:rsid w:val="00AC4214"/>
    <w:rsid w:val="00AC4262"/>
    <w:rsid w:val="00AC4F90"/>
    <w:rsid w:val="00AC57F4"/>
    <w:rsid w:val="00AD0E94"/>
    <w:rsid w:val="00AD2DEF"/>
    <w:rsid w:val="00AD42BB"/>
    <w:rsid w:val="00AD471E"/>
    <w:rsid w:val="00AD75E5"/>
    <w:rsid w:val="00AE0089"/>
    <w:rsid w:val="00AE3DED"/>
    <w:rsid w:val="00AE5049"/>
    <w:rsid w:val="00AF1E51"/>
    <w:rsid w:val="00AF33D5"/>
    <w:rsid w:val="00AF37FF"/>
    <w:rsid w:val="00AF3D0D"/>
    <w:rsid w:val="00B007ED"/>
    <w:rsid w:val="00B014D9"/>
    <w:rsid w:val="00B01DF8"/>
    <w:rsid w:val="00B02F91"/>
    <w:rsid w:val="00B072DF"/>
    <w:rsid w:val="00B078F3"/>
    <w:rsid w:val="00B10854"/>
    <w:rsid w:val="00B1281A"/>
    <w:rsid w:val="00B12B57"/>
    <w:rsid w:val="00B155EF"/>
    <w:rsid w:val="00B16E91"/>
    <w:rsid w:val="00B17819"/>
    <w:rsid w:val="00B2219E"/>
    <w:rsid w:val="00B228E5"/>
    <w:rsid w:val="00B2344E"/>
    <w:rsid w:val="00B26FDB"/>
    <w:rsid w:val="00B27DD2"/>
    <w:rsid w:val="00B315E9"/>
    <w:rsid w:val="00B3332A"/>
    <w:rsid w:val="00B34A13"/>
    <w:rsid w:val="00B3795C"/>
    <w:rsid w:val="00B42332"/>
    <w:rsid w:val="00B43027"/>
    <w:rsid w:val="00B43EBA"/>
    <w:rsid w:val="00B449BE"/>
    <w:rsid w:val="00B46D8A"/>
    <w:rsid w:val="00B53615"/>
    <w:rsid w:val="00B6053F"/>
    <w:rsid w:val="00B62385"/>
    <w:rsid w:val="00B648B2"/>
    <w:rsid w:val="00B65350"/>
    <w:rsid w:val="00B659F1"/>
    <w:rsid w:val="00B66584"/>
    <w:rsid w:val="00B70B75"/>
    <w:rsid w:val="00B713BB"/>
    <w:rsid w:val="00B716D8"/>
    <w:rsid w:val="00B71E28"/>
    <w:rsid w:val="00B75421"/>
    <w:rsid w:val="00B80316"/>
    <w:rsid w:val="00B852DC"/>
    <w:rsid w:val="00B916DF"/>
    <w:rsid w:val="00B91C72"/>
    <w:rsid w:val="00B938D9"/>
    <w:rsid w:val="00B9417C"/>
    <w:rsid w:val="00B941CA"/>
    <w:rsid w:val="00B94775"/>
    <w:rsid w:val="00B95017"/>
    <w:rsid w:val="00B962AE"/>
    <w:rsid w:val="00B96FAE"/>
    <w:rsid w:val="00BA0975"/>
    <w:rsid w:val="00BA1D95"/>
    <w:rsid w:val="00BA263E"/>
    <w:rsid w:val="00BA3118"/>
    <w:rsid w:val="00BA5598"/>
    <w:rsid w:val="00BA5F01"/>
    <w:rsid w:val="00BA7596"/>
    <w:rsid w:val="00BB1590"/>
    <w:rsid w:val="00BB25C1"/>
    <w:rsid w:val="00BB364D"/>
    <w:rsid w:val="00BB3CCD"/>
    <w:rsid w:val="00BB4488"/>
    <w:rsid w:val="00BB512E"/>
    <w:rsid w:val="00BB5999"/>
    <w:rsid w:val="00BB5EBE"/>
    <w:rsid w:val="00BB63BD"/>
    <w:rsid w:val="00BC033A"/>
    <w:rsid w:val="00BC0E23"/>
    <w:rsid w:val="00BC1E57"/>
    <w:rsid w:val="00BC2354"/>
    <w:rsid w:val="00BC28E0"/>
    <w:rsid w:val="00BC7CD6"/>
    <w:rsid w:val="00BD0146"/>
    <w:rsid w:val="00BD09BA"/>
    <w:rsid w:val="00BD226D"/>
    <w:rsid w:val="00BD26DD"/>
    <w:rsid w:val="00BD42B5"/>
    <w:rsid w:val="00BD57AE"/>
    <w:rsid w:val="00BD58E1"/>
    <w:rsid w:val="00BD6469"/>
    <w:rsid w:val="00BD678A"/>
    <w:rsid w:val="00BD701B"/>
    <w:rsid w:val="00BD7E0C"/>
    <w:rsid w:val="00BE05E5"/>
    <w:rsid w:val="00BE06B0"/>
    <w:rsid w:val="00BE246D"/>
    <w:rsid w:val="00BE5867"/>
    <w:rsid w:val="00BE76FE"/>
    <w:rsid w:val="00BF0B1E"/>
    <w:rsid w:val="00BF17AA"/>
    <w:rsid w:val="00BF2C44"/>
    <w:rsid w:val="00BF446C"/>
    <w:rsid w:val="00BF5824"/>
    <w:rsid w:val="00BF5D0F"/>
    <w:rsid w:val="00C02181"/>
    <w:rsid w:val="00C0263A"/>
    <w:rsid w:val="00C02B34"/>
    <w:rsid w:val="00C041EC"/>
    <w:rsid w:val="00C04245"/>
    <w:rsid w:val="00C04AF9"/>
    <w:rsid w:val="00C04B7B"/>
    <w:rsid w:val="00C0587F"/>
    <w:rsid w:val="00C06187"/>
    <w:rsid w:val="00C06A42"/>
    <w:rsid w:val="00C10F96"/>
    <w:rsid w:val="00C20723"/>
    <w:rsid w:val="00C2174C"/>
    <w:rsid w:val="00C220FA"/>
    <w:rsid w:val="00C227BE"/>
    <w:rsid w:val="00C2349B"/>
    <w:rsid w:val="00C23D2D"/>
    <w:rsid w:val="00C24556"/>
    <w:rsid w:val="00C2477A"/>
    <w:rsid w:val="00C276D7"/>
    <w:rsid w:val="00C27994"/>
    <w:rsid w:val="00C279EB"/>
    <w:rsid w:val="00C27F0F"/>
    <w:rsid w:val="00C30288"/>
    <w:rsid w:val="00C30643"/>
    <w:rsid w:val="00C33ACA"/>
    <w:rsid w:val="00C33DC9"/>
    <w:rsid w:val="00C36D11"/>
    <w:rsid w:val="00C408D2"/>
    <w:rsid w:val="00C433D9"/>
    <w:rsid w:val="00C43933"/>
    <w:rsid w:val="00C448D6"/>
    <w:rsid w:val="00C46074"/>
    <w:rsid w:val="00C47B96"/>
    <w:rsid w:val="00C47E8E"/>
    <w:rsid w:val="00C47F85"/>
    <w:rsid w:val="00C50A2B"/>
    <w:rsid w:val="00C50FF1"/>
    <w:rsid w:val="00C51B6B"/>
    <w:rsid w:val="00C523F1"/>
    <w:rsid w:val="00C53E3A"/>
    <w:rsid w:val="00C62AB8"/>
    <w:rsid w:val="00C67387"/>
    <w:rsid w:val="00C67680"/>
    <w:rsid w:val="00C7409C"/>
    <w:rsid w:val="00C74BEA"/>
    <w:rsid w:val="00C74F46"/>
    <w:rsid w:val="00C7519A"/>
    <w:rsid w:val="00C757C9"/>
    <w:rsid w:val="00C760F4"/>
    <w:rsid w:val="00C81546"/>
    <w:rsid w:val="00C81789"/>
    <w:rsid w:val="00C8420A"/>
    <w:rsid w:val="00C84DE3"/>
    <w:rsid w:val="00C850DA"/>
    <w:rsid w:val="00C8711F"/>
    <w:rsid w:val="00C906D9"/>
    <w:rsid w:val="00C9215D"/>
    <w:rsid w:val="00C93DA0"/>
    <w:rsid w:val="00C949E9"/>
    <w:rsid w:val="00C95AFB"/>
    <w:rsid w:val="00C975E7"/>
    <w:rsid w:val="00CA160C"/>
    <w:rsid w:val="00CA2C58"/>
    <w:rsid w:val="00CA3814"/>
    <w:rsid w:val="00CA72CE"/>
    <w:rsid w:val="00CA7C81"/>
    <w:rsid w:val="00CB2E37"/>
    <w:rsid w:val="00CB3790"/>
    <w:rsid w:val="00CB3BFC"/>
    <w:rsid w:val="00CB69F0"/>
    <w:rsid w:val="00CC1404"/>
    <w:rsid w:val="00CC19E0"/>
    <w:rsid w:val="00CC2044"/>
    <w:rsid w:val="00CC3A37"/>
    <w:rsid w:val="00CC4F35"/>
    <w:rsid w:val="00CC52B8"/>
    <w:rsid w:val="00CC5BFB"/>
    <w:rsid w:val="00CC67BE"/>
    <w:rsid w:val="00CD076D"/>
    <w:rsid w:val="00CD0993"/>
    <w:rsid w:val="00CD181A"/>
    <w:rsid w:val="00CD1914"/>
    <w:rsid w:val="00CD4AD4"/>
    <w:rsid w:val="00CD79E9"/>
    <w:rsid w:val="00CE0207"/>
    <w:rsid w:val="00CE2ACA"/>
    <w:rsid w:val="00CE39C7"/>
    <w:rsid w:val="00CE41A1"/>
    <w:rsid w:val="00CE773C"/>
    <w:rsid w:val="00CF05B3"/>
    <w:rsid w:val="00CF584F"/>
    <w:rsid w:val="00CF58A8"/>
    <w:rsid w:val="00CF76A5"/>
    <w:rsid w:val="00D01FC8"/>
    <w:rsid w:val="00D03338"/>
    <w:rsid w:val="00D046DE"/>
    <w:rsid w:val="00D04858"/>
    <w:rsid w:val="00D0523C"/>
    <w:rsid w:val="00D06233"/>
    <w:rsid w:val="00D138BA"/>
    <w:rsid w:val="00D14DBE"/>
    <w:rsid w:val="00D153EE"/>
    <w:rsid w:val="00D1674B"/>
    <w:rsid w:val="00D22298"/>
    <w:rsid w:val="00D23153"/>
    <w:rsid w:val="00D2324E"/>
    <w:rsid w:val="00D23A8D"/>
    <w:rsid w:val="00D24830"/>
    <w:rsid w:val="00D24A86"/>
    <w:rsid w:val="00D24C0F"/>
    <w:rsid w:val="00D26C27"/>
    <w:rsid w:val="00D277D2"/>
    <w:rsid w:val="00D27DA7"/>
    <w:rsid w:val="00D30B66"/>
    <w:rsid w:val="00D3182D"/>
    <w:rsid w:val="00D33184"/>
    <w:rsid w:val="00D333CD"/>
    <w:rsid w:val="00D37813"/>
    <w:rsid w:val="00D4088A"/>
    <w:rsid w:val="00D415A0"/>
    <w:rsid w:val="00D41762"/>
    <w:rsid w:val="00D43B9A"/>
    <w:rsid w:val="00D45F88"/>
    <w:rsid w:val="00D54FCC"/>
    <w:rsid w:val="00D55131"/>
    <w:rsid w:val="00D55736"/>
    <w:rsid w:val="00D57946"/>
    <w:rsid w:val="00D623B0"/>
    <w:rsid w:val="00D62613"/>
    <w:rsid w:val="00D63741"/>
    <w:rsid w:val="00D63BC9"/>
    <w:rsid w:val="00D65BB4"/>
    <w:rsid w:val="00D67B36"/>
    <w:rsid w:val="00D72BBE"/>
    <w:rsid w:val="00D736E9"/>
    <w:rsid w:val="00D74288"/>
    <w:rsid w:val="00D744ED"/>
    <w:rsid w:val="00D74898"/>
    <w:rsid w:val="00D758EA"/>
    <w:rsid w:val="00D8040C"/>
    <w:rsid w:val="00D8253B"/>
    <w:rsid w:val="00D85620"/>
    <w:rsid w:val="00D86EAD"/>
    <w:rsid w:val="00D87D32"/>
    <w:rsid w:val="00D92D16"/>
    <w:rsid w:val="00D9400C"/>
    <w:rsid w:val="00D9412A"/>
    <w:rsid w:val="00D94190"/>
    <w:rsid w:val="00D944AE"/>
    <w:rsid w:val="00D94FB3"/>
    <w:rsid w:val="00D954E3"/>
    <w:rsid w:val="00D9615F"/>
    <w:rsid w:val="00D9634E"/>
    <w:rsid w:val="00D974C7"/>
    <w:rsid w:val="00DA0103"/>
    <w:rsid w:val="00DA13CC"/>
    <w:rsid w:val="00DA4CDD"/>
    <w:rsid w:val="00DA6709"/>
    <w:rsid w:val="00DA71E6"/>
    <w:rsid w:val="00DB1D32"/>
    <w:rsid w:val="00DB3CEE"/>
    <w:rsid w:val="00DB63E3"/>
    <w:rsid w:val="00DB7D6E"/>
    <w:rsid w:val="00DC2F1A"/>
    <w:rsid w:val="00DC4197"/>
    <w:rsid w:val="00DC7DAD"/>
    <w:rsid w:val="00DD10D9"/>
    <w:rsid w:val="00DD44DC"/>
    <w:rsid w:val="00DD493E"/>
    <w:rsid w:val="00DD53CE"/>
    <w:rsid w:val="00DE0484"/>
    <w:rsid w:val="00DE2B5D"/>
    <w:rsid w:val="00DE56A5"/>
    <w:rsid w:val="00DE6CC2"/>
    <w:rsid w:val="00DF4D88"/>
    <w:rsid w:val="00DF57BC"/>
    <w:rsid w:val="00DF58E4"/>
    <w:rsid w:val="00E02437"/>
    <w:rsid w:val="00E03F6E"/>
    <w:rsid w:val="00E045C5"/>
    <w:rsid w:val="00E055E3"/>
    <w:rsid w:val="00E05B06"/>
    <w:rsid w:val="00E05F7E"/>
    <w:rsid w:val="00E07A44"/>
    <w:rsid w:val="00E07FA8"/>
    <w:rsid w:val="00E13919"/>
    <w:rsid w:val="00E13D80"/>
    <w:rsid w:val="00E144AD"/>
    <w:rsid w:val="00E1580F"/>
    <w:rsid w:val="00E162D1"/>
    <w:rsid w:val="00E16780"/>
    <w:rsid w:val="00E174C3"/>
    <w:rsid w:val="00E17786"/>
    <w:rsid w:val="00E21FFE"/>
    <w:rsid w:val="00E23F09"/>
    <w:rsid w:val="00E2489C"/>
    <w:rsid w:val="00E26061"/>
    <w:rsid w:val="00E26D15"/>
    <w:rsid w:val="00E27AC3"/>
    <w:rsid w:val="00E321BE"/>
    <w:rsid w:val="00E34A45"/>
    <w:rsid w:val="00E3548D"/>
    <w:rsid w:val="00E40C82"/>
    <w:rsid w:val="00E44093"/>
    <w:rsid w:val="00E44975"/>
    <w:rsid w:val="00E4773A"/>
    <w:rsid w:val="00E50430"/>
    <w:rsid w:val="00E54371"/>
    <w:rsid w:val="00E55A28"/>
    <w:rsid w:val="00E55B35"/>
    <w:rsid w:val="00E5667E"/>
    <w:rsid w:val="00E56CD7"/>
    <w:rsid w:val="00E6017C"/>
    <w:rsid w:val="00E61843"/>
    <w:rsid w:val="00E618E9"/>
    <w:rsid w:val="00E655CB"/>
    <w:rsid w:val="00E65F0A"/>
    <w:rsid w:val="00E671D2"/>
    <w:rsid w:val="00E70EBA"/>
    <w:rsid w:val="00E71F21"/>
    <w:rsid w:val="00E721A5"/>
    <w:rsid w:val="00E73070"/>
    <w:rsid w:val="00E74B0D"/>
    <w:rsid w:val="00E75DA8"/>
    <w:rsid w:val="00E7733F"/>
    <w:rsid w:val="00E81A34"/>
    <w:rsid w:val="00E83652"/>
    <w:rsid w:val="00E84B62"/>
    <w:rsid w:val="00E852AA"/>
    <w:rsid w:val="00E87653"/>
    <w:rsid w:val="00E876A8"/>
    <w:rsid w:val="00E93194"/>
    <w:rsid w:val="00EA3705"/>
    <w:rsid w:val="00EA3FAF"/>
    <w:rsid w:val="00EA4F95"/>
    <w:rsid w:val="00EA63C1"/>
    <w:rsid w:val="00EB0779"/>
    <w:rsid w:val="00EB0FA1"/>
    <w:rsid w:val="00EB1327"/>
    <w:rsid w:val="00EB30AA"/>
    <w:rsid w:val="00EB615D"/>
    <w:rsid w:val="00EB76B7"/>
    <w:rsid w:val="00EC0FB7"/>
    <w:rsid w:val="00EC1352"/>
    <w:rsid w:val="00EC33A0"/>
    <w:rsid w:val="00EC4075"/>
    <w:rsid w:val="00EC5BB4"/>
    <w:rsid w:val="00EC68A1"/>
    <w:rsid w:val="00EC69A3"/>
    <w:rsid w:val="00EC6A9E"/>
    <w:rsid w:val="00EC7879"/>
    <w:rsid w:val="00ED094B"/>
    <w:rsid w:val="00ED0B6B"/>
    <w:rsid w:val="00ED1AE8"/>
    <w:rsid w:val="00ED257A"/>
    <w:rsid w:val="00ED3103"/>
    <w:rsid w:val="00ED414C"/>
    <w:rsid w:val="00ED5125"/>
    <w:rsid w:val="00ED5C09"/>
    <w:rsid w:val="00ED7056"/>
    <w:rsid w:val="00ED761E"/>
    <w:rsid w:val="00ED7EDA"/>
    <w:rsid w:val="00EE19E1"/>
    <w:rsid w:val="00EE2913"/>
    <w:rsid w:val="00EE40B7"/>
    <w:rsid w:val="00EE66B4"/>
    <w:rsid w:val="00EF1AFC"/>
    <w:rsid w:val="00EF5AB0"/>
    <w:rsid w:val="00EF64EC"/>
    <w:rsid w:val="00EF79F6"/>
    <w:rsid w:val="00F001BC"/>
    <w:rsid w:val="00F0030F"/>
    <w:rsid w:val="00F0130C"/>
    <w:rsid w:val="00F026AE"/>
    <w:rsid w:val="00F0591E"/>
    <w:rsid w:val="00F05B39"/>
    <w:rsid w:val="00F079EA"/>
    <w:rsid w:val="00F17183"/>
    <w:rsid w:val="00F20062"/>
    <w:rsid w:val="00F22388"/>
    <w:rsid w:val="00F2356B"/>
    <w:rsid w:val="00F24AB2"/>
    <w:rsid w:val="00F25556"/>
    <w:rsid w:val="00F26590"/>
    <w:rsid w:val="00F26E8D"/>
    <w:rsid w:val="00F33486"/>
    <w:rsid w:val="00F34E99"/>
    <w:rsid w:val="00F3768F"/>
    <w:rsid w:val="00F4489C"/>
    <w:rsid w:val="00F46A64"/>
    <w:rsid w:val="00F475AF"/>
    <w:rsid w:val="00F50095"/>
    <w:rsid w:val="00F5023A"/>
    <w:rsid w:val="00F51CAE"/>
    <w:rsid w:val="00F55944"/>
    <w:rsid w:val="00F57388"/>
    <w:rsid w:val="00F604AD"/>
    <w:rsid w:val="00F60D5A"/>
    <w:rsid w:val="00F64A70"/>
    <w:rsid w:val="00F660DF"/>
    <w:rsid w:val="00F67015"/>
    <w:rsid w:val="00F7021B"/>
    <w:rsid w:val="00F70E63"/>
    <w:rsid w:val="00F71080"/>
    <w:rsid w:val="00F72F0E"/>
    <w:rsid w:val="00F73D6F"/>
    <w:rsid w:val="00F73E56"/>
    <w:rsid w:val="00F7660E"/>
    <w:rsid w:val="00F771F3"/>
    <w:rsid w:val="00F77747"/>
    <w:rsid w:val="00F804D1"/>
    <w:rsid w:val="00F83619"/>
    <w:rsid w:val="00F849F8"/>
    <w:rsid w:val="00F86BEF"/>
    <w:rsid w:val="00F90E2E"/>
    <w:rsid w:val="00F936B3"/>
    <w:rsid w:val="00F95D96"/>
    <w:rsid w:val="00F96EB9"/>
    <w:rsid w:val="00F96F94"/>
    <w:rsid w:val="00F97253"/>
    <w:rsid w:val="00FA0332"/>
    <w:rsid w:val="00FA068B"/>
    <w:rsid w:val="00FA264A"/>
    <w:rsid w:val="00FA2C4E"/>
    <w:rsid w:val="00FA34C4"/>
    <w:rsid w:val="00FA411B"/>
    <w:rsid w:val="00FA627C"/>
    <w:rsid w:val="00FA7B0F"/>
    <w:rsid w:val="00FB0A49"/>
    <w:rsid w:val="00FB0D13"/>
    <w:rsid w:val="00FB0E37"/>
    <w:rsid w:val="00FB1146"/>
    <w:rsid w:val="00FB16FD"/>
    <w:rsid w:val="00FB18B3"/>
    <w:rsid w:val="00FB18BC"/>
    <w:rsid w:val="00FB3567"/>
    <w:rsid w:val="00FB3849"/>
    <w:rsid w:val="00FB5F55"/>
    <w:rsid w:val="00FB6553"/>
    <w:rsid w:val="00FB6ACC"/>
    <w:rsid w:val="00FC2CFD"/>
    <w:rsid w:val="00FC3517"/>
    <w:rsid w:val="00FC37CB"/>
    <w:rsid w:val="00FC38B5"/>
    <w:rsid w:val="00FC4FAC"/>
    <w:rsid w:val="00FC506D"/>
    <w:rsid w:val="00FC6A9E"/>
    <w:rsid w:val="00FD2919"/>
    <w:rsid w:val="00FD5F01"/>
    <w:rsid w:val="00FD6D06"/>
    <w:rsid w:val="00FE0482"/>
    <w:rsid w:val="00FE14A2"/>
    <w:rsid w:val="00FE5788"/>
    <w:rsid w:val="00FF3B3F"/>
    <w:rsid w:val="00FF5BDB"/>
    <w:rsid w:val="00FF6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713AAD1"/>
  <w15:docId w15:val="{9164C37A-1B6D-46B9-A0CC-E71DB339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5B3330"/>
    <w:pPr>
      <w:numPr>
        <w:numId w:val="1"/>
      </w:numPr>
    </w:pPr>
    <w:rPr>
      <w:rFonts w:eastAsia="Times New Roman"/>
      <w:lang w:eastAsia="en-GB"/>
    </w:rPr>
  </w:style>
  <w:style w:type="paragraph" w:styleId="ListNumber4">
    <w:name w:val="List Number 4"/>
    <w:basedOn w:val="Normal"/>
    <w:rsid w:val="005B3330"/>
    <w:pPr>
      <w:numPr>
        <w:numId w:val="2"/>
      </w:numPr>
    </w:pPr>
    <w:rPr>
      <w:rFonts w:eastAsia="Times New Roman"/>
      <w:lang w:eastAsia="en-GB"/>
    </w:rPr>
  </w:style>
  <w:style w:type="character" w:styleId="Hyperlink">
    <w:name w:val="Hyperlink"/>
    <w:uiPriority w:val="99"/>
    <w:rsid w:val="005B3330"/>
    <w:rPr>
      <w:color w:val="0000FF"/>
      <w:u w:val="single"/>
      <w:shd w:val="clear" w:color="auto" w:fill="auto"/>
    </w:rPr>
  </w:style>
  <w:style w:type="paragraph" w:styleId="ListBullet">
    <w:name w:val="List Bullet"/>
    <w:basedOn w:val="Normal"/>
    <w:unhideWhenUsed/>
    <w:rsid w:val="001B6F72"/>
    <w:pPr>
      <w:numPr>
        <w:numId w:val="3"/>
      </w:numPr>
      <w:contextualSpacing/>
    </w:pPr>
  </w:style>
  <w:style w:type="paragraph" w:styleId="ListBullet2">
    <w:name w:val="List Bullet 2"/>
    <w:basedOn w:val="Normal"/>
    <w:unhideWhenUsed/>
    <w:rsid w:val="001B6F72"/>
    <w:pPr>
      <w:numPr>
        <w:numId w:val="4"/>
      </w:numPr>
      <w:contextualSpacing/>
    </w:pPr>
  </w:style>
  <w:style w:type="paragraph" w:styleId="ListBullet3">
    <w:name w:val="List Bullet 3"/>
    <w:basedOn w:val="Normal"/>
    <w:unhideWhenUsed/>
    <w:rsid w:val="001B6F72"/>
    <w:pPr>
      <w:numPr>
        <w:numId w:val="5"/>
      </w:numPr>
      <w:contextualSpacing/>
    </w:pPr>
  </w:style>
  <w:style w:type="paragraph" w:styleId="ListBullet4">
    <w:name w:val="List Bullet 4"/>
    <w:basedOn w:val="Normal"/>
    <w:unhideWhenUsed/>
    <w:rsid w:val="001B6F72"/>
    <w:pPr>
      <w:numPr>
        <w:numId w:val="6"/>
      </w:numPr>
      <w:contextualSpacing/>
    </w:pPr>
  </w:style>
  <w:style w:type="paragraph" w:styleId="ListParagraph">
    <w:name w:val="List Paragraph"/>
    <w:basedOn w:val="Normal"/>
    <w:link w:val="ListParagraphChar"/>
    <w:uiPriority w:val="1"/>
    <w:qFormat/>
    <w:rsid w:val="001B6F72"/>
    <w:pPr>
      <w:spacing w:before="0" w:after="200" w:line="276" w:lineRule="auto"/>
      <w:ind w:left="720"/>
      <w:contextualSpacing/>
      <w:jc w:val="left"/>
      <w:outlineLvl w:val="0"/>
    </w:pPr>
    <w:rPr>
      <w:szCs w:val="24"/>
    </w:rPr>
  </w:style>
  <w:style w:type="character" w:customStyle="1" w:styleId="ListParagraphChar">
    <w:name w:val="List Paragraph Char"/>
    <w:basedOn w:val="DefaultParagraphFont"/>
    <w:link w:val="ListParagraph"/>
    <w:uiPriority w:val="34"/>
    <w:rsid w:val="001B6F72"/>
    <w:rPr>
      <w:rFonts w:ascii="Times New Roman" w:hAnsi="Times New Roman" w:cs="Times New Roman"/>
      <w:sz w:val="24"/>
      <w:szCs w:val="24"/>
      <w:lang w:val="en-GB"/>
    </w:rPr>
  </w:style>
  <w:style w:type="paragraph" w:styleId="Caption">
    <w:name w:val="caption"/>
    <w:basedOn w:val="Normal"/>
    <w:next w:val="Normal"/>
    <w:unhideWhenUsed/>
    <w:qFormat/>
    <w:rsid w:val="00E4773A"/>
    <w:pPr>
      <w:spacing w:before="0" w:after="200"/>
    </w:pPr>
    <w:rPr>
      <w:i/>
      <w:iCs/>
      <w:color w:val="1F497D" w:themeColor="text2"/>
      <w:sz w:val="18"/>
      <w:szCs w:val="18"/>
    </w:rPr>
  </w:style>
  <w:style w:type="paragraph" w:styleId="TableofFigures">
    <w:name w:val="table of figures"/>
    <w:basedOn w:val="Normal"/>
    <w:next w:val="Normal"/>
    <w:unhideWhenUsed/>
    <w:rsid w:val="00E4773A"/>
    <w:pPr>
      <w:spacing w:after="0"/>
    </w:pPr>
  </w:style>
  <w:style w:type="paragraph" w:styleId="ListNumber2">
    <w:name w:val="List Number 2"/>
    <w:basedOn w:val="Normal"/>
    <w:unhideWhenUsed/>
    <w:rsid w:val="00E4773A"/>
    <w:pPr>
      <w:numPr>
        <w:numId w:val="9"/>
      </w:numPr>
      <w:contextualSpacing/>
    </w:pPr>
  </w:style>
  <w:style w:type="paragraph" w:styleId="ListNumber3">
    <w:name w:val="List Number 3"/>
    <w:basedOn w:val="Normal"/>
    <w:unhideWhenUsed/>
    <w:rsid w:val="00E4773A"/>
    <w:pPr>
      <w:numPr>
        <w:numId w:val="10"/>
      </w:numPr>
      <w:contextualSpacing/>
    </w:pPr>
  </w:style>
  <w:style w:type="character" w:styleId="CommentReference">
    <w:name w:val="annotation reference"/>
    <w:basedOn w:val="DefaultParagraphFont"/>
    <w:unhideWhenUsed/>
    <w:rsid w:val="004C3C5E"/>
    <w:rPr>
      <w:sz w:val="16"/>
      <w:szCs w:val="16"/>
    </w:rPr>
  </w:style>
  <w:style w:type="paragraph" w:styleId="CommentText">
    <w:name w:val="annotation text"/>
    <w:basedOn w:val="Normal"/>
    <w:link w:val="CommentTextChar"/>
    <w:unhideWhenUsed/>
    <w:rsid w:val="004C3C5E"/>
    <w:rPr>
      <w:sz w:val="20"/>
      <w:szCs w:val="20"/>
    </w:rPr>
  </w:style>
  <w:style w:type="character" w:customStyle="1" w:styleId="CommentTextChar">
    <w:name w:val="Comment Text Char"/>
    <w:basedOn w:val="DefaultParagraphFont"/>
    <w:link w:val="CommentText"/>
    <w:rsid w:val="004C3C5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4C3C5E"/>
    <w:rPr>
      <w:b/>
      <w:bCs/>
    </w:rPr>
  </w:style>
  <w:style w:type="character" w:customStyle="1" w:styleId="CommentSubjectChar">
    <w:name w:val="Comment Subject Char"/>
    <w:basedOn w:val="CommentTextChar"/>
    <w:link w:val="CommentSubject"/>
    <w:rsid w:val="004C3C5E"/>
    <w:rPr>
      <w:rFonts w:ascii="Times New Roman" w:hAnsi="Times New Roman" w:cs="Times New Roman"/>
      <w:b/>
      <w:bCs/>
      <w:sz w:val="20"/>
      <w:szCs w:val="20"/>
      <w:lang w:val="en-GB"/>
    </w:rPr>
  </w:style>
  <w:style w:type="paragraph" w:styleId="BalloonText">
    <w:name w:val="Balloon Text"/>
    <w:basedOn w:val="Normal"/>
    <w:link w:val="BalloonTextChar"/>
    <w:unhideWhenUsed/>
    <w:rsid w:val="004C3C5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4C3C5E"/>
    <w:rPr>
      <w:rFonts w:ascii="Segoe UI" w:hAnsi="Segoe UI" w:cs="Segoe UI"/>
      <w:sz w:val="18"/>
      <w:szCs w:val="18"/>
      <w:lang w:val="en-GB"/>
    </w:rPr>
  </w:style>
  <w:style w:type="table" w:styleId="TableGrid">
    <w:name w:val="Table Grid"/>
    <w:basedOn w:val="TableNormal"/>
    <w:uiPriority w:val="59"/>
    <w:rsid w:val="00A7743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774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77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F78EF"/>
    <w:pPr>
      <w:spacing w:after="0" w:line="240" w:lineRule="auto"/>
    </w:pPr>
    <w:rPr>
      <w:rFonts w:ascii="Times New Roman" w:hAnsi="Times New Roman" w:cs="Times New Roman"/>
      <w:sz w:val="24"/>
      <w:lang w:val="en-GB"/>
    </w:rPr>
  </w:style>
  <w:style w:type="character" w:customStyle="1" w:styleId="highlight">
    <w:name w:val="highlight"/>
    <w:basedOn w:val="DefaultParagraphFont"/>
    <w:rsid w:val="006C0EFD"/>
  </w:style>
  <w:style w:type="paragraph" w:customStyle="1" w:styleId="doc-ti">
    <w:name w:val="doc-ti"/>
    <w:basedOn w:val="Normal"/>
    <w:rsid w:val="00351C23"/>
    <w:pPr>
      <w:spacing w:before="100" w:beforeAutospacing="1" w:after="100" w:afterAutospacing="1"/>
      <w:jc w:val="left"/>
    </w:pPr>
    <w:rPr>
      <w:rFonts w:eastAsia="Times New Roman"/>
      <w:szCs w:val="24"/>
      <w:lang w:eastAsia="en-GB"/>
    </w:rPr>
  </w:style>
  <w:style w:type="paragraph" w:styleId="NormalWeb">
    <w:name w:val="Normal (Web)"/>
    <w:basedOn w:val="Normal"/>
    <w:uiPriority w:val="99"/>
    <w:semiHidden/>
    <w:unhideWhenUsed/>
    <w:rsid w:val="00115FC8"/>
    <w:pPr>
      <w:spacing w:before="100" w:beforeAutospacing="1" w:after="100" w:afterAutospacing="1"/>
      <w:jc w:val="left"/>
    </w:pPr>
    <w:rPr>
      <w:rFonts w:eastAsiaTheme="minorEastAsia"/>
      <w:szCs w:val="24"/>
      <w:lang w:val="en-US"/>
    </w:rPr>
  </w:style>
  <w:style w:type="character" w:styleId="FollowedHyperlink">
    <w:name w:val="FollowedHyperlink"/>
    <w:basedOn w:val="DefaultParagraphFont"/>
    <w:unhideWhenUsed/>
    <w:rsid w:val="00D24830"/>
    <w:rPr>
      <w:color w:val="800080" w:themeColor="followedHyperlink"/>
      <w:u w:val="single"/>
    </w:rPr>
  </w:style>
  <w:style w:type="paragraph" w:styleId="BodyText">
    <w:name w:val="Body Text"/>
    <w:basedOn w:val="Normal"/>
    <w:link w:val="BodyTextChar"/>
    <w:uiPriority w:val="1"/>
    <w:qFormat/>
    <w:rsid w:val="00EC6A9E"/>
    <w:pPr>
      <w:widowControl w:val="0"/>
      <w:autoSpaceDE w:val="0"/>
      <w:autoSpaceDN w:val="0"/>
      <w:spacing w:before="0" w:after="0"/>
      <w:jc w:val="left"/>
    </w:pPr>
    <w:rPr>
      <w:rFonts w:eastAsia="Times New Roman"/>
      <w:sz w:val="19"/>
      <w:szCs w:val="19"/>
      <w:lang w:val="en-US"/>
    </w:rPr>
  </w:style>
  <w:style w:type="character" w:customStyle="1" w:styleId="BodyTextChar">
    <w:name w:val="Body Text Char"/>
    <w:basedOn w:val="DefaultParagraphFont"/>
    <w:link w:val="BodyText"/>
    <w:uiPriority w:val="1"/>
    <w:rsid w:val="00EC6A9E"/>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FC3517"/>
    <w:pPr>
      <w:widowControl w:val="0"/>
      <w:autoSpaceDE w:val="0"/>
      <w:autoSpaceDN w:val="0"/>
      <w:spacing w:before="79" w:after="0"/>
      <w:ind w:left="84"/>
      <w:jc w:val="left"/>
    </w:pPr>
    <w:rPr>
      <w:rFonts w:eastAsia="Times New Roman"/>
      <w:sz w:val="22"/>
      <w:lang w:val="en-US"/>
    </w:rPr>
  </w:style>
  <w:style w:type="character" w:customStyle="1" w:styleId="UnresolvedMention1">
    <w:name w:val="Unresolved Mention1"/>
    <w:basedOn w:val="DefaultParagraphFont"/>
    <w:uiPriority w:val="99"/>
    <w:semiHidden/>
    <w:unhideWhenUsed/>
    <w:rsid w:val="003E25D2"/>
    <w:rPr>
      <w:color w:val="605E5C"/>
      <w:shd w:val="clear" w:color="auto" w:fill="E1DFDD"/>
    </w:rPr>
  </w:style>
  <w:style w:type="paragraph" w:customStyle="1" w:styleId="ListBullet1">
    <w:name w:val="List Bullet 1"/>
    <w:basedOn w:val="Normal"/>
    <w:rsid w:val="00F001BC"/>
    <w:pPr>
      <w:numPr>
        <w:numId w:val="14"/>
      </w:numPr>
    </w:pPr>
    <w:rPr>
      <w:lang w:eastAsia="en-GB"/>
    </w:rPr>
  </w:style>
  <w:style w:type="paragraph" w:customStyle="1" w:styleId="ListDash1">
    <w:name w:val="List Dash 1"/>
    <w:basedOn w:val="Normal"/>
    <w:rsid w:val="00F001BC"/>
    <w:pPr>
      <w:numPr>
        <w:numId w:val="15"/>
      </w:numPr>
    </w:pPr>
    <w:rPr>
      <w:lang w:eastAsia="en-GB"/>
    </w:rPr>
  </w:style>
  <w:style w:type="paragraph" w:customStyle="1" w:styleId="ListDash2">
    <w:name w:val="List Dash 2"/>
    <w:basedOn w:val="Normal"/>
    <w:rsid w:val="00F001BC"/>
    <w:pPr>
      <w:numPr>
        <w:numId w:val="16"/>
      </w:numPr>
    </w:pPr>
    <w:rPr>
      <w:lang w:eastAsia="en-GB"/>
    </w:rPr>
  </w:style>
  <w:style w:type="paragraph" w:customStyle="1" w:styleId="ListNumberLevel2">
    <w:name w:val="List Number (Level 2)"/>
    <w:basedOn w:val="Normal"/>
    <w:rsid w:val="00F001BC"/>
    <w:pPr>
      <w:tabs>
        <w:tab w:val="num" w:pos="1417"/>
      </w:tabs>
      <w:ind w:left="1417" w:hanging="708"/>
    </w:pPr>
    <w:rPr>
      <w:lang w:eastAsia="en-GB"/>
    </w:rPr>
  </w:style>
  <w:style w:type="paragraph" w:customStyle="1" w:styleId="ListNumberLevel3">
    <w:name w:val="List Number (Level 3)"/>
    <w:basedOn w:val="Normal"/>
    <w:rsid w:val="00F001BC"/>
    <w:pPr>
      <w:tabs>
        <w:tab w:val="num" w:pos="2126"/>
      </w:tabs>
      <w:ind w:left="2126" w:hanging="709"/>
    </w:pPr>
    <w:rPr>
      <w:lang w:eastAsia="en-GB"/>
    </w:rPr>
  </w:style>
  <w:style w:type="paragraph" w:customStyle="1" w:styleId="ListNumberLevel4">
    <w:name w:val="List Number (Level 4)"/>
    <w:basedOn w:val="Normal"/>
    <w:rsid w:val="00F001BC"/>
    <w:pPr>
      <w:tabs>
        <w:tab w:val="num" w:pos="2835"/>
      </w:tabs>
      <w:ind w:left="2835" w:hanging="709"/>
    </w:pPr>
    <w:rPr>
      <w:lang w:eastAsia="en-GB"/>
    </w:rPr>
  </w:style>
  <w:style w:type="paragraph" w:customStyle="1" w:styleId="Fichefinancirestandardtitre">
    <w:name w:val="Fiche financière (standard) titre"/>
    <w:basedOn w:val="Normal"/>
    <w:next w:val="Normal"/>
    <w:rsid w:val="00F001BC"/>
    <w:pPr>
      <w:jc w:val="center"/>
    </w:pPr>
    <w:rPr>
      <w:b/>
      <w:u w:val="single"/>
      <w:lang w:eastAsia="en-GB"/>
    </w:rPr>
  </w:style>
  <w:style w:type="paragraph" w:customStyle="1" w:styleId="Sous-titreobjet">
    <w:name w:val="Sous-titre objet"/>
    <w:basedOn w:val="Normal"/>
    <w:rsid w:val="00F001BC"/>
    <w:pPr>
      <w:spacing w:before="0" w:after="0"/>
      <w:jc w:val="center"/>
    </w:pPr>
    <w:rPr>
      <w:b/>
      <w:lang w:eastAsia="en-GB"/>
    </w:rPr>
  </w:style>
  <w:style w:type="paragraph" w:customStyle="1" w:styleId="Sous-titreobjetPagedecouverture">
    <w:name w:val="Sous-titre objet (Page de couverture)"/>
    <w:basedOn w:val="Sous-titreobjet"/>
    <w:rsid w:val="00F001BC"/>
  </w:style>
  <w:style w:type="paragraph" w:customStyle="1" w:styleId="FooterCoverPage">
    <w:name w:val="Footer Cover Page"/>
    <w:basedOn w:val="Normal"/>
    <w:link w:val="FooterCoverPageChar"/>
    <w:rsid w:val="00F001BC"/>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sid w:val="00F001BC"/>
    <w:rPr>
      <w:rFonts w:ascii="Times New Roman" w:hAnsi="Times New Roman" w:cs="Times New Roman"/>
      <w:b/>
      <w:sz w:val="28"/>
      <w:lang w:val="en-GB"/>
    </w:rPr>
  </w:style>
  <w:style w:type="character" w:customStyle="1" w:styleId="FooterCoverPageChar">
    <w:name w:val="Footer Cover Page Char"/>
    <w:basedOn w:val="TOCHeadingChar"/>
    <w:link w:val="FooterCoverPage"/>
    <w:rsid w:val="00F001BC"/>
    <w:rPr>
      <w:rFonts w:ascii="Times New Roman" w:hAnsi="Times New Roman" w:cs="Times New Roman"/>
      <w:b w:val="0"/>
      <w:sz w:val="24"/>
      <w:lang w:val="en-GB"/>
    </w:rPr>
  </w:style>
  <w:style w:type="paragraph" w:customStyle="1" w:styleId="HeaderCoverPage">
    <w:name w:val="Header Cover Page"/>
    <w:basedOn w:val="Normal"/>
    <w:link w:val="HeaderCoverPageChar"/>
    <w:rsid w:val="00F001BC"/>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sid w:val="00F001BC"/>
    <w:rPr>
      <w:rFonts w:ascii="Times New Roman" w:hAnsi="Times New Roman" w:cs="Times New Roman"/>
      <w:b w:val="0"/>
      <w:sz w:val="24"/>
      <w:lang w:val="en-GB" w:eastAsia="en-GB"/>
    </w:rPr>
  </w:style>
  <w:style w:type="character" w:customStyle="1" w:styleId="Text1Char">
    <w:name w:val="Text 1 Char"/>
    <w:locked/>
    <w:rsid w:val="00F001BC"/>
    <w:rPr>
      <w:rFonts w:ascii="Times New Roman" w:hAnsi="Times New Roman" w:cs="Times New Roman"/>
      <w:sz w:val="24"/>
      <w:lang w:val="en-GB"/>
    </w:rPr>
  </w:style>
  <w:style w:type="paragraph" w:styleId="Header">
    <w:name w:val="header"/>
    <w:basedOn w:val="Normal"/>
    <w:link w:val="HeaderChar"/>
    <w:uiPriority w:val="99"/>
    <w:unhideWhenUsed/>
    <w:rsid w:val="00E321BE"/>
    <w:pPr>
      <w:tabs>
        <w:tab w:val="center" w:pos="4535"/>
        <w:tab w:val="right" w:pos="9071"/>
      </w:tabs>
      <w:spacing w:before="0"/>
    </w:pPr>
  </w:style>
  <w:style w:type="character" w:customStyle="1" w:styleId="HeaderChar">
    <w:name w:val="Header Char"/>
    <w:basedOn w:val="DefaultParagraphFont"/>
    <w:link w:val="Header"/>
    <w:uiPriority w:val="99"/>
    <w:rsid w:val="00E321BE"/>
    <w:rPr>
      <w:rFonts w:ascii="Times New Roman" w:hAnsi="Times New Roman" w:cs="Times New Roman"/>
      <w:sz w:val="24"/>
      <w:lang w:val="en-GB"/>
    </w:rPr>
  </w:style>
  <w:style w:type="paragraph" w:styleId="Footer">
    <w:name w:val="footer"/>
    <w:basedOn w:val="Normal"/>
    <w:link w:val="FooterChar"/>
    <w:uiPriority w:val="99"/>
    <w:unhideWhenUsed/>
    <w:rsid w:val="00E321B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321B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321BE"/>
    <w:pPr>
      <w:tabs>
        <w:tab w:val="center" w:pos="7285"/>
        <w:tab w:val="right" w:pos="14003"/>
      </w:tabs>
      <w:spacing w:before="0"/>
    </w:pPr>
  </w:style>
  <w:style w:type="paragraph" w:customStyle="1" w:styleId="FooterLandscape">
    <w:name w:val="FooterLandscape"/>
    <w:basedOn w:val="Normal"/>
    <w:rsid w:val="00E321B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321B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321BE"/>
    <w:pPr>
      <w:spacing w:before="0"/>
      <w:jc w:val="right"/>
    </w:pPr>
    <w:rPr>
      <w:sz w:val="28"/>
    </w:rPr>
  </w:style>
  <w:style w:type="paragraph" w:customStyle="1" w:styleId="FooterSensitivity">
    <w:name w:val="Footer Sensitivity"/>
    <w:basedOn w:val="Normal"/>
    <w:rsid w:val="00E321B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Tiret5">
    <w:name w:val="Tiret 5"/>
    <w:basedOn w:val="Point5"/>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NumPar5">
    <w:name w:val="NumPar 5"/>
    <w:basedOn w:val="Normal"/>
    <w:next w:val="Text2"/>
    <w:pPr>
      <w:numPr>
        <w:ilvl w:val="4"/>
        <w:numId w:val="25"/>
      </w:numPr>
    </w:pPr>
  </w:style>
  <w:style w:type="paragraph" w:customStyle="1" w:styleId="NumPar6">
    <w:name w:val="NumPar 6"/>
    <w:basedOn w:val="Normal"/>
    <w:next w:val="Text2"/>
    <w:pPr>
      <w:numPr>
        <w:ilvl w:val="5"/>
        <w:numId w:val="25"/>
      </w:numPr>
    </w:pPr>
  </w:style>
  <w:style w:type="paragraph" w:customStyle="1" w:styleId="NumPar7">
    <w:name w:val="NumPar 7"/>
    <w:basedOn w:val="Normal"/>
    <w:next w:val="Text2"/>
    <w:pPr>
      <w:numPr>
        <w:ilvl w:val="6"/>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367BAA"/>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784">
      <w:bodyDiv w:val="1"/>
      <w:marLeft w:val="0"/>
      <w:marRight w:val="0"/>
      <w:marTop w:val="0"/>
      <w:marBottom w:val="0"/>
      <w:divBdr>
        <w:top w:val="none" w:sz="0" w:space="0" w:color="auto"/>
        <w:left w:val="none" w:sz="0" w:space="0" w:color="auto"/>
        <w:bottom w:val="none" w:sz="0" w:space="0" w:color="auto"/>
        <w:right w:val="none" w:sz="0" w:space="0" w:color="auto"/>
      </w:divBdr>
    </w:div>
    <w:div w:id="1271932501">
      <w:bodyDiv w:val="1"/>
      <w:marLeft w:val="0"/>
      <w:marRight w:val="0"/>
      <w:marTop w:val="0"/>
      <w:marBottom w:val="0"/>
      <w:divBdr>
        <w:top w:val="none" w:sz="0" w:space="0" w:color="auto"/>
        <w:left w:val="none" w:sz="0" w:space="0" w:color="auto"/>
        <w:bottom w:val="none" w:sz="0" w:space="0" w:color="auto"/>
        <w:right w:val="none" w:sz="0" w:space="0" w:color="auto"/>
      </w:divBdr>
      <w:divsChild>
        <w:div w:id="1659385499">
          <w:marLeft w:val="0"/>
          <w:marRight w:val="0"/>
          <w:marTop w:val="0"/>
          <w:marBottom w:val="0"/>
          <w:divBdr>
            <w:top w:val="none" w:sz="0" w:space="0" w:color="auto"/>
            <w:left w:val="none" w:sz="0" w:space="0" w:color="auto"/>
            <w:bottom w:val="none" w:sz="0" w:space="0" w:color="auto"/>
            <w:right w:val="none" w:sz="0" w:space="0" w:color="auto"/>
          </w:divBdr>
          <w:divsChild>
            <w:div w:id="580411708">
              <w:marLeft w:val="0"/>
              <w:marRight w:val="0"/>
              <w:marTop w:val="120"/>
              <w:marBottom w:val="0"/>
              <w:divBdr>
                <w:top w:val="none" w:sz="0" w:space="0" w:color="auto"/>
                <w:left w:val="none" w:sz="0" w:space="0" w:color="auto"/>
                <w:bottom w:val="none" w:sz="0" w:space="0" w:color="auto"/>
                <w:right w:val="none" w:sz="0" w:space="0" w:color="auto"/>
              </w:divBdr>
            </w:div>
            <w:div w:id="1856307766">
              <w:marLeft w:val="0"/>
              <w:marRight w:val="0"/>
              <w:marTop w:val="0"/>
              <w:marBottom w:val="0"/>
              <w:divBdr>
                <w:top w:val="none" w:sz="0" w:space="0" w:color="auto"/>
                <w:left w:val="none" w:sz="0" w:space="0" w:color="auto"/>
                <w:bottom w:val="none" w:sz="0" w:space="0" w:color="auto"/>
                <w:right w:val="none" w:sz="0" w:space="0" w:color="auto"/>
              </w:divBdr>
              <w:divsChild>
                <w:div w:id="1425998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7675370">
          <w:marLeft w:val="0"/>
          <w:marRight w:val="0"/>
          <w:marTop w:val="0"/>
          <w:marBottom w:val="0"/>
          <w:divBdr>
            <w:top w:val="none" w:sz="0" w:space="0" w:color="auto"/>
            <w:left w:val="none" w:sz="0" w:space="0" w:color="auto"/>
            <w:bottom w:val="none" w:sz="0" w:space="0" w:color="auto"/>
            <w:right w:val="none" w:sz="0" w:space="0" w:color="auto"/>
          </w:divBdr>
          <w:divsChild>
            <w:div w:id="1850678078">
              <w:marLeft w:val="0"/>
              <w:marRight w:val="0"/>
              <w:marTop w:val="120"/>
              <w:marBottom w:val="0"/>
              <w:divBdr>
                <w:top w:val="none" w:sz="0" w:space="0" w:color="auto"/>
                <w:left w:val="none" w:sz="0" w:space="0" w:color="auto"/>
                <w:bottom w:val="none" w:sz="0" w:space="0" w:color="auto"/>
                <w:right w:val="none" w:sz="0" w:space="0" w:color="auto"/>
              </w:divBdr>
            </w:div>
            <w:div w:id="1696035327">
              <w:marLeft w:val="0"/>
              <w:marRight w:val="0"/>
              <w:marTop w:val="0"/>
              <w:marBottom w:val="0"/>
              <w:divBdr>
                <w:top w:val="none" w:sz="0" w:space="0" w:color="auto"/>
                <w:left w:val="none" w:sz="0" w:space="0" w:color="auto"/>
                <w:bottom w:val="none" w:sz="0" w:space="0" w:color="auto"/>
                <w:right w:val="none" w:sz="0" w:space="0" w:color="auto"/>
              </w:divBdr>
              <w:divsChild>
                <w:div w:id="9677355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7922683">
          <w:marLeft w:val="0"/>
          <w:marRight w:val="0"/>
          <w:marTop w:val="0"/>
          <w:marBottom w:val="0"/>
          <w:divBdr>
            <w:top w:val="none" w:sz="0" w:space="0" w:color="auto"/>
            <w:left w:val="none" w:sz="0" w:space="0" w:color="auto"/>
            <w:bottom w:val="none" w:sz="0" w:space="0" w:color="auto"/>
            <w:right w:val="none" w:sz="0" w:space="0" w:color="auto"/>
          </w:divBdr>
          <w:divsChild>
            <w:div w:id="241255613">
              <w:marLeft w:val="0"/>
              <w:marRight w:val="0"/>
              <w:marTop w:val="120"/>
              <w:marBottom w:val="0"/>
              <w:divBdr>
                <w:top w:val="none" w:sz="0" w:space="0" w:color="auto"/>
                <w:left w:val="none" w:sz="0" w:space="0" w:color="auto"/>
                <w:bottom w:val="none" w:sz="0" w:space="0" w:color="auto"/>
                <w:right w:val="none" w:sz="0" w:space="0" w:color="auto"/>
              </w:divBdr>
            </w:div>
            <w:div w:id="428282760">
              <w:marLeft w:val="0"/>
              <w:marRight w:val="0"/>
              <w:marTop w:val="0"/>
              <w:marBottom w:val="0"/>
              <w:divBdr>
                <w:top w:val="none" w:sz="0" w:space="0" w:color="auto"/>
                <w:left w:val="none" w:sz="0" w:space="0" w:color="auto"/>
                <w:bottom w:val="none" w:sz="0" w:space="0" w:color="auto"/>
                <w:right w:val="none" w:sz="0" w:space="0" w:color="auto"/>
              </w:divBdr>
              <w:divsChild>
                <w:div w:id="689259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5661177">
          <w:marLeft w:val="0"/>
          <w:marRight w:val="0"/>
          <w:marTop w:val="0"/>
          <w:marBottom w:val="0"/>
          <w:divBdr>
            <w:top w:val="none" w:sz="0" w:space="0" w:color="auto"/>
            <w:left w:val="none" w:sz="0" w:space="0" w:color="auto"/>
            <w:bottom w:val="none" w:sz="0" w:space="0" w:color="auto"/>
            <w:right w:val="none" w:sz="0" w:space="0" w:color="auto"/>
          </w:divBdr>
          <w:divsChild>
            <w:div w:id="224729840">
              <w:marLeft w:val="0"/>
              <w:marRight w:val="0"/>
              <w:marTop w:val="120"/>
              <w:marBottom w:val="0"/>
              <w:divBdr>
                <w:top w:val="none" w:sz="0" w:space="0" w:color="auto"/>
                <w:left w:val="none" w:sz="0" w:space="0" w:color="auto"/>
                <w:bottom w:val="none" w:sz="0" w:space="0" w:color="auto"/>
                <w:right w:val="none" w:sz="0" w:space="0" w:color="auto"/>
              </w:divBdr>
            </w:div>
            <w:div w:id="1805344599">
              <w:marLeft w:val="0"/>
              <w:marRight w:val="0"/>
              <w:marTop w:val="0"/>
              <w:marBottom w:val="0"/>
              <w:divBdr>
                <w:top w:val="none" w:sz="0" w:space="0" w:color="auto"/>
                <w:left w:val="none" w:sz="0" w:space="0" w:color="auto"/>
                <w:bottom w:val="none" w:sz="0" w:space="0" w:color="auto"/>
                <w:right w:val="none" w:sz="0" w:space="0" w:color="auto"/>
              </w:divBdr>
              <w:divsChild>
                <w:div w:id="17234060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38099646">
      <w:bodyDiv w:val="1"/>
      <w:marLeft w:val="0"/>
      <w:marRight w:val="0"/>
      <w:marTop w:val="0"/>
      <w:marBottom w:val="0"/>
      <w:divBdr>
        <w:top w:val="none" w:sz="0" w:space="0" w:color="auto"/>
        <w:left w:val="none" w:sz="0" w:space="0" w:color="auto"/>
        <w:bottom w:val="none" w:sz="0" w:space="0" w:color="auto"/>
        <w:right w:val="none" w:sz="0" w:space="0" w:color="auto"/>
      </w:divBdr>
    </w:div>
    <w:div w:id="1781682416">
      <w:bodyDiv w:val="1"/>
      <w:marLeft w:val="0"/>
      <w:marRight w:val="0"/>
      <w:marTop w:val="0"/>
      <w:marBottom w:val="0"/>
      <w:divBdr>
        <w:top w:val="none" w:sz="0" w:space="0" w:color="auto"/>
        <w:left w:val="none" w:sz="0" w:space="0" w:color="auto"/>
        <w:bottom w:val="none" w:sz="0" w:space="0" w:color="auto"/>
        <w:right w:val="none" w:sz="0" w:space="0" w:color="auto"/>
      </w:divBdr>
    </w:div>
    <w:div w:id="1978872434">
      <w:bodyDiv w:val="1"/>
      <w:marLeft w:val="0"/>
      <w:marRight w:val="0"/>
      <w:marTop w:val="0"/>
      <w:marBottom w:val="0"/>
      <w:divBdr>
        <w:top w:val="none" w:sz="0" w:space="0" w:color="auto"/>
        <w:left w:val="none" w:sz="0" w:space="0" w:color="auto"/>
        <w:bottom w:val="none" w:sz="0" w:space="0" w:color="auto"/>
        <w:right w:val="none" w:sz="0" w:space="0" w:color="auto"/>
      </w:divBdr>
    </w:div>
    <w:div w:id="2057044957">
      <w:bodyDiv w:val="1"/>
      <w:marLeft w:val="0"/>
      <w:marRight w:val="0"/>
      <w:marTop w:val="0"/>
      <w:marBottom w:val="0"/>
      <w:divBdr>
        <w:top w:val="none" w:sz="0" w:space="0" w:color="auto"/>
        <w:left w:val="none" w:sz="0" w:space="0" w:color="auto"/>
        <w:bottom w:val="none" w:sz="0" w:space="0" w:color="auto"/>
        <w:right w:val="none" w:sz="0" w:space="0" w:color="auto"/>
      </w:divBdr>
      <w:divsChild>
        <w:div w:id="629628980">
          <w:marLeft w:val="0"/>
          <w:marRight w:val="0"/>
          <w:marTop w:val="0"/>
          <w:marBottom w:val="0"/>
          <w:divBdr>
            <w:top w:val="none" w:sz="0" w:space="0" w:color="auto"/>
            <w:left w:val="none" w:sz="0" w:space="0" w:color="auto"/>
            <w:bottom w:val="none" w:sz="0" w:space="0" w:color="auto"/>
            <w:right w:val="none" w:sz="0" w:space="0" w:color="auto"/>
          </w:divBdr>
          <w:divsChild>
            <w:div w:id="507914744">
              <w:marLeft w:val="0"/>
              <w:marRight w:val="0"/>
              <w:marTop w:val="0"/>
              <w:marBottom w:val="0"/>
              <w:divBdr>
                <w:top w:val="none" w:sz="0" w:space="0" w:color="auto"/>
                <w:left w:val="none" w:sz="0" w:space="0" w:color="auto"/>
                <w:bottom w:val="none" w:sz="0" w:space="0" w:color="auto"/>
                <w:right w:val="none" w:sz="0" w:space="0" w:color="auto"/>
              </w:divBdr>
              <w:divsChild>
                <w:div w:id="2920290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348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www.parismo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D555233027C1E41B8DD1CBE89128322" ma:contentTypeVersion="5" ma:contentTypeDescription="Create a new document in this library." ma:contentTypeScope="" ma:versionID="ea66bbe31642424c0522fa00dc9b13f3">
  <xsd:schema xmlns:xsd="http://www.w3.org/2001/XMLSchema" xmlns:xs="http://www.w3.org/2001/XMLSchema" xmlns:p="http://schemas.microsoft.com/office/2006/metadata/properties" xmlns:ns3="2C0E8722-3A40-479F-B012-367D1FB754C3" xmlns:ns4="2c0e8722-3a40-479f-b012-367d1fb754c3" xmlns:ns5="43dbc629-2500-4e93-a4c6-7001653b156d" targetNamespace="http://schemas.microsoft.com/office/2006/metadata/properties" ma:root="true" ma:fieldsID="e875e5b2e8832adf35d65ed7ec4b79f6" ns3:_="" ns4:_="" ns5:_="">
    <xsd:import namespace="2C0E8722-3A40-479F-B012-367D1FB754C3"/>
    <xsd:import namespace="2c0e8722-3a40-479f-b012-367d1fb754c3"/>
    <xsd:import namespace="43dbc629-2500-4e93-a4c6-7001653b156d"/>
    <xsd:element name="properties">
      <xsd:complexType>
        <xsd:sequence>
          <xsd:element name="documentManagement">
            <xsd:complexType>
              <xsd:all>
                <xsd:element ref="ns3:EC_Collab_Reference" minOccurs="0"/>
                <xsd:element ref="ns3:EC_Collab_DocumentLanguage"/>
                <xsd:element ref="ns3:EC_Collab_Status"/>
                <xsd:element ref="ns3:Status" minOccurs="0"/>
                <xsd:element ref="ns4:EC_ARES_NUMBER" minOccurs="0"/>
                <xsd:element ref="ns4:EC_ARES_DATE_TRANSFERRED" minOccurs="0"/>
                <xsd:element ref="ns4: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5" nillable="true"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2c0e8722-3a40-479f-b012-367d1fb754c3" elementFormDefault="qualified">
    <xsd:import namespace="http://schemas.microsoft.com/office/2006/documentManagement/types"/>
    <xsd:import namespace="http://schemas.microsoft.com/office/infopath/2007/PartnerControls"/>
    <xsd:element name="EC_ARES_NUMBER" ma:index="16"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7" nillable="true" ma:displayName="Transferred to Ares" ma:format="DateTime" ma:hidden="true" ma:internalName="EC_ARES_DATE_TRANSFERRED">
      <xsd:simpleType>
        <xsd:restriction base="dms:DateTime"/>
      </xsd:simpleType>
    </xsd:element>
    <xsd:element name="EC_ARES_TRANSFERRED_BY" ma:index="18"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bc629-2500-4e93-a4c6-7001653b156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C0E8722-3A40-479F-B012-367D1FB754C3">EN</EC_Collab_DocumentLanguage>
    <Status xmlns="2C0E8722-3A40-479F-B012-367D1FB754C3">Draft</Status>
    <EC_ARES_NUMBER xmlns="2c0e8722-3a40-479f-b012-367d1fb754c3">
      <Url xsi:nil="true"/>
      <Description xsi:nil="true"/>
    </EC_ARES_NUMBER>
    <EC_ARES_DATE_TRANSFERRED xmlns="2c0e8722-3a40-479f-b012-367d1fb754c3" xsi:nil="true"/>
    <EC_Collab_Status xmlns="2C0E8722-3A40-479F-B012-367D1FB754C3">Not Started</EC_Collab_Status>
    <EC_ARES_TRANSFERRED_BY xmlns="2c0e8722-3a40-479f-b012-367d1fb754c3" xsi:nil="true"/>
    <EC_Collab_Reference xmlns="2C0E8722-3A40-479F-B012-367D1FB75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E164A-3845-449E-A377-54227B73E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E8722-3A40-479F-B012-367D1FB754C3"/>
    <ds:schemaRef ds:uri="2c0e8722-3a40-479f-b012-367d1fb754c3"/>
    <ds:schemaRef ds:uri="43dbc629-2500-4e93-a4c6-7001653b1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B9BC7-D0D8-406F-A3C7-351B7A2261AE}">
  <ds:schemaRefs>
    <ds:schemaRef ds:uri="http://schemas.microsoft.com/office/2006/documentManagement/types"/>
    <ds:schemaRef ds:uri="2c0e8722-3a40-479f-b012-367d1fb754c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3dbc629-2500-4e93-a4c6-7001653b156d"/>
    <ds:schemaRef ds:uri="2C0E8722-3A40-479F-B012-367D1FB754C3"/>
    <ds:schemaRef ds:uri="http://www.w3.org/XML/1998/namespace"/>
    <ds:schemaRef ds:uri="http://purl.org/dc/dcmitype/"/>
  </ds:schemaRefs>
</ds:datastoreItem>
</file>

<file path=customXml/itemProps3.xml><?xml version="1.0" encoding="utf-8"?>
<ds:datastoreItem xmlns:ds="http://schemas.openxmlformats.org/officeDocument/2006/customXml" ds:itemID="{ACA12122-91BA-455F-84EC-FFB71E390B48}">
  <ds:schemaRefs>
    <ds:schemaRef ds:uri="http://schemas.microsoft.com/sharepoint/v3/contenttype/forms"/>
  </ds:schemaRefs>
</ds:datastoreItem>
</file>

<file path=customXml/itemProps4.xml><?xml version="1.0" encoding="utf-8"?>
<ds:datastoreItem xmlns:ds="http://schemas.openxmlformats.org/officeDocument/2006/customXml" ds:itemID="{C8D9B5F3-A195-45DA-85B0-B3D119A4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40</Pages>
  <Words>14226</Words>
  <Characters>76394</Characters>
  <Application>Microsoft Office Word</Application>
  <DocSecurity>0</DocSecurity>
  <Lines>2010</Lines>
  <Paragraphs>831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40</cp:revision>
  <cp:lastPrinted>2023-03-03T14:23:00Z</cp:lastPrinted>
  <dcterms:created xsi:type="dcterms:W3CDTF">2023-05-09T21:25:00Z</dcterms:created>
  <dcterms:modified xsi:type="dcterms:W3CDTF">2023-05-26T10:34:00Z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9.0, Build 20230317</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0x010100258AA79CEB83498886A3A08681123250006D555233027C1E41B8DD1CBE89128322</vt:lpwstr>
  </property>
  <property fmtid="{D5CDD505-2E9C-101B-9397-08002B2CF9AE}" pid="11" name="MSIP_Label_6bd9ddd1-4d20-43f6-abfa-fc3c07406f94_Enabled">
    <vt:lpwstr>true</vt:lpwstr>
  </property>
  <property fmtid="{D5CDD505-2E9C-101B-9397-08002B2CF9AE}" pid="12" name="MSIP_Label_6bd9ddd1-4d20-43f6-abfa-fc3c07406f94_SetDate">
    <vt:lpwstr>2023-03-20T07:34:22Z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9b9a88c2-75a6-4cdd-9ca4-e1f141a77314</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