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8A8D6" w14:textId="1ADB0205" w:rsidR="00053218" w:rsidRDefault="00F530FA" w:rsidP="00F530FA">
      <w:pPr>
        <w:pStyle w:val="Pagedecouverture"/>
        <w:rPr>
          <w:noProof/>
        </w:rPr>
      </w:pPr>
      <w:r>
        <w:rPr>
          <w:noProof/>
        </w:rPr>
        <w:pict w14:anchorId="541C4B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619A806E-98B3-46ED-9314-BFEE46A9827E" style="width:455.25pt;height:399pt">
            <v:imagedata r:id="rId11" o:title=""/>
          </v:shape>
        </w:pict>
      </w:r>
    </w:p>
    <w:p w14:paraId="14D1FF7F" w14:textId="77777777" w:rsidR="00053218" w:rsidRDefault="00053218" w:rsidP="00053218">
      <w:pPr>
        <w:rPr>
          <w:noProof/>
        </w:rPr>
        <w:sectPr w:rsidR="00053218" w:rsidSect="00F530FA">
          <w:footerReference w:type="default" r:id="rId12"/>
          <w:pgSz w:w="11907" w:h="16839"/>
          <w:pgMar w:top="1134" w:right="1417" w:bottom="1134" w:left="1417" w:header="709" w:footer="709" w:gutter="0"/>
          <w:pgNumType w:start="0"/>
          <w:cols w:space="720"/>
          <w:docGrid w:linePitch="360"/>
        </w:sectPr>
      </w:pPr>
    </w:p>
    <w:p w14:paraId="57437863" w14:textId="77777777" w:rsidR="00053218" w:rsidRDefault="00053218" w:rsidP="007D7BFB">
      <w:pPr>
        <w:pStyle w:val="Exposdesmotifstitre"/>
        <w:rPr>
          <w:noProof/>
        </w:rPr>
      </w:pPr>
      <w:bookmarkStart w:id="0" w:name="_GoBack"/>
      <w:bookmarkEnd w:id="0"/>
      <w:r w:rsidRPr="006F770D">
        <w:rPr>
          <w:noProof/>
        </w:rPr>
        <w:lastRenderedPageBreak/>
        <w:t>EXPLANATORY MEMORANDUM</w:t>
      </w:r>
    </w:p>
    <w:p w14:paraId="526E5238" w14:textId="77777777" w:rsidR="00053218" w:rsidRPr="006F770D" w:rsidRDefault="00053218" w:rsidP="007D7BFB">
      <w:pPr>
        <w:pStyle w:val="ManualHeading1"/>
        <w:rPr>
          <w:noProof/>
        </w:rPr>
      </w:pPr>
      <w:r w:rsidRPr="00C567EE">
        <w:rPr>
          <w:noProof/>
        </w:rPr>
        <w:t>1.</w:t>
      </w:r>
      <w:r w:rsidRPr="00C567EE">
        <w:rPr>
          <w:noProof/>
        </w:rPr>
        <w:tab/>
      </w:r>
      <w:r w:rsidRPr="006F770D">
        <w:rPr>
          <w:noProof/>
        </w:rPr>
        <w:t>CONTEXT OF THE PROPOSAL</w:t>
      </w:r>
    </w:p>
    <w:p w14:paraId="6D550987" w14:textId="77777777" w:rsidR="00053218" w:rsidRPr="00044058" w:rsidRDefault="00053218" w:rsidP="007D7BFB">
      <w:pPr>
        <w:pStyle w:val="ManualHeading2"/>
        <w:rPr>
          <w:rFonts w:eastAsia="Arial Unicode MS"/>
          <w:noProof/>
        </w:rPr>
      </w:pPr>
      <w:r w:rsidRPr="0029266A">
        <w:rPr>
          <w:rFonts w:eastAsia="Arial Unicode MS"/>
          <w:noProof/>
          <w:color w:val="000000"/>
          <w:u w:color="000000"/>
          <w:bdr w:val="nil"/>
          <w:lang w:val="en-US" w:eastAsia="en-GB"/>
        </w:rPr>
        <w:t>•</w:t>
      </w:r>
      <w:r w:rsidRPr="0029266A">
        <w:rPr>
          <w:rFonts w:eastAsia="Arial Unicode MS"/>
          <w:noProof/>
          <w:color w:val="000000"/>
          <w:u w:color="000000"/>
          <w:bdr w:val="nil"/>
          <w:lang w:val="en-US" w:eastAsia="en-GB"/>
        </w:rPr>
        <w:tab/>
      </w:r>
      <w:r w:rsidRPr="00044058">
        <w:rPr>
          <w:rFonts w:eastAsia="Arial Unicode MS"/>
          <w:noProof/>
        </w:rPr>
        <w:t>Reasons for and objectives of the proposal</w:t>
      </w:r>
    </w:p>
    <w:p w14:paraId="725B826A" w14:textId="77777777" w:rsidR="00890C82" w:rsidRPr="00890C82" w:rsidRDefault="00DA5CE3" w:rsidP="00890C82">
      <w:pPr>
        <w:pBdr>
          <w:top w:val="nil"/>
          <w:left w:val="nil"/>
          <w:bottom w:val="nil"/>
          <w:right w:val="nil"/>
          <w:between w:val="nil"/>
          <w:bar w:val="nil"/>
        </w:pBdr>
        <w:spacing w:before="0" w:after="240"/>
        <w:rPr>
          <w:rFonts w:eastAsia="Arial Unicode MS"/>
          <w:noProof/>
        </w:rPr>
      </w:pPr>
      <w:r w:rsidRPr="00DA5CE3">
        <w:rPr>
          <w:rFonts w:eastAsia="Arial Unicode MS"/>
          <w:noProof/>
        </w:rPr>
        <w:t xml:space="preserve">The first building blocks of the European maritime safety policy were laid  at the beginning of the 1990s, following the Aegean Sea (1992) and Brear (1993) oil tanker accidents. </w:t>
      </w:r>
      <w:r w:rsidR="006F1006">
        <w:rPr>
          <w:rFonts w:eastAsia="Arial Unicode MS"/>
          <w:noProof/>
        </w:rPr>
        <w:t>With growing international</w:t>
      </w:r>
      <w:r w:rsidR="00890C82">
        <w:rPr>
          <w:rFonts w:eastAsia="Arial Unicode MS"/>
          <w:noProof/>
        </w:rPr>
        <w:t xml:space="preserve"> trade</w:t>
      </w:r>
      <w:r w:rsidR="006F1006">
        <w:rPr>
          <w:rFonts w:eastAsia="Arial Unicode MS"/>
          <w:noProof/>
        </w:rPr>
        <w:t xml:space="preserve">, and </w:t>
      </w:r>
      <w:r w:rsidR="00F235B3">
        <w:rPr>
          <w:rFonts w:eastAsia="Arial Unicode MS"/>
          <w:noProof/>
        </w:rPr>
        <w:t>the</w:t>
      </w:r>
      <w:r w:rsidR="00890C82">
        <w:rPr>
          <w:rFonts w:eastAsia="Arial Unicode MS"/>
          <w:noProof/>
        </w:rPr>
        <w:t xml:space="preserve"> deepening</w:t>
      </w:r>
      <w:r w:rsidRPr="00DA5CE3">
        <w:rPr>
          <w:rFonts w:eastAsia="Arial Unicode MS"/>
          <w:noProof/>
        </w:rPr>
        <w:t xml:space="preserve"> </w:t>
      </w:r>
      <w:r w:rsidR="00F235B3">
        <w:rPr>
          <w:rFonts w:eastAsia="Arial Unicode MS"/>
          <w:noProof/>
        </w:rPr>
        <w:t xml:space="preserve">of </w:t>
      </w:r>
      <w:r w:rsidRPr="00DA5CE3">
        <w:rPr>
          <w:rFonts w:eastAsia="Arial Unicode MS"/>
          <w:noProof/>
        </w:rPr>
        <w:t>EU’s internal market</w:t>
      </w:r>
      <w:r w:rsidR="00890C82">
        <w:rPr>
          <w:rFonts w:eastAsia="Arial Unicode MS"/>
          <w:noProof/>
        </w:rPr>
        <w:t>,</w:t>
      </w:r>
      <w:r w:rsidRPr="00DA5CE3">
        <w:rPr>
          <w:rFonts w:eastAsia="Arial Unicode MS"/>
          <w:noProof/>
        </w:rPr>
        <w:t xml:space="preserve"> </w:t>
      </w:r>
      <w:r w:rsidR="006F1006">
        <w:rPr>
          <w:rFonts w:eastAsia="Arial Unicode MS"/>
          <w:noProof/>
        </w:rPr>
        <w:t>sh</w:t>
      </w:r>
      <w:r w:rsidR="000156ED">
        <w:rPr>
          <w:rFonts w:eastAsia="Arial Unicode MS"/>
          <w:noProof/>
        </w:rPr>
        <w:t>i</w:t>
      </w:r>
      <w:r w:rsidR="006F1006">
        <w:rPr>
          <w:rFonts w:eastAsia="Arial Unicode MS"/>
          <w:noProof/>
        </w:rPr>
        <w:t xml:space="preserve">pping activities in Europe and in the waters surrounding Europe have increased. At the same time, </w:t>
      </w:r>
      <w:r w:rsidRPr="00DA5CE3">
        <w:rPr>
          <w:rFonts w:eastAsia="Arial Unicode MS"/>
          <w:noProof/>
        </w:rPr>
        <w:t xml:space="preserve">the risks </w:t>
      </w:r>
      <w:r w:rsidR="00890C82">
        <w:rPr>
          <w:rFonts w:eastAsia="Arial Unicode MS"/>
          <w:noProof/>
        </w:rPr>
        <w:t>of</w:t>
      </w:r>
      <w:r w:rsidR="00890C82" w:rsidRPr="00DA5CE3">
        <w:rPr>
          <w:rFonts w:eastAsia="Arial Unicode MS"/>
          <w:noProof/>
        </w:rPr>
        <w:t xml:space="preserve"> </w:t>
      </w:r>
      <w:r w:rsidRPr="00DA5CE3">
        <w:rPr>
          <w:rFonts w:eastAsia="Arial Unicode MS"/>
          <w:noProof/>
        </w:rPr>
        <w:t xml:space="preserve">shipping activities were acknowledged, </w:t>
      </w:r>
      <w:r w:rsidR="00890C82">
        <w:rPr>
          <w:rFonts w:eastAsia="Arial Unicode MS"/>
          <w:noProof/>
        </w:rPr>
        <w:t>underlining</w:t>
      </w:r>
      <w:r w:rsidR="00890C82" w:rsidRPr="00DA5CE3">
        <w:rPr>
          <w:rFonts w:eastAsia="Arial Unicode MS"/>
          <w:noProof/>
        </w:rPr>
        <w:t xml:space="preserve"> </w:t>
      </w:r>
      <w:r w:rsidRPr="00DA5CE3">
        <w:rPr>
          <w:rFonts w:eastAsia="Arial Unicode MS"/>
          <w:noProof/>
        </w:rPr>
        <w:t xml:space="preserve">the need for stronger European action on maritime </w:t>
      </w:r>
      <w:r w:rsidR="00890C82" w:rsidRPr="00DA5CE3">
        <w:rPr>
          <w:rFonts w:eastAsia="Arial Unicode MS"/>
          <w:noProof/>
        </w:rPr>
        <w:t>safety</w:t>
      </w:r>
      <w:r w:rsidR="00890C82">
        <w:rPr>
          <w:rFonts w:eastAsia="Arial Unicode MS"/>
          <w:noProof/>
        </w:rPr>
        <w:t>. Rules</w:t>
      </w:r>
      <w:r w:rsidR="00DA52F8">
        <w:rPr>
          <w:rFonts w:eastAsia="Arial Unicode MS"/>
          <w:noProof/>
        </w:rPr>
        <w:t xml:space="preserve"> on  port State control and the classification societies (ROs) </w:t>
      </w:r>
      <w:r w:rsidR="00890C82">
        <w:rPr>
          <w:rFonts w:eastAsia="Arial Unicode MS"/>
          <w:noProof/>
        </w:rPr>
        <w:t xml:space="preserve">were </w:t>
      </w:r>
      <w:r w:rsidR="00DA52F8">
        <w:rPr>
          <w:rFonts w:eastAsia="Arial Unicode MS"/>
          <w:noProof/>
        </w:rPr>
        <w:t>already</w:t>
      </w:r>
      <w:r w:rsidR="00890C82">
        <w:rPr>
          <w:rFonts w:eastAsia="Arial Unicode MS"/>
          <w:noProof/>
        </w:rPr>
        <w:t xml:space="preserve"> introduced</w:t>
      </w:r>
      <w:r w:rsidR="00DA52F8">
        <w:rPr>
          <w:rFonts w:eastAsia="Arial Unicode MS"/>
          <w:noProof/>
        </w:rPr>
        <w:t xml:space="preserve"> in the </w:t>
      </w:r>
      <w:r w:rsidR="007E608E">
        <w:rPr>
          <w:rFonts w:eastAsia="Arial Unicode MS"/>
          <w:noProof/>
        </w:rPr>
        <w:t>nineties</w:t>
      </w:r>
      <w:r w:rsidRPr="00DA5CE3">
        <w:rPr>
          <w:rFonts w:eastAsia="Arial Unicode MS"/>
          <w:noProof/>
        </w:rPr>
        <w:t xml:space="preserve">. </w:t>
      </w:r>
      <w:r w:rsidR="00890C82">
        <w:rPr>
          <w:rFonts w:eastAsia="Arial Unicode MS"/>
          <w:noProof/>
        </w:rPr>
        <w:t>EU</w:t>
      </w:r>
      <w:r w:rsidRPr="00DA5CE3">
        <w:rPr>
          <w:rFonts w:eastAsia="Arial Unicode MS"/>
          <w:noProof/>
        </w:rPr>
        <w:t xml:space="preserve">-level efforts in the field underwent significant acceleration following the Erika (1999) and the Prestige (2002) oil tanker accidents. By causing extremely high-cost damage to the environment, as well as to the fishery and tourism sectors, these accidents highlighted the need </w:t>
      </w:r>
      <w:r w:rsidR="00890C82">
        <w:rPr>
          <w:rFonts w:eastAsia="Arial Unicode MS"/>
          <w:noProof/>
        </w:rPr>
        <w:t>to upgrade</w:t>
      </w:r>
      <w:r w:rsidRPr="00DA5CE3">
        <w:rPr>
          <w:rFonts w:eastAsia="Arial Unicode MS"/>
          <w:noProof/>
        </w:rPr>
        <w:t xml:space="preserve"> the EU legal framework on maritime safety </w:t>
      </w:r>
      <w:r w:rsidR="00890C82" w:rsidRPr="00890C82">
        <w:rPr>
          <w:rFonts w:eastAsia="Arial Unicode MS"/>
          <w:noProof/>
        </w:rPr>
        <w:t xml:space="preserve">and the need for practical measures to prevent and respond to pollution. The </w:t>
      </w:r>
      <w:r w:rsidR="00890C82" w:rsidRPr="00890C82">
        <w:rPr>
          <w:rFonts w:eastAsia="Arial Unicode MS"/>
          <w:i/>
          <w:iCs/>
          <w:noProof/>
        </w:rPr>
        <w:t>Erika</w:t>
      </w:r>
      <w:r w:rsidR="00890C82" w:rsidRPr="00890C82">
        <w:rPr>
          <w:rFonts w:eastAsia="Arial Unicode MS"/>
          <w:noProof/>
        </w:rPr>
        <w:t xml:space="preserve"> oil tanker accident  led to the maritime safety package proposals </w:t>
      </w:r>
      <w:r w:rsidR="00890C82" w:rsidRPr="00890C82">
        <w:rPr>
          <w:rFonts w:eastAsia="Arial Unicode MS"/>
          <w:i/>
          <w:iCs/>
          <w:noProof/>
        </w:rPr>
        <w:t>Erika I</w:t>
      </w:r>
      <w:r w:rsidR="00890C82" w:rsidRPr="00890C82">
        <w:rPr>
          <w:rFonts w:eastAsia="Arial Unicode MS"/>
          <w:noProof/>
        </w:rPr>
        <w:t xml:space="preserve"> (COM (2000) 142) and </w:t>
      </w:r>
      <w:r w:rsidR="00890C82" w:rsidRPr="00890C82">
        <w:rPr>
          <w:rFonts w:eastAsia="Arial Unicode MS"/>
          <w:i/>
          <w:iCs/>
          <w:noProof/>
        </w:rPr>
        <w:t>Erika II</w:t>
      </w:r>
      <w:r w:rsidR="00890C82" w:rsidRPr="00890C82">
        <w:rPr>
          <w:rFonts w:eastAsia="Arial Unicode MS"/>
          <w:noProof/>
        </w:rPr>
        <w:t xml:space="preserve"> (COM (2000) 802). These respectively comprised a set of short-term measures and a set of more complex, long-term actions aimed at enhancing European maritime safety policy. </w:t>
      </w:r>
    </w:p>
    <w:p w14:paraId="3BA71ECF" w14:textId="77777777" w:rsidR="00890C82" w:rsidRPr="00890C82" w:rsidRDefault="00890C82" w:rsidP="00890C82">
      <w:pPr>
        <w:pBdr>
          <w:top w:val="nil"/>
          <w:left w:val="nil"/>
          <w:bottom w:val="nil"/>
          <w:right w:val="nil"/>
          <w:between w:val="nil"/>
          <w:bar w:val="nil"/>
        </w:pBdr>
        <w:spacing w:before="0" w:after="240"/>
        <w:rPr>
          <w:rFonts w:eastAsia="Arial Unicode MS"/>
          <w:noProof/>
        </w:rPr>
      </w:pPr>
      <w:r w:rsidRPr="00890C82">
        <w:rPr>
          <w:rFonts w:eastAsia="Arial Unicode MS"/>
          <w:noProof/>
        </w:rPr>
        <w:t xml:space="preserve">In particular, </w:t>
      </w:r>
      <w:r w:rsidRPr="00890C82">
        <w:rPr>
          <w:rFonts w:eastAsia="Arial Unicode MS"/>
          <w:i/>
          <w:iCs/>
          <w:noProof/>
        </w:rPr>
        <w:t>Erika II</w:t>
      </w:r>
      <w:r w:rsidRPr="00890C82">
        <w:rPr>
          <w:rFonts w:eastAsia="Arial Unicode MS"/>
          <w:noProof/>
        </w:rPr>
        <w:t xml:space="preserve"> envisaged the establishment of the European Maritime Safety Agency (EMSA) (‘the Agency’) to support the Commission and EU Member States with the application and monitoring of EU legislation in the field of maritime safety, as well with the evaluation of its effectiveness. EMSA was then established by Regulation (EC) No 1406/2002 of 27 June 2002, with the purpose of ensuring a ‘high, uniform and effective level of maritime safety and prevention of pollution by ships within the Community’.</w:t>
      </w:r>
    </w:p>
    <w:p w14:paraId="1555C03F" w14:textId="77777777" w:rsidR="00890C82" w:rsidRPr="00890C82" w:rsidRDefault="00890C82" w:rsidP="00890C82">
      <w:pPr>
        <w:pBdr>
          <w:top w:val="nil"/>
          <w:left w:val="nil"/>
          <w:bottom w:val="nil"/>
          <w:right w:val="nil"/>
          <w:between w:val="nil"/>
          <w:bar w:val="nil"/>
        </w:pBdr>
        <w:spacing w:before="0" w:after="240"/>
        <w:rPr>
          <w:rFonts w:eastAsia="Arial Unicode MS"/>
          <w:noProof/>
          <w:lang w:val="en-US"/>
        </w:rPr>
      </w:pPr>
      <w:r w:rsidRPr="00890C82">
        <w:rPr>
          <w:rFonts w:eastAsia="Arial Unicode MS"/>
          <w:noProof/>
        </w:rPr>
        <w:t xml:space="preserve">Following the adoption of its founding Regulation, successive amendments progressively expanded the Agency’s objectives and tasks to adapt its activities to EU maritime policy developments. </w:t>
      </w:r>
      <w:r w:rsidRPr="00890C82">
        <w:rPr>
          <w:rFonts w:eastAsia="Arial Unicode MS"/>
          <w:noProof/>
          <w:lang w:val="en-US"/>
        </w:rPr>
        <w:t>Regulation (EC) No 1406/2002 has been modified five times since 2002, mainly due to changes to the EU's maritime legislation.</w:t>
      </w:r>
    </w:p>
    <w:p w14:paraId="15BCEA96" w14:textId="77777777" w:rsidR="00890C82" w:rsidRPr="00890C82" w:rsidRDefault="00890C82" w:rsidP="00890C82">
      <w:pPr>
        <w:pBdr>
          <w:top w:val="nil"/>
          <w:left w:val="nil"/>
          <w:bottom w:val="nil"/>
          <w:right w:val="nil"/>
          <w:between w:val="nil"/>
          <w:bar w:val="nil"/>
        </w:pBdr>
        <w:spacing w:before="0" w:after="240"/>
        <w:rPr>
          <w:rFonts w:eastAsia="Arial Unicode MS"/>
          <w:noProof/>
        </w:rPr>
      </w:pPr>
      <w:r w:rsidRPr="00890C82">
        <w:rPr>
          <w:rFonts w:eastAsia="Arial Unicode MS"/>
          <w:noProof/>
        </w:rPr>
        <w:t xml:space="preserve">EMSA was subject to an external evaluation in 2017, which concluded that while its objectives, activities and outputs are adequate, changes to its mandate may be required to adapt it to developments in legislation, the sector and  emerging political priorities. </w:t>
      </w:r>
    </w:p>
    <w:p w14:paraId="0B802ABA" w14:textId="77777777" w:rsidR="00010BD9" w:rsidRPr="00010BD9" w:rsidRDefault="00010BD9" w:rsidP="00010BD9">
      <w:pPr>
        <w:pBdr>
          <w:top w:val="nil"/>
          <w:left w:val="nil"/>
          <w:bottom w:val="nil"/>
          <w:right w:val="nil"/>
          <w:between w:val="nil"/>
          <w:bar w:val="nil"/>
        </w:pBdr>
        <w:spacing w:before="0" w:after="240"/>
        <w:rPr>
          <w:rFonts w:eastAsia="Arial Unicode MS"/>
          <w:noProof/>
        </w:rPr>
      </w:pPr>
      <w:r w:rsidRPr="00010BD9">
        <w:rPr>
          <w:rFonts w:eastAsia="Arial Unicode MS"/>
          <w:noProof/>
        </w:rPr>
        <w:t xml:space="preserve">Furthermore, the European Green Deal announced in December 2019 has emphasised the need to accelerate the transition to a zero pollution and climate-neutral economy, including through the shift to sustainable mobility with </w:t>
      </w:r>
      <w:r w:rsidR="006F1006">
        <w:rPr>
          <w:rFonts w:eastAsia="Arial Unicode MS"/>
          <w:noProof/>
        </w:rPr>
        <w:t xml:space="preserve">significant shifts towards cleaner fuels and </w:t>
      </w:r>
      <w:r w:rsidR="00F235B3">
        <w:rPr>
          <w:rFonts w:eastAsia="Arial Unicode MS"/>
          <w:noProof/>
        </w:rPr>
        <w:t xml:space="preserve">a more sustainable </w:t>
      </w:r>
      <w:r w:rsidRPr="00010BD9">
        <w:rPr>
          <w:rFonts w:eastAsia="Arial Unicode MS"/>
          <w:noProof/>
        </w:rPr>
        <w:t xml:space="preserve">maritime </w:t>
      </w:r>
      <w:r w:rsidR="006F1006">
        <w:rPr>
          <w:rFonts w:eastAsia="Arial Unicode MS"/>
          <w:noProof/>
        </w:rPr>
        <w:t xml:space="preserve">sector </w:t>
      </w:r>
      <w:r w:rsidRPr="00010BD9">
        <w:rPr>
          <w:rFonts w:eastAsia="Arial Unicode MS"/>
          <w:noProof/>
        </w:rPr>
        <w:t>transport.</w:t>
      </w:r>
      <w:r w:rsidR="00DA52F8">
        <w:rPr>
          <w:rFonts w:eastAsia="Arial Unicode MS"/>
          <w:noProof/>
        </w:rPr>
        <w:t xml:space="preserve"> This new strategy built upon the rules introduced in 2012 on sulphur content of the marine fuels</w:t>
      </w:r>
      <w:r w:rsidR="00DA52F8">
        <w:rPr>
          <w:rStyle w:val="FootnoteReference"/>
          <w:rFonts w:eastAsia="Arial Unicode MS"/>
          <w:noProof/>
        </w:rPr>
        <w:footnoteReference w:id="2"/>
      </w:r>
      <w:r w:rsidR="00DA52F8">
        <w:rPr>
          <w:rFonts w:eastAsia="Arial Unicode MS"/>
          <w:noProof/>
        </w:rPr>
        <w:t xml:space="preserve"> and the monitoring</w:t>
      </w:r>
      <w:r w:rsidR="00F4653C">
        <w:rPr>
          <w:rFonts w:eastAsia="Arial Unicode MS"/>
          <w:noProof/>
        </w:rPr>
        <w:t>, reporting</w:t>
      </w:r>
      <w:r w:rsidR="00DA52F8">
        <w:rPr>
          <w:rFonts w:eastAsia="Arial Unicode MS"/>
          <w:noProof/>
        </w:rPr>
        <w:t xml:space="preserve"> and verification of CO2 emissions in 2015</w:t>
      </w:r>
      <w:r w:rsidR="00DA52F8">
        <w:rPr>
          <w:rStyle w:val="FootnoteReference"/>
          <w:rFonts w:eastAsia="Arial Unicode MS"/>
          <w:noProof/>
        </w:rPr>
        <w:footnoteReference w:id="3"/>
      </w:r>
      <w:r w:rsidR="00DA52F8">
        <w:rPr>
          <w:rFonts w:eastAsia="Arial Unicode MS"/>
          <w:noProof/>
        </w:rPr>
        <w:t>.</w:t>
      </w:r>
      <w:r w:rsidRPr="00010BD9">
        <w:rPr>
          <w:rFonts w:eastAsia="Arial Unicode MS"/>
          <w:noProof/>
        </w:rPr>
        <w:t xml:space="preserve"> To deliver on this, the Commission adopted in December 2020 its Sustainable and Smart Mobility Strategy, which included the revision of EMSA’s founding Regulation (“Action 77” of the accompanying Action Plan to the Strategy</w:t>
      </w:r>
      <w:r w:rsidRPr="00604C98">
        <w:rPr>
          <w:rStyle w:val="FootnoteReference"/>
          <w:noProof/>
        </w:rPr>
        <w:footnoteReference w:id="4"/>
      </w:r>
      <w:r w:rsidRPr="00010BD9">
        <w:rPr>
          <w:rFonts w:eastAsia="Arial Unicode MS"/>
          <w:noProof/>
        </w:rPr>
        <w:t>).</w:t>
      </w:r>
    </w:p>
    <w:p w14:paraId="4EF3D7D1" w14:textId="77777777" w:rsidR="00890C82" w:rsidRPr="00890C82" w:rsidRDefault="00890C82" w:rsidP="00890C82">
      <w:pPr>
        <w:pBdr>
          <w:top w:val="nil"/>
          <w:left w:val="nil"/>
          <w:bottom w:val="nil"/>
          <w:right w:val="nil"/>
          <w:between w:val="nil"/>
          <w:bar w:val="nil"/>
        </w:pBdr>
        <w:spacing w:before="0" w:after="240"/>
        <w:rPr>
          <w:rFonts w:eastAsia="Arial Unicode MS"/>
          <w:noProof/>
          <w:lang w:val="en-US"/>
        </w:rPr>
      </w:pPr>
      <w:r w:rsidRPr="00890C82">
        <w:rPr>
          <w:rFonts w:eastAsia="Arial Unicode MS"/>
          <w:noProof/>
          <w:lang w:val="en-US"/>
        </w:rPr>
        <w:t>The Agency’s mandate needs to be revised for the following reasons: (1) it does not properly reflect EMSA’s current scope of activities due to the evolving needs of the maritime sector and the new EU regulatory framework in the area; (2) the administrative and financial provisions of the mandate do not reflect the latest EU regulatory framework on agencies governance; and (3) the Agency is facing stretched resources to fulfil both its current tasks and the new tasks and activities arising from the needs of the sector, such as the green transition, or legislative developments, such as the new maritime safety package.</w:t>
      </w:r>
    </w:p>
    <w:p w14:paraId="7BAB5A3E" w14:textId="77777777" w:rsidR="00890C82" w:rsidRPr="00890C82" w:rsidRDefault="00890C82" w:rsidP="00890C82">
      <w:pPr>
        <w:pBdr>
          <w:top w:val="nil"/>
          <w:left w:val="nil"/>
          <w:bottom w:val="nil"/>
          <w:right w:val="nil"/>
          <w:between w:val="nil"/>
          <w:bar w:val="nil"/>
        </w:pBdr>
        <w:spacing w:before="0" w:after="240"/>
        <w:rPr>
          <w:rFonts w:eastAsia="Arial Unicode MS"/>
          <w:noProof/>
          <w:lang w:val="en-IE"/>
        </w:rPr>
      </w:pPr>
      <w:r w:rsidRPr="00890C82">
        <w:rPr>
          <w:rFonts w:eastAsia="Arial Unicode MS"/>
          <w:noProof/>
          <w:lang w:val="en-US"/>
        </w:rPr>
        <w:t>The proposed revision of EMSA’s mandate aims to: (1) better anchor and reflect the current tasks and objectives of the Agency in its founding Regulation so that it is legally mandated to  fulfil these and support the Member States and the Commission with the necessary technical, operational and scientific assistance to ensure maritime safety and security, and the green and digital transition of the sector; (2) ensure that EMSA’s founding Regulation is future proof by allowing enough flexibility to incorporate new tasks that address the evolving needs of the maritime sector; and (3) ensure that the Agency has adequate human and financial resources to fulfil its role.</w:t>
      </w:r>
    </w:p>
    <w:p w14:paraId="77B1FD3F" w14:textId="77777777" w:rsidR="00890C82" w:rsidRPr="00890C82" w:rsidRDefault="00890C82" w:rsidP="00890C82">
      <w:pPr>
        <w:pBdr>
          <w:top w:val="nil"/>
          <w:left w:val="nil"/>
          <w:bottom w:val="nil"/>
          <w:right w:val="nil"/>
          <w:between w:val="nil"/>
          <w:bar w:val="nil"/>
        </w:pBdr>
        <w:spacing w:before="0" w:after="240"/>
        <w:rPr>
          <w:rFonts w:eastAsia="Arial Unicode MS"/>
          <w:noProof/>
          <w:lang w:val="en-US"/>
        </w:rPr>
      </w:pPr>
      <w:r w:rsidRPr="00890C82">
        <w:rPr>
          <w:rFonts w:eastAsia="Arial Unicode MS"/>
          <w:noProof/>
          <w:lang w:val="en-US"/>
        </w:rPr>
        <w:t>Since 2002, when the original founding Regulation was adopted, several developments have taken place in the maritime sector. As a result, the Agency’s founding Regulation has been amended five times</w:t>
      </w:r>
      <w:r w:rsidR="00F235B3" w:rsidRPr="00890C82">
        <w:rPr>
          <w:rFonts w:eastAsia="Arial Unicode MS"/>
          <w:noProof/>
          <w:lang w:val="en-US"/>
        </w:rPr>
        <w:t>, with</w:t>
      </w:r>
      <w:r w:rsidRPr="00890C82">
        <w:rPr>
          <w:rFonts w:eastAsia="Arial Unicode MS"/>
          <w:noProof/>
          <w:lang w:val="en-US"/>
        </w:rPr>
        <w:t xml:space="preserve"> </w:t>
      </w:r>
      <w:r w:rsidR="00F235B3">
        <w:rPr>
          <w:rFonts w:eastAsia="Arial Unicode MS"/>
          <w:noProof/>
          <w:lang w:val="en-US"/>
        </w:rPr>
        <w:t>the</w:t>
      </w:r>
      <w:r w:rsidR="00F235B3" w:rsidRPr="00890C82">
        <w:rPr>
          <w:rFonts w:eastAsia="Arial Unicode MS"/>
          <w:noProof/>
          <w:lang w:val="en-US"/>
        </w:rPr>
        <w:t xml:space="preserve"> </w:t>
      </w:r>
      <w:r w:rsidRPr="00890C82">
        <w:rPr>
          <w:rFonts w:eastAsia="Arial Unicode MS"/>
          <w:noProof/>
          <w:lang w:val="en-US"/>
        </w:rPr>
        <w:t>amendment</w:t>
      </w:r>
      <w:r w:rsidR="00F235B3">
        <w:rPr>
          <w:rFonts w:eastAsia="Arial Unicode MS"/>
          <w:noProof/>
          <w:lang w:val="en-US"/>
        </w:rPr>
        <w:t xml:space="preserve"> in 2013</w:t>
      </w:r>
      <w:r w:rsidRPr="00890C82">
        <w:rPr>
          <w:rFonts w:eastAsia="Arial Unicode MS"/>
          <w:noProof/>
          <w:lang w:val="en-US"/>
        </w:rPr>
        <w:t xml:space="preserve"> making a distinction between core and ancillary tasks which has become obsolete. Moreover, rules on the administrative and financial governance of EU Agencies have also been amended since the last substantial amendment of the Agency’s founding act in 2013. This obsolete structure of the mandate combined with the need to incorporate and reflect EMSA’s new tasks in the areas of maritime safety, sustainability, decarbonisation, security and cybersecurity, surveillance and assistance in crises management call for a new EMSA Regulation to replace its founding Regulation. </w:t>
      </w:r>
    </w:p>
    <w:p w14:paraId="024D5C7E" w14:textId="77777777" w:rsidR="00890C82" w:rsidRPr="00890C82" w:rsidRDefault="00890C82" w:rsidP="00890C82">
      <w:pPr>
        <w:pBdr>
          <w:top w:val="nil"/>
          <w:left w:val="nil"/>
          <w:bottom w:val="nil"/>
          <w:right w:val="nil"/>
          <w:between w:val="nil"/>
          <w:bar w:val="nil"/>
        </w:pBdr>
        <w:spacing w:before="0" w:after="240"/>
        <w:rPr>
          <w:rFonts w:eastAsia="Arial Unicode MS"/>
          <w:noProof/>
        </w:rPr>
      </w:pPr>
      <w:r w:rsidRPr="00890C82">
        <w:rPr>
          <w:rFonts w:eastAsia="Arial Unicode MS"/>
          <w:noProof/>
        </w:rPr>
        <w:t xml:space="preserve">A new Regulation will also help to clarify the structure of the legal act (e.g. by removing the distinction between core and ancillary </w:t>
      </w:r>
      <w:bookmarkStart w:id="1" w:name="_Int_eRWApLDB"/>
      <w:r w:rsidRPr="00890C82">
        <w:rPr>
          <w:rFonts w:eastAsia="Arial Unicode MS"/>
          <w:noProof/>
        </w:rPr>
        <w:t>tasks, and</w:t>
      </w:r>
      <w:bookmarkEnd w:id="1"/>
      <w:r w:rsidRPr="00890C82">
        <w:rPr>
          <w:rFonts w:eastAsia="Arial Unicode MS"/>
          <w:noProof/>
        </w:rPr>
        <w:t xml:space="preserve"> introducing new tasks in each strand of the Agency’s action). As a result, the new Regulation will maintain the tasks that are already reflected in the previous mandate of the Agency while reflecting the new tasks and updating the administrative and financial provisions, aligning them with the new framework.</w:t>
      </w:r>
    </w:p>
    <w:p w14:paraId="6CE1F1F6" w14:textId="77777777" w:rsidR="00053218" w:rsidRPr="002D5EE2" w:rsidRDefault="00053218" w:rsidP="007D7BFB">
      <w:pPr>
        <w:pStyle w:val="ManualHeading2"/>
        <w:rPr>
          <w:rFonts w:eastAsia="Arial Unicode MS"/>
          <w:noProof/>
          <w:color w:val="000000"/>
          <w:u w:color="000000"/>
          <w:bdr w:val="nil"/>
          <w:lang w:val="en-US" w:eastAsia="en-GB"/>
        </w:rPr>
      </w:pPr>
      <w:r w:rsidRPr="0029266A">
        <w:rPr>
          <w:rFonts w:eastAsia="Arial Unicode MS"/>
          <w:noProof/>
          <w:color w:val="000000"/>
          <w:u w:color="000000"/>
          <w:bdr w:val="nil"/>
          <w:lang w:val="en-US" w:eastAsia="en-GB"/>
        </w:rPr>
        <w:t>•</w:t>
      </w:r>
      <w:r w:rsidRPr="0029266A">
        <w:rPr>
          <w:rFonts w:eastAsia="Arial Unicode MS"/>
          <w:noProof/>
          <w:color w:val="000000"/>
          <w:u w:color="000000"/>
          <w:bdr w:val="nil"/>
          <w:lang w:val="en-US" w:eastAsia="en-GB"/>
        </w:rPr>
        <w:tab/>
      </w:r>
      <w:r w:rsidRPr="00044058">
        <w:rPr>
          <w:rFonts w:eastAsia="Arial Unicode MS"/>
          <w:noProof/>
        </w:rPr>
        <w:t>Consistency with existing policy provisions in the</w:t>
      </w:r>
      <w:r>
        <w:rPr>
          <w:rFonts w:eastAsia="Arial Unicode MS"/>
          <w:noProof/>
        </w:rPr>
        <w:t xml:space="preserve"> </w:t>
      </w:r>
      <w:r w:rsidRPr="002D5EE2">
        <w:rPr>
          <w:rFonts w:eastAsia="Arial Unicode MS"/>
          <w:noProof/>
        </w:rPr>
        <w:t>policy area</w:t>
      </w:r>
    </w:p>
    <w:p w14:paraId="330C604F" w14:textId="77777777" w:rsidR="00890C82" w:rsidRPr="00890C82" w:rsidRDefault="00890C82" w:rsidP="00890C82">
      <w:pPr>
        <w:pBdr>
          <w:top w:val="nil"/>
          <w:left w:val="nil"/>
          <w:bottom w:val="nil"/>
          <w:right w:val="nil"/>
          <w:between w:val="nil"/>
          <w:bar w:val="nil"/>
        </w:pBdr>
        <w:spacing w:before="0" w:after="240"/>
        <w:rPr>
          <w:noProof/>
        </w:rPr>
      </w:pPr>
      <w:r w:rsidRPr="00890C82">
        <w:rPr>
          <w:noProof/>
        </w:rPr>
        <w:t xml:space="preserve">The Regulation mandates EMSA to assist Member States and the Commission technically and operationally in a broad range of activities emanating from various pieces of maritime legislation. </w:t>
      </w:r>
    </w:p>
    <w:p w14:paraId="7CD77D81" w14:textId="77777777" w:rsidR="00890C82" w:rsidRPr="00890C82" w:rsidRDefault="00890C82" w:rsidP="00890C82">
      <w:pPr>
        <w:pBdr>
          <w:top w:val="nil"/>
          <w:left w:val="nil"/>
          <w:bottom w:val="nil"/>
          <w:right w:val="nil"/>
          <w:between w:val="nil"/>
          <w:bar w:val="nil"/>
        </w:pBdr>
        <w:spacing w:before="0" w:after="240"/>
        <w:rPr>
          <w:noProof/>
        </w:rPr>
      </w:pPr>
      <w:r w:rsidRPr="00890C82">
        <w:rPr>
          <w:noProof/>
        </w:rPr>
        <w:t>On maritime safety, the Regulation reflects EMSA’s assistance to the Commission and the Member States with the implementation of Directive 2009/21/EC on compliance with flag State requirements, Directive 2009/16/EC on port State control, and Directive 2009/18/EC</w:t>
      </w:r>
      <w:r w:rsidRPr="00890C82">
        <w:rPr>
          <w:b/>
          <w:bCs/>
          <w:noProof/>
        </w:rPr>
        <w:t xml:space="preserve"> e</w:t>
      </w:r>
      <w:r w:rsidRPr="00890C82">
        <w:rPr>
          <w:noProof/>
        </w:rPr>
        <w:t xml:space="preserve">stablishing the fundamental principles governing the investigation of accidents in the maritime transport sector. The revision </w:t>
      </w:r>
      <w:bookmarkStart w:id="2" w:name="_Int_wp0m4nzp"/>
      <w:r w:rsidRPr="00890C82">
        <w:rPr>
          <w:noProof/>
        </w:rPr>
        <w:t>takes into account</w:t>
      </w:r>
      <w:bookmarkEnd w:id="2"/>
      <w:r w:rsidRPr="00890C82">
        <w:rPr>
          <w:noProof/>
        </w:rPr>
        <w:t xml:space="preserve"> the Commission’s new proposals to amend these three Directives. Moreover, the Regulation also has links with EU legislation on passenger ship safety and registration, notably Directive 2009/45/EC on safety rules and standards for passenger ships and Council Directive 98/41/EC on the registration of persons sailing on board passenger ships operating to or from ports of the Member States of the Community. The Agency should continue to develop relevant databases and tools that support the implementation of these Directives and continue to actively assist in the overall safety of passenger ships. Furthermore, the Regulation proposes the continuation of the Agency’s assistance with implementing the rules on ’recognised organisations’, under Regulation (EC) No 391/2009</w:t>
      </w:r>
      <w:r w:rsidRPr="00890C82">
        <w:rPr>
          <w:noProof/>
          <w:lang w:val="en-US"/>
        </w:rPr>
        <w:t xml:space="preserve"> on common rules and standards for ship inspection and survey organisations as well as with Directive</w:t>
      </w:r>
      <w:r w:rsidRPr="00890C82">
        <w:rPr>
          <w:noProof/>
        </w:rPr>
        <w:t xml:space="preserve"> 2014/90/EU on Marine Equipment and with Directive (EU) 2022/993 on the minimum level of training of seafarers. </w:t>
      </w:r>
    </w:p>
    <w:p w14:paraId="71F6B0A7" w14:textId="77777777" w:rsidR="00890C82" w:rsidRPr="00890C82" w:rsidRDefault="00890C82" w:rsidP="00890C82">
      <w:pPr>
        <w:pBdr>
          <w:top w:val="nil"/>
          <w:left w:val="nil"/>
          <w:bottom w:val="nil"/>
          <w:right w:val="nil"/>
          <w:between w:val="nil"/>
          <w:bar w:val="nil"/>
        </w:pBdr>
        <w:spacing w:before="0" w:after="240"/>
        <w:rPr>
          <w:noProof/>
        </w:rPr>
      </w:pPr>
      <w:r w:rsidRPr="00890C82">
        <w:rPr>
          <w:noProof/>
        </w:rPr>
        <w:t>In the area of sustainability, the Agency should continue and expand its assistance with the implementation of the new proposed rules on ship-source pollution</w:t>
      </w:r>
      <w:r w:rsidRPr="00841708">
        <w:rPr>
          <w:rStyle w:val="FootnoteReference"/>
          <w:noProof/>
        </w:rPr>
        <w:footnoteReference w:id="5"/>
      </w:r>
      <w:r w:rsidRPr="00890C82">
        <w:rPr>
          <w:noProof/>
        </w:rPr>
        <w:t xml:space="preserve"> and on the introduction of penalties for infringements, while continuing to support the implementation of the complementary Directive (EU) 2019/883</w:t>
      </w:r>
      <w:r w:rsidRPr="00890C82">
        <w:rPr>
          <w:b/>
          <w:bCs/>
          <w:noProof/>
        </w:rPr>
        <w:t xml:space="preserve"> </w:t>
      </w:r>
      <w:r w:rsidRPr="00890C82">
        <w:rPr>
          <w:noProof/>
        </w:rPr>
        <w:t xml:space="preserve">on port reception facilities for the delivery of waste from ships. The proposal also mandates the Agency to continue to support </w:t>
      </w:r>
      <w:r w:rsidRPr="00890C82">
        <w:rPr>
          <w:noProof/>
          <w:lang w:val="en-US"/>
        </w:rPr>
        <w:t>Directive 2008/56/EC</w:t>
      </w:r>
      <w:r w:rsidRPr="00890C82">
        <w:rPr>
          <w:noProof/>
        </w:rPr>
        <w:t xml:space="preserve"> </w:t>
      </w:r>
      <w:r w:rsidRPr="00890C82">
        <w:rPr>
          <w:noProof/>
          <w:lang w:val="en-US"/>
        </w:rPr>
        <w:t>establishing a framework for Community action in the field of marine environmental policy</w:t>
      </w:r>
      <w:r w:rsidRPr="00890C82">
        <w:rPr>
          <w:noProof/>
        </w:rPr>
        <w:t xml:space="preserve"> (the Marine Strategy Framework Directive) and Directive (EU) 2016/802 on reducing the sulphur content of certain liquid fuels. Finally, the proposal reflects the Agency’s current work to support the implementation of </w:t>
      </w:r>
      <w:r w:rsidRPr="00890C82">
        <w:rPr>
          <w:noProof/>
          <w:lang w:val="en-US"/>
        </w:rPr>
        <w:t xml:space="preserve">Regulation </w:t>
      </w:r>
      <w:r w:rsidRPr="00890C82">
        <w:rPr>
          <w:noProof/>
        </w:rPr>
        <w:t>(EU) No 1257/2013 on ship recycling.</w:t>
      </w:r>
    </w:p>
    <w:p w14:paraId="1FE3DB00" w14:textId="77777777" w:rsidR="00F4653C" w:rsidRPr="00F4653C" w:rsidRDefault="00F4653C" w:rsidP="00F4653C">
      <w:pPr>
        <w:pBdr>
          <w:top w:val="nil"/>
          <w:left w:val="nil"/>
          <w:bottom w:val="nil"/>
          <w:right w:val="nil"/>
          <w:between w:val="nil"/>
          <w:bar w:val="nil"/>
        </w:pBdr>
        <w:spacing w:before="0" w:after="240"/>
        <w:rPr>
          <w:noProof/>
        </w:rPr>
      </w:pPr>
      <w:r w:rsidRPr="00F4653C">
        <w:rPr>
          <w:noProof/>
        </w:rPr>
        <w:t xml:space="preserve">In the area of decarbonisation of shipping, the Agency is expected to support the Commission and the Member States in the implementation of new rules </w:t>
      </w:r>
      <w:r w:rsidRPr="00F4653C">
        <w:rPr>
          <w:noProof/>
          <w:lang w:val="en-US"/>
        </w:rPr>
        <w:t>on</w:t>
      </w:r>
      <w:r w:rsidRPr="00F4653C">
        <w:rPr>
          <w:b/>
          <w:bCs/>
          <w:noProof/>
          <w:lang w:val="en-US"/>
        </w:rPr>
        <w:t> </w:t>
      </w:r>
      <w:r w:rsidRPr="00F4653C">
        <w:rPr>
          <w:noProof/>
        </w:rPr>
        <w:t>the use of renewable and low-carbon fuels in maritime transport and those stemming from the extension of the EU Emissions Trading System to maritime transport</w:t>
      </w:r>
      <w:r w:rsidRPr="00841708">
        <w:rPr>
          <w:rStyle w:val="FootnoteReference"/>
          <w:noProof/>
        </w:rPr>
        <w:footnoteReference w:id="6"/>
      </w:r>
      <w:r w:rsidRPr="00F4653C">
        <w:rPr>
          <w:noProof/>
        </w:rPr>
        <w:t>. Such activities will be added to the services the Agency already provides and it will continue to be required to provide to the Commission and the Member States support in relation to the implementation of Regulation (EU) 2015/757 on the monitoring, reporting and verification of carbon dioxide emissions from maritime transport</w:t>
      </w:r>
      <w:r w:rsidRPr="00F4653C">
        <w:rPr>
          <w:bCs/>
          <w:noProof/>
        </w:rPr>
        <w:t>.</w:t>
      </w:r>
    </w:p>
    <w:p w14:paraId="03554ADF" w14:textId="77777777" w:rsidR="00490E3C" w:rsidRDefault="00490E3C" w:rsidP="00490E3C">
      <w:pPr>
        <w:spacing w:before="0" w:after="200"/>
        <w:rPr>
          <w:noProof/>
          <w:lang w:val="en-US"/>
        </w:rPr>
      </w:pPr>
      <w:r w:rsidRPr="00490E3C">
        <w:rPr>
          <w:bCs/>
          <w:noProof/>
        </w:rPr>
        <w:t>I</w:t>
      </w:r>
      <w:r>
        <w:rPr>
          <w:bCs/>
          <w:noProof/>
        </w:rPr>
        <w:t>n the area</w:t>
      </w:r>
      <w:r w:rsidRPr="00490E3C">
        <w:rPr>
          <w:bCs/>
          <w:noProof/>
        </w:rPr>
        <w:t xml:space="preserve"> of security the Regulation proposes the continuation of the assistance that the Agency is offering to the Commission with the implementation of </w:t>
      </w:r>
      <w:r w:rsidRPr="00490E3C">
        <w:rPr>
          <w:noProof/>
          <w:lang w:val="en-US"/>
        </w:rPr>
        <w:t>Regulation (EC) No 725/2004 on enhancing ship and port facility security.</w:t>
      </w:r>
    </w:p>
    <w:p w14:paraId="7A260581" w14:textId="77777777" w:rsidR="00490E3C" w:rsidRDefault="00490E3C" w:rsidP="00490E3C">
      <w:pPr>
        <w:spacing w:before="0" w:after="200"/>
        <w:rPr>
          <w:bCs/>
          <w:noProof/>
        </w:rPr>
      </w:pPr>
      <w:r>
        <w:rPr>
          <w:noProof/>
          <w:lang w:val="en-US"/>
        </w:rPr>
        <w:t xml:space="preserve">In terms of ship positioning monitoring and surveillance at sea, the proposal is consistent with the tasks that the Agency already delivers in the implementation of </w:t>
      </w:r>
      <w:r w:rsidRPr="001374AC">
        <w:rPr>
          <w:noProof/>
          <w:lang w:val="en-US"/>
        </w:rPr>
        <w:t>Directive 2002/59/EC</w:t>
      </w:r>
      <w:r w:rsidRPr="00E932F8">
        <w:rPr>
          <w:rFonts w:ascii="Roboto" w:hAnsi="Roboto"/>
          <w:b/>
          <w:bCs/>
          <w:noProof/>
          <w:color w:val="333333"/>
          <w:sz w:val="21"/>
          <w:szCs w:val="21"/>
          <w:shd w:val="clear" w:color="auto" w:fill="FFFFFF"/>
        </w:rPr>
        <w:t xml:space="preserve"> </w:t>
      </w:r>
      <w:r w:rsidRPr="00E932F8">
        <w:rPr>
          <w:bCs/>
          <w:noProof/>
        </w:rPr>
        <w:t>establishing a Community vessel traffic monitoring and information system</w:t>
      </w:r>
      <w:r>
        <w:rPr>
          <w:bCs/>
          <w:noProof/>
        </w:rPr>
        <w:t>.</w:t>
      </w:r>
    </w:p>
    <w:p w14:paraId="1FAE246C" w14:textId="77777777" w:rsidR="00490E3C" w:rsidRPr="001873E8" w:rsidRDefault="00490E3C" w:rsidP="00490E3C">
      <w:pPr>
        <w:spacing w:before="0" w:after="200"/>
        <w:rPr>
          <w:noProof/>
        </w:rPr>
      </w:pPr>
      <w:r>
        <w:rPr>
          <w:bCs/>
          <w:noProof/>
        </w:rPr>
        <w:t xml:space="preserve">Finally the proposal is consistent with the tasks given to the Commission under </w:t>
      </w:r>
      <w:r w:rsidRPr="00F94588">
        <w:rPr>
          <w:noProof/>
          <w:lang w:val="en-US"/>
        </w:rPr>
        <w:t>Regulation (EU) 2019/1239 establishing a European Maritime Single Window environment</w:t>
      </w:r>
      <w:r>
        <w:rPr>
          <w:noProof/>
          <w:lang w:val="en-US"/>
        </w:rPr>
        <w:t xml:space="preserve"> (EMSWe) mandating the Agency to continue assisting the Commission in these tasks.</w:t>
      </w:r>
    </w:p>
    <w:p w14:paraId="76B805B1" w14:textId="77777777" w:rsidR="00490E3C" w:rsidRPr="002D5EE2" w:rsidRDefault="00490E3C" w:rsidP="007D7BFB">
      <w:pPr>
        <w:pBdr>
          <w:top w:val="nil"/>
          <w:left w:val="nil"/>
          <w:bottom w:val="nil"/>
          <w:right w:val="nil"/>
          <w:between w:val="nil"/>
          <w:bar w:val="nil"/>
        </w:pBdr>
        <w:spacing w:before="0" w:after="240"/>
        <w:rPr>
          <w:rFonts w:eastAsia="Arial Unicode MS"/>
          <w:noProof/>
        </w:rPr>
      </w:pPr>
    </w:p>
    <w:p w14:paraId="0CBF5BED" w14:textId="77777777" w:rsidR="00053218" w:rsidRPr="002D5EE2" w:rsidRDefault="00053218" w:rsidP="007D7BFB">
      <w:pPr>
        <w:pStyle w:val="ManualHeading2"/>
        <w:rPr>
          <w:rFonts w:eastAsia="Arial Unicode MS"/>
          <w:noProof/>
        </w:rPr>
      </w:pPr>
      <w:r w:rsidRPr="002D5EE2">
        <w:rPr>
          <w:rFonts w:eastAsia="Arial Unicode MS"/>
          <w:noProof/>
          <w:color w:val="000000"/>
          <w:u w:color="000000"/>
          <w:bdr w:val="nil"/>
          <w:lang w:val="en-US" w:eastAsia="en-GB"/>
        </w:rPr>
        <w:t>•</w:t>
      </w:r>
      <w:r w:rsidRPr="002D5EE2">
        <w:rPr>
          <w:rFonts w:eastAsia="Arial Unicode MS"/>
          <w:noProof/>
          <w:color w:val="000000"/>
          <w:u w:color="000000"/>
          <w:bdr w:val="nil"/>
          <w:lang w:val="en-US" w:eastAsia="en-GB"/>
        </w:rPr>
        <w:tab/>
      </w:r>
      <w:r w:rsidRPr="002D5EE2">
        <w:rPr>
          <w:rFonts w:eastAsia="Arial Unicode MS"/>
          <w:noProof/>
        </w:rPr>
        <w:t>Consistency with other Union policies</w:t>
      </w:r>
    </w:p>
    <w:p w14:paraId="24365A0F" w14:textId="77777777" w:rsidR="00053218" w:rsidRPr="00D833F1" w:rsidRDefault="00010BD9" w:rsidP="007D7BFB">
      <w:pPr>
        <w:pBdr>
          <w:top w:val="nil"/>
          <w:left w:val="nil"/>
          <w:bottom w:val="nil"/>
          <w:right w:val="nil"/>
          <w:between w:val="nil"/>
          <w:bar w:val="nil"/>
        </w:pBdr>
        <w:spacing w:before="0" w:after="240"/>
        <w:rPr>
          <w:noProof/>
          <w:lang w:val="en-US"/>
        </w:rPr>
      </w:pPr>
      <w:r w:rsidRPr="00010BD9">
        <w:rPr>
          <w:noProof/>
          <w:lang w:val="en-US"/>
        </w:rPr>
        <w:t xml:space="preserve">The proposal supports the implementation of the Union’s policy and political priorities as reflected </w:t>
      </w:r>
      <w:r w:rsidRPr="00010BD9">
        <w:rPr>
          <w:noProof/>
        </w:rPr>
        <w:t>in the European Green Deal, the Sustainab</w:t>
      </w:r>
      <w:r>
        <w:rPr>
          <w:noProof/>
        </w:rPr>
        <w:t>le and Smart Mobility Strategy and</w:t>
      </w:r>
      <w:r w:rsidRPr="00010BD9">
        <w:rPr>
          <w:noProof/>
        </w:rPr>
        <w:t xml:space="preserve"> the “Fit for 55” package</w:t>
      </w:r>
      <w:r>
        <w:rPr>
          <w:noProof/>
        </w:rPr>
        <w:t>.</w:t>
      </w:r>
      <w:r w:rsidR="0001679C">
        <w:rPr>
          <w:noProof/>
        </w:rPr>
        <w:t xml:space="preserve"> </w:t>
      </w:r>
      <w:r w:rsidR="0001679C" w:rsidRPr="0006778B">
        <w:rPr>
          <w:noProof/>
        </w:rPr>
        <w:t>It is also in line with recent actions announced on the area of maritime security</w:t>
      </w:r>
      <w:r w:rsidR="0006778B" w:rsidRPr="007E608E">
        <w:rPr>
          <w:noProof/>
        </w:rPr>
        <w:t xml:space="preserve"> and the new Communication of the European Commission and the High Representative adopted</w:t>
      </w:r>
      <w:r w:rsidR="00535940" w:rsidRPr="00535940">
        <w:rPr>
          <w:noProof/>
        </w:rPr>
        <w:t xml:space="preserve"> on an enhanced EU Maritime Security Strategy</w:t>
      </w:r>
      <w:r w:rsidR="0006778B" w:rsidRPr="007E608E">
        <w:rPr>
          <w:noProof/>
        </w:rPr>
        <w:t> to ensure a peaceful use of the seas and safeguard the mari</w:t>
      </w:r>
      <w:r w:rsidR="0006778B" w:rsidRPr="0006778B">
        <w:rPr>
          <w:noProof/>
        </w:rPr>
        <w:t xml:space="preserve">time domain against new </w:t>
      </w:r>
      <w:r w:rsidR="00535940" w:rsidRPr="0006778B">
        <w:rPr>
          <w:noProof/>
        </w:rPr>
        <w:t>threats</w:t>
      </w:r>
      <w:r w:rsidR="00DA52F8" w:rsidRPr="007E608E">
        <w:rPr>
          <w:rStyle w:val="FootnoteReference"/>
          <w:noProof/>
        </w:rPr>
        <w:footnoteReference w:id="7"/>
      </w:r>
      <w:r w:rsidR="0006778B">
        <w:rPr>
          <w:noProof/>
        </w:rPr>
        <w:t>.</w:t>
      </w:r>
      <w:r w:rsidR="00D82A77">
        <w:rPr>
          <w:rFonts w:eastAsia="Times New Roman"/>
          <w:noProof/>
          <w:szCs w:val="24"/>
        </w:rPr>
        <w:t xml:space="preserve"> </w:t>
      </w:r>
    </w:p>
    <w:p w14:paraId="5429A573" w14:textId="77777777" w:rsidR="00053218" w:rsidRPr="002D5EE2" w:rsidRDefault="00053218" w:rsidP="007D7BFB">
      <w:pPr>
        <w:pStyle w:val="ManualHeading1"/>
        <w:rPr>
          <w:noProof/>
        </w:rPr>
      </w:pPr>
      <w:r w:rsidRPr="002D5EE2">
        <w:rPr>
          <w:noProof/>
        </w:rPr>
        <w:t>2.</w:t>
      </w:r>
      <w:r w:rsidRPr="002D5EE2">
        <w:rPr>
          <w:noProof/>
        </w:rPr>
        <w:tab/>
        <w:t>LEGAL BASIS, SUBSIDIARITY AND PROPORTIONALITY</w:t>
      </w:r>
    </w:p>
    <w:p w14:paraId="5CBD08DD" w14:textId="77777777" w:rsidR="00053218" w:rsidRPr="002D5EE2" w:rsidRDefault="00053218" w:rsidP="007D7BFB">
      <w:pPr>
        <w:pStyle w:val="ManualHeading2"/>
        <w:rPr>
          <w:rFonts w:eastAsia="Arial Unicode MS"/>
          <w:noProof/>
          <w:u w:color="000000"/>
          <w:bdr w:val="nil"/>
          <w:lang w:val="en-US" w:eastAsia="en-GB"/>
        </w:rPr>
      </w:pPr>
      <w:r w:rsidRPr="002D5EE2">
        <w:rPr>
          <w:rFonts w:eastAsia="Arial Unicode MS"/>
          <w:noProof/>
          <w:u w:color="000000"/>
          <w:bdr w:val="nil"/>
          <w:lang w:val="en-US" w:eastAsia="en-GB"/>
        </w:rPr>
        <w:t>•</w:t>
      </w:r>
      <w:r w:rsidRPr="002D5EE2">
        <w:rPr>
          <w:rFonts w:eastAsia="Arial Unicode MS"/>
          <w:noProof/>
          <w:u w:color="000000"/>
          <w:bdr w:val="nil"/>
          <w:lang w:val="en-US" w:eastAsia="en-GB"/>
        </w:rPr>
        <w:tab/>
        <w:t>Legal basis</w:t>
      </w:r>
    </w:p>
    <w:p w14:paraId="5B09E930" w14:textId="77777777" w:rsidR="00D82A77" w:rsidRPr="00AD0F94" w:rsidRDefault="00D82A77" w:rsidP="00D82A77">
      <w:pPr>
        <w:autoSpaceDE w:val="0"/>
        <w:autoSpaceDN w:val="0"/>
        <w:adjustRightInd w:val="0"/>
        <w:spacing w:before="0" w:after="0"/>
        <w:rPr>
          <w:noProof/>
        </w:rPr>
      </w:pPr>
      <w:r w:rsidRPr="00AD0F94">
        <w:rPr>
          <w:noProof/>
        </w:rPr>
        <w:t xml:space="preserve">Title VI (Articles 90-100) of the Treaty on the Functioning of the Union (TFEU) establishes the EU’s prerogative to make provisions for the Common Transport Policy and therefore the EU has the right to act under the Treaty by establishing the European Maritime Safety Agency. Pursuant to Article 100(2) TFEU, the Union legislator may lay down appropriate provisions for sea transport. Article 91(1)(a) TFEU provides that the Union has competence in the field of transport to lay down common rules applicable to international transport. In view of this, the proposed Regulation would be based on Article 100(2) TFEU, </w:t>
      </w:r>
      <w:r>
        <w:rPr>
          <w:noProof/>
          <w:szCs w:val="24"/>
          <w:lang w:val="en-US"/>
        </w:rPr>
        <w:t>which has served as legal basis for Regulation 1406/2002.</w:t>
      </w:r>
      <w:r w:rsidRPr="00AD0F94">
        <w:rPr>
          <w:noProof/>
        </w:rPr>
        <w:t xml:space="preserve"> </w:t>
      </w:r>
    </w:p>
    <w:p w14:paraId="2643CDA6" w14:textId="77777777" w:rsidR="00D82A77" w:rsidRPr="00492464" w:rsidRDefault="00D82A77" w:rsidP="00D82A77">
      <w:pPr>
        <w:autoSpaceDE w:val="0"/>
        <w:autoSpaceDN w:val="0"/>
        <w:adjustRightInd w:val="0"/>
        <w:spacing w:before="0" w:after="0"/>
        <w:jc w:val="left"/>
        <w:rPr>
          <w:rFonts w:eastAsia="Arial Unicode MS"/>
          <w:noProof/>
        </w:rPr>
      </w:pPr>
    </w:p>
    <w:p w14:paraId="123532C6" w14:textId="77777777" w:rsidR="00053218" w:rsidRDefault="00053218" w:rsidP="007D7BFB">
      <w:pPr>
        <w:pStyle w:val="ManualHeading2"/>
        <w:rPr>
          <w:rFonts w:eastAsia="Arial Unicode MS"/>
          <w:noProof/>
          <w:u w:color="000000"/>
          <w:bdr w:val="nil"/>
          <w:lang w:val="en-US" w:eastAsia="en-GB"/>
        </w:rPr>
      </w:pPr>
      <w:r w:rsidRPr="002D5EE2">
        <w:rPr>
          <w:rFonts w:eastAsia="Arial Unicode MS"/>
          <w:noProof/>
          <w:u w:color="000000"/>
          <w:bdr w:val="nil"/>
          <w:lang w:val="en-US" w:eastAsia="en-GB"/>
        </w:rPr>
        <w:t>•</w:t>
      </w:r>
      <w:r w:rsidRPr="002D5EE2">
        <w:rPr>
          <w:rFonts w:eastAsia="Arial Unicode MS"/>
          <w:noProof/>
          <w:u w:color="000000"/>
          <w:bdr w:val="nil"/>
          <w:lang w:val="en-US" w:eastAsia="en-GB"/>
        </w:rPr>
        <w:tab/>
        <w:t>Subsidiarity (for non-exclusive competence</w:t>
      </w:r>
      <w:r w:rsidR="005E76CD">
        <w:rPr>
          <w:rFonts w:eastAsia="Arial Unicode MS"/>
          <w:noProof/>
          <w:u w:color="000000"/>
          <w:bdr w:val="nil"/>
          <w:lang w:val="en-US" w:eastAsia="en-GB"/>
        </w:rPr>
        <w:t>)</w:t>
      </w:r>
      <w:r w:rsidR="00D82A77">
        <w:rPr>
          <w:rFonts w:eastAsia="Arial Unicode MS"/>
          <w:noProof/>
          <w:u w:color="000000"/>
          <w:bdr w:val="nil"/>
          <w:lang w:val="en-US" w:eastAsia="en-GB"/>
        </w:rPr>
        <w:t xml:space="preserve"> </w:t>
      </w:r>
    </w:p>
    <w:p w14:paraId="1DE984C3" w14:textId="77777777" w:rsidR="005E76CD" w:rsidRDefault="005E76CD" w:rsidP="00D82A77">
      <w:pPr>
        <w:autoSpaceDE w:val="0"/>
        <w:autoSpaceDN w:val="0"/>
        <w:adjustRightInd w:val="0"/>
        <w:spacing w:before="0" w:after="0"/>
        <w:rPr>
          <w:noProof/>
          <w:szCs w:val="24"/>
          <w:lang w:val="en-US"/>
        </w:rPr>
      </w:pPr>
      <w:r>
        <w:rPr>
          <w:noProof/>
          <w:szCs w:val="24"/>
          <w:lang w:val="en-US"/>
        </w:rPr>
        <w:t>The principle</w:t>
      </w:r>
      <w:r w:rsidR="00D82A77">
        <w:rPr>
          <w:noProof/>
          <w:szCs w:val="24"/>
          <w:lang w:val="en-US"/>
        </w:rPr>
        <w:t xml:space="preserve"> of subsidiarity </w:t>
      </w:r>
      <w:r>
        <w:rPr>
          <w:noProof/>
          <w:szCs w:val="24"/>
          <w:lang w:val="en-US"/>
        </w:rPr>
        <w:t>is</w:t>
      </w:r>
      <w:r w:rsidR="00D82A77">
        <w:rPr>
          <w:noProof/>
          <w:szCs w:val="24"/>
          <w:lang w:val="en-US"/>
        </w:rPr>
        <w:t xml:space="preserve"> fully respected</w:t>
      </w:r>
      <w:r>
        <w:rPr>
          <w:noProof/>
          <w:szCs w:val="24"/>
          <w:lang w:val="en-US"/>
        </w:rPr>
        <w:t xml:space="preserve"> given that there is a need </w:t>
      </w:r>
      <w:r w:rsidR="00D82A77">
        <w:rPr>
          <w:noProof/>
          <w:szCs w:val="24"/>
          <w:lang w:val="en-US"/>
        </w:rPr>
        <w:t>for an EU intervention in order to assist the Member States and the Commission to</w:t>
      </w:r>
      <w:r>
        <w:rPr>
          <w:noProof/>
          <w:szCs w:val="24"/>
          <w:lang w:val="en-US"/>
        </w:rPr>
        <w:t xml:space="preserve"> </w:t>
      </w:r>
      <w:r w:rsidR="00D82A77">
        <w:rPr>
          <w:noProof/>
          <w:szCs w:val="24"/>
          <w:lang w:val="en-US"/>
        </w:rPr>
        <w:t>attain the required level of maritime safety, maritime security and the protection of</w:t>
      </w:r>
      <w:r>
        <w:rPr>
          <w:noProof/>
          <w:szCs w:val="24"/>
          <w:lang w:val="en-US"/>
        </w:rPr>
        <w:t xml:space="preserve"> </w:t>
      </w:r>
      <w:r w:rsidR="00D82A77">
        <w:rPr>
          <w:noProof/>
          <w:szCs w:val="24"/>
          <w:lang w:val="en-US"/>
        </w:rPr>
        <w:t>the marine environment within the EU.</w:t>
      </w:r>
    </w:p>
    <w:p w14:paraId="2296F479" w14:textId="77777777" w:rsidR="005E76CD" w:rsidRDefault="00D82A77" w:rsidP="00D82A77">
      <w:pPr>
        <w:autoSpaceDE w:val="0"/>
        <w:autoSpaceDN w:val="0"/>
        <w:adjustRightInd w:val="0"/>
        <w:spacing w:before="0" w:after="0"/>
        <w:rPr>
          <w:noProof/>
          <w:szCs w:val="24"/>
          <w:lang w:val="en-US"/>
        </w:rPr>
      </w:pPr>
      <w:r>
        <w:rPr>
          <w:noProof/>
          <w:szCs w:val="24"/>
          <w:lang w:val="en-US"/>
        </w:rPr>
        <w:t>Furthermore, the effectiveness of the</w:t>
      </w:r>
      <w:r w:rsidR="005E76CD">
        <w:rPr>
          <w:noProof/>
          <w:szCs w:val="24"/>
          <w:lang w:val="en-US"/>
        </w:rPr>
        <w:t xml:space="preserve"> </w:t>
      </w:r>
      <w:r>
        <w:rPr>
          <w:noProof/>
          <w:szCs w:val="24"/>
          <w:lang w:val="en-US"/>
        </w:rPr>
        <w:t>Agency's activities has been acknowledged</w:t>
      </w:r>
      <w:r w:rsidR="005E76CD">
        <w:rPr>
          <w:noProof/>
          <w:szCs w:val="24"/>
          <w:lang w:val="en-US"/>
        </w:rPr>
        <w:t xml:space="preserve"> since the establishment of the Agency in 2002 and it is acknowledged that there is a need for the establishment of a decentralized EU Agency assisting the Commission and the Member States in the relevant policy areas since without EMSA many of the tasks emanating from EU legislations in the maritime domain either could not be delivered at the same level of quality or </w:t>
      </w:r>
      <w:r w:rsidR="00010BD9">
        <w:rPr>
          <w:noProof/>
          <w:szCs w:val="24"/>
          <w:lang w:val="en-US"/>
        </w:rPr>
        <w:t>there is a risk of</w:t>
      </w:r>
      <w:r w:rsidR="005E76CD">
        <w:rPr>
          <w:noProof/>
          <w:szCs w:val="24"/>
          <w:lang w:val="en-US"/>
        </w:rPr>
        <w:t xml:space="preserve"> duplication of efforts among the Member States.</w:t>
      </w:r>
    </w:p>
    <w:p w14:paraId="142D9250" w14:textId="77777777" w:rsidR="00D82A77" w:rsidRPr="00D82A77" w:rsidRDefault="005E76CD" w:rsidP="005E76CD">
      <w:pPr>
        <w:autoSpaceDE w:val="0"/>
        <w:autoSpaceDN w:val="0"/>
        <w:adjustRightInd w:val="0"/>
        <w:spacing w:before="0" w:after="0"/>
        <w:rPr>
          <w:noProof/>
          <w:lang w:val="en-US" w:eastAsia="en-GB"/>
        </w:rPr>
      </w:pPr>
      <w:r>
        <w:rPr>
          <w:noProof/>
          <w:szCs w:val="24"/>
          <w:lang w:val="en-US"/>
        </w:rPr>
        <w:t xml:space="preserve"> </w:t>
      </w:r>
    </w:p>
    <w:p w14:paraId="3352BE10" w14:textId="77777777" w:rsidR="005E76CD" w:rsidRPr="00AD0F94" w:rsidRDefault="00053218" w:rsidP="005E76CD">
      <w:pPr>
        <w:pStyle w:val="ManualHeading2"/>
        <w:rPr>
          <w:noProof/>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Proportionality</w:t>
      </w:r>
      <w:r w:rsidR="005E76CD">
        <w:rPr>
          <w:rFonts w:eastAsia="Arial Unicode MS"/>
          <w:noProof/>
          <w:u w:color="000000"/>
          <w:bdr w:val="nil"/>
          <w:lang w:val="en-US" w:eastAsia="en-GB"/>
        </w:rPr>
        <w:t xml:space="preserve"> </w:t>
      </w:r>
    </w:p>
    <w:p w14:paraId="08522BBB" w14:textId="77777777" w:rsidR="00010BD9" w:rsidRPr="00010BD9" w:rsidRDefault="00010BD9" w:rsidP="00010BD9">
      <w:pPr>
        <w:autoSpaceDE w:val="0"/>
        <w:autoSpaceDN w:val="0"/>
        <w:adjustRightInd w:val="0"/>
        <w:spacing w:before="0" w:after="0"/>
        <w:rPr>
          <w:noProof/>
          <w:szCs w:val="24"/>
          <w:lang w:val="en-US"/>
        </w:rPr>
      </w:pPr>
      <w:r w:rsidRPr="00010BD9">
        <w:rPr>
          <w:noProof/>
          <w:szCs w:val="24"/>
          <w:lang w:val="en-US"/>
        </w:rPr>
        <w:t xml:space="preserve">The proposal is </w:t>
      </w:r>
      <w:r w:rsidRPr="00010BD9">
        <w:rPr>
          <w:bCs/>
          <w:noProof/>
          <w:szCs w:val="24"/>
          <w:lang w:val="en-US"/>
        </w:rPr>
        <w:t>proportionate</w:t>
      </w:r>
      <w:r w:rsidRPr="00010BD9">
        <w:rPr>
          <w:b/>
          <w:bCs/>
          <w:noProof/>
          <w:szCs w:val="24"/>
          <w:lang w:val="en-US"/>
        </w:rPr>
        <w:t xml:space="preserve"> </w:t>
      </w:r>
      <w:r w:rsidRPr="00010BD9">
        <w:rPr>
          <w:noProof/>
          <w:szCs w:val="24"/>
          <w:lang w:val="en-US"/>
        </w:rPr>
        <w:t xml:space="preserve">as it is the only way for the necessary changes in the Agency’s mandate to come about. </w:t>
      </w:r>
    </w:p>
    <w:p w14:paraId="53645616" w14:textId="77777777" w:rsidR="00010BD9" w:rsidRPr="00010BD9" w:rsidRDefault="00010BD9" w:rsidP="00010BD9">
      <w:pPr>
        <w:autoSpaceDE w:val="0"/>
        <w:autoSpaceDN w:val="0"/>
        <w:adjustRightInd w:val="0"/>
        <w:spacing w:before="0" w:after="0"/>
        <w:rPr>
          <w:noProof/>
          <w:szCs w:val="24"/>
          <w:lang w:val="en-US"/>
        </w:rPr>
      </w:pPr>
      <w:r w:rsidRPr="00010BD9">
        <w:rPr>
          <w:noProof/>
          <w:szCs w:val="24"/>
          <w:lang w:val="en-US"/>
        </w:rPr>
        <w:t>EU-level action does not intend to replace national actions or authorities nor to question their relevance. The proposal does not include new tasks for the Agency except the ones that the Agency already has undertaken in the previous years to assist the Commission and the Member States in the implementation of the relevant policy areas, as well as the new tasks emanating from the Fit for 55 package and the maritime package. Therefore, the proposal aims to reflect better</w:t>
      </w:r>
      <w:r w:rsidR="0001679C">
        <w:rPr>
          <w:noProof/>
          <w:szCs w:val="24"/>
          <w:lang w:val="en-US"/>
        </w:rPr>
        <w:t>,</w:t>
      </w:r>
      <w:r w:rsidRPr="00010BD9">
        <w:rPr>
          <w:noProof/>
          <w:szCs w:val="24"/>
          <w:lang w:val="en-US"/>
        </w:rPr>
        <w:t xml:space="preserve"> in legal terms</w:t>
      </w:r>
      <w:r w:rsidR="0001679C">
        <w:rPr>
          <w:noProof/>
          <w:szCs w:val="24"/>
          <w:lang w:val="en-US"/>
        </w:rPr>
        <w:t>,</w:t>
      </w:r>
      <w:r w:rsidRPr="00010BD9">
        <w:rPr>
          <w:noProof/>
          <w:szCs w:val="24"/>
          <w:lang w:val="en-US"/>
        </w:rPr>
        <w:t xml:space="preserve"> the current situation. </w:t>
      </w:r>
    </w:p>
    <w:p w14:paraId="4B4769D3" w14:textId="77777777" w:rsidR="005E76CD" w:rsidRDefault="005E76CD" w:rsidP="005E76CD">
      <w:pPr>
        <w:autoSpaceDE w:val="0"/>
        <w:autoSpaceDN w:val="0"/>
        <w:adjustRightInd w:val="0"/>
        <w:spacing w:before="0" w:after="0"/>
        <w:rPr>
          <w:noProof/>
          <w:szCs w:val="24"/>
          <w:lang w:val="en-US"/>
        </w:rPr>
      </w:pPr>
    </w:p>
    <w:p w14:paraId="0DB3A9B5" w14:textId="77777777" w:rsidR="00053218" w:rsidRDefault="00053218" w:rsidP="007D7BFB">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r>
      <w:r>
        <w:rPr>
          <w:rFonts w:eastAsia="Arial Unicode MS"/>
          <w:noProof/>
          <w:u w:color="000000"/>
          <w:bdr w:val="nil"/>
          <w:lang w:val="en-US" w:eastAsia="en-GB"/>
        </w:rPr>
        <w:t>Choice of the instrument</w:t>
      </w:r>
    </w:p>
    <w:p w14:paraId="4082475E" w14:textId="77777777" w:rsidR="00010BD9" w:rsidRPr="00010BD9" w:rsidRDefault="00010BD9" w:rsidP="00010BD9">
      <w:pPr>
        <w:pBdr>
          <w:top w:val="nil"/>
          <w:left w:val="nil"/>
          <w:bottom w:val="nil"/>
          <w:right w:val="nil"/>
          <w:between w:val="nil"/>
          <w:bar w:val="nil"/>
        </w:pBdr>
        <w:spacing w:before="0" w:after="240"/>
        <w:rPr>
          <w:noProof/>
          <w:szCs w:val="24"/>
          <w:lang w:val="en-US"/>
        </w:rPr>
      </w:pPr>
      <w:r w:rsidRPr="00010BD9">
        <w:rPr>
          <w:noProof/>
          <w:szCs w:val="24"/>
          <w:lang w:val="en-US"/>
        </w:rPr>
        <w:t>Given that this proposal aims to replace an existing Regulation, a Regulation is considered to be the most appropriate instrument.</w:t>
      </w:r>
    </w:p>
    <w:p w14:paraId="60F8A6FB" w14:textId="77777777" w:rsidR="00053218" w:rsidRPr="00550536" w:rsidRDefault="00053218" w:rsidP="007D7BFB">
      <w:pPr>
        <w:pStyle w:val="ManualHeading1"/>
        <w:rPr>
          <w:noProof/>
        </w:rPr>
      </w:pPr>
      <w:r w:rsidRPr="00550536">
        <w:rPr>
          <w:noProof/>
        </w:rPr>
        <w:t>3.</w:t>
      </w:r>
      <w:r w:rsidRPr="00550536">
        <w:rPr>
          <w:noProof/>
        </w:rPr>
        <w:tab/>
        <w:t>RESULTS OF EX-POST EVALUATIONS, STAKEHOLDER CONSULTATIONS AND IMPACT ASSESSMENTS</w:t>
      </w:r>
    </w:p>
    <w:p w14:paraId="3E2AD01D" w14:textId="77777777" w:rsidR="00053218" w:rsidRDefault="00053218" w:rsidP="007D7BFB">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Ex-post evaluations/fitness checks</w:t>
      </w:r>
      <w:r>
        <w:rPr>
          <w:rFonts w:eastAsia="Arial Unicode MS"/>
          <w:noProof/>
          <w:u w:color="000000"/>
          <w:bdr w:val="nil"/>
          <w:lang w:val="en-US" w:eastAsia="en-GB"/>
        </w:rPr>
        <w:t xml:space="preserve"> of existing legislation</w:t>
      </w:r>
    </w:p>
    <w:p w14:paraId="0B7EB5B7" w14:textId="77777777" w:rsidR="008C20AA" w:rsidRPr="008C20AA" w:rsidRDefault="008C20AA" w:rsidP="008C20AA">
      <w:pPr>
        <w:spacing w:before="0" w:after="240"/>
        <w:rPr>
          <w:noProof/>
          <w:szCs w:val="24"/>
        </w:rPr>
      </w:pPr>
      <w:r w:rsidRPr="008C20AA">
        <w:rPr>
          <w:noProof/>
          <w:szCs w:val="24"/>
        </w:rPr>
        <w:t>The  EMSA mandate underwent two external evaluations, respectively in 2008 and in 2017. The former provided an overall positive assessment of the Agency, concluding that it had “filled a gap in the maritime safety area in the European Union”</w:t>
      </w:r>
      <w:r w:rsidRPr="00AD0F94">
        <w:rPr>
          <w:rStyle w:val="FootnoteReference"/>
          <w:noProof/>
        </w:rPr>
        <w:footnoteReference w:id="8"/>
      </w:r>
      <w:r w:rsidRPr="008C20AA">
        <w:rPr>
          <w:noProof/>
          <w:szCs w:val="24"/>
        </w:rPr>
        <w:t>. It presented a set of 11 recommendations, which the 2017 evaluation found to be fully implemented. The latter, focusing on the 2013-2016 period, re-confirmed the previous study’s overall positive assessment of the Agency, concluding that EMSA was a key contributor to “a safer and more secure maritime environment as well as to the increased ability of Member States to prevent and to respond to Marine Pollution”</w:t>
      </w:r>
      <w:r w:rsidRPr="00AD0F94">
        <w:rPr>
          <w:rStyle w:val="FootnoteReference"/>
          <w:noProof/>
        </w:rPr>
        <w:footnoteReference w:id="9"/>
      </w:r>
      <w:r w:rsidRPr="008C20AA">
        <w:rPr>
          <w:noProof/>
          <w:szCs w:val="24"/>
        </w:rPr>
        <w:t>.</w:t>
      </w:r>
    </w:p>
    <w:p w14:paraId="170DE468" w14:textId="77777777" w:rsidR="00010BD9" w:rsidRPr="00010BD9" w:rsidRDefault="00010BD9" w:rsidP="00010BD9">
      <w:pPr>
        <w:spacing w:before="0" w:after="240"/>
        <w:rPr>
          <w:noProof/>
          <w:szCs w:val="24"/>
        </w:rPr>
      </w:pPr>
      <w:r w:rsidRPr="00010BD9">
        <w:rPr>
          <w:noProof/>
          <w:szCs w:val="24"/>
        </w:rPr>
        <w:t xml:space="preserve">Notwithstanding these overall positive assessments, the 2017 evaluation highlighted that, going forward, an enhanced mandate would likely become necessary, allowing EMSA to better support the Commission and Member States, and, indirectly, the maritime industry. Overall, the 2017 evaluation concluded that </w:t>
      </w:r>
      <w:r w:rsidRPr="00010BD9">
        <w:rPr>
          <w:bCs/>
          <w:noProof/>
          <w:szCs w:val="24"/>
        </w:rPr>
        <w:t>“a discontinuation or a reduction of EMSA’s mandate would have significant, negative impacts on maritime safety and security in Europe”</w:t>
      </w:r>
      <w:r w:rsidRPr="00604C98">
        <w:rPr>
          <w:rStyle w:val="FootnoteReference"/>
          <w:noProof/>
        </w:rPr>
        <w:footnoteReference w:id="10"/>
      </w:r>
      <w:r w:rsidRPr="00010BD9">
        <w:rPr>
          <w:noProof/>
          <w:szCs w:val="24"/>
        </w:rPr>
        <w:t xml:space="preserve">. </w:t>
      </w:r>
    </w:p>
    <w:p w14:paraId="0B0022BB" w14:textId="77777777" w:rsidR="00010BD9" w:rsidRPr="00010BD9" w:rsidRDefault="00010BD9" w:rsidP="00010BD9">
      <w:pPr>
        <w:spacing w:before="0" w:after="240"/>
        <w:rPr>
          <w:noProof/>
          <w:szCs w:val="24"/>
        </w:rPr>
      </w:pPr>
      <w:r w:rsidRPr="00010BD9">
        <w:rPr>
          <w:noProof/>
          <w:szCs w:val="24"/>
        </w:rPr>
        <w:t>A specific assessment of the cost effectiveness and cost efficiency of EMSA’s oil pollution response services was also conducted in 2017</w:t>
      </w:r>
      <w:r w:rsidRPr="00604C98">
        <w:rPr>
          <w:rStyle w:val="FootnoteReference"/>
          <w:noProof/>
        </w:rPr>
        <w:footnoteReference w:id="11"/>
      </w:r>
      <w:r w:rsidRPr="00010BD9">
        <w:rPr>
          <w:noProof/>
          <w:szCs w:val="24"/>
        </w:rPr>
        <w:t>. The latter found that EMSA adequately fulfilled its mandate of providing oil pollution operational assistance and support. Specifically, the Agency’s activities in this regard were found to be cost-effective if compared to the economic consequences that would result from a lack of capacity on its part to respond to an oil spill and preventing it from reaching the shoreline. The assessment provided a set of recommendations to improve the operational response.</w:t>
      </w:r>
    </w:p>
    <w:p w14:paraId="1F411536" w14:textId="77777777" w:rsidR="00010BD9" w:rsidRPr="00010BD9" w:rsidRDefault="00010BD9" w:rsidP="00010BD9">
      <w:pPr>
        <w:spacing w:before="0" w:after="240"/>
        <w:rPr>
          <w:noProof/>
          <w:szCs w:val="24"/>
        </w:rPr>
      </w:pPr>
      <w:r w:rsidRPr="00010BD9">
        <w:rPr>
          <w:noProof/>
          <w:szCs w:val="24"/>
        </w:rPr>
        <w:t>Finally, the Commission undertook a Fitness Check of the 2009 EU Maritime Transport Strategy (2018)</w:t>
      </w:r>
      <w:r w:rsidRPr="00604C98">
        <w:rPr>
          <w:rStyle w:val="FootnoteReference"/>
          <w:noProof/>
        </w:rPr>
        <w:footnoteReference w:id="12"/>
      </w:r>
      <w:r w:rsidRPr="00010BD9">
        <w:rPr>
          <w:noProof/>
          <w:szCs w:val="24"/>
        </w:rPr>
        <w:t xml:space="preserve">. This review underlined EMSA’s contribution to the EU’s involvement in maritime transport, stemming from providing training, capacity-building, technical assistance and common databases. In particular, the report highlighted EMSA’s added value in terms of its role in hosting and promoting the development of EU-level systems, such as SafeSeaNet, THETIS and, though to a lesser extent, the </w:t>
      </w:r>
      <w:r w:rsidR="00AF32C4" w:rsidRPr="00AF32C4">
        <w:rPr>
          <w:iCs/>
          <w:noProof/>
          <w:szCs w:val="24"/>
          <w:lang w:val="en-IE"/>
        </w:rPr>
        <w:t>European Maritime Casualty Information Platform</w:t>
      </w:r>
      <w:r w:rsidR="00AF32C4">
        <w:rPr>
          <w:i/>
          <w:iCs/>
          <w:noProof/>
          <w:szCs w:val="24"/>
          <w:lang w:val="en-IE"/>
        </w:rPr>
        <w:t xml:space="preserve"> </w:t>
      </w:r>
      <w:r w:rsidR="00AF32C4" w:rsidRPr="00AF32C4">
        <w:rPr>
          <w:iCs/>
          <w:noProof/>
          <w:szCs w:val="24"/>
          <w:lang w:val="en-IE"/>
        </w:rPr>
        <w:t>(</w:t>
      </w:r>
      <w:r w:rsidRPr="00AF32C4">
        <w:rPr>
          <w:noProof/>
          <w:szCs w:val="24"/>
        </w:rPr>
        <w:t>EMCIP</w:t>
      </w:r>
      <w:r w:rsidR="00AF32C4" w:rsidRPr="00AF32C4">
        <w:rPr>
          <w:noProof/>
          <w:szCs w:val="24"/>
        </w:rPr>
        <w:t>)</w:t>
      </w:r>
      <w:r w:rsidRPr="00010BD9">
        <w:rPr>
          <w:noProof/>
          <w:szCs w:val="24"/>
        </w:rPr>
        <w:t xml:space="preserve"> database for accident investigation. Against this background, the Fitness Check recommended to continue building on EMSA’s capacities, with a focus on promoting and investing in EMSA’s digital systems, applications and databases.</w:t>
      </w:r>
    </w:p>
    <w:p w14:paraId="1ED771B7" w14:textId="77777777" w:rsidR="008C20AA" w:rsidRPr="008C20AA" w:rsidRDefault="008C20AA" w:rsidP="008C20AA">
      <w:pPr>
        <w:spacing w:before="0" w:after="240"/>
        <w:rPr>
          <w:noProof/>
          <w:szCs w:val="24"/>
        </w:rPr>
      </w:pPr>
    </w:p>
    <w:p w14:paraId="4A323CB1" w14:textId="77777777" w:rsidR="00053218" w:rsidRDefault="00053218" w:rsidP="007D7BFB">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Stakeholder consultations</w:t>
      </w:r>
    </w:p>
    <w:p w14:paraId="044F2985" w14:textId="77777777" w:rsidR="008C20AA" w:rsidRDefault="008C20AA" w:rsidP="008C20AA">
      <w:pPr>
        <w:pStyle w:val="Text1"/>
        <w:rPr>
          <w:noProof/>
          <w:lang w:val="en-US" w:eastAsia="en-GB"/>
        </w:rPr>
      </w:pPr>
      <w:r>
        <w:rPr>
          <w:noProof/>
          <w:lang w:val="en-US" w:eastAsia="en-GB"/>
        </w:rPr>
        <w:t>The main consultation activities for supporting the current proposal were as follows:</w:t>
      </w:r>
    </w:p>
    <w:p w14:paraId="6BF89746" w14:textId="77777777" w:rsidR="00E52A91" w:rsidRPr="00E52A91" w:rsidRDefault="00E52A91" w:rsidP="00772866">
      <w:pPr>
        <w:pStyle w:val="Tiret1"/>
        <w:numPr>
          <w:ilvl w:val="0"/>
          <w:numId w:val="23"/>
        </w:numPr>
        <w:rPr>
          <w:noProof/>
          <w:lang w:val="en-US" w:eastAsia="en-GB"/>
        </w:rPr>
      </w:pPr>
      <w:r w:rsidRPr="00E52A91">
        <w:rPr>
          <w:noProof/>
          <w:lang w:val="en-US" w:eastAsia="en-GB"/>
        </w:rPr>
        <w:t>An Open Public Consultation, organised by the Commission, which ran from 28 March 2022 to 20 June 2022. However, there was low stakeholder input with answers submitted by only 1</w:t>
      </w:r>
      <w:r w:rsidR="00535940">
        <w:rPr>
          <w:noProof/>
          <w:lang w:val="en-US" w:eastAsia="en-GB"/>
        </w:rPr>
        <w:t>5</w:t>
      </w:r>
      <w:r w:rsidRPr="00E52A91">
        <w:rPr>
          <w:noProof/>
          <w:lang w:val="en-US" w:eastAsia="en-GB"/>
        </w:rPr>
        <w:t xml:space="preserve"> respondents.  </w:t>
      </w:r>
    </w:p>
    <w:p w14:paraId="3AD04EF8" w14:textId="77777777" w:rsidR="00E52A91" w:rsidRPr="00E52A91" w:rsidRDefault="00E52A91" w:rsidP="00756024">
      <w:pPr>
        <w:pStyle w:val="Tiret1"/>
        <w:rPr>
          <w:noProof/>
          <w:lang w:val="en-US" w:eastAsia="en-GB"/>
        </w:rPr>
      </w:pPr>
      <w:r w:rsidRPr="00E52A91">
        <w:rPr>
          <w:noProof/>
          <w:lang w:val="en-US" w:eastAsia="en-GB"/>
        </w:rPr>
        <w:t>Two targeted stakeholder surveys to gather specific information, one on the list of possible tasks to be included in the new mandate, with 122 replies mainly from Member States authorities, and the other on the cost estimations about savings from conducting tasks at EU level instead of individual Member States. The first online survey ran from March 2022 to April 2022 and the second was conducted from November 2022 to December 2022.</w:t>
      </w:r>
    </w:p>
    <w:p w14:paraId="6472415B" w14:textId="77777777" w:rsidR="008C20AA" w:rsidRPr="008C20AA" w:rsidRDefault="00432037" w:rsidP="00756024">
      <w:pPr>
        <w:pStyle w:val="Tiret1"/>
        <w:rPr>
          <w:noProof/>
          <w:lang w:val="en-US" w:eastAsia="en-GB"/>
        </w:rPr>
      </w:pPr>
      <w:r>
        <w:rPr>
          <w:noProof/>
          <w:lang w:val="en-US" w:eastAsia="en-GB"/>
        </w:rPr>
        <w:t>A total of 26 targeted interviews were conducted</w:t>
      </w:r>
      <w:r w:rsidR="008C20AA" w:rsidRPr="008C20AA">
        <w:rPr>
          <w:noProof/>
          <w:lang w:val="en-US" w:eastAsia="en-GB"/>
        </w:rPr>
        <w:t xml:space="preserve"> with EU level representatives of key stakeholders organised by the consultant in charge of the external support study, running intermittently from </w:t>
      </w:r>
      <w:r>
        <w:rPr>
          <w:noProof/>
          <w:lang w:val="en-US" w:eastAsia="en-GB"/>
        </w:rPr>
        <w:t>January 2022</w:t>
      </w:r>
      <w:r w:rsidR="008C20AA" w:rsidRPr="008C20AA">
        <w:rPr>
          <w:noProof/>
          <w:lang w:val="en-US" w:eastAsia="en-GB"/>
        </w:rPr>
        <w:t xml:space="preserve"> to </w:t>
      </w:r>
      <w:r>
        <w:rPr>
          <w:noProof/>
          <w:lang w:val="en-US" w:eastAsia="en-GB"/>
        </w:rPr>
        <w:t>July</w:t>
      </w:r>
      <w:r w:rsidR="008C20AA" w:rsidRPr="008C20AA">
        <w:rPr>
          <w:noProof/>
          <w:lang w:val="en-US" w:eastAsia="en-GB"/>
        </w:rPr>
        <w:t xml:space="preserve"> 2022, to fill specific information requests</w:t>
      </w:r>
      <w:r>
        <w:rPr>
          <w:noProof/>
          <w:lang w:val="en-US" w:eastAsia="en-GB"/>
        </w:rPr>
        <w:t>.</w:t>
      </w:r>
    </w:p>
    <w:p w14:paraId="0E4221EB" w14:textId="77777777" w:rsidR="003B4FD6" w:rsidRDefault="003B4FD6" w:rsidP="00756024">
      <w:pPr>
        <w:pStyle w:val="Tiret1"/>
        <w:rPr>
          <w:noProof/>
          <w:lang w:val="en-US" w:eastAsia="en-GB"/>
        </w:rPr>
      </w:pPr>
      <w:r>
        <w:rPr>
          <w:noProof/>
          <w:lang w:val="en-US" w:eastAsia="en-GB"/>
        </w:rPr>
        <w:t xml:space="preserve">The contractor of the support study conducted also two workshops with experts of the maritime sector on 13 December 2021 and 4 March 2022 to consult on various aspects of the revisi0n. </w:t>
      </w:r>
    </w:p>
    <w:p w14:paraId="1A1BF064" w14:textId="77777777" w:rsidR="008C20AA" w:rsidRPr="008C20AA" w:rsidRDefault="008C20AA" w:rsidP="00756024">
      <w:pPr>
        <w:pStyle w:val="Tiret1"/>
        <w:rPr>
          <w:noProof/>
          <w:lang w:val="en-US" w:eastAsia="en-GB"/>
        </w:rPr>
      </w:pPr>
      <w:r w:rsidRPr="008C20AA">
        <w:rPr>
          <w:noProof/>
          <w:lang w:val="en-US" w:eastAsia="en-GB"/>
        </w:rPr>
        <w:t xml:space="preserve">Additional targeted consultation activities organised by the Commission in order to consult the Member States on the policy measures and to validate the </w:t>
      </w:r>
      <w:r w:rsidR="00432037">
        <w:rPr>
          <w:noProof/>
          <w:lang w:val="en-US" w:eastAsia="en-GB"/>
        </w:rPr>
        <w:t>progress of the revision</w:t>
      </w:r>
      <w:r w:rsidRPr="008C20AA">
        <w:rPr>
          <w:noProof/>
          <w:lang w:val="en-US" w:eastAsia="en-GB"/>
        </w:rPr>
        <w:t>. These activitie</w:t>
      </w:r>
      <w:r w:rsidR="00432037">
        <w:rPr>
          <w:noProof/>
          <w:lang w:val="en-US" w:eastAsia="en-GB"/>
        </w:rPr>
        <w:t>s took place in the context of two</w:t>
      </w:r>
      <w:r w:rsidRPr="008C20AA">
        <w:rPr>
          <w:noProof/>
          <w:lang w:val="en-US" w:eastAsia="en-GB"/>
        </w:rPr>
        <w:t xml:space="preserve"> meeting</w:t>
      </w:r>
      <w:r w:rsidR="00432037">
        <w:rPr>
          <w:noProof/>
          <w:lang w:val="en-US" w:eastAsia="en-GB"/>
        </w:rPr>
        <w:t>s</w:t>
      </w:r>
      <w:r w:rsidRPr="008C20AA">
        <w:rPr>
          <w:noProof/>
          <w:lang w:val="en-US" w:eastAsia="en-GB"/>
        </w:rPr>
        <w:t xml:space="preserve"> of the EU Committee on Safe Seas and the Prevention of Pollution from Ships (2 June 2022</w:t>
      </w:r>
      <w:r w:rsidR="00432037">
        <w:rPr>
          <w:noProof/>
          <w:lang w:val="en-US" w:eastAsia="en-GB"/>
        </w:rPr>
        <w:t xml:space="preserve"> and </w:t>
      </w:r>
      <w:r w:rsidR="003B4FD6">
        <w:rPr>
          <w:noProof/>
          <w:lang w:val="en-US" w:eastAsia="en-GB"/>
        </w:rPr>
        <w:t xml:space="preserve">29 November 2022) and a workshop with the Maritime Directors from Member States on 17 May 2022. </w:t>
      </w:r>
    </w:p>
    <w:p w14:paraId="3CE1F2C3" w14:textId="77777777" w:rsidR="008C20AA" w:rsidRDefault="008C20AA" w:rsidP="00756024">
      <w:pPr>
        <w:pStyle w:val="Tiret1"/>
        <w:rPr>
          <w:noProof/>
          <w:lang w:val="en-US" w:eastAsia="en-GB"/>
        </w:rPr>
      </w:pPr>
      <w:r w:rsidRPr="008C20AA">
        <w:rPr>
          <w:noProof/>
          <w:lang w:val="en-US" w:eastAsia="en-GB"/>
        </w:rPr>
        <w:t xml:space="preserve">The opinions of stakeholders </w:t>
      </w:r>
      <w:r w:rsidR="00E52A91">
        <w:rPr>
          <w:noProof/>
          <w:lang w:val="en-US" w:eastAsia="en-GB"/>
        </w:rPr>
        <w:t>were coherent with</w:t>
      </w:r>
      <w:r w:rsidR="003B4FD6">
        <w:rPr>
          <w:noProof/>
          <w:lang w:val="en-US" w:eastAsia="en-GB"/>
        </w:rPr>
        <w:t xml:space="preserve"> the need to reflect better the current tasks of the Agency in its mandate, which was found by the majority to be outdated, especially in the areas of sustainability, decarbonisation and digitalization of the maritime sector</w:t>
      </w:r>
      <w:r w:rsidRPr="008C20AA">
        <w:rPr>
          <w:noProof/>
          <w:lang w:val="en-US" w:eastAsia="en-GB"/>
        </w:rPr>
        <w:t>.</w:t>
      </w:r>
    </w:p>
    <w:p w14:paraId="432AF2CA" w14:textId="77777777" w:rsidR="00A44236" w:rsidRPr="008C20AA" w:rsidRDefault="00A44236" w:rsidP="00604C98">
      <w:pPr>
        <w:rPr>
          <w:noProof/>
          <w:lang w:val="en-US" w:eastAsia="en-GB"/>
        </w:rPr>
      </w:pPr>
    </w:p>
    <w:p w14:paraId="61B101F4" w14:textId="77777777" w:rsidR="00053218" w:rsidRDefault="00053218" w:rsidP="007D7BFB">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r>
      <w:r>
        <w:rPr>
          <w:rFonts w:eastAsia="Arial Unicode MS"/>
          <w:noProof/>
          <w:u w:color="000000"/>
          <w:bdr w:val="nil"/>
          <w:lang w:val="en-US" w:eastAsia="en-GB"/>
        </w:rPr>
        <w:t>Collection and use of expertise</w:t>
      </w:r>
    </w:p>
    <w:p w14:paraId="5EA4CDEC" w14:textId="77777777" w:rsidR="00053218" w:rsidRPr="00FD3998" w:rsidRDefault="00FD3998" w:rsidP="007D7BFB">
      <w:pPr>
        <w:pBdr>
          <w:top w:val="nil"/>
          <w:left w:val="nil"/>
          <w:bottom w:val="nil"/>
          <w:right w:val="nil"/>
          <w:between w:val="nil"/>
          <w:bar w:val="nil"/>
        </w:pBdr>
        <w:spacing w:before="0" w:after="240"/>
        <w:rPr>
          <w:noProof/>
          <w:lang w:val="en-US" w:eastAsia="en-GB"/>
        </w:rPr>
      </w:pPr>
      <w:r w:rsidRPr="00FD3998">
        <w:rPr>
          <w:noProof/>
          <w:lang w:val="en-US" w:eastAsia="en-GB"/>
        </w:rPr>
        <w:t xml:space="preserve">The </w:t>
      </w:r>
      <w:r>
        <w:rPr>
          <w:noProof/>
          <w:lang w:val="en-US" w:eastAsia="en-GB"/>
        </w:rPr>
        <w:t xml:space="preserve">proposal builds on an external support study which looked into the problems of the current mandate of the Agency and the tasks which have to be reflected properly while a bigger part was dedicated on the tasks which would need to be further expanded so that the Agency supports better the Member States and the </w:t>
      </w:r>
      <w:r w:rsidR="00EB5650">
        <w:rPr>
          <w:noProof/>
          <w:lang w:val="en-US" w:eastAsia="en-GB"/>
        </w:rPr>
        <w:t>sector with the future challenges, especially the</w:t>
      </w:r>
      <w:r>
        <w:rPr>
          <w:noProof/>
          <w:lang w:val="en-US" w:eastAsia="en-GB"/>
        </w:rPr>
        <w:t xml:space="preserve"> green and digital transitions of the sector.</w:t>
      </w:r>
    </w:p>
    <w:p w14:paraId="737CC03B" w14:textId="77777777" w:rsidR="00053218" w:rsidRDefault="00053218" w:rsidP="007D7BFB">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Impact assessment</w:t>
      </w:r>
    </w:p>
    <w:p w14:paraId="13E78E0C" w14:textId="77777777" w:rsidR="00F26CC5" w:rsidRDefault="00F26CC5" w:rsidP="00F26CC5">
      <w:pPr>
        <w:pBdr>
          <w:top w:val="nil"/>
          <w:left w:val="nil"/>
          <w:bottom w:val="nil"/>
          <w:right w:val="nil"/>
          <w:between w:val="nil"/>
          <w:bar w:val="nil"/>
        </w:pBdr>
        <w:spacing w:before="0" w:after="240"/>
        <w:rPr>
          <w:noProof/>
          <w:lang w:eastAsia="en-GB"/>
        </w:rPr>
      </w:pPr>
      <w:r w:rsidRPr="385AC1B8">
        <w:rPr>
          <w:noProof/>
          <w:lang w:val="en-US" w:eastAsia="en-GB"/>
        </w:rPr>
        <w:t xml:space="preserve">The proposal envisages </w:t>
      </w:r>
      <w:r w:rsidRPr="385AC1B8">
        <w:rPr>
          <w:noProof/>
          <w:lang w:eastAsia="en-GB"/>
        </w:rPr>
        <w:t>changes to EMSA’s founding Regulation stemming solely from obligations that have either already been introduced or have been proposed by other pieces of legislation and therefore need to be better reflected in legal terms. It also reflects EMSA’s current tasks that are not specifically mentioned in its mandate, despite now constituting a bigger part of its deliverables.</w:t>
      </w:r>
    </w:p>
    <w:p w14:paraId="35412A84" w14:textId="77777777" w:rsidR="00F26CC5" w:rsidRPr="009071B6" w:rsidRDefault="00F26CC5" w:rsidP="00F26CC5">
      <w:pPr>
        <w:pBdr>
          <w:top w:val="nil"/>
          <w:left w:val="nil"/>
          <w:bottom w:val="nil"/>
          <w:right w:val="nil"/>
          <w:between w:val="nil"/>
          <w:bar w:val="nil"/>
        </w:pBdr>
        <w:spacing w:before="0" w:after="240"/>
        <w:rPr>
          <w:noProof/>
          <w:lang w:eastAsia="en-GB"/>
        </w:rPr>
      </w:pPr>
      <w:r w:rsidRPr="385AC1B8">
        <w:rPr>
          <w:noProof/>
          <w:lang w:eastAsia="en-GB"/>
        </w:rPr>
        <w:t>Although the revision was initially planned to be covered by an impact assessment, it eventually became clear that the preferred policy objective, also by stakeholders, was not to fundamentally change the role of the Agency by turning it into a regulatory-type of Agency, but rather to better reflect its current role and the tasks that it has undertaken on the basis of the flexibility mechanisms that are already included in its mandate.</w:t>
      </w:r>
    </w:p>
    <w:p w14:paraId="2008E0B9" w14:textId="77777777" w:rsidR="00F26CC5" w:rsidRPr="00EA26EF" w:rsidRDefault="00F26CC5" w:rsidP="00F26CC5">
      <w:pPr>
        <w:pBdr>
          <w:top w:val="nil"/>
          <w:left w:val="nil"/>
          <w:bottom w:val="nil"/>
          <w:right w:val="nil"/>
          <w:between w:val="nil"/>
          <w:bar w:val="nil"/>
        </w:pBdr>
        <w:spacing w:before="0" w:after="240"/>
        <w:rPr>
          <w:noProof/>
          <w:lang w:val="en-US" w:eastAsia="en-GB"/>
        </w:rPr>
      </w:pPr>
      <w:r w:rsidRPr="6418D857">
        <w:rPr>
          <w:noProof/>
          <w:lang w:eastAsia="en-GB"/>
        </w:rPr>
        <w:t>The above considerations led to the conclusion that there were no policy options, with materially different solutions, to be considered in an impact assessment and the alignment with the baseline of the tasks either emanating from other pieces of legislation or already undertaken by the Agency, thanks to the flexibility provided in its mandate, was considered more appropriate. Therefore, i</w:t>
      </w:r>
      <w:r w:rsidRPr="6418D857">
        <w:rPr>
          <w:noProof/>
          <w:lang w:val="en-US" w:eastAsia="en-GB"/>
        </w:rPr>
        <w:t>n line with the Commission's better regulation guidelines, a fully-fledged impact assessment has not been carried out.</w:t>
      </w:r>
    </w:p>
    <w:p w14:paraId="0FA1D9B9" w14:textId="77777777" w:rsidR="00F26CC5" w:rsidRPr="009071B6" w:rsidRDefault="00F26CC5" w:rsidP="00F26CC5">
      <w:pPr>
        <w:pBdr>
          <w:top w:val="nil"/>
          <w:left w:val="nil"/>
          <w:bottom w:val="nil"/>
          <w:right w:val="nil"/>
          <w:between w:val="nil"/>
          <w:bar w:val="nil"/>
        </w:pBdr>
        <w:spacing w:before="0" w:after="240"/>
        <w:rPr>
          <w:noProof/>
          <w:lang w:val="en-US" w:eastAsia="en-GB"/>
        </w:rPr>
      </w:pPr>
      <w:r w:rsidRPr="6418D857">
        <w:rPr>
          <w:noProof/>
          <w:lang w:val="en-US" w:eastAsia="en-GB"/>
        </w:rPr>
        <w:t xml:space="preserve">Nonetheless, the proposal is accompanied by a Commission staff working document providing background information on the Agency and explaining the reasons behind the need to amend its founding Regulation and expand its </w:t>
      </w:r>
      <w:bookmarkStart w:id="3" w:name="_Int_PfdMCsJl"/>
      <w:r w:rsidRPr="6418D857">
        <w:rPr>
          <w:noProof/>
          <w:lang w:val="en-US" w:eastAsia="en-GB"/>
        </w:rPr>
        <w:t>tasks, and</w:t>
      </w:r>
      <w:bookmarkEnd w:id="3"/>
      <w:r w:rsidRPr="6418D857">
        <w:rPr>
          <w:noProof/>
          <w:lang w:val="en-US" w:eastAsia="en-GB"/>
        </w:rPr>
        <w:t xml:space="preserve"> setting out the proposed resources to be allocated to each of them. </w:t>
      </w:r>
    </w:p>
    <w:p w14:paraId="4F2A50BE" w14:textId="77777777" w:rsidR="00F26CC5" w:rsidRPr="009071B6" w:rsidRDefault="00F26CC5" w:rsidP="00F26CC5">
      <w:pPr>
        <w:pBdr>
          <w:top w:val="nil"/>
          <w:left w:val="nil"/>
          <w:bottom w:val="nil"/>
          <w:right w:val="nil"/>
          <w:between w:val="nil"/>
          <w:bar w:val="nil"/>
        </w:pBdr>
        <w:spacing w:before="0" w:after="240"/>
        <w:rPr>
          <w:noProof/>
          <w:lang w:eastAsia="en-GB"/>
        </w:rPr>
      </w:pPr>
      <w:r w:rsidRPr="385AC1B8">
        <w:rPr>
          <w:noProof/>
          <w:lang w:eastAsia="en-GB"/>
        </w:rPr>
        <w:t xml:space="preserve">The staff working document describes the clear need to update and upgrade the mandate to better reflect what the agency is doing now and what it should do in the coming years in line with EU priorities and the needs of both Member States and the sector. </w:t>
      </w:r>
    </w:p>
    <w:p w14:paraId="25686E41" w14:textId="77777777" w:rsidR="00053218" w:rsidRDefault="00053218" w:rsidP="007D7BFB">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Fundamental rights</w:t>
      </w:r>
    </w:p>
    <w:p w14:paraId="325A764D" w14:textId="77777777" w:rsidR="009D120C" w:rsidRPr="009D120C" w:rsidRDefault="009D120C" w:rsidP="009D120C">
      <w:pPr>
        <w:pStyle w:val="Text1"/>
        <w:ind w:left="0"/>
        <w:rPr>
          <w:noProof/>
          <w:lang w:val="en-US" w:eastAsia="en-GB"/>
        </w:rPr>
      </w:pPr>
      <w:r>
        <w:rPr>
          <w:noProof/>
          <w:lang w:val="en-US" w:eastAsia="en-GB"/>
        </w:rPr>
        <w:t>T</w:t>
      </w:r>
      <w:r w:rsidRPr="009D120C">
        <w:rPr>
          <w:noProof/>
          <w:lang w:val="en-US" w:eastAsia="en-GB"/>
        </w:rPr>
        <w:t xml:space="preserve">he revision as such does not have any direct impacts on fundamental rights. The data collected by and for the Agency are statistical data, </w:t>
      </w:r>
      <w:r>
        <w:rPr>
          <w:noProof/>
          <w:lang w:val="en-US" w:eastAsia="en-GB"/>
        </w:rPr>
        <w:t xml:space="preserve">while any data collected for seafarers are </w:t>
      </w:r>
      <w:r w:rsidR="00A44236">
        <w:rPr>
          <w:noProof/>
          <w:lang w:val="en-US" w:eastAsia="en-GB"/>
        </w:rPr>
        <w:t>anonymi</w:t>
      </w:r>
      <w:r w:rsidR="00F26CC5">
        <w:rPr>
          <w:noProof/>
          <w:lang w:val="en-US" w:eastAsia="en-GB"/>
        </w:rPr>
        <w:t>s</w:t>
      </w:r>
      <w:r w:rsidR="00A44236">
        <w:rPr>
          <w:noProof/>
          <w:lang w:val="en-US" w:eastAsia="en-GB"/>
        </w:rPr>
        <w:t>ed.</w:t>
      </w:r>
      <w:r w:rsidRPr="009D120C">
        <w:rPr>
          <w:noProof/>
          <w:lang w:val="en-US" w:eastAsia="en-GB"/>
        </w:rPr>
        <w:t xml:space="preserve"> </w:t>
      </w:r>
      <w:r w:rsidR="00A44236">
        <w:rPr>
          <w:noProof/>
          <w:lang w:val="en-US" w:eastAsia="en-GB"/>
        </w:rPr>
        <w:t>T</w:t>
      </w:r>
      <w:r w:rsidRPr="009D120C">
        <w:rPr>
          <w:noProof/>
          <w:lang w:val="en-US" w:eastAsia="en-GB"/>
        </w:rPr>
        <w:t>herefore, Article 8 of the Charter of Fundamental Rights (“protection of personal data”) is not affected. Other fundamental rights are not impacted either by the proposal.</w:t>
      </w:r>
    </w:p>
    <w:p w14:paraId="537934C6" w14:textId="77777777" w:rsidR="00053218" w:rsidRDefault="00053218" w:rsidP="007D7BFB">
      <w:pPr>
        <w:pStyle w:val="ManualHeading1"/>
        <w:rPr>
          <w:noProof/>
        </w:rPr>
      </w:pPr>
      <w:r w:rsidRPr="00550536">
        <w:rPr>
          <w:noProof/>
        </w:rPr>
        <w:t>4.</w:t>
      </w:r>
      <w:r w:rsidRPr="00550536">
        <w:rPr>
          <w:noProof/>
        </w:rPr>
        <w:tab/>
        <w:t>BUDGETARY IMPLICATIONS</w:t>
      </w:r>
    </w:p>
    <w:p w14:paraId="6BEA70BC" w14:textId="77777777" w:rsidR="00564D50" w:rsidRPr="00564D50" w:rsidRDefault="00564D50" w:rsidP="00F26CC5">
      <w:pPr>
        <w:pStyle w:val="Text1"/>
        <w:ind w:left="0"/>
        <w:rPr>
          <w:noProof/>
          <w:lang w:val="en-US" w:eastAsia="en-GB"/>
        </w:rPr>
      </w:pPr>
      <w:r w:rsidRPr="00564D50">
        <w:rPr>
          <w:noProof/>
          <w:lang w:val="en-US" w:eastAsia="en-GB"/>
        </w:rPr>
        <w:t xml:space="preserve">This legislative proposal would have an impact on the budget and staff needs of the Agency as currently provided for in the Multiannual Financial Framework (MFF) and which are insufficient for the tasks the Agency should carry out. It is estimated that an additional budget of EUR </w:t>
      </w:r>
      <w:r w:rsidR="00202A4C" w:rsidRPr="00202A4C">
        <w:rPr>
          <w:noProof/>
          <w:lang w:val="en-US" w:eastAsia="en-GB"/>
        </w:rPr>
        <w:t xml:space="preserve">50.997 </w:t>
      </w:r>
      <w:r w:rsidRPr="00564D50">
        <w:rPr>
          <w:noProof/>
          <w:lang w:val="en-US" w:eastAsia="en-GB"/>
        </w:rPr>
        <w:t xml:space="preserve">million and 33 additional posts would be needed for the remainder of the period of the Multiannual Financial Framework (MFF) to ensure that the Agency has the necessary resources to enforce its revised mandate. The tasks for the Agency reflected in this legislative proposal therefore require additional financial and human reinforcements compared to the resources earmarked in the adopted Multiannual Financial Framework 2021-2027, which provides for a 2% yearly increase of the EU contribution to the Agency. </w:t>
      </w:r>
    </w:p>
    <w:p w14:paraId="1BF3D037" w14:textId="77777777" w:rsidR="009D120C" w:rsidRDefault="009D120C" w:rsidP="007C696B">
      <w:pPr>
        <w:pStyle w:val="Text1"/>
        <w:ind w:left="0"/>
        <w:rPr>
          <w:noProof/>
          <w:lang w:val="en-US" w:eastAsia="en-GB"/>
        </w:rPr>
      </w:pPr>
      <w:r w:rsidRPr="009D120C">
        <w:rPr>
          <w:noProof/>
          <w:lang w:val="en-US" w:eastAsia="en-GB"/>
        </w:rPr>
        <w:t xml:space="preserve">The budgetary impact of the additional financial resources for the </w:t>
      </w:r>
      <w:r w:rsidR="007C696B">
        <w:rPr>
          <w:noProof/>
          <w:lang w:val="en-US" w:eastAsia="en-GB"/>
        </w:rPr>
        <w:t>Agency</w:t>
      </w:r>
      <w:r w:rsidRPr="009D120C">
        <w:rPr>
          <w:noProof/>
          <w:lang w:val="en-US" w:eastAsia="en-GB"/>
        </w:rPr>
        <w:t xml:space="preserve"> will be offset through a compensatory reduction from programmed spending under Heading </w:t>
      </w:r>
      <w:r w:rsidR="00A81977">
        <w:rPr>
          <w:noProof/>
          <w:lang w:val="en-US" w:eastAsia="en-GB"/>
        </w:rPr>
        <w:t>1</w:t>
      </w:r>
      <w:r w:rsidR="00A81977" w:rsidRPr="009D120C">
        <w:rPr>
          <w:noProof/>
          <w:lang w:val="en-US" w:eastAsia="en-GB"/>
        </w:rPr>
        <w:t xml:space="preserve"> </w:t>
      </w:r>
      <w:r w:rsidRPr="009D120C">
        <w:rPr>
          <w:noProof/>
          <w:lang w:val="en-US" w:eastAsia="en-GB"/>
        </w:rPr>
        <w:t>and should also stabilise the resource needs of the Agency over the period 2021-2027.</w:t>
      </w:r>
      <w:r w:rsidR="007C696B">
        <w:rPr>
          <w:noProof/>
          <w:lang w:val="en-US" w:eastAsia="en-GB"/>
        </w:rPr>
        <w:t xml:space="preserve"> The Agency has also committed on a plan for internal redeployment covering some of the needs to reinforce the tasks proposed by this proposal through internal reshuffling of </w:t>
      </w:r>
      <w:r w:rsidR="00564D50">
        <w:rPr>
          <w:noProof/>
          <w:lang w:val="en-US" w:eastAsia="en-GB"/>
        </w:rPr>
        <w:t xml:space="preserve">7 </w:t>
      </w:r>
      <w:r w:rsidR="007C696B">
        <w:rPr>
          <w:noProof/>
          <w:lang w:val="en-US" w:eastAsia="en-GB"/>
        </w:rPr>
        <w:t>posts.</w:t>
      </w:r>
      <w:r w:rsidR="007C696B" w:rsidRPr="007C696B">
        <w:rPr>
          <w:noProof/>
          <w:szCs w:val="24"/>
          <w:lang w:val="en-US"/>
        </w:rPr>
        <w:t xml:space="preserve"> </w:t>
      </w:r>
      <w:r w:rsidR="007C696B" w:rsidRPr="007C696B">
        <w:rPr>
          <w:noProof/>
          <w:lang w:val="en-US" w:eastAsia="en-GB"/>
        </w:rPr>
        <w:t>Before suggesting any further</w:t>
      </w:r>
      <w:r w:rsidR="007C696B">
        <w:rPr>
          <w:noProof/>
          <w:lang w:val="en-US" w:eastAsia="en-GB"/>
        </w:rPr>
        <w:t xml:space="preserve"> </w:t>
      </w:r>
      <w:r w:rsidR="007C696B" w:rsidRPr="007C696B">
        <w:rPr>
          <w:noProof/>
          <w:lang w:val="en-US" w:eastAsia="en-GB"/>
        </w:rPr>
        <w:t>extension of tasks requiring additional resources, the Commission</w:t>
      </w:r>
      <w:r w:rsidR="00F60BA3">
        <w:rPr>
          <w:noProof/>
          <w:lang w:val="en-US" w:eastAsia="en-GB"/>
        </w:rPr>
        <w:t>,</w:t>
      </w:r>
      <w:r w:rsidR="007C696B" w:rsidRPr="007C696B">
        <w:rPr>
          <w:noProof/>
          <w:lang w:val="en-US" w:eastAsia="en-GB"/>
        </w:rPr>
        <w:t xml:space="preserve"> with the assistance</w:t>
      </w:r>
      <w:r w:rsidR="007C696B">
        <w:rPr>
          <w:noProof/>
          <w:lang w:val="en-US" w:eastAsia="en-GB"/>
        </w:rPr>
        <w:t xml:space="preserve"> </w:t>
      </w:r>
      <w:r w:rsidR="007C696B" w:rsidRPr="007C696B">
        <w:rPr>
          <w:noProof/>
          <w:lang w:val="en-US" w:eastAsia="en-GB"/>
        </w:rPr>
        <w:t>of the Agency</w:t>
      </w:r>
      <w:r w:rsidR="00F60BA3">
        <w:rPr>
          <w:noProof/>
          <w:lang w:val="en-US" w:eastAsia="en-GB"/>
        </w:rPr>
        <w:t>,</w:t>
      </w:r>
      <w:r w:rsidR="007C696B" w:rsidRPr="007C696B">
        <w:rPr>
          <w:noProof/>
          <w:lang w:val="en-US" w:eastAsia="en-GB"/>
        </w:rPr>
        <w:t xml:space="preserve"> will continue to screen EMSA's activities and resources to ensure also</w:t>
      </w:r>
      <w:r w:rsidR="00692574">
        <w:rPr>
          <w:noProof/>
          <w:lang w:val="en-US" w:eastAsia="en-GB"/>
        </w:rPr>
        <w:t xml:space="preserve"> </w:t>
      </w:r>
      <w:r w:rsidR="007C696B" w:rsidRPr="007C696B">
        <w:rPr>
          <w:noProof/>
          <w:lang w:val="en-US" w:eastAsia="en-GB"/>
        </w:rPr>
        <w:t>for the future that all possibilities for redeployment within the Agency are used.</w:t>
      </w:r>
    </w:p>
    <w:p w14:paraId="73878174" w14:textId="77777777" w:rsidR="00692574" w:rsidRPr="00692574" w:rsidRDefault="00692574" w:rsidP="00692574">
      <w:pPr>
        <w:pStyle w:val="Text1"/>
        <w:ind w:left="0"/>
        <w:rPr>
          <w:noProof/>
          <w:lang w:eastAsia="en-GB"/>
        </w:rPr>
      </w:pPr>
      <w:r w:rsidRPr="00692574">
        <w:rPr>
          <w:noProof/>
          <w:lang w:eastAsia="en-GB"/>
        </w:rPr>
        <w:t xml:space="preserve">The </w:t>
      </w:r>
      <w:r>
        <w:rPr>
          <w:noProof/>
          <w:lang w:eastAsia="en-GB"/>
        </w:rPr>
        <w:t>detailed calculations</w:t>
      </w:r>
      <w:r w:rsidRPr="00692574">
        <w:rPr>
          <w:noProof/>
          <w:lang w:eastAsia="en-GB"/>
        </w:rPr>
        <w:t xml:space="preserve"> related to the budgetary implications and the human and administrative resources required for this proposal are integrated in the legislative financial statement</w:t>
      </w:r>
      <w:r>
        <w:rPr>
          <w:noProof/>
          <w:lang w:eastAsia="en-GB"/>
        </w:rPr>
        <w:t>.</w:t>
      </w:r>
      <w:r w:rsidRPr="00692574">
        <w:rPr>
          <w:noProof/>
          <w:lang w:eastAsia="en-GB"/>
        </w:rPr>
        <w:t xml:space="preserve"> </w:t>
      </w:r>
    </w:p>
    <w:p w14:paraId="307E372D" w14:textId="77777777" w:rsidR="00A81977" w:rsidRPr="0022389F" w:rsidRDefault="00A81977" w:rsidP="00A81977">
      <w:pPr>
        <w:pStyle w:val="Text1"/>
        <w:ind w:left="0"/>
        <w:rPr>
          <w:noProof/>
          <w:lang w:eastAsia="en-GB"/>
        </w:rPr>
      </w:pPr>
      <w:r w:rsidRPr="0022389F">
        <w:rPr>
          <w:noProof/>
          <w:lang w:eastAsia="en-GB"/>
        </w:rPr>
        <w:t xml:space="preserve">The </w:t>
      </w:r>
      <w:r>
        <w:rPr>
          <w:noProof/>
          <w:lang w:eastAsia="en-GB"/>
        </w:rPr>
        <w:t xml:space="preserve">budget impact described in this section and in the annexed </w:t>
      </w:r>
      <w:r w:rsidRPr="0022389F">
        <w:rPr>
          <w:noProof/>
          <w:lang w:eastAsia="en-GB"/>
        </w:rPr>
        <w:t>legislative financial statement includes the complete budget impact of the new Regulation establishing EMSA</w:t>
      </w:r>
      <w:r w:rsidRPr="009D7ED1">
        <w:rPr>
          <w:noProof/>
          <w:lang w:eastAsia="en-GB"/>
        </w:rPr>
        <w:t xml:space="preserve"> </w:t>
      </w:r>
      <w:r w:rsidRPr="0022389F">
        <w:rPr>
          <w:noProof/>
          <w:lang w:eastAsia="en-GB"/>
        </w:rPr>
        <w:t xml:space="preserve">repealing Regulation (EC) no 1406/2002, and also the budget impact of (i) revision of Directive 2009/21/EC on Flag State requirements; (ii) the revision of Directive 2009/16/EC on port State control; (iii) the revision of Directive 2009/18/EC on accident investigation; </w:t>
      </w:r>
      <w:r>
        <w:rPr>
          <w:noProof/>
          <w:lang w:eastAsia="en-GB"/>
        </w:rPr>
        <w:t xml:space="preserve">and </w:t>
      </w:r>
      <w:r w:rsidRPr="0022389F">
        <w:rPr>
          <w:noProof/>
          <w:lang w:eastAsia="en-GB"/>
        </w:rPr>
        <w:t xml:space="preserve">(iv) revision of Directive 2005/35/EC on ship-source pollution. The budget impact of the latter </w:t>
      </w:r>
      <w:r>
        <w:rPr>
          <w:noProof/>
          <w:lang w:eastAsia="en-GB"/>
        </w:rPr>
        <w:t>four</w:t>
      </w:r>
      <w:r w:rsidRPr="0022389F">
        <w:rPr>
          <w:noProof/>
          <w:lang w:eastAsia="en-GB"/>
        </w:rPr>
        <w:t xml:space="preserve"> proposals is described in more detail in each of the respective legislative financial statements.</w:t>
      </w:r>
    </w:p>
    <w:p w14:paraId="751792E2" w14:textId="77777777" w:rsidR="00A81977" w:rsidRPr="00692574" w:rsidRDefault="00A81977" w:rsidP="00A81977">
      <w:pPr>
        <w:rPr>
          <w:noProof/>
          <w:lang w:eastAsia="en-GB"/>
        </w:rPr>
      </w:pPr>
      <w:r w:rsidRPr="00046779">
        <w:rPr>
          <w:noProof/>
        </w:rPr>
        <w:t>The budget impact beyond the current MFF is an indicative overview, without prejudice to the future MFF Agreement.</w:t>
      </w:r>
    </w:p>
    <w:p w14:paraId="246AEAA1" w14:textId="77777777" w:rsidR="00692574" w:rsidRPr="00692574" w:rsidRDefault="00692574" w:rsidP="007C696B">
      <w:pPr>
        <w:pStyle w:val="Text1"/>
        <w:ind w:left="0"/>
        <w:rPr>
          <w:noProof/>
          <w:lang w:eastAsia="en-GB"/>
        </w:rPr>
      </w:pPr>
    </w:p>
    <w:p w14:paraId="34B7E626" w14:textId="77777777" w:rsidR="00053218" w:rsidRPr="00550536" w:rsidRDefault="00053218" w:rsidP="007D7BFB">
      <w:pPr>
        <w:pStyle w:val="ManualHeading1"/>
        <w:rPr>
          <w:noProof/>
        </w:rPr>
      </w:pPr>
      <w:r w:rsidRPr="00550536">
        <w:rPr>
          <w:noProof/>
        </w:rPr>
        <w:t>5.</w:t>
      </w:r>
      <w:r w:rsidRPr="00550536">
        <w:rPr>
          <w:noProof/>
        </w:rPr>
        <w:tab/>
        <w:t>OTHER ELEMENTS</w:t>
      </w:r>
    </w:p>
    <w:p w14:paraId="0E051A79" w14:textId="77777777" w:rsidR="00822F09" w:rsidRDefault="00053218" w:rsidP="00822F09">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Implementation plans and </w:t>
      </w:r>
      <w:r w:rsidRPr="007718A8">
        <w:rPr>
          <w:rFonts w:eastAsia="Arial Unicode MS"/>
          <w:noProof/>
          <w:u w:color="000000"/>
          <w:bdr w:val="nil"/>
          <w:lang w:val="en-US" w:eastAsia="en-GB"/>
        </w:rPr>
        <w:t>monitoring, evaluation and reporting arrangements</w:t>
      </w:r>
    </w:p>
    <w:p w14:paraId="74D53F30" w14:textId="77777777" w:rsidR="00822F09" w:rsidRDefault="00822F09" w:rsidP="00822F09">
      <w:pPr>
        <w:pStyle w:val="Text1"/>
        <w:ind w:left="0"/>
        <w:rPr>
          <w:noProof/>
          <w:lang w:val="en-US" w:eastAsia="en-GB"/>
        </w:rPr>
      </w:pPr>
      <w:r w:rsidRPr="00822F09">
        <w:rPr>
          <w:noProof/>
          <w:lang w:val="en-US" w:eastAsia="en-GB"/>
        </w:rPr>
        <w:t>The monitoring and evaluation of the Agency’s mandate would largely be performed by the applicable mechanisms u</w:t>
      </w:r>
      <w:r w:rsidR="001019DE">
        <w:rPr>
          <w:noProof/>
          <w:lang w:val="en-US" w:eastAsia="en-GB"/>
        </w:rPr>
        <w:t>nder this Regulation. Article 41</w:t>
      </w:r>
      <w:r w:rsidRPr="00822F09">
        <w:rPr>
          <w:noProof/>
          <w:lang w:val="en-US" w:eastAsia="en-GB"/>
        </w:rPr>
        <w:t xml:space="preserve"> pr</w:t>
      </w:r>
      <w:r w:rsidR="00943128">
        <w:rPr>
          <w:noProof/>
          <w:lang w:val="en-US" w:eastAsia="en-GB"/>
        </w:rPr>
        <w:t>ovides for an evaluation which will assess</w:t>
      </w:r>
      <w:r w:rsidRPr="00822F09">
        <w:rPr>
          <w:noProof/>
          <w:lang w:val="en-US" w:eastAsia="en-GB"/>
        </w:rPr>
        <w:t>, in particular, the impact, effectiveness and efficiency of the Agency and of its working practices and may address the possible need to modify the structure, operation, field of action and tasks of the Agency, and the financial implications of any such modification. Further to this evaluation, the Commission will draw data through its representation in the Agency’s Management Board meetings and its supervision, along with the Member States, of the Agency’s work.</w:t>
      </w:r>
    </w:p>
    <w:p w14:paraId="33E60D39" w14:textId="77777777" w:rsidR="0031280F" w:rsidRPr="00822F09" w:rsidRDefault="0031280F" w:rsidP="00822F09">
      <w:pPr>
        <w:pStyle w:val="Text1"/>
        <w:ind w:left="0"/>
        <w:rPr>
          <w:noProof/>
          <w:lang w:val="en-US" w:eastAsia="en-GB"/>
        </w:rPr>
      </w:pPr>
    </w:p>
    <w:p w14:paraId="1B96160E" w14:textId="77777777" w:rsidR="00053218" w:rsidRDefault="00053218" w:rsidP="007D7BFB">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 xml:space="preserve">Detailed explanation of </w:t>
      </w:r>
      <w:r>
        <w:rPr>
          <w:rFonts w:eastAsia="Arial Unicode MS"/>
          <w:noProof/>
          <w:u w:color="000000"/>
          <w:bdr w:val="nil"/>
          <w:lang w:val="en-US" w:eastAsia="en-GB"/>
        </w:rPr>
        <w:t xml:space="preserve">the </w:t>
      </w:r>
      <w:r w:rsidRPr="007718A8">
        <w:rPr>
          <w:rFonts w:eastAsia="Arial Unicode MS"/>
          <w:noProof/>
          <w:u w:color="000000"/>
          <w:bdr w:val="nil"/>
          <w:lang w:val="en-US" w:eastAsia="en-GB"/>
        </w:rPr>
        <w:t>specific provisions of the proposal</w:t>
      </w:r>
    </w:p>
    <w:p w14:paraId="67D8E276" w14:textId="77777777" w:rsidR="00692574" w:rsidRDefault="00692574" w:rsidP="00692574">
      <w:pPr>
        <w:pBdr>
          <w:top w:val="nil"/>
          <w:left w:val="nil"/>
          <w:bottom w:val="nil"/>
          <w:right w:val="nil"/>
          <w:between w:val="nil"/>
          <w:bar w:val="nil"/>
        </w:pBdr>
        <w:spacing w:before="0" w:after="240"/>
        <w:rPr>
          <w:noProof/>
          <w:lang w:val="en-US" w:eastAsia="en-GB"/>
        </w:rPr>
      </w:pPr>
      <w:r w:rsidRPr="00692574">
        <w:rPr>
          <w:noProof/>
          <w:lang w:val="en-US" w:eastAsia="en-GB"/>
        </w:rPr>
        <w:t xml:space="preserve">This section comments on and explains the main provisions of the new </w:t>
      </w:r>
      <w:r>
        <w:rPr>
          <w:noProof/>
          <w:lang w:val="en-US" w:eastAsia="en-GB"/>
        </w:rPr>
        <w:t>EMSA</w:t>
      </w:r>
      <w:r w:rsidRPr="00692574">
        <w:rPr>
          <w:noProof/>
          <w:lang w:val="en-US" w:eastAsia="en-GB"/>
        </w:rPr>
        <w:t xml:space="preserve"> Regulation,</w:t>
      </w:r>
      <w:r>
        <w:rPr>
          <w:noProof/>
          <w:lang w:val="en-US" w:eastAsia="en-GB"/>
        </w:rPr>
        <w:t xml:space="preserve"> </w:t>
      </w:r>
      <w:r w:rsidRPr="00692574">
        <w:rPr>
          <w:noProof/>
          <w:lang w:val="en-US" w:eastAsia="en-GB"/>
        </w:rPr>
        <w:t xml:space="preserve">when necessary in relation to amendments to the original text of Regulation </w:t>
      </w:r>
      <w:r>
        <w:rPr>
          <w:noProof/>
          <w:lang w:val="en-US" w:eastAsia="en-GB"/>
        </w:rPr>
        <w:t>(EC) No 1406/2002</w:t>
      </w:r>
      <w:r w:rsidRPr="00692574">
        <w:rPr>
          <w:noProof/>
          <w:lang w:val="en-US" w:eastAsia="en-GB"/>
        </w:rPr>
        <w:t>.</w:t>
      </w:r>
    </w:p>
    <w:p w14:paraId="0674BEBC" w14:textId="77777777" w:rsidR="00692574" w:rsidRPr="00352241" w:rsidRDefault="0031280F" w:rsidP="00352241">
      <w:pPr>
        <w:pBdr>
          <w:top w:val="nil"/>
          <w:left w:val="nil"/>
          <w:bottom w:val="nil"/>
          <w:right w:val="nil"/>
          <w:between w:val="nil"/>
          <w:bar w:val="nil"/>
        </w:pBdr>
        <w:spacing w:after="240"/>
        <w:rPr>
          <w:noProof/>
          <w:lang w:val="en-US" w:eastAsia="en-GB"/>
        </w:rPr>
      </w:pPr>
      <w:r w:rsidRPr="00352241">
        <w:rPr>
          <w:noProof/>
          <w:lang w:val="en-US" w:eastAsia="en-GB"/>
        </w:rPr>
        <w:t>C</w:t>
      </w:r>
      <w:r w:rsidR="005D7904" w:rsidRPr="00352241">
        <w:rPr>
          <w:noProof/>
          <w:lang w:val="en-US" w:eastAsia="en-GB"/>
        </w:rPr>
        <w:t>HAPTER</w:t>
      </w:r>
      <w:r w:rsidRPr="00352241">
        <w:rPr>
          <w:noProof/>
          <w:lang w:val="en-US" w:eastAsia="en-GB"/>
        </w:rPr>
        <w:t xml:space="preserve"> I </w:t>
      </w:r>
      <w:r w:rsidR="00692574" w:rsidRPr="00352241">
        <w:rPr>
          <w:noProof/>
          <w:lang w:val="en-US" w:eastAsia="en-GB"/>
        </w:rPr>
        <w:t xml:space="preserve"> </w:t>
      </w:r>
      <w:r w:rsidR="00352241" w:rsidRPr="00352241">
        <w:rPr>
          <w:noProof/>
          <w:lang w:eastAsia="en-GB"/>
        </w:rPr>
        <w:t>SUBJECT MATTER, SCOPE AND OBJECTIVES</w:t>
      </w:r>
      <w:r w:rsidR="00692574" w:rsidRPr="00352241">
        <w:rPr>
          <w:noProof/>
          <w:lang w:val="en-US" w:eastAsia="en-GB"/>
        </w:rPr>
        <w:t>:</w:t>
      </w:r>
    </w:p>
    <w:p w14:paraId="47C5DB0F" w14:textId="77777777" w:rsidR="008C0481" w:rsidRDefault="00692574" w:rsidP="00692574">
      <w:pPr>
        <w:pBdr>
          <w:top w:val="nil"/>
          <w:left w:val="nil"/>
          <w:bottom w:val="nil"/>
          <w:right w:val="nil"/>
          <w:between w:val="nil"/>
          <w:bar w:val="nil"/>
        </w:pBdr>
        <w:spacing w:before="0" w:after="240"/>
        <w:rPr>
          <w:noProof/>
          <w:lang w:val="en-US" w:eastAsia="en-GB"/>
        </w:rPr>
      </w:pPr>
      <w:r w:rsidRPr="00692574">
        <w:rPr>
          <w:noProof/>
          <w:lang w:val="en-US" w:eastAsia="en-GB"/>
        </w:rPr>
        <w:t>Article 1</w:t>
      </w:r>
      <w:r w:rsidR="008C0481" w:rsidRPr="008C0481">
        <w:rPr>
          <w:noProof/>
          <w:lang w:val="en-US" w:eastAsia="en-GB"/>
        </w:rPr>
        <w:t xml:space="preserve"> </w:t>
      </w:r>
      <w:r w:rsidR="008C0481">
        <w:rPr>
          <w:noProof/>
          <w:lang w:val="en-US" w:eastAsia="en-GB"/>
        </w:rPr>
        <w:t xml:space="preserve">to </w:t>
      </w:r>
      <w:r w:rsidR="00352241">
        <w:rPr>
          <w:noProof/>
          <w:lang w:val="en-US" w:eastAsia="en-GB"/>
        </w:rPr>
        <w:t>2:</w:t>
      </w:r>
      <w:r w:rsidRPr="00692574">
        <w:rPr>
          <w:noProof/>
          <w:lang w:val="en-US" w:eastAsia="en-GB"/>
        </w:rPr>
        <w:t xml:space="preserve"> </w:t>
      </w:r>
      <w:r w:rsidR="008C0481">
        <w:rPr>
          <w:noProof/>
          <w:lang w:val="en-US" w:eastAsia="en-GB"/>
        </w:rPr>
        <w:t>An article on subject matter and scope has been introduced together with a separate article on the</w:t>
      </w:r>
      <w:r w:rsidRPr="00692574">
        <w:rPr>
          <w:noProof/>
          <w:lang w:val="en-US" w:eastAsia="en-GB"/>
        </w:rPr>
        <w:t xml:space="preserve"> objectives</w:t>
      </w:r>
      <w:r w:rsidR="008C0481">
        <w:rPr>
          <w:noProof/>
          <w:lang w:val="en-US" w:eastAsia="en-GB"/>
        </w:rPr>
        <w:t xml:space="preserve"> of the Agency. These two Articles are reflecting the previous Article 1 on objectives which</w:t>
      </w:r>
      <w:r w:rsidRPr="00692574">
        <w:rPr>
          <w:noProof/>
          <w:lang w:val="en-US" w:eastAsia="en-GB"/>
        </w:rPr>
        <w:t xml:space="preserve"> have been revised to reflect new tasks of the Agency </w:t>
      </w:r>
      <w:r w:rsidR="008C0481">
        <w:rPr>
          <w:noProof/>
          <w:lang w:val="en-US" w:eastAsia="en-GB"/>
        </w:rPr>
        <w:t xml:space="preserve">in the areas of sustainability, decarbonisation, </w:t>
      </w:r>
      <w:r w:rsidR="00943128">
        <w:rPr>
          <w:noProof/>
          <w:lang w:val="en-US" w:eastAsia="en-GB"/>
        </w:rPr>
        <w:t>digitalisation</w:t>
      </w:r>
      <w:r w:rsidR="008C0481">
        <w:rPr>
          <w:noProof/>
          <w:lang w:val="en-US" w:eastAsia="en-GB"/>
        </w:rPr>
        <w:t>, surveillance and maritime awareness.</w:t>
      </w:r>
    </w:p>
    <w:p w14:paraId="0C71A119" w14:textId="77777777" w:rsidR="007241B1" w:rsidRDefault="007241B1" w:rsidP="007241B1">
      <w:pPr>
        <w:pBdr>
          <w:top w:val="nil"/>
          <w:left w:val="nil"/>
          <w:bottom w:val="nil"/>
          <w:right w:val="nil"/>
          <w:between w:val="nil"/>
          <w:bar w:val="nil"/>
        </w:pBdr>
        <w:spacing w:before="0" w:after="240"/>
        <w:rPr>
          <w:noProof/>
          <w:lang w:val="en-US" w:eastAsia="en-GB"/>
        </w:rPr>
      </w:pPr>
      <w:r w:rsidRPr="007241B1">
        <w:rPr>
          <w:noProof/>
          <w:lang w:val="en-US" w:eastAsia="en-GB"/>
        </w:rPr>
        <w:t>CHAPTER II TASKS OF THE AGENCY</w:t>
      </w:r>
      <w:r>
        <w:rPr>
          <w:noProof/>
          <w:lang w:val="en-US" w:eastAsia="en-GB"/>
        </w:rPr>
        <w:t>:</w:t>
      </w:r>
    </w:p>
    <w:p w14:paraId="7E3DFCF7" w14:textId="77777777" w:rsidR="00464A81" w:rsidRDefault="00464A81" w:rsidP="007241B1">
      <w:pPr>
        <w:pBdr>
          <w:top w:val="nil"/>
          <w:left w:val="nil"/>
          <w:bottom w:val="nil"/>
          <w:right w:val="nil"/>
          <w:between w:val="nil"/>
          <w:bar w:val="nil"/>
        </w:pBdr>
        <w:spacing w:before="0" w:after="240"/>
        <w:rPr>
          <w:noProof/>
          <w:lang w:val="en-US" w:eastAsia="en-GB"/>
        </w:rPr>
      </w:pPr>
      <w:r>
        <w:rPr>
          <w:noProof/>
          <w:lang w:val="en-US" w:eastAsia="en-GB"/>
        </w:rPr>
        <w:t xml:space="preserve">This new chapter describes the tasks of the Agency by abolishing the distinction between core and ancillary and instead follows a thematic approach from horizontal support up to tasks in the areas of maritime safety, sustainability, decarbonisation, security and cybersecurity, maritime surveillance and </w:t>
      </w:r>
      <w:r w:rsidR="009C10DE">
        <w:rPr>
          <w:noProof/>
          <w:lang w:val="en-US" w:eastAsia="en-GB"/>
        </w:rPr>
        <w:t>crises</w:t>
      </w:r>
      <w:r>
        <w:rPr>
          <w:noProof/>
          <w:lang w:val="en-US" w:eastAsia="en-GB"/>
        </w:rPr>
        <w:t xml:space="preserve">, digitalization and simplification and visits and inspections. </w:t>
      </w:r>
    </w:p>
    <w:p w14:paraId="2B1E9B79" w14:textId="77777777" w:rsidR="007241B1" w:rsidRDefault="007241B1" w:rsidP="007241B1">
      <w:pPr>
        <w:pBdr>
          <w:top w:val="nil"/>
          <w:left w:val="nil"/>
          <w:bottom w:val="nil"/>
          <w:right w:val="nil"/>
          <w:between w:val="nil"/>
          <w:bar w:val="nil"/>
        </w:pBdr>
        <w:spacing w:before="0" w:after="240"/>
        <w:rPr>
          <w:noProof/>
          <w:lang w:val="en-US" w:eastAsia="en-GB"/>
        </w:rPr>
      </w:pPr>
      <w:r>
        <w:rPr>
          <w:noProof/>
          <w:lang w:val="en-US" w:eastAsia="en-GB"/>
        </w:rPr>
        <w:t>Article 3 includes the flexibility existing in Article 2 in the previous mandate in order for the Agency to be able to assist with technical and operational assistance the Commission and the Member States in any tasks falling under the competences of the Agency.</w:t>
      </w:r>
      <w:r w:rsidRPr="007241B1">
        <w:rPr>
          <w:noProof/>
          <w:lang w:val="en-US" w:eastAsia="en-GB"/>
        </w:rPr>
        <w:t xml:space="preserve"> </w:t>
      </w:r>
      <w:r w:rsidR="00464A81">
        <w:rPr>
          <w:noProof/>
          <w:lang w:val="en-US" w:eastAsia="en-GB"/>
        </w:rPr>
        <w:t>The Articles include assistance to the Commission in preparing new legislation but also to any other piece of legislation assigning tasks to the Commission for which it might need the assistance of the Agency, corresponding to the tasks under Article 2 (2)</w:t>
      </w:r>
      <w:r w:rsidR="004C37BF">
        <w:rPr>
          <w:noProof/>
          <w:lang w:val="en-US" w:eastAsia="en-GB"/>
        </w:rPr>
        <w:t xml:space="preserve"> points </w:t>
      </w:r>
      <w:r w:rsidR="00464A81">
        <w:rPr>
          <w:noProof/>
          <w:lang w:val="en-US" w:eastAsia="en-GB"/>
        </w:rPr>
        <w:t>(a) to (d)</w:t>
      </w:r>
      <w:r w:rsidR="00D351E2">
        <w:rPr>
          <w:noProof/>
          <w:lang w:val="en-US" w:eastAsia="en-GB"/>
        </w:rPr>
        <w:t xml:space="preserve"> of the previous mandate</w:t>
      </w:r>
      <w:r w:rsidR="00464A81">
        <w:rPr>
          <w:noProof/>
          <w:lang w:val="en-US" w:eastAsia="en-GB"/>
        </w:rPr>
        <w:t xml:space="preserve">. It also includes operational and technical assistance to the Member States for any tasks falling under its objectives corresponding to Article 2 (3) </w:t>
      </w:r>
      <w:r w:rsidR="004C37BF">
        <w:rPr>
          <w:noProof/>
          <w:lang w:val="en-US" w:eastAsia="en-GB"/>
        </w:rPr>
        <w:t xml:space="preserve">points </w:t>
      </w:r>
      <w:r w:rsidR="00464A81">
        <w:rPr>
          <w:noProof/>
          <w:lang w:val="en-US" w:eastAsia="en-GB"/>
        </w:rPr>
        <w:t xml:space="preserve">(a) and (b) of the previous mandate. This Article is meant to provide flexibility to the mandate and render it future proof </w:t>
      </w:r>
      <w:r w:rsidR="00943128">
        <w:rPr>
          <w:noProof/>
          <w:lang w:val="en-US" w:eastAsia="en-GB"/>
        </w:rPr>
        <w:t>to new</w:t>
      </w:r>
      <w:r w:rsidR="00464A81">
        <w:rPr>
          <w:noProof/>
          <w:lang w:val="en-US" w:eastAsia="en-GB"/>
        </w:rPr>
        <w:t xml:space="preserve"> tasks that might emanate from future legislation in the area of needs of the sector.</w:t>
      </w:r>
    </w:p>
    <w:p w14:paraId="503F41A7" w14:textId="77777777" w:rsidR="00464A81" w:rsidRDefault="00464A81" w:rsidP="007241B1">
      <w:pPr>
        <w:pBdr>
          <w:top w:val="nil"/>
          <w:left w:val="nil"/>
          <w:bottom w:val="nil"/>
          <w:right w:val="nil"/>
          <w:between w:val="nil"/>
          <w:bar w:val="nil"/>
        </w:pBdr>
        <w:spacing w:before="0" w:after="240"/>
        <w:rPr>
          <w:noProof/>
          <w:lang w:val="en-US" w:eastAsia="en-GB"/>
        </w:rPr>
      </w:pPr>
      <w:r>
        <w:rPr>
          <w:noProof/>
          <w:lang w:val="en-US" w:eastAsia="en-GB"/>
        </w:rPr>
        <w:t>Article 4 includes the tasks of the Agency in the area of maritime safety, retaining the ones prescribed in Article 2 (4)</w:t>
      </w:r>
      <w:r w:rsidR="004C37BF">
        <w:rPr>
          <w:noProof/>
          <w:lang w:val="en-US" w:eastAsia="en-GB"/>
        </w:rPr>
        <w:t xml:space="preserve"> points</w:t>
      </w:r>
      <w:r>
        <w:rPr>
          <w:noProof/>
          <w:lang w:val="en-US" w:eastAsia="en-GB"/>
        </w:rPr>
        <w:t xml:space="preserve"> (c) and (e)</w:t>
      </w:r>
      <w:r w:rsidR="00D351E2">
        <w:rPr>
          <w:noProof/>
          <w:lang w:val="en-US" w:eastAsia="en-GB"/>
        </w:rPr>
        <w:t xml:space="preserve"> of the previous mandate</w:t>
      </w:r>
      <w:r>
        <w:rPr>
          <w:noProof/>
          <w:lang w:val="en-US" w:eastAsia="en-GB"/>
        </w:rPr>
        <w:t xml:space="preserve">. It also reflects the activities of the </w:t>
      </w:r>
      <w:r w:rsidR="00302D74">
        <w:rPr>
          <w:noProof/>
          <w:lang w:val="en-US" w:eastAsia="en-GB"/>
        </w:rPr>
        <w:t>Agency in other pieces of legislation notably the flag and port State control</w:t>
      </w:r>
      <w:r w:rsidR="00D351E2">
        <w:rPr>
          <w:noProof/>
          <w:lang w:val="en-US" w:eastAsia="en-GB"/>
        </w:rPr>
        <w:t xml:space="preserve"> as they are proposed to be amended</w:t>
      </w:r>
      <w:r w:rsidR="00302D74">
        <w:rPr>
          <w:noProof/>
          <w:lang w:val="en-US" w:eastAsia="en-GB"/>
        </w:rPr>
        <w:t xml:space="preserve">, the passenger ship safety legislation, </w:t>
      </w:r>
      <w:r w:rsidR="00D351E2">
        <w:rPr>
          <w:noProof/>
          <w:lang w:val="en-US" w:eastAsia="en-GB"/>
        </w:rPr>
        <w:t xml:space="preserve">the recognized organizations including Article 2(3)(c) of the previous </w:t>
      </w:r>
      <w:r w:rsidR="009C10DE">
        <w:rPr>
          <w:noProof/>
          <w:lang w:val="en-US" w:eastAsia="en-GB"/>
        </w:rPr>
        <w:t>mandate</w:t>
      </w:r>
      <w:r w:rsidR="00D351E2">
        <w:rPr>
          <w:noProof/>
          <w:lang w:val="en-US" w:eastAsia="en-GB"/>
        </w:rPr>
        <w:t xml:space="preserve">, </w:t>
      </w:r>
      <w:r w:rsidR="00302D74">
        <w:rPr>
          <w:noProof/>
          <w:lang w:val="en-US" w:eastAsia="en-GB"/>
        </w:rPr>
        <w:t>the marine equipment Directive and the work on autonomous ships.</w:t>
      </w:r>
    </w:p>
    <w:p w14:paraId="25C69590" w14:textId="77777777" w:rsidR="00302D74" w:rsidRDefault="00302D74" w:rsidP="007241B1">
      <w:pPr>
        <w:pBdr>
          <w:top w:val="nil"/>
          <w:left w:val="nil"/>
          <w:bottom w:val="nil"/>
          <w:right w:val="nil"/>
          <w:between w:val="nil"/>
          <w:bar w:val="nil"/>
        </w:pBdr>
        <w:spacing w:before="0" w:after="240"/>
        <w:rPr>
          <w:noProof/>
          <w:lang w:val="en-US" w:eastAsia="en-GB"/>
        </w:rPr>
      </w:pPr>
      <w:r>
        <w:rPr>
          <w:noProof/>
          <w:lang w:val="en-US" w:eastAsia="en-GB"/>
        </w:rPr>
        <w:t xml:space="preserve">Article 5 </w:t>
      </w:r>
      <w:r w:rsidR="00D351E2">
        <w:rPr>
          <w:noProof/>
          <w:lang w:val="en-US" w:eastAsia="en-GB"/>
        </w:rPr>
        <w:t>includes the tasks of the Agency in the area of sustainability, retaining the ones of Article 2 (3)(d), (f),(g) and Article 2a</w:t>
      </w:r>
      <w:r w:rsidR="004C37BF">
        <w:rPr>
          <w:noProof/>
          <w:lang w:val="en-US" w:eastAsia="en-GB"/>
        </w:rPr>
        <w:t xml:space="preserve"> (2) points </w:t>
      </w:r>
      <w:r w:rsidR="00D351E2">
        <w:rPr>
          <w:noProof/>
          <w:lang w:val="en-US" w:eastAsia="en-GB"/>
        </w:rPr>
        <w:t>(a) and (e)</w:t>
      </w:r>
      <w:r w:rsidR="004C37BF">
        <w:rPr>
          <w:noProof/>
          <w:lang w:val="en-US" w:eastAsia="en-GB"/>
        </w:rPr>
        <w:t xml:space="preserve"> of the previous mandate</w:t>
      </w:r>
      <w:r w:rsidR="00D351E2">
        <w:rPr>
          <w:noProof/>
          <w:lang w:val="en-US" w:eastAsia="en-GB"/>
        </w:rPr>
        <w:t xml:space="preserve">. It also reflects the changes emanating in the new proposed Directive on Ship Source pollution </w:t>
      </w:r>
      <w:r w:rsidR="004C37BF">
        <w:rPr>
          <w:noProof/>
          <w:lang w:val="en-US" w:eastAsia="en-GB"/>
        </w:rPr>
        <w:t xml:space="preserve">and the </w:t>
      </w:r>
      <w:r w:rsidR="00D351E2">
        <w:rPr>
          <w:noProof/>
          <w:lang w:val="en-US" w:eastAsia="en-GB"/>
        </w:rPr>
        <w:t xml:space="preserve">current work of the Agency for the </w:t>
      </w:r>
      <w:r w:rsidR="004C37BF">
        <w:rPr>
          <w:noProof/>
          <w:lang w:val="en-US" w:eastAsia="en-GB"/>
        </w:rPr>
        <w:t xml:space="preserve">port reception facilities, the </w:t>
      </w:r>
      <w:r w:rsidR="00D351E2">
        <w:rPr>
          <w:noProof/>
          <w:lang w:val="en-US" w:eastAsia="en-GB"/>
        </w:rPr>
        <w:t xml:space="preserve">sulphur and NOx </w:t>
      </w:r>
      <w:r w:rsidR="004C37BF">
        <w:rPr>
          <w:noProof/>
          <w:lang w:val="en-US" w:eastAsia="en-GB"/>
        </w:rPr>
        <w:t>emissions and the ship recycling legislation.</w:t>
      </w:r>
    </w:p>
    <w:p w14:paraId="4E646C62" w14:textId="77777777" w:rsidR="00F4653C" w:rsidRPr="00F4653C" w:rsidRDefault="00F4653C" w:rsidP="00F4653C">
      <w:pPr>
        <w:pBdr>
          <w:top w:val="nil"/>
          <w:left w:val="nil"/>
          <w:bottom w:val="nil"/>
          <w:right w:val="nil"/>
          <w:between w:val="nil"/>
          <w:bar w:val="nil"/>
        </w:pBdr>
        <w:spacing w:before="0" w:after="240"/>
        <w:rPr>
          <w:noProof/>
          <w:lang w:val="en-US" w:eastAsia="en-GB"/>
        </w:rPr>
      </w:pPr>
      <w:r w:rsidRPr="00F4653C">
        <w:rPr>
          <w:noProof/>
          <w:lang w:val="en-US" w:eastAsia="en-GB"/>
        </w:rPr>
        <w:t>Article 6 includes the tasks of the Agency in the efforts to decarbonize shipping, amending and further expanding on the task of Article 2a(2)(b) of the previous mandate. It includes  the work of the Agency for the FuelEU Maritime Regulation, for the extension of the Emission Trading System (ETS) to shipping and for the Monitoring Reporting Verification (MRV) legislation while it mandates the Agency to continue supporting the Commission and the Member States’ efforts to reduce greenhouse gases from shipping both in the EU and in EU-led efforts at IMO.</w:t>
      </w:r>
    </w:p>
    <w:p w14:paraId="7D9ED8D8" w14:textId="77777777" w:rsidR="003A0DE1" w:rsidRDefault="003A0DE1" w:rsidP="007241B1">
      <w:pPr>
        <w:pBdr>
          <w:top w:val="nil"/>
          <w:left w:val="nil"/>
          <w:bottom w:val="nil"/>
          <w:right w:val="nil"/>
          <w:between w:val="nil"/>
          <w:bar w:val="nil"/>
        </w:pBdr>
        <w:spacing w:before="0" w:after="240"/>
        <w:rPr>
          <w:noProof/>
          <w:lang w:val="en-US" w:eastAsia="en-GB"/>
        </w:rPr>
      </w:pPr>
      <w:r>
        <w:rPr>
          <w:noProof/>
          <w:lang w:val="en-US" w:eastAsia="en-GB"/>
        </w:rPr>
        <w:t xml:space="preserve">Article 7 includes </w:t>
      </w:r>
      <w:r w:rsidRPr="003A0DE1">
        <w:rPr>
          <w:noProof/>
          <w:lang w:val="en-US" w:eastAsia="en-GB"/>
        </w:rPr>
        <w:t xml:space="preserve">the tasks of the Agency in the </w:t>
      </w:r>
      <w:r>
        <w:rPr>
          <w:noProof/>
          <w:lang w:val="en-US" w:eastAsia="en-GB"/>
        </w:rPr>
        <w:t>area of maritime security and cybersecurity</w:t>
      </w:r>
      <w:r w:rsidRPr="003A0DE1">
        <w:rPr>
          <w:noProof/>
          <w:lang w:val="en-US" w:eastAsia="en-GB"/>
        </w:rPr>
        <w:t>, reflecting the task of A</w:t>
      </w:r>
      <w:r>
        <w:rPr>
          <w:noProof/>
          <w:lang w:val="en-US" w:eastAsia="en-GB"/>
        </w:rPr>
        <w:t>rticle 2</w:t>
      </w:r>
      <w:r w:rsidRPr="003A0DE1">
        <w:rPr>
          <w:noProof/>
          <w:lang w:val="en-US" w:eastAsia="en-GB"/>
        </w:rPr>
        <w:t>(2)(b) of the previous mandate</w:t>
      </w:r>
      <w:r>
        <w:rPr>
          <w:noProof/>
          <w:lang w:val="en-US" w:eastAsia="en-GB"/>
        </w:rPr>
        <w:t xml:space="preserve"> while reflecting the engagement of the Agency in the effort to develop resilience against cybersecurity threats.</w:t>
      </w:r>
    </w:p>
    <w:p w14:paraId="51F1D03A" w14:textId="77777777" w:rsidR="003A0DE1" w:rsidRDefault="003A0DE1" w:rsidP="007241B1">
      <w:pPr>
        <w:pBdr>
          <w:top w:val="nil"/>
          <w:left w:val="nil"/>
          <w:bottom w:val="nil"/>
          <w:right w:val="nil"/>
          <w:between w:val="nil"/>
          <w:bar w:val="nil"/>
        </w:pBdr>
        <w:spacing w:before="0" w:after="240"/>
        <w:rPr>
          <w:noProof/>
          <w:lang w:val="en-US" w:eastAsia="en-GB"/>
        </w:rPr>
      </w:pPr>
      <w:r>
        <w:rPr>
          <w:noProof/>
          <w:lang w:val="en-US" w:eastAsia="en-GB"/>
        </w:rPr>
        <w:t>Article 8</w:t>
      </w:r>
      <w:r w:rsidRPr="003A0DE1">
        <w:rPr>
          <w:noProof/>
          <w:lang w:val="en-US" w:eastAsia="en-GB"/>
        </w:rPr>
        <w:t xml:space="preserve"> includes the tasks of the Agency in the area of maritime </w:t>
      </w:r>
      <w:r>
        <w:rPr>
          <w:noProof/>
          <w:lang w:val="en-US" w:eastAsia="en-GB"/>
        </w:rPr>
        <w:t>surveillance and maritime crises</w:t>
      </w:r>
      <w:r w:rsidRPr="003A0DE1">
        <w:rPr>
          <w:noProof/>
          <w:lang w:val="en-US" w:eastAsia="en-GB"/>
        </w:rPr>
        <w:t>, reflecting the task</w:t>
      </w:r>
      <w:r w:rsidR="00366278">
        <w:rPr>
          <w:noProof/>
          <w:lang w:val="en-US" w:eastAsia="en-GB"/>
        </w:rPr>
        <w:t>s</w:t>
      </w:r>
      <w:r w:rsidRPr="003A0DE1">
        <w:rPr>
          <w:noProof/>
          <w:lang w:val="en-US" w:eastAsia="en-GB"/>
        </w:rPr>
        <w:t xml:space="preserve"> of Article 2(</w:t>
      </w:r>
      <w:r w:rsidR="00EE1423">
        <w:rPr>
          <w:noProof/>
          <w:lang w:val="en-US" w:eastAsia="en-GB"/>
        </w:rPr>
        <w:t>4</w:t>
      </w:r>
      <w:r w:rsidRPr="003A0DE1">
        <w:rPr>
          <w:noProof/>
          <w:lang w:val="en-US" w:eastAsia="en-GB"/>
        </w:rPr>
        <w:t>)</w:t>
      </w:r>
      <w:r w:rsidR="00EE1423">
        <w:rPr>
          <w:noProof/>
          <w:lang w:val="en-US" w:eastAsia="en-GB"/>
        </w:rPr>
        <w:t xml:space="preserve"> points </w:t>
      </w:r>
      <w:r w:rsidRPr="003A0DE1">
        <w:rPr>
          <w:noProof/>
          <w:lang w:val="en-US" w:eastAsia="en-GB"/>
        </w:rPr>
        <w:t>(</w:t>
      </w:r>
      <w:r w:rsidR="00EE1423">
        <w:rPr>
          <w:noProof/>
          <w:lang w:val="en-US" w:eastAsia="en-GB"/>
        </w:rPr>
        <w:t>a</w:t>
      </w:r>
      <w:r w:rsidRPr="003A0DE1">
        <w:rPr>
          <w:noProof/>
          <w:lang w:val="en-US" w:eastAsia="en-GB"/>
        </w:rPr>
        <w:t>)</w:t>
      </w:r>
      <w:r w:rsidR="00EE1423">
        <w:rPr>
          <w:noProof/>
          <w:lang w:val="en-US" w:eastAsia="en-GB"/>
        </w:rPr>
        <w:t>, (b) and (i) and Article 2a(2) points</w:t>
      </w:r>
      <w:r w:rsidRPr="003A0DE1">
        <w:rPr>
          <w:noProof/>
          <w:lang w:val="en-US" w:eastAsia="en-GB"/>
        </w:rPr>
        <w:t xml:space="preserve"> </w:t>
      </w:r>
      <w:r w:rsidR="00EE1423">
        <w:rPr>
          <w:noProof/>
          <w:lang w:val="en-US" w:eastAsia="en-GB"/>
        </w:rPr>
        <w:t xml:space="preserve">(c) and (d) </w:t>
      </w:r>
      <w:r w:rsidRPr="003A0DE1">
        <w:rPr>
          <w:noProof/>
          <w:lang w:val="en-US" w:eastAsia="en-GB"/>
        </w:rPr>
        <w:t>of the previous mandate</w:t>
      </w:r>
      <w:r w:rsidR="00EE1423">
        <w:rPr>
          <w:noProof/>
          <w:lang w:val="en-US" w:eastAsia="en-GB"/>
        </w:rPr>
        <w:t>.</w:t>
      </w:r>
      <w:r w:rsidR="00337511">
        <w:rPr>
          <w:noProof/>
          <w:lang w:val="en-US" w:eastAsia="en-GB"/>
        </w:rPr>
        <w:t xml:space="preserve"> The Article proposes also the 24/7 maritime awareness center of the Agency which has played already a crucial role in assisting during periods of crises.</w:t>
      </w:r>
    </w:p>
    <w:p w14:paraId="44CE215A" w14:textId="77777777" w:rsidR="00337511" w:rsidRDefault="00337511" w:rsidP="007241B1">
      <w:pPr>
        <w:pBdr>
          <w:top w:val="nil"/>
          <w:left w:val="nil"/>
          <w:bottom w:val="nil"/>
          <w:right w:val="nil"/>
          <w:between w:val="nil"/>
          <w:bar w:val="nil"/>
        </w:pBdr>
        <w:spacing w:before="0" w:after="240"/>
        <w:rPr>
          <w:noProof/>
          <w:lang w:val="en-US" w:eastAsia="en-GB"/>
        </w:rPr>
      </w:pPr>
      <w:r>
        <w:rPr>
          <w:noProof/>
          <w:lang w:val="en-US" w:eastAsia="en-GB"/>
        </w:rPr>
        <w:t xml:space="preserve">Article 9 includes </w:t>
      </w:r>
      <w:r w:rsidRPr="00337511">
        <w:rPr>
          <w:noProof/>
          <w:lang w:val="en-US" w:eastAsia="en-GB"/>
        </w:rPr>
        <w:t xml:space="preserve">the tasks of the Agency in the area of </w:t>
      </w:r>
      <w:r>
        <w:rPr>
          <w:noProof/>
          <w:lang w:val="en-US" w:eastAsia="en-GB"/>
        </w:rPr>
        <w:t>digitalization and simplification</w:t>
      </w:r>
      <w:r w:rsidRPr="00337511">
        <w:rPr>
          <w:noProof/>
          <w:lang w:val="en-US" w:eastAsia="en-GB"/>
        </w:rPr>
        <w:t>, reflecting the task of Article 2(4)</w:t>
      </w:r>
      <w:r>
        <w:rPr>
          <w:noProof/>
          <w:lang w:val="en-US" w:eastAsia="en-GB"/>
        </w:rPr>
        <w:t>(d)</w:t>
      </w:r>
      <w:r w:rsidRPr="00337511">
        <w:rPr>
          <w:noProof/>
          <w:lang w:val="en-US" w:eastAsia="en-GB"/>
        </w:rPr>
        <w:t xml:space="preserve"> and Article 2a(2) points (</w:t>
      </w:r>
      <w:r>
        <w:rPr>
          <w:noProof/>
          <w:lang w:val="en-US" w:eastAsia="en-GB"/>
        </w:rPr>
        <w:t>a</w:t>
      </w:r>
      <w:r w:rsidRPr="00337511">
        <w:rPr>
          <w:noProof/>
          <w:lang w:val="en-US" w:eastAsia="en-GB"/>
        </w:rPr>
        <w:t>) and (</w:t>
      </w:r>
      <w:r>
        <w:rPr>
          <w:noProof/>
          <w:lang w:val="en-US" w:eastAsia="en-GB"/>
        </w:rPr>
        <w:t>b</w:t>
      </w:r>
      <w:r w:rsidRPr="00337511">
        <w:rPr>
          <w:noProof/>
          <w:lang w:val="en-US" w:eastAsia="en-GB"/>
        </w:rPr>
        <w:t>) of the previous mandate.</w:t>
      </w:r>
      <w:r>
        <w:rPr>
          <w:noProof/>
          <w:lang w:val="en-US" w:eastAsia="en-GB"/>
        </w:rPr>
        <w:t xml:space="preserve"> It reflects also the tasks of the Agency in assisting the Commission in the implementation of the </w:t>
      </w:r>
      <w:r w:rsidRPr="00337511">
        <w:rPr>
          <w:noProof/>
          <w:lang w:val="en-US" w:eastAsia="en-GB"/>
        </w:rPr>
        <w:t>European Maritime Single Window environment (EMSWe)</w:t>
      </w:r>
      <w:r>
        <w:rPr>
          <w:noProof/>
          <w:lang w:val="en-US" w:eastAsia="en-GB"/>
        </w:rPr>
        <w:t>.</w:t>
      </w:r>
    </w:p>
    <w:p w14:paraId="32E26332" w14:textId="77777777" w:rsidR="00A22738" w:rsidRDefault="00A22738" w:rsidP="007241B1">
      <w:pPr>
        <w:pBdr>
          <w:top w:val="nil"/>
          <w:left w:val="nil"/>
          <w:bottom w:val="nil"/>
          <w:right w:val="nil"/>
          <w:between w:val="nil"/>
          <w:bar w:val="nil"/>
        </w:pBdr>
        <w:spacing w:before="0" w:after="240"/>
        <w:rPr>
          <w:noProof/>
          <w:lang w:val="en-US" w:eastAsia="en-GB"/>
        </w:rPr>
      </w:pPr>
      <w:r>
        <w:rPr>
          <w:noProof/>
          <w:lang w:val="en-US" w:eastAsia="en-GB"/>
        </w:rPr>
        <w:t>Article 10 reflects the previous Article 3 on the visits and inspections that Agency should conduct. It provides also flexibility to allow for the assistance of the Agency with any other inspections in the maritime transport area for which the Commission might need such assistance.</w:t>
      </w:r>
    </w:p>
    <w:p w14:paraId="3204456A" w14:textId="77777777" w:rsidR="00970DFA" w:rsidRPr="00970DFA" w:rsidRDefault="00970DFA" w:rsidP="00970DFA">
      <w:pPr>
        <w:pBdr>
          <w:top w:val="nil"/>
          <w:left w:val="nil"/>
          <w:bottom w:val="nil"/>
          <w:right w:val="nil"/>
          <w:between w:val="nil"/>
          <w:bar w:val="nil"/>
        </w:pBdr>
        <w:spacing w:before="0" w:after="240"/>
        <w:rPr>
          <w:noProof/>
          <w:lang w:val="en-US" w:eastAsia="en-GB"/>
        </w:rPr>
      </w:pPr>
      <w:r w:rsidRPr="00970DFA">
        <w:rPr>
          <w:noProof/>
          <w:lang w:val="en-US" w:eastAsia="en-GB"/>
        </w:rPr>
        <w:t>CHAPTER II</w:t>
      </w:r>
      <w:r>
        <w:rPr>
          <w:noProof/>
          <w:lang w:val="en-US" w:eastAsia="en-GB"/>
        </w:rPr>
        <w:t xml:space="preserve">I </w:t>
      </w:r>
      <w:r w:rsidR="00352241" w:rsidRPr="00352241">
        <w:rPr>
          <w:noProof/>
          <w:lang w:eastAsia="en-GB"/>
        </w:rPr>
        <w:t>OTHER TASKS OF THE AGENCY REGARDING INTERNATIONAL RELATIONS AND EUROPEAN COAST GUARD COOPERATION</w:t>
      </w:r>
      <w:r w:rsidRPr="00970DFA">
        <w:rPr>
          <w:noProof/>
          <w:lang w:val="en-US" w:eastAsia="en-GB"/>
        </w:rPr>
        <w:t>:</w:t>
      </w:r>
    </w:p>
    <w:p w14:paraId="68E7BB96" w14:textId="77777777" w:rsidR="00FF6455" w:rsidRDefault="00970DFA" w:rsidP="007241B1">
      <w:pPr>
        <w:pBdr>
          <w:top w:val="nil"/>
          <w:left w:val="nil"/>
          <w:bottom w:val="nil"/>
          <w:right w:val="nil"/>
          <w:between w:val="nil"/>
          <w:bar w:val="nil"/>
        </w:pBdr>
        <w:spacing w:before="0" w:after="240"/>
        <w:rPr>
          <w:noProof/>
          <w:lang w:val="en-US" w:eastAsia="en-GB"/>
        </w:rPr>
      </w:pPr>
      <w:r>
        <w:rPr>
          <w:noProof/>
          <w:lang w:val="en-US" w:eastAsia="en-GB"/>
        </w:rPr>
        <w:t xml:space="preserve">Article 11 </w:t>
      </w:r>
      <w:r w:rsidRPr="00970DFA">
        <w:rPr>
          <w:noProof/>
          <w:lang w:val="en-US" w:eastAsia="en-GB"/>
        </w:rPr>
        <w:t xml:space="preserve">reflects the </w:t>
      </w:r>
      <w:r>
        <w:rPr>
          <w:noProof/>
          <w:lang w:val="en-US" w:eastAsia="en-GB"/>
        </w:rPr>
        <w:t xml:space="preserve">tasks of </w:t>
      </w:r>
      <w:r w:rsidRPr="00970DFA">
        <w:rPr>
          <w:noProof/>
          <w:lang w:val="en-US" w:eastAsia="en-GB"/>
        </w:rPr>
        <w:t xml:space="preserve">Article </w:t>
      </w:r>
      <w:r>
        <w:rPr>
          <w:noProof/>
          <w:lang w:val="en-US" w:eastAsia="en-GB"/>
        </w:rPr>
        <w:t>2(4)(</w:t>
      </w:r>
      <w:r w:rsidR="000B2968">
        <w:rPr>
          <w:noProof/>
          <w:lang w:val="en-US" w:eastAsia="en-GB"/>
        </w:rPr>
        <w:t>h) and Article 2(5)</w:t>
      </w:r>
      <w:r w:rsidR="00FF6455">
        <w:rPr>
          <w:noProof/>
          <w:lang w:val="en-US" w:eastAsia="en-GB"/>
        </w:rPr>
        <w:t xml:space="preserve"> of the previous mandate while it reflects the broader assistance of the Agency to the Commission and the European External Action Service with regards to third countries.</w:t>
      </w:r>
    </w:p>
    <w:p w14:paraId="1D145FA8" w14:textId="77777777" w:rsidR="00A22738" w:rsidRPr="007241B1" w:rsidRDefault="00FF6455" w:rsidP="007241B1">
      <w:pPr>
        <w:pBdr>
          <w:top w:val="nil"/>
          <w:left w:val="nil"/>
          <w:bottom w:val="nil"/>
          <w:right w:val="nil"/>
          <w:between w:val="nil"/>
          <w:bar w:val="nil"/>
        </w:pBdr>
        <w:spacing w:before="0" w:after="240"/>
        <w:rPr>
          <w:noProof/>
          <w:lang w:val="en-US" w:eastAsia="en-GB"/>
        </w:rPr>
      </w:pPr>
      <w:r>
        <w:rPr>
          <w:noProof/>
          <w:lang w:val="en-US" w:eastAsia="en-GB"/>
        </w:rPr>
        <w:t xml:space="preserve">Article 12  </w:t>
      </w:r>
      <w:r w:rsidR="00970DFA" w:rsidRPr="00970DFA">
        <w:rPr>
          <w:noProof/>
          <w:lang w:val="en-US" w:eastAsia="en-GB"/>
        </w:rPr>
        <w:t xml:space="preserve"> </w:t>
      </w:r>
      <w:r>
        <w:rPr>
          <w:noProof/>
          <w:lang w:val="en-US" w:eastAsia="en-GB"/>
        </w:rPr>
        <w:t>repeats Article 2b of the previous mandate and Article 13 reflects and regulates the communication activities of the Agency.</w:t>
      </w:r>
    </w:p>
    <w:p w14:paraId="31A674AB" w14:textId="77777777" w:rsidR="00053218" w:rsidRDefault="0031280F" w:rsidP="001F3C82">
      <w:pPr>
        <w:rPr>
          <w:noProof/>
        </w:rPr>
      </w:pPr>
      <w:r>
        <w:rPr>
          <w:noProof/>
        </w:rPr>
        <w:t>C</w:t>
      </w:r>
      <w:r w:rsidR="005D7904">
        <w:rPr>
          <w:noProof/>
        </w:rPr>
        <w:t>HAPTER</w:t>
      </w:r>
      <w:r>
        <w:rPr>
          <w:noProof/>
        </w:rPr>
        <w:t xml:space="preserve"> IV</w:t>
      </w:r>
      <w:r w:rsidR="001F3C82">
        <w:rPr>
          <w:noProof/>
        </w:rPr>
        <w:t xml:space="preserve"> and CHAPTER V</w:t>
      </w:r>
      <w:r>
        <w:rPr>
          <w:noProof/>
        </w:rPr>
        <w:t xml:space="preserve"> (Articles 1</w:t>
      </w:r>
      <w:r w:rsidR="00FF6455">
        <w:rPr>
          <w:noProof/>
        </w:rPr>
        <w:t>4</w:t>
      </w:r>
      <w:r>
        <w:rPr>
          <w:noProof/>
        </w:rPr>
        <w:t xml:space="preserve"> to 2</w:t>
      </w:r>
      <w:r w:rsidR="001F3C82">
        <w:rPr>
          <w:noProof/>
        </w:rPr>
        <w:t>6</w:t>
      </w:r>
      <w:r>
        <w:rPr>
          <w:noProof/>
        </w:rPr>
        <w:t xml:space="preserve">)  sets out the rules on the organisation of the Agency. The rules are based on Regulation (EC) No </w:t>
      </w:r>
      <w:r w:rsidR="00FF6455">
        <w:rPr>
          <w:noProof/>
        </w:rPr>
        <w:t>1406</w:t>
      </w:r>
      <w:r>
        <w:rPr>
          <w:noProof/>
        </w:rPr>
        <w:t>/200</w:t>
      </w:r>
      <w:r w:rsidR="00FF6455">
        <w:rPr>
          <w:noProof/>
        </w:rPr>
        <w:t>2</w:t>
      </w:r>
      <w:r>
        <w:rPr>
          <w:noProof/>
        </w:rPr>
        <w:t xml:space="preserve">. The changes introduced to the rules in this Chapter are due to the implementation of </w:t>
      </w:r>
      <w:r w:rsidR="001F3C82">
        <w:rPr>
          <w:noProof/>
        </w:rPr>
        <w:t>the Joint Statement of the Commission, the European Parliament and the Council on decentralised agencies and the Common Approach (2012)</w:t>
      </w:r>
      <w:r>
        <w:rPr>
          <w:noProof/>
        </w:rPr>
        <w:t xml:space="preserve">. </w:t>
      </w:r>
      <w:r w:rsidR="001F3C82">
        <w:rPr>
          <w:noProof/>
        </w:rPr>
        <w:t xml:space="preserve">The main changes include the introduction of a flexibility mechanism when it comes to various requests for assistance or implementation of certain tasks that allows first for a reflection and analysis by the management board of the available human and financial resources in the context of the </w:t>
      </w:r>
      <w:r w:rsidR="008D1A8A">
        <w:rPr>
          <w:noProof/>
        </w:rPr>
        <w:t xml:space="preserve">annual and multi-annual programming </w:t>
      </w:r>
      <w:r w:rsidR="001F3C82">
        <w:rPr>
          <w:noProof/>
        </w:rPr>
        <w:t>(Article 17) and an executive</w:t>
      </w:r>
      <w:r w:rsidR="008D1A8A">
        <w:rPr>
          <w:noProof/>
        </w:rPr>
        <w:t xml:space="preserve"> board (Article 21) while the previous administrative board is renamed into management board.</w:t>
      </w:r>
      <w:r w:rsidR="001F3C82">
        <w:rPr>
          <w:noProof/>
        </w:rPr>
        <w:t xml:space="preserve"> </w:t>
      </w:r>
      <w:r w:rsidR="00414144">
        <w:rPr>
          <w:noProof/>
        </w:rPr>
        <w:t>In particular:</w:t>
      </w:r>
    </w:p>
    <w:p w14:paraId="59D68648" w14:textId="77777777" w:rsidR="00414144" w:rsidRDefault="00414144" w:rsidP="00414144">
      <w:pPr>
        <w:rPr>
          <w:noProof/>
        </w:rPr>
      </w:pPr>
      <w:r>
        <w:rPr>
          <w:noProof/>
        </w:rPr>
        <w:t>Article 14</w:t>
      </w:r>
      <w:r w:rsidR="0031280F">
        <w:rPr>
          <w:noProof/>
        </w:rPr>
        <w:t xml:space="preserve"> defines the structure of the Agency. Articles </w:t>
      </w:r>
      <w:r>
        <w:rPr>
          <w:noProof/>
        </w:rPr>
        <w:t>15</w:t>
      </w:r>
      <w:r w:rsidR="0031280F">
        <w:rPr>
          <w:noProof/>
        </w:rPr>
        <w:t xml:space="preserve"> to </w:t>
      </w:r>
      <w:r>
        <w:rPr>
          <w:noProof/>
        </w:rPr>
        <w:t>20</w:t>
      </w:r>
      <w:r w:rsidR="0031280F">
        <w:rPr>
          <w:noProof/>
        </w:rPr>
        <w:t xml:space="preserve"> set out the composition, functions and the working methods of the Management Board. They are developed based on Article</w:t>
      </w:r>
      <w:r>
        <w:rPr>
          <w:noProof/>
        </w:rPr>
        <w:t xml:space="preserve">s 10 to 14 </w:t>
      </w:r>
      <w:r w:rsidR="0031280F">
        <w:rPr>
          <w:noProof/>
        </w:rPr>
        <w:t xml:space="preserve">of Regulation (EC) No </w:t>
      </w:r>
      <w:r>
        <w:rPr>
          <w:noProof/>
        </w:rPr>
        <w:t>1406/2002 and</w:t>
      </w:r>
      <w:r w:rsidR="0031280F">
        <w:rPr>
          <w:noProof/>
        </w:rPr>
        <w:t xml:space="preserve"> the common approach. </w:t>
      </w:r>
      <w:r>
        <w:rPr>
          <w:noProof/>
        </w:rPr>
        <w:t>Article 17</w:t>
      </w:r>
      <w:r w:rsidRPr="00414144">
        <w:rPr>
          <w:noProof/>
          <w:lang w:val="en-US"/>
        </w:rPr>
        <w:t>: "annual an</w:t>
      </w:r>
      <w:r>
        <w:rPr>
          <w:noProof/>
          <w:lang w:val="en-US"/>
        </w:rPr>
        <w:t>d multi-annual work programmes" is</w:t>
      </w:r>
      <w:r w:rsidRPr="00414144">
        <w:rPr>
          <w:noProof/>
          <w:lang w:val="en-US"/>
        </w:rPr>
        <w:t xml:space="preserve"> </w:t>
      </w:r>
      <w:r>
        <w:rPr>
          <w:noProof/>
          <w:lang w:val="en-US"/>
        </w:rPr>
        <w:t xml:space="preserve">a </w:t>
      </w:r>
      <w:r w:rsidRPr="00414144">
        <w:rPr>
          <w:noProof/>
          <w:lang w:val="en-US"/>
        </w:rPr>
        <w:t>new, separate article on work</w:t>
      </w:r>
      <w:r>
        <w:rPr>
          <w:noProof/>
          <w:lang w:val="en-US"/>
        </w:rPr>
        <w:t xml:space="preserve"> </w:t>
      </w:r>
      <w:r w:rsidRPr="00414144">
        <w:rPr>
          <w:noProof/>
          <w:lang w:val="en-US"/>
        </w:rPr>
        <w:t>progra</w:t>
      </w:r>
      <w:r>
        <w:rPr>
          <w:noProof/>
          <w:lang w:val="en-US"/>
        </w:rPr>
        <w:t xml:space="preserve">mmes deemed useful for clarity </w:t>
      </w:r>
      <w:r w:rsidRPr="00414144">
        <w:rPr>
          <w:noProof/>
          <w:lang w:val="en-US"/>
        </w:rPr>
        <w:t>in accordance with the Joint Statement</w:t>
      </w:r>
      <w:r>
        <w:rPr>
          <w:noProof/>
          <w:lang w:val="en-US"/>
        </w:rPr>
        <w:t>.</w:t>
      </w:r>
    </w:p>
    <w:p w14:paraId="15EA60E9" w14:textId="77777777" w:rsidR="00414144" w:rsidRDefault="0031280F" w:rsidP="0031280F">
      <w:pPr>
        <w:rPr>
          <w:noProof/>
        </w:rPr>
      </w:pPr>
      <w:r>
        <w:rPr>
          <w:noProof/>
        </w:rPr>
        <w:t>Article 2</w:t>
      </w:r>
      <w:r w:rsidR="00414144">
        <w:rPr>
          <w:noProof/>
        </w:rPr>
        <w:t>1</w:t>
      </w:r>
      <w:r>
        <w:rPr>
          <w:noProof/>
        </w:rPr>
        <w:t xml:space="preserve"> sets out the rules for the Executive Board, which supports the Management Board and prepares its meetings. </w:t>
      </w:r>
    </w:p>
    <w:p w14:paraId="5B947B92" w14:textId="77777777" w:rsidR="00414144" w:rsidRDefault="00414144" w:rsidP="0031280F">
      <w:pPr>
        <w:rPr>
          <w:noProof/>
        </w:rPr>
      </w:pPr>
      <w:r>
        <w:rPr>
          <w:noProof/>
        </w:rPr>
        <w:t>Articles 22 to 23 set</w:t>
      </w:r>
      <w:r w:rsidR="0031280F">
        <w:rPr>
          <w:noProof/>
        </w:rPr>
        <w:t xml:space="preserve"> out the</w:t>
      </w:r>
      <w:r>
        <w:rPr>
          <w:noProof/>
        </w:rPr>
        <w:t xml:space="preserve"> appointment procedure and the</w:t>
      </w:r>
      <w:r w:rsidR="0031280F">
        <w:rPr>
          <w:noProof/>
        </w:rPr>
        <w:t xml:space="preserve"> responsibilities of the Executive Director and is based on Article</w:t>
      </w:r>
      <w:r>
        <w:rPr>
          <w:noProof/>
        </w:rPr>
        <w:t>s</w:t>
      </w:r>
      <w:r w:rsidR="0031280F">
        <w:rPr>
          <w:noProof/>
        </w:rPr>
        <w:t xml:space="preserve"> 1</w:t>
      </w:r>
      <w:r>
        <w:rPr>
          <w:noProof/>
        </w:rPr>
        <w:t>5 and 16</w:t>
      </w:r>
      <w:r w:rsidR="0031280F">
        <w:rPr>
          <w:noProof/>
        </w:rPr>
        <w:t xml:space="preserve"> of Regulation (EC) No </w:t>
      </w:r>
      <w:r>
        <w:rPr>
          <w:noProof/>
        </w:rPr>
        <w:t>1406/2002</w:t>
      </w:r>
      <w:r w:rsidR="0031280F">
        <w:rPr>
          <w:noProof/>
        </w:rPr>
        <w:t xml:space="preserve"> and the common approach. </w:t>
      </w:r>
    </w:p>
    <w:p w14:paraId="6A558154" w14:textId="77777777" w:rsidR="005D7904" w:rsidRDefault="005D7904" w:rsidP="0031280F">
      <w:pPr>
        <w:rPr>
          <w:noProof/>
        </w:rPr>
      </w:pPr>
      <w:r>
        <w:rPr>
          <w:noProof/>
        </w:rPr>
        <w:t>Article 24 is a repetition of Article 17 of the previous mandate.</w:t>
      </w:r>
    </w:p>
    <w:p w14:paraId="6D4F65EE" w14:textId="77777777" w:rsidR="0031280F" w:rsidRDefault="005D7904" w:rsidP="0031280F">
      <w:pPr>
        <w:rPr>
          <w:noProof/>
        </w:rPr>
      </w:pPr>
      <w:r>
        <w:rPr>
          <w:noProof/>
        </w:rPr>
        <w:t xml:space="preserve">CHAPTER VI </w:t>
      </w:r>
      <w:r w:rsidR="0031280F">
        <w:rPr>
          <w:noProof/>
        </w:rPr>
        <w:t xml:space="preserve">(Articles </w:t>
      </w:r>
      <w:r>
        <w:rPr>
          <w:noProof/>
        </w:rPr>
        <w:t>25</w:t>
      </w:r>
      <w:r w:rsidR="0031280F">
        <w:rPr>
          <w:noProof/>
        </w:rPr>
        <w:t xml:space="preserve"> to </w:t>
      </w:r>
      <w:r>
        <w:rPr>
          <w:noProof/>
        </w:rPr>
        <w:t>29</w:t>
      </w:r>
      <w:r w:rsidR="0031280F">
        <w:rPr>
          <w:noProof/>
        </w:rPr>
        <w:t>) includes the financial provisions. Th</w:t>
      </w:r>
      <w:r>
        <w:rPr>
          <w:noProof/>
        </w:rPr>
        <w:t>ese</w:t>
      </w:r>
      <w:r w:rsidR="0031280F">
        <w:rPr>
          <w:noProof/>
        </w:rPr>
        <w:t xml:space="preserve"> provision</w:t>
      </w:r>
      <w:r>
        <w:rPr>
          <w:noProof/>
        </w:rPr>
        <w:t>s have</w:t>
      </w:r>
      <w:r w:rsidR="0031280F">
        <w:rPr>
          <w:noProof/>
        </w:rPr>
        <w:t xml:space="preserve"> been adapted to the latest financial regulations</w:t>
      </w:r>
      <w:r>
        <w:rPr>
          <w:rStyle w:val="FootnoteReference"/>
          <w:noProof/>
        </w:rPr>
        <w:footnoteReference w:id="13"/>
      </w:r>
      <w:r w:rsidR="0031280F">
        <w:rPr>
          <w:noProof/>
        </w:rPr>
        <w:t xml:space="preserve">. Changes in the financial provisions compared to Regulation (EC) No </w:t>
      </w:r>
      <w:r>
        <w:rPr>
          <w:noProof/>
        </w:rPr>
        <w:t>1406/2002</w:t>
      </w:r>
      <w:r w:rsidR="0031280F">
        <w:rPr>
          <w:noProof/>
        </w:rPr>
        <w:t xml:space="preserve"> are due to the implementation of the common approach and the currently applicable financial rules for EU decentralised agencies. The changes introduced as regards the budget procedures and the presentation of accounts and discharge are minor. The </w:t>
      </w:r>
      <w:r>
        <w:rPr>
          <w:noProof/>
        </w:rPr>
        <w:t>main amendment in comparison to the previous mandate</w:t>
      </w:r>
      <w:r w:rsidR="0031280F">
        <w:rPr>
          <w:noProof/>
        </w:rPr>
        <w:t xml:space="preserve"> is </w:t>
      </w:r>
      <w:r>
        <w:rPr>
          <w:noProof/>
        </w:rPr>
        <w:t xml:space="preserve">in </w:t>
      </w:r>
      <w:r w:rsidR="0031280F">
        <w:rPr>
          <w:noProof/>
        </w:rPr>
        <w:t xml:space="preserve">Article </w:t>
      </w:r>
      <w:r>
        <w:rPr>
          <w:noProof/>
        </w:rPr>
        <w:t>26</w:t>
      </w:r>
      <w:r w:rsidR="0031280F">
        <w:rPr>
          <w:noProof/>
        </w:rPr>
        <w:t>, which would allow the Agency to charge fees for certain tasks. It will be up to the Agency to decide at a later stage, once this Regulation is applicable, whether it will use this option or not</w:t>
      </w:r>
      <w:r w:rsidR="008B5C7C">
        <w:rPr>
          <w:noProof/>
        </w:rPr>
        <w:t xml:space="preserve"> while the establishment of the amount of the fee for the services to third countries and the industry shall be made by an implementing act as further prescribed in Article 33</w:t>
      </w:r>
      <w:r w:rsidR="0031280F">
        <w:rPr>
          <w:noProof/>
        </w:rPr>
        <w:t>.</w:t>
      </w:r>
    </w:p>
    <w:p w14:paraId="1A064350" w14:textId="77777777" w:rsidR="0031280F" w:rsidRDefault="0031280F" w:rsidP="0031280F">
      <w:pPr>
        <w:rPr>
          <w:noProof/>
        </w:rPr>
      </w:pPr>
      <w:r>
        <w:rPr>
          <w:noProof/>
        </w:rPr>
        <w:t>C</w:t>
      </w:r>
      <w:r w:rsidR="003C50DB">
        <w:rPr>
          <w:noProof/>
        </w:rPr>
        <w:t>HAPTER VII (Articles 30 to 31</w:t>
      </w:r>
      <w:r>
        <w:rPr>
          <w:noProof/>
        </w:rPr>
        <w:t xml:space="preserve">) includes the staff rules. </w:t>
      </w:r>
    </w:p>
    <w:p w14:paraId="7D51249B" w14:textId="77777777" w:rsidR="003C50DB" w:rsidRDefault="0031280F" w:rsidP="0031280F">
      <w:pPr>
        <w:rPr>
          <w:noProof/>
        </w:rPr>
      </w:pPr>
      <w:r>
        <w:rPr>
          <w:noProof/>
        </w:rPr>
        <w:t xml:space="preserve">Chapter VIII (Articles </w:t>
      </w:r>
      <w:r w:rsidR="003C50DB">
        <w:rPr>
          <w:noProof/>
        </w:rPr>
        <w:t>32</w:t>
      </w:r>
      <w:r>
        <w:rPr>
          <w:noProof/>
        </w:rPr>
        <w:t xml:space="preserve"> to </w:t>
      </w:r>
      <w:r w:rsidR="003C50DB">
        <w:rPr>
          <w:noProof/>
        </w:rPr>
        <w:t>45</w:t>
      </w:r>
      <w:r>
        <w:rPr>
          <w:noProof/>
        </w:rPr>
        <w:t xml:space="preserve">) includes general and final provisions. Changes compared to Regulation (EC) No </w:t>
      </w:r>
      <w:r w:rsidR="003C50DB">
        <w:rPr>
          <w:noProof/>
        </w:rPr>
        <w:t>1406/2002</w:t>
      </w:r>
      <w:r>
        <w:rPr>
          <w:noProof/>
        </w:rPr>
        <w:t xml:space="preserve"> are due to the implementation of the common approach and adaptations to more recent legislation. The majority of these provisions was already included in Regulation (EC) No </w:t>
      </w:r>
      <w:r w:rsidR="003C50DB">
        <w:rPr>
          <w:noProof/>
        </w:rPr>
        <w:t>1406/2002</w:t>
      </w:r>
      <w:r>
        <w:rPr>
          <w:noProof/>
        </w:rPr>
        <w:t xml:space="preserve">. </w:t>
      </w:r>
      <w:r w:rsidR="003C50DB">
        <w:rPr>
          <w:noProof/>
        </w:rPr>
        <w:t>The new Articles 33 and 34 on the comitology are necessary for the implementation of the fees possibility.</w:t>
      </w:r>
    </w:p>
    <w:p w14:paraId="2CF658A1" w14:textId="77777777" w:rsidR="0031280F" w:rsidRDefault="0031280F" w:rsidP="0031280F">
      <w:pPr>
        <w:rPr>
          <w:noProof/>
        </w:rPr>
      </w:pPr>
      <w:r>
        <w:rPr>
          <w:noProof/>
        </w:rPr>
        <w:t>This Chapter also includes t</w:t>
      </w:r>
      <w:r w:rsidR="003C50DB">
        <w:rPr>
          <w:noProof/>
        </w:rPr>
        <w:t>ransitional provisions (Article</w:t>
      </w:r>
      <w:r>
        <w:rPr>
          <w:noProof/>
        </w:rPr>
        <w:t xml:space="preserve"> </w:t>
      </w:r>
      <w:r w:rsidR="003C50DB">
        <w:rPr>
          <w:noProof/>
        </w:rPr>
        <w:t>43</w:t>
      </w:r>
      <w:r>
        <w:rPr>
          <w:noProof/>
        </w:rPr>
        <w:t xml:space="preserve">) to enable a proper transition from </w:t>
      </w:r>
      <w:r w:rsidR="003C50DB">
        <w:rPr>
          <w:noProof/>
        </w:rPr>
        <w:t>the previous mandate to the new one without interruption of service for EMSA</w:t>
      </w:r>
      <w:r>
        <w:rPr>
          <w:noProof/>
        </w:rPr>
        <w:t>.</w:t>
      </w:r>
    </w:p>
    <w:p w14:paraId="01B2D7F5" w14:textId="77777777" w:rsidR="0031280F" w:rsidRPr="00F96E01" w:rsidRDefault="0031280F" w:rsidP="0031280F">
      <w:pPr>
        <w:rPr>
          <w:noProof/>
        </w:rPr>
        <w:sectPr w:rsidR="0031280F" w:rsidRPr="00F96E01" w:rsidSect="00F530FA">
          <w:footerReference w:type="default" r:id="rId13"/>
          <w:footerReference w:type="first" r:id="rId14"/>
          <w:pgSz w:w="11907" w:h="16839"/>
          <w:pgMar w:top="1134" w:right="1417" w:bottom="1134" w:left="1417" w:header="709" w:footer="709" w:gutter="0"/>
          <w:cols w:space="708"/>
          <w:docGrid w:linePitch="360"/>
        </w:sectPr>
      </w:pPr>
    </w:p>
    <w:p w14:paraId="6EEDFA97" w14:textId="7C051966" w:rsidR="002263C5" w:rsidRDefault="002263C5" w:rsidP="002263C5">
      <w:pPr>
        <w:pStyle w:val="Rfrenceinterinstitutionnelle"/>
        <w:rPr>
          <w:noProof/>
        </w:rPr>
      </w:pPr>
      <w:r w:rsidRPr="002263C5">
        <w:t>2023/0163 (COD)</w:t>
      </w:r>
    </w:p>
    <w:p w14:paraId="45137FB6" w14:textId="12AF6CCF" w:rsidR="00053218" w:rsidRPr="00F96E01" w:rsidRDefault="007023D8" w:rsidP="007023D8">
      <w:pPr>
        <w:pStyle w:val="Statut"/>
        <w:rPr>
          <w:noProof/>
        </w:rPr>
      </w:pPr>
      <w:r w:rsidRPr="007023D8">
        <w:rPr>
          <w:noProof/>
        </w:rPr>
        <w:t>Proposal for a</w:t>
      </w:r>
    </w:p>
    <w:p w14:paraId="18173B52" w14:textId="47E6D25A" w:rsidR="00053218" w:rsidRPr="00F96E01" w:rsidRDefault="007023D8" w:rsidP="007023D8">
      <w:pPr>
        <w:pStyle w:val="Typedudocument"/>
        <w:rPr>
          <w:noProof/>
        </w:rPr>
      </w:pPr>
      <w:r w:rsidRPr="007023D8">
        <w:rPr>
          <w:noProof/>
        </w:rPr>
        <w:t>REGULATION OF THE EUROPEAN PARLIAMENT AND OF THE COUNCIL</w:t>
      </w:r>
    </w:p>
    <w:p w14:paraId="703FBA31" w14:textId="657563AA" w:rsidR="00841708" w:rsidRPr="00841708" w:rsidRDefault="007023D8" w:rsidP="007023D8">
      <w:pPr>
        <w:pStyle w:val="Titreobjet"/>
        <w:rPr>
          <w:noProof/>
        </w:rPr>
      </w:pPr>
      <w:r w:rsidRPr="007023D8">
        <w:rPr>
          <w:noProof/>
        </w:rPr>
        <w:t>on the European Maritime  Safety Agency and repealing Regulation (EC) No 1406/2002</w:t>
      </w:r>
    </w:p>
    <w:p w14:paraId="5C15926E" w14:textId="5D71E9E7" w:rsidR="007023D8" w:rsidRDefault="007023D8" w:rsidP="007023D8">
      <w:pPr>
        <w:pStyle w:val="IntrtEEE"/>
        <w:rPr>
          <w:noProof/>
        </w:rPr>
      </w:pPr>
      <w:r w:rsidRPr="007023D8">
        <w:rPr>
          <w:noProof/>
        </w:rPr>
        <w:t>(Text with EEA relevance)</w:t>
      </w:r>
    </w:p>
    <w:p w14:paraId="14E8FA24" w14:textId="77777777" w:rsidR="00053218" w:rsidRPr="00F96E01" w:rsidRDefault="00053218" w:rsidP="007D7BFB">
      <w:pPr>
        <w:pStyle w:val="Institutionquiagit"/>
        <w:rPr>
          <w:noProof/>
        </w:rPr>
      </w:pPr>
      <w:r w:rsidRPr="00F96E01">
        <w:rPr>
          <w:noProof/>
        </w:rPr>
        <w:t>THE EUROPEAN PARLIAMENT AND THE COUNCIL OF THE EUROPEAN UNION,</w:t>
      </w:r>
    </w:p>
    <w:p w14:paraId="48D0EA54" w14:textId="77777777" w:rsidR="00053218" w:rsidRPr="00F96E01" w:rsidRDefault="00053218" w:rsidP="007D7BFB">
      <w:pPr>
        <w:rPr>
          <w:noProof/>
        </w:rPr>
      </w:pPr>
      <w:r w:rsidRPr="00F96E01">
        <w:rPr>
          <w:noProof/>
        </w:rPr>
        <w:t xml:space="preserve">Having regard to the Treaty on the Functioning of the European Union, and in particular Article </w:t>
      </w:r>
      <w:r w:rsidR="003870A9" w:rsidRPr="00841708">
        <w:rPr>
          <w:noProof/>
        </w:rPr>
        <w:t>100(2)</w:t>
      </w:r>
      <w:r w:rsidRPr="002A1C03">
        <w:rPr>
          <w:noProof/>
        </w:rPr>
        <w:t xml:space="preserve"> </w:t>
      </w:r>
      <w:r w:rsidRPr="00F96E01">
        <w:rPr>
          <w:noProof/>
        </w:rPr>
        <w:t>thereof,</w:t>
      </w:r>
    </w:p>
    <w:p w14:paraId="11BA7BA6" w14:textId="77777777" w:rsidR="00053218" w:rsidRPr="00F96E01" w:rsidRDefault="00053218" w:rsidP="007D7BFB">
      <w:pPr>
        <w:rPr>
          <w:noProof/>
        </w:rPr>
      </w:pPr>
      <w:r w:rsidRPr="00F96E01">
        <w:rPr>
          <w:noProof/>
        </w:rPr>
        <w:t>Having regard to the proposal from the European Commission,</w:t>
      </w:r>
    </w:p>
    <w:p w14:paraId="3A264EB2" w14:textId="77777777" w:rsidR="00053218" w:rsidRPr="00F96E01" w:rsidRDefault="00053218" w:rsidP="007D7BFB">
      <w:pPr>
        <w:rPr>
          <w:noProof/>
        </w:rPr>
      </w:pPr>
      <w:r w:rsidRPr="00F96E01">
        <w:rPr>
          <w:noProof/>
        </w:rPr>
        <w:t xml:space="preserve">After transmission of the draft legislative act to the national </w:t>
      </w:r>
      <w:r>
        <w:rPr>
          <w:noProof/>
        </w:rPr>
        <w:t>p</w:t>
      </w:r>
      <w:r w:rsidRPr="00F96E01">
        <w:rPr>
          <w:noProof/>
        </w:rPr>
        <w:t>arliaments,</w:t>
      </w:r>
    </w:p>
    <w:p w14:paraId="6AA5CFC3" w14:textId="77777777" w:rsidR="00053218" w:rsidRPr="00F96E01" w:rsidRDefault="00053218" w:rsidP="007D7BFB">
      <w:pPr>
        <w:rPr>
          <w:noProof/>
        </w:rPr>
      </w:pPr>
      <w:r w:rsidRPr="00F96E01">
        <w:rPr>
          <w:noProof/>
        </w:rPr>
        <w:t>Having regard to the opinion of the European Economic and Social Committee</w:t>
      </w:r>
      <w:r w:rsidRPr="00AD0F94">
        <w:rPr>
          <w:rStyle w:val="FootnoteReference"/>
          <w:noProof/>
        </w:rPr>
        <w:footnoteReference w:id="14"/>
      </w:r>
      <w:r w:rsidRPr="00F96E01">
        <w:rPr>
          <w:noProof/>
        </w:rPr>
        <w:t xml:space="preserve">, </w:t>
      </w:r>
    </w:p>
    <w:p w14:paraId="76206884" w14:textId="77777777" w:rsidR="00053218" w:rsidRPr="00F96E01" w:rsidRDefault="00053218" w:rsidP="007D7BFB">
      <w:pPr>
        <w:rPr>
          <w:noProof/>
        </w:rPr>
      </w:pPr>
      <w:r w:rsidRPr="00F96E01">
        <w:rPr>
          <w:noProof/>
        </w:rPr>
        <w:t>Having regard to the opinion of the Committee of the Regions</w:t>
      </w:r>
      <w:r w:rsidRPr="00AD0F94">
        <w:rPr>
          <w:rStyle w:val="FootnoteReference"/>
          <w:noProof/>
        </w:rPr>
        <w:footnoteReference w:id="15"/>
      </w:r>
      <w:r w:rsidRPr="00F96E01">
        <w:rPr>
          <w:noProof/>
        </w:rPr>
        <w:t xml:space="preserve">, </w:t>
      </w:r>
    </w:p>
    <w:p w14:paraId="545699BF" w14:textId="77777777" w:rsidR="00053218" w:rsidRPr="00F96E01" w:rsidRDefault="00053218" w:rsidP="007D7BFB">
      <w:pPr>
        <w:rPr>
          <w:noProof/>
        </w:rPr>
      </w:pPr>
      <w:r w:rsidRPr="00F96E01">
        <w:rPr>
          <w:noProof/>
        </w:rPr>
        <w:t>Acting in accordance with the ordinary legislative procedure,</w:t>
      </w:r>
    </w:p>
    <w:p w14:paraId="19550FBA" w14:textId="77777777" w:rsidR="00053218" w:rsidRDefault="00053218" w:rsidP="007D7BFB">
      <w:pPr>
        <w:rPr>
          <w:noProof/>
        </w:rPr>
      </w:pPr>
      <w:r w:rsidRPr="00F96E01">
        <w:rPr>
          <w:noProof/>
        </w:rPr>
        <w:t>Whereas:</w:t>
      </w:r>
    </w:p>
    <w:p w14:paraId="6F491627" w14:textId="3154DF79" w:rsidR="00AC267E" w:rsidRPr="00AC267E" w:rsidRDefault="00443218" w:rsidP="00443218">
      <w:pPr>
        <w:pStyle w:val="ManualConsidrant"/>
        <w:rPr>
          <w:noProof/>
        </w:rPr>
      </w:pPr>
      <w:r w:rsidRPr="00443218">
        <w:t>(1)</w:t>
      </w:r>
      <w:r w:rsidRPr="00443218">
        <w:tab/>
      </w:r>
      <w:r w:rsidR="00AC267E" w:rsidRPr="00AC267E">
        <w:rPr>
          <w:noProof/>
        </w:rPr>
        <w:t xml:space="preserve">A number of legislative measures have been adopted at the Union in order to enhance maritime safety and security, to promote the sustainability, by also preventing pollution, and the decarbonisation of shipping, and to facilitate the exchange of information and the digitalisation of the maritime sector. In order to be effective, such legislation should be applied in a proper and uniform manner throughout the Union. That would ensure a level playing field, reduce the distortion of competition resulting from the economic advantages enjoyed by non-complying ships and would reward the serious maritime players. </w:t>
      </w:r>
    </w:p>
    <w:p w14:paraId="61E3D039" w14:textId="3FAED602" w:rsidR="00AC267E" w:rsidRPr="00AC267E" w:rsidRDefault="00443218" w:rsidP="00443218">
      <w:pPr>
        <w:pStyle w:val="ManualConsidrant"/>
        <w:rPr>
          <w:noProof/>
        </w:rPr>
      </w:pPr>
      <w:r w:rsidRPr="00443218">
        <w:t>(2)</w:t>
      </w:r>
      <w:r w:rsidRPr="00443218">
        <w:tab/>
      </w:r>
      <w:r w:rsidR="00AC267E" w:rsidRPr="00AC267E">
        <w:rPr>
          <w:noProof/>
        </w:rPr>
        <w:t xml:space="preserve">The pursuit of those goals requires substantial technical work led by a specialised body. That is why it was necessary, as part of the second ‘Erika package’ in 2002, to establish, within the existing institutional framework and with respect for the responsibilities and rights of the Member States as flag, port and coastal States, a European agency for the purpose of ensuring a high, uniform and effective level of maritime safety and prevention of pollution by ships. </w:t>
      </w:r>
    </w:p>
    <w:p w14:paraId="7BB816DC" w14:textId="1A3A0A6E" w:rsidR="00AC267E" w:rsidRPr="00AC267E" w:rsidRDefault="00443218" w:rsidP="00443218">
      <w:pPr>
        <w:pStyle w:val="ManualConsidrant"/>
        <w:rPr>
          <w:noProof/>
        </w:rPr>
      </w:pPr>
      <w:r w:rsidRPr="00443218">
        <w:t>(3)</w:t>
      </w:r>
      <w:r w:rsidRPr="00443218">
        <w:tab/>
      </w:r>
      <w:r w:rsidR="00AC267E" w:rsidRPr="00AC267E">
        <w:rPr>
          <w:noProof/>
        </w:rPr>
        <w:t>Regulation (EC) No 1406/2002 of the European Parliament and of the Council</w:t>
      </w:r>
      <w:r w:rsidR="00AC267E" w:rsidRPr="00841708">
        <w:rPr>
          <w:rStyle w:val="FootnoteReference"/>
          <w:noProof/>
        </w:rPr>
        <w:footnoteReference w:id="16"/>
      </w:r>
      <w:r w:rsidR="00AC267E" w:rsidRPr="00AC267E">
        <w:rPr>
          <w:noProof/>
        </w:rPr>
        <w:t xml:space="preserve"> established the European Maritime Safety Agency (‘the Agency’) in order to assist the Commission and the Member States with the effective implementation at the Union level of the legislation in the areas of maritime safety and pollution prevention through appropriate visits to Member States for the monitoring of the relevant legislation and the provision of training and capacity building. </w:t>
      </w:r>
    </w:p>
    <w:p w14:paraId="6051F54C" w14:textId="68E0FC40" w:rsidR="00AC267E" w:rsidRPr="00AC267E" w:rsidRDefault="00443218" w:rsidP="00443218">
      <w:pPr>
        <w:pStyle w:val="ManualConsidrant"/>
        <w:rPr>
          <w:noProof/>
        </w:rPr>
      </w:pPr>
      <w:r w:rsidRPr="00443218">
        <w:t>(4)</w:t>
      </w:r>
      <w:r w:rsidRPr="00443218">
        <w:tab/>
      </w:r>
      <w:r w:rsidR="00AC267E" w:rsidRPr="00AC267E">
        <w:rPr>
          <w:noProof/>
        </w:rPr>
        <w:t xml:space="preserve">Following the establishment of the Agency in 2002, the Union legislation in the areas of maritime safety, sustainability and pollution prevention and maritime security expanded significantly resulting in five amendments to the Agency’s mandate.  </w:t>
      </w:r>
    </w:p>
    <w:p w14:paraId="433C5CB8" w14:textId="5307AF68" w:rsidR="00D23046" w:rsidRPr="00D23046" w:rsidRDefault="00443218" w:rsidP="00443218">
      <w:pPr>
        <w:pStyle w:val="ManualConsidrant"/>
        <w:rPr>
          <w:noProof/>
          <w:lang w:val="en-US"/>
        </w:rPr>
      </w:pPr>
      <w:r w:rsidRPr="00443218">
        <w:t>(5)</w:t>
      </w:r>
      <w:r w:rsidRPr="00443218">
        <w:tab/>
      </w:r>
      <w:r w:rsidR="00C762F3">
        <w:rPr>
          <w:noProof/>
        </w:rPr>
        <w:t>Since 2013 the Agency continued to expand significantly its tasks either through the activation of relevant ancillary tasks</w:t>
      </w:r>
      <w:r w:rsidR="00685854">
        <w:rPr>
          <w:noProof/>
        </w:rPr>
        <w:t xml:space="preserve"> prescribed in Article 2a of </w:t>
      </w:r>
      <w:r w:rsidR="00785AA2" w:rsidRPr="00685854">
        <w:rPr>
          <w:noProof/>
        </w:rPr>
        <w:t xml:space="preserve">Regulation (EC) No 1406/2002 </w:t>
      </w:r>
      <w:r w:rsidR="00685854">
        <w:rPr>
          <w:noProof/>
        </w:rPr>
        <w:t xml:space="preserve"> </w:t>
      </w:r>
      <w:r w:rsidR="00C762F3">
        <w:rPr>
          <w:noProof/>
        </w:rPr>
        <w:t xml:space="preserve"> </w:t>
      </w:r>
      <w:r w:rsidR="00685854">
        <w:rPr>
          <w:noProof/>
        </w:rPr>
        <w:t>or through requests for technical assistance to the Commission</w:t>
      </w:r>
      <w:r w:rsidR="00414499">
        <w:rPr>
          <w:noProof/>
        </w:rPr>
        <w:t xml:space="preserve"> and the Member States</w:t>
      </w:r>
      <w:r w:rsidR="00685854">
        <w:rPr>
          <w:noProof/>
        </w:rPr>
        <w:t xml:space="preserve"> especially in the area of decarbonisation and digitalisation of the maritime sector. In addition</w:t>
      </w:r>
      <w:r w:rsidR="00A5040B">
        <w:rPr>
          <w:noProof/>
        </w:rPr>
        <w:t>,</w:t>
      </w:r>
      <w:r w:rsidR="00685854">
        <w:rPr>
          <w:noProof/>
        </w:rPr>
        <w:t xml:space="preserve"> </w:t>
      </w:r>
      <w:r w:rsidR="00414499">
        <w:rPr>
          <w:noProof/>
        </w:rPr>
        <w:t xml:space="preserve">amendments to </w:t>
      </w:r>
      <w:r w:rsidR="00D23046" w:rsidRPr="00D23046">
        <w:rPr>
          <w:bCs/>
          <w:noProof/>
        </w:rPr>
        <w:t>Directives 2005/35/EC</w:t>
      </w:r>
      <w:r w:rsidR="00D23046" w:rsidRPr="00841708">
        <w:rPr>
          <w:rStyle w:val="FootnoteReference"/>
          <w:noProof/>
        </w:rPr>
        <w:footnoteReference w:id="17"/>
      </w:r>
      <w:r w:rsidR="00D23046" w:rsidRPr="00D23046">
        <w:rPr>
          <w:bCs/>
          <w:noProof/>
        </w:rPr>
        <w:t>, 2009/16/EC</w:t>
      </w:r>
      <w:r w:rsidR="00D23046" w:rsidRPr="00841708">
        <w:rPr>
          <w:rStyle w:val="FootnoteReference"/>
          <w:noProof/>
        </w:rPr>
        <w:footnoteReference w:id="18"/>
      </w:r>
      <w:r w:rsidR="00D23046" w:rsidRPr="00D23046">
        <w:rPr>
          <w:bCs/>
          <w:noProof/>
        </w:rPr>
        <w:t>, 2009/18/EC</w:t>
      </w:r>
      <w:r w:rsidR="00D23046" w:rsidRPr="00841708">
        <w:rPr>
          <w:rStyle w:val="FootnoteReference"/>
          <w:noProof/>
        </w:rPr>
        <w:footnoteReference w:id="19"/>
      </w:r>
      <w:r w:rsidR="00D23046" w:rsidRPr="00D23046">
        <w:rPr>
          <w:bCs/>
          <w:noProof/>
        </w:rPr>
        <w:t xml:space="preserve"> and 2009/21/EC</w:t>
      </w:r>
      <w:r w:rsidR="007E51F2" w:rsidRPr="00841708">
        <w:rPr>
          <w:rStyle w:val="FootnoteReference"/>
          <w:noProof/>
        </w:rPr>
        <w:footnoteReference w:id="20"/>
      </w:r>
      <w:r w:rsidR="007E51F2" w:rsidRPr="00D23046">
        <w:rPr>
          <w:bCs/>
          <w:noProof/>
        </w:rPr>
        <w:t xml:space="preserve"> </w:t>
      </w:r>
      <w:r w:rsidR="00D23046" w:rsidRPr="00D23046">
        <w:rPr>
          <w:bCs/>
          <w:noProof/>
        </w:rPr>
        <w:t xml:space="preserve"> of the European Parliament and of the </w:t>
      </w:r>
      <w:r w:rsidR="007E51F2" w:rsidRPr="00D23046">
        <w:rPr>
          <w:bCs/>
          <w:noProof/>
        </w:rPr>
        <w:t xml:space="preserve">Council </w:t>
      </w:r>
      <w:r w:rsidR="00D23046" w:rsidRPr="00D23046">
        <w:rPr>
          <w:bCs/>
          <w:noProof/>
        </w:rPr>
        <w:t>have a direct impact on the tasks of the Agency. Those Directives provide in particular for the performance of tasks by the Agency relating to ship source pollution, the port State control regime at the Union level, the Member States activities concerning the investigations related to maritime accidents in Union waters and the obligations of the Member States as flag States</w:t>
      </w:r>
      <w:r w:rsidR="00D23046">
        <w:rPr>
          <w:bCs/>
          <w:noProof/>
        </w:rPr>
        <w:t>.</w:t>
      </w:r>
    </w:p>
    <w:p w14:paraId="7DBDDF33" w14:textId="20CC272D" w:rsidR="00B94D7B" w:rsidRPr="00D23046" w:rsidRDefault="00443218" w:rsidP="00443218">
      <w:pPr>
        <w:pStyle w:val="ManualConsidrant"/>
        <w:rPr>
          <w:noProof/>
          <w:lang w:val="en-US"/>
        </w:rPr>
      </w:pPr>
      <w:r w:rsidRPr="00443218">
        <w:t>(6)</w:t>
      </w:r>
      <w:r w:rsidRPr="00443218">
        <w:tab/>
      </w:r>
      <w:r w:rsidR="00813F2E">
        <w:rPr>
          <w:noProof/>
        </w:rPr>
        <w:t xml:space="preserve">In addition, </w:t>
      </w:r>
      <w:r w:rsidR="002D549A">
        <w:rPr>
          <w:noProof/>
        </w:rPr>
        <w:t xml:space="preserve">the administrative and financial governance of the Agency needs to be aligned </w:t>
      </w:r>
      <w:r w:rsidR="00813F2E">
        <w:rPr>
          <w:noProof/>
        </w:rPr>
        <w:t>to the inter-institutional agreement on the governance of decentralised agencies</w:t>
      </w:r>
      <w:r w:rsidR="00813F2E" w:rsidRPr="00AD0F94">
        <w:rPr>
          <w:rStyle w:val="FootnoteReference"/>
          <w:noProof/>
        </w:rPr>
        <w:footnoteReference w:id="21"/>
      </w:r>
      <w:r w:rsidR="00813F2E">
        <w:rPr>
          <w:noProof/>
        </w:rPr>
        <w:t xml:space="preserve"> and</w:t>
      </w:r>
      <w:r w:rsidR="00813F2E" w:rsidRPr="00D23046">
        <w:rPr>
          <w:noProof/>
          <w:lang w:val="en-US"/>
        </w:rPr>
        <w:t xml:space="preserve"> </w:t>
      </w:r>
      <w:r w:rsidR="00813F2E" w:rsidRPr="00D23046">
        <w:rPr>
          <w:bCs/>
          <w:noProof/>
          <w:lang w:val="en-US"/>
        </w:rPr>
        <w:t>the framework financial regulation for the decentralized bodies of the Union</w:t>
      </w:r>
      <w:r w:rsidR="00813F2E" w:rsidRPr="00AD0F94">
        <w:rPr>
          <w:rStyle w:val="FootnoteReference"/>
          <w:noProof/>
        </w:rPr>
        <w:footnoteReference w:id="22"/>
      </w:r>
      <w:r w:rsidR="002D549A" w:rsidRPr="00D23046">
        <w:rPr>
          <w:bCs/>
          <w:noProof/>
          <w:lang w:val="en-US"/>
        </w:rPr>
        <w:t>.</w:t>
      </w:r>
    </w:p>
    <w:p w14:paraId="782897FE" w14:textId="3609609D" w:rsidR="006A79E8" w:rsidRDefault="00443218" w:rsidP="00443218">
      <w:pPr>
        <w:pStyle w:val="ManualConsidrant"/>
        <w:rPr>
          <w:noProof/>
        </w:rPr>
      </w:pPr>
      <w:r w:rsidRPr="00443218">
        <w:t>(7)</w:t>
      </w:r>
      <w:r w:rsidRPr="00443218">
        <w:tab/>
      </w:r>
      <w:r w:rsidR="006A79E8">
        <w:rPr>
          <w:noProof/>
        </w:rPr>
        <w:t>Due to the substantial number of changes</w:t>
      </w:r>
      <w:r w:rsidR="002D549A">
        <w:rPr>
          <w:noProof/>
        </w:rPr>
        <w:t xml:space="preserve"> in view of the above developments</w:t>
      </w:r>
      <w:r w:rsidR="00B06064">
        <w:rPr>
          <w:noProof/>
        </w:rPr>
        <w:t>,</w:t>
      </w:r>
      <w:r w:rsidR="006A79E8">
        <w:rPr>
          <w:noProof/>
        </w:rPr>
        <w:t xml:space="preserve"> </w:t>
      </w:r>
      <w:r w:rsidR="00B06064">
        <w:rPr>
          <w:noProof/>
        </w:rPr>
        <w:t xml:space="preserve">it is appropriate to repeal </w:t>
      </w:r>
      <w:r w:rsidR="006A79E8">
        <w:rPr>
          <w:noProof/>
        </w:rPr>
        <w:t xml:space="preserve">Regulation (EC) </w:t>
      </w:r>
      <w:r w:rsidR="00D23046">
        <w:rPr>
          <w:noProof/>
        </w:rPr>
        <w:t xml:space="preserve">No </w:t>
      </w:r>
      <w:r w:rsidR="006A79E8">
        <w:rPr>
          <w:noProof/>
        </w:rPr>
        <w:t>1406/2002</w:t>
      </w:r>
      <w:r w:rsidR="00B06064">
        <w:rPr>
          <w:noProof/>
        </w:rPr>
        <w:t xml:space="preserve"> and replace it by a new legal act.</w:t>
      </w:r>
    </w:p>
    <w:p w14:paraId="485BDDD7" w14:textId="55B5AF0D" w:rsidR="00F0603F" w:rsidRDefault="00443218" w:rsidP="00443218">
      <w:pPr>
        <w:pStyle w:val="ManualConsidrant"/>
        <w:rPr>
          <w:noProof/>
        </w:rPr>
      </w:pPr>
      <w:r w:rsidRPr="00443218">
        <w:t>(8)</w:t>
      </w:r>
      <w:r w:rsidRPr="00443218">
        <w:tab/>
      </w:r>
      <w:r w:rsidR="00F0603F">
        <w:rPr>
          <w:noProof/>
        </w:rPr>
        <w:t>The Agency was initially established with the objective of contributing to the establishment of a high level of maritime safety across the Union while also assisting the pollution prevention from ships and later also from oil and gas installations. While these objectives were further strengthened with the addition of promoting maritime security, the Agency’s focus, during recent years, o</w:t>
      </w:r>
      <w:r w:rsidR="00A5040B">
        <w:rPr>
          <w:noProof/>
        </w:rPr>
        <w:t xml:space="preserve">n support to regulatory developments in the area of </w:t>
      </w:r>
      <w:r w:rsidR="00F0603F">
        <w:rPr>
          <w:noProof/>
        </w:rPr>
        <w:t>decarbonisation and digitalisation of shipping merit the addition of th</w:t>
      </w:r>
      <w:r w:rsidR="00D23046">
        <w:rPr>
          <w:noProof/>
        </w:rPr>
        <w:t>o</w:t>
      </w:r>
      <w:r w:rsidR="00F0603F">
        <w:rPr>
          <w:noProof/>
        </w:rPr>
        <w:t xml:space="preserve">se areas in the overall objectives of the Agency </w:t>
      </w:r>
      <w:r w:rsidR="00D23046">
        <w:rPr>
          <w:noProof/>
        </w:rPr>
        <w:t>enabling it</w:t>
      </w:r>
      <w:r w:rsidR="00F0603F">
        <w:rPr>
          <w:noProof/>
        </w:rPr>
        <w:t xml:space="preserve"> to </w:t>
      </w:r>
      <w:r w:rsidR="00D23046">
        <w:rPr>
          <w:noProof/>
        </w:rPr>
        <w:t xml:space="preserve">contribute to </w:t>
      </w:r>
      <w:r w:rsidR="00F0603F">
        <w:rPr>
          <w:noProof/>
        </w:rPr>
        <w:t>the goals of the twin, green and digital, transition of the industry. Likewise, the crucial role of the Agency in the provision of a maritime awareness picture in the sea, through satellite images and the operation of remotely piloted aircraft systems, justif</w:t>
      </w:r>
      <w:r w:rsidR="00943128">
        <w:rPr>
          <w:noProof/>
        </w:rPr>
        <w:t>ies</w:t>
      </w:r>
      <w:r w:rsidR="00F0603F">
        <w:rPr>
          <w:noProof/>
        </w:rPr>
        <w:t xml:space="preserve"> the addition of a relevant overall objective for the Agency.</w:t>
      </w:r>
    </w:p>
    <w:p w14:paraId="075A509C" w14:textId="2F406D81" w:rsidR="00342AD6" w:rsidRDefault="00443218" w:rsidP="00443218">
      <w:pPr>
        <w:pStyle w:val="ManualConsidrant"/>
        <w:rPr>
          <w:noProof/>
        </w:rPr>
      </w:pPr>
      <w:r w:rsidRPr="00443218">
        <w:t>(9)</w:t>
      </w:r>
      <w:r w:rsidRPr="00443218">
        <w:tab/>
      </w:r>
      <w:r w:rsidR="00F0603F">
        <w:rPr>
          <w:noProof/>
        </w:rPr>
        <w:t xml:space="preserve">These objectives should </w:t>
      </w:r>
      <w:r w:rsidR="00342AD6">
        <w:rPr>
          <w:noProof/>
        </w:rPr>
        <w:t>define</w:t>
      </w:r>
      <w:r w:rsidR="00F0603F">
        <w:rPr>
          <w:noProof/>
        </w:rPr>
        <w:t xml:space="preserve"> the areas of the Agency’s engagement</w:t>
      </w:r>
      <w:r w:rsidR="00342AD6">
        <w:rPr>
          <w:noProof/>
        </w:rPr>
        <w:t xml:space="preserve"> in supporting the Commission and the Member States with technical and operational assistance in order to implement the Union’s policies in the maritime domain. </w:t>
      </w:r>
    </w:p>
    <w:p w14:paraId="2ED3196F" w14:textId="0A350654" w:rsidR="00342AD6" w:rsidRDefault="00443218" w:rsidP="00443218">
      <w:pPr>
        <w:pStyle w:val="ManualConsidrant"/>
        <w:rPr>
          <w:noProof/>
        </w:rPr>
      </w:pPr>
      <w:r w:rsidRPr="00443218">
        <w:t>(10)</w:t>
      </w:r>
      <w:r w:rsidRPr="00443218">
        <w:tab/>
      </w:r>
      <w:r w:rsidR="00342AD6" w:rsidRPr="00342AD6">
        <w:rPr>
          <w:noProof/>
        </w:rPr>
        <w:t>For the proper achievement of the</w:t>
      </w:r>
      <w:r w:rsidR="00342AD6">
        <w:rPr>
          <w:noProof/>
        </w:rPr>
        <w:t>se</w:t>
      </w:r>
      <w:r w:rsidR="00342AD6" w:rsidRPr="00342AD6">
        <w:rPr>
          <w:noProof/>
        </w:rPr>
        <w:t xml:space="preserve"> </w:t>
      </w:r>
      <w:r w:rsidR="00342AD6">
        <w:rPr>
          <w:noProof/>
        </w:rPr>
        <w:t>objectives</w:t>
      </w:r>
      <w:r w:rsidR="00342AD6" w:rsidRPr="00342AD6">
        <w:rPr>
          <w:noProof/>
        </w:rPr>
        <w:t>, it is appropriate that the Agency carries out</w:t>
      </w:r>
      <w:r w:rsidR="00342AD6">
        <w:rPr>
          <w:noProof/>
        </w:rPr>
        <w:t xml:space="preserve"> specific tasks in the area of maritime safety, sustainability, decarbonisation of the maritime sector, maritime security and cybersecurity, </w:t>
      </w:r>
      <w:r w:rsidR="00342AD6" w:rsidRPr="00342AD6">
        <w:rPr>
          <w:noProof/>
          <w:lang w:val="en-US"/>
        </w:rPr>
        <w:t xml:space="preserve">maritime </w:t>
      </w:r>
      <w:r w:rsidR="00342AD6" w:rsidRPr="00342AD6">
        <w:rPr>
          <w:noProof/>
        </w:rPr>
        <w:t>surveillance and maritime crises</w:t>
      </w:r>
      <w:r w:rsidR="00342AD6">
        <w:rPr>
          <w:noProof/>
        </w:rPr>
        <w:t xml:space="preserve"> and the promotion of the digitalisation and facilitation of exchanges of data in the maritime domain.</w:t>
      </w:r>
    </w:p>
    <w:p w14:paraId="738389F8" w14:textId="1AC171BC" w:rsidR="00A366A9" w:rsidRDefault="00443218" w:rsidP="00443218">
      <w:pPr>
        <w:pStyle w:val="ManualConsidrant"/>
        <w:rPr>
          <w:noProof/>
        </w:rPr>
      </w:pPr>
      <w:r w:rsidRPr="00443218">
        <w:t>(11)</w:t>
      </w:r>
      <w:r w:rsidRPr="00443218">
        <w:tab/>
      </w:r>
      <w:r w:rsidR="00A366A9">
        <w:rPr>
          <w:noProof/>
        </w:rPr>
        <w:t>In addition to the specific tasks, the Agency should provide horizontal</w:t>
      </w:r>
      <w:r w:rsidR="00A5040B">
        <w:rPr>
          <w:noProof/>
        </w:rPr>
        <w:t>,</w:t>
      </w:r>
      <w:r w:rsidR="00A366A9">
        <w:rPr>
          <w:noProof/>
        </w:rPr>
        <w:t xml:space="preserve"> technical support, upon request by the Commission or the Member States, for </w:t>
      </w:r>
      <w:r w:rsidR="005F6313">
        <w:rPr>
          <w:noProof/>
        </w:rPr>
        <w:t xml:space="preserve">the implementation of </w:t>
      </w:r>
      <w:r w:rsidR="00A366A9">
        <w:rPr>
          <w:noProof/>
        </w:rPr>
        <w:t xml:space="preserve">any task that falls under the remit of its competences and objectives, stemming from future needs and developments at the Union level. Such additional tasks shall be subjected to a consideration of the available human and financial resources, which the Management Board of the Agency </w:t>
      </w:r>
      <w:r w:rsidR="00D23046">
        <w:rPr>
          <w:noProof/>
        </w:rPr>
        <w:t>should</w:t>
      </w:r>
      <w:r w:rsidR="00A366A9">
        <w:rPr>
          <w:noProof/>
        </w:rPr>
        <w:t xml:space="preserve"> take into account before deciding to include them in the Single Programming Document of the Agency as part of its annual or multiannual work program. </w:t>
      </w:r>
      <w:r w:rsidR="00725D31" w:rsidRPr="00725D31">
        <w:rPr>
          <w:noProof/>
        </w:rPr>
        <w:t>This is necessary to ensure that certain tasks which constitute the core of the Agency could be prioritised if needed.</w:t>
      </w:r>
    </w:p>
    <w:p w14:paraId="1850D659" w14:textId="5A12B548" w:rsidR="00675419" w:rsidRDefault="00443218" w:rsidP="00443218">
      <w:pPr>
        <w:pStyle w:val="ManualConsidrant"/>
        <w:rPr>
          <w:noProof/>
        </w:rPr>
      </w:pPr>
      <w:r w:rsidRPr="00443218">
        <w:t>(12)</w:t>
      </w:r>
      <w:r w:rsidRPr="00443218">
        <w:tab/>
      </w:r>
      <w:r w:rsidR="00A366A9">
        <w:rPr>
          <w:noProof/>
        </w:rPr>
        <w:t xml:space="preserve">The Agency </w:t>
      </w:r>
      <w:r w:rsidR="007E608E">
        <w:rPr>
          <w:noProof/>
        </w:rPr>
        <w:t>is at</w:t>
      </w:r>
      <w:r w:rsidR="00675419">
        <w:rPr>
          <w:noProof/>
        </w:rPr>
        <w:t xml:space="preserve"> the forefront of the technical expertise in the areas of its competence and thus it should provide training and capacity building activities to the Member States with the development of common </w:t>
      </w:r>
      <w:r w:rsidR="00B96844">
        <w:rPr>
          <w:noProof/>
        </w:rPr>
        <w:t xml:space="preserve">core </w:t>
      </w:r>
      <w:r w:rsidR="00675419">
        <w:rPr>
          <w:noProof/>
        </w:rPr>
        <w:t xml:space="preserve">curricula courses and the use of the most technologically advanced tools in </w:t>
      </w:r>
      <w:r w:rsidR="00B96844">
        <w:rPr>
          <w:noProof/>
        </w:rPr>
        <w:t>their</w:t>
      </w:r>
      <w:r w:rsidR="00675419">
        <w:rPr>
          <w:noProof/>
        </w:rPr>
        <w:t xml:space="preserve"> delivery. </w:t>
      </w:r>
    </w:p>
    <w:p w14:paraId="703BD37E" w14:textId="33122498" w:rsidR="00A366A9" w:rsidRPr="00342AD6" w:rsidRDefault="00443218" w:rsidP="00443218">
      <w:pPr>
        <w:pStyle w:val="ManualConsidrant"/>
        <w:rPr>
          <w:noProof/>
        </w:rPr>
      </w:pPr>
      <w:r w:rsidRPr="00443218">
        <w:t>(13)</w:t>
      </w:r>
      <w:r w:rsidRPr="00443218">
        <w:tab/>
      </w:r>
      <w:r w:rsidR="00675419">
        <w:rPr>
          <w:noProof/>
        </w:rPr>
        <w:t>This technical expertise of the Agency should be further cultivated by conducting research in the maritime field and contributing to the relevant Union’s activities</w:t>
      </w:r>
      <w:r w:rsidR="00D23046">
        <w:rPr>
          <w:noProof/>
        </w:rPr>
        <w:t xml:space="preserve"> in the area. The Agency should</w:t>
      </w:r>
      <w:r w:rsidR="00675419">
        <w:rPr>
          <w:noProof/>
        </w:rPr>
        <w:t xml:space="preserve"> contribute with a proactive approach </w:t>
      </w:r>
      <w:r w:rsidR="00D23046">
        <w:rPr>
          <w:noProof/>
        </w:rPr>
        <w:t>to</w:t>
      </w:r>
      <w:r w:rsidR="00675419">
        <w:rPr>
          <w:noProof/>
        </w:rPr>
        <w:t xml:space="preserve"> the </w:t>
      </w:r>
      <w:r w:rsidR="00D23046">
        <w:rPr>
          <w:noProof/>
        </w:rPr>
        <w:t>objectives</w:t>
      </w:r>
      <w:r w:rsidR="00675419">
        <w:rPr>
          <w:noProof/>
        </w:rPr>
        <w:t xml:space="preserve"> of enhancing maritime safety, security, decarbonisation of shipping and prevention of pollution by ships. In this regard, the Agency could issue relevant non-binding guidance, recommendations or manuals that could assist the Commission, the Member States and/or the maritime industry in attaining these </w:t>
      </w:r>
      <w:r w:rsidR="00D23046">
        <w:rPr>
          <w:noProof/>
        </w:rPr>
        <w:t>objectives</w:t>
      </w:r>
      <w:r w:rsidR="00675419">
        <w:rPr>
          <w:noProof/>
        </w:rPr>
        <w:t xml:space="preserve">.  </w:t>
      </w:r>
    </w:p>
    <w:p w14:paraId="422D8DB2" w14:textId="37939043" w:rsidR="00E30CAA" w:rsidRDefault="00443218" w:rsidP="00443218">
      <w:pPr>
        <w:pStyle w:val="ManualConsidrant"/>
        <w:rPr>
          <w:noProof/>
        </w:rPr>
      </w:pPr>
      <w:r w:rsidRPr="00443218">
        <w:t>(14)</w:t>
      </w:r>
      <w:r w:rsidRPr="00443218">
        <w:tab/>
      </w:r>
      <w:r w:rsidR="00D23046">
        <w:rPr>
          <w:noProof/>
        </w:rPr>
        <w:t xml:space="preserve">As regards </w:t>
      </w:r>
      <w:r w:rsidR="00E30CAA">
        <w:rPr>
          <w:noProof/>
        </w:rPr>
        <w:t>maritime safety, the Agency sh</w:t>
      </w:r>
      <w:r w:rsidR="000F32B1">
        <w:rPr>
          <w:noProof/>
        </w:rPr>
        <w:t>ould</w:t>
      </w:r>
      <w:r w:rsidR="00E30CAA">
        <w:rPr>
          <w:noProof/>
        </w:rPr>
        <w:t xml:space="preserve"> </w:t>
      </w:r>
      <w:r w:rsidR="00A77D9D">
        <w:rPr>
          <w:noProof/>
        </w:rPr>
        <w:t xml:space="preserve">develop a proactive approach in determining safety risks and challenges on the basis of which </w:t>
      </w:r>
      <w:r w:rsidR="00D23046">
        <w:rPr>
          <w:noProof/>
        </w:rPr>
        <w:t xml:space="preserve">it should </w:t>
      </w:r>
      <w:r w:rsidR="00A77D9D">
        <w:rPr>
          <w:noProof/>
        </w:rPr>
        <w:t xml:space="preserve"> </w:t>
      </w:r>
      <w:r w:rsidR="00A77D9D" w:rsidRPr="00E15A37">
        <w:rPr>
          <w:noProof/>
        </w:rPr>
        <w:t>present</w:t>
      </w:r>
      <w:r w:rsidR="00A77D9D">
        <w:rPr>
          <w:noProof/>
        </w:rPr>
        <w:t xml:space="preserve"> </w:t>
      </w:r>
      <w:r w:rsidR="00A77D9D" w:rsidRPr="00E15A37">
        <w:rPr>
          <w:noProof/>
        </w:rPr>
        <w:t xml:space="preserve">to the Commission </w:t>
      </w:r>
      <w:r w:rsidR="00A77D9D">
        <w:rPr>
          <w:noProof/>
        </w:rPr>
        <w:t xml:space="preserve">every three </w:t>
      </w:r>
      <w:r w:rsidR="00B96844">
        <w:rPr>
          <w:noProof/>
        </w:rPr>
        <w:t xml:space="preserve">years </w:t>
      </w:r>
      <w:r w:rsidR="00A77D9D" w:rsidRPr="00E15A37">
        <w:rPr>
          <w:noProof/>
        </w:rPr>
        <w:t xml:space="preserve">a report on </w:t>
      </w:r>
      <w:r w:rsidR="00A77D9D">
        <w:rPr>
          <w:noProof/>
        </w:rPr>
        <w:t xml:space="preserve">the </w:t>
      </w:r>
      <w:r w:rsidR="00A77D9D" w:rsidRPr="00E15A37">
        <w:rPr>
          <w:noProof/>
        </w:rPr>
        <w:t xml:space="preserve">progress on maritime </w:t>
      </w:r>
      <w:r w:rsidR="007E608E" w:rsidRPr="00E15A37">
        <w:rPr>
          <w:noProof/>
        </w:rPr>
        <w:t>safety</w:t>
      </w:r>
      <w:r w:rsidR="007E608E">
        <w:rPr>
          <w:noProof/>
        </w:rPr>
        <w:t xml:space="preserve">. </w:t>
      </w:r>
      <w:r w:rsidR="000F32B1">
        <w:rPr>
          <w:noProof/>
        </w:rPr>
        <w:t xml:space="preserve">Moreover, </w:t>
      </w:r>
      <w:r w:rsidR="00D23046">
        <w:rPr>
          <w:noProof/>
        </w:rPr>
        <w:t>the Agency</w:t>
      </w:r>
      <w:r w:rsidR="000F32B1">
        <w:rPr>
          <w:noProof/>
        </w:rPr>
        <w:t xml:space="preserve"> shou</w:t>
      </w:r>
      <w:r w:rsidR="00A77D9D">
        <w:rPr>
          <w:noProof/>
        </w:rPr>
        <w:t>l</w:t>
      </w:r>
      <w:r w:rsidR="000F32B1">
        <w:rPr>
          <w:noProof/>
        </w:rPr>
        <w:t>d</w:t>
      </w:r>
      <w:r w:rsidR="00A77D9D">
        <w:rPr>
          <w:noProof/>
        </w:rPr>
        <w:t xml:space="preserve"> </w:t>
      </w:r>
      <w:r w:rsidR="000F32B1">
        <w:rPr>
          <w:noProof/>
        </w:rPr>
        <w:t xml:space="preserve">continue </w:t>
      </w:r>
      <w:r w:rsidR="00A77D9D">
        <w:rPr>
          <w:noProof/>
        </w:rPr>
        <w:t>assist</w:t>
      </w:r>
      <w:r w:rsidR="000F32B1">
        <w:rPr>
          <w:noProof/>
        </w:rPr>
        <w:t>ing</w:t>
      </w:r>
      <w:r w:rsidR="00A77D9D">
        <w:rPr>
          <w:noProof/>
        </w:rPr>
        <w:t xml:space="preserve"> the Commission and the Member States in </w:t>
      </w:r>
      <w:r w:rsidR="00E30CAA">
        <w:rPr>
          <w:noProof/>
        </w:rPr>
        <w:t xml:space="preserve">the implementation of the relevant </w:t>
      </w:r>
      <w:r w:rsidR="00D23046">
        <w:rPr>
          <w:noProof/>
        </w:rPr>
        <w:t xml:space="preserve">Union </w:t>
      </w:r>
      <w:r w:rsidR="00E30CAA">
        <w:rPr>
          <w:noProof/>
        </w:rPr>
        <w:t>legislation</w:t>
      </w:r>
      <w:r w:rsidR="00A77D9D">
        <w:rPr>
          <w:noProof/>
        </w:rPr>
        <w:t>, especially in the areas of flag and port State obligations, the accident investigation of marine accidents, the passenger ship safety legislation</w:t>
      </w:r>
      <w:r w:rsidR="00055BB3">
        <w:rPr>
          <w:noProof/>
        </w:rPr>
        <w:t xml:space="preserve">, </w:t>
      </w:r>
      <w:r w:rsidR="00A77D9D">
        <w:rPr>
          <w:noProof/>
        </w:rPr>
        <w:t>Recognised Organisations and marine equ</w:t>
      </w:r>
      <w:r w:rsidR="000F32B1">
        <w:rPr>
          <w:noProof/>
        </w:rPr>
        <w:t>ipment. Finally, the Agency should</w:t>
      </w:r>
      <w:r w:rsidR="00A77D9D">
        <w:rPr>
          <w:noProof/>
        </w:rPr>
        <w:t xml:space="preserve"> have a proactive role in assisting the deployment of maritime autonomous and automated surface ships while also it is important to collect further data in the area of the training and certification for seafarers and the Maritime Labour Convention (MLC, 2006).</w:t>
      </w:r>
    </w:p>
    <w:p w14:paraId="68A1C87E" w14:textId="581BA4F1" w:rsidR="00C11FA8" w:rsidRPr="00C11FA8" w:rsidRDefault="00443218" w:rsidP="00443218">
      <w:pPr>
        <w:pStyle w:val="ManualConsidrant"/>
        <w:rPr>
          <w:i/>
          <w:noProof/>
        </w:rPr>
      </w:pPr>
      <w:r w:rsidRPr="00443218">
        <w:t>(15)</w:t>
      </w:r>
      <w:r w:rsidRPr="00443218">
        <w:tab/>
      </w:r>
      <w:r w:rsidR="00E30CAA">
        <w:rPr>
          <w:noProof/>
        </w:rPr>
        <w:t xml:space="preserve">Since the last </w:t>
      </w:r>
      <w:r w:rsidR="00C11FA8">
        <w:rPr>
          <w:noProof/>
        </w:rPr>
        <w:t xml:space="preserve">substantial </w:t>
      </w:r>
      <w:r w:rsidR="00E30CAA">
        <w:rPr>
          <w:noProof/>
        </w:rPr>
        <w:t>amendment of the Regulation</w:t>
      </w:r>
      <w:r w:rsidR="00C11FA8">
        <w:rPr>
          <w:noProof/>
        </w:rPr>
        <w:t xml:space="preserve"> in 2013</w:t>
      </w:r>
      <w:r w:rsidR="00E30CAA">
        <w:rPr>
          <w:noProof/>
        </w:rPr>
        <w:t>, there have been significant legislative developments in the maritime sector with regards to sustainability</w:t>
      </w:r>
      <w:r w:rsidR="00F36296">
        <w:rPr>
          <w:noProof/>
        </w:rPr>
        <w:t xml:space="preserve">. </w:t>
      </w:r>
      <w:r w:rsidR="00C11FA8" w:rsidRPr="00C11FA8">
        <w:rPr>
          <w:noProof/>
        </w:rPr>
        <w:t>In addition to the tasks that the Agency’s mandate covered until now, such as the prevention of pollution from ships and oil and gas installations, mainly through the operation of CleanSeaNet, the Agency should continue assisting the Commission in the implementation of Directive (EU) 2019/883 of the European Parliament and of the Council</w:t>
      </w:r>
      <w:r w:rsidR="00C11FA8" w:rsidRPr="00841708">
        <w:rPr>
          <w:rStyle w:val="FootnoteReference"/>
          <w:noProof/>
        </w:rPr>
        <w:footnoteReference w:id="23"/>
      </w:r>
      <w:r w:rsidR="00C11FA8" w:rsidRPr="00C11FA8">
        <w:rPr>
          <w:b/>
          <w:bCs/>
          <w:noProof/>
        </w:rPr>
        <w:t xml:space="preserve"> </w:t>
      </w:r>
      <w:r w:rsidR="00C11FA8" w:rsidRPr="00C11FA8">
        <w:rPr>
          <w:bCs/>
          <w:noProof/>
        </w:rPr>
        <w:t xml:space="preserve">by </w:t>
      </w:r>
      <w:r w:rsidR="00C11FA8">
        <w:rPr>
          <w:bCs/>
          <w:noProof/>
        </w:rPr>
        <w:t>reflecting</w:t>
      </w:r>
      <w:r w:rsidR="00C11FA8" w:rsidRPr="00C11FA8">
        <w:rPr>
          <w:bCs/>
          <w:noProof/>
        </w:rPr>
        <w:t xml:space="preserve"> this task in its updated mandate. Moreover, there is an increased need for the Agency to continue assisting in the implementation of the shipping related elements of Directives 2008/56/EC</w:t>
      </w:r>
      <w:r w:rsidR="00C11FA8" w:rsidRPr="00841708">
        <w:rPr>
          <w:rStyle w:val="FootnoteReference"/>
          <w:noProof/>
        </w:rPr>
        <w:footnoteReference w:id="24"/>
      </w:r>
      <w:r w:rsidR="00C11FA8" w:rsidRPr="00C11FA8">
        <w:rPr>
          <w:bCs/>
          <w:noProof/>
        </w:rPr>
        <w:t xml:space="preserve"> and (EU) 2016/802</w:t>
      </w:r>
      <w:r w:rsidR="00E4539F" w:rsidRPr="00841708">
        <w:rPr>
          <w:rStyle w:val="FootnoteReference"/>
          <w:noProof/>
        </w:rPr>
        <w:footnoteReference w:id="25"/>
      </w:r>
      <w:r w:rsidR="00C11FA8" w:rsidRPr="00C11FA8">
        <w:rPr>
          <w:noProof/>
        </w:rPr>
        <w:t xml:space="preserve"> of the European Parliament and of the Council</w:t>
      </w:r>
      <w:r w:rsidR="00C11FA8" w:rsidRPr="00C11FA8">
        <w:rPr>
          <w:bCs/>
          <w:noProof/>
        </w:rPr>
        <w:t>. Those two areas together with the engagement of the Agency in the collection</w:t>
      </w:r>
      <w:r w:rsidR="00432B54">
        <w:rPr>
          <w:bCs/>
          <w:noProof/>
        </w:rPr>
        <w:t xml:space="preserve">, analysis and sharing </w:t>
      </w:r>
      <w:r w:rsidR="00C11FA8" w:rsidRPr="00C11FA8">
        <w:rPr>
          <w:bCs/>
          <w:noProof/>
        </w:rPr>
        <w:t xml:space="preserve"> of data in relation to nitrogen oxides (NOx) emissions from ships </w:t>
      </w:r>
      <w:r w:rsidR="00C11FA8" w:rsidRPr="00C11FA8">
        <w:rPr>
          <w:noProof/>
        </w:rPr>
        <w:t>are of importance for promoting sustainability in the maritime sector for which the Agency should deliver a report on the progress made every three years.</w:t>
      </w:r>
    </w:p>
    <w:p w14:paraId="21957A05" w14:textId="0AD99451" w:rsidR="00F4653C" w:rsidRPr="00F4653C" w:rsidRDefault="00443218" w:rsidP="00443218">
      <w:pPr>
        <w:pStyle w:val="ManualConsidrant"/>
        <w:rPr>
          <w:noProof/>
        </w:rPr>
      </w:pPr>
      <w:r w:rsidRPr="00443218">
        <w:t>(16)</w:t>
      </w:r>
      <w:r w:rsidRPr="00443218">
        <w:tab/>
      </w:r>
      <w:r w:rsidR="00F4653C" w:rsidRPr="00F4653C">
        <w:rPr>
          <w:noProof/>
        </w:rPr>
        <w:t xml:space="preserve">In the area of decarbonisation of the shipping sector, efforts to limit global maritime emissions through the International Maritime Organisation (IMO) are under way and should be encouraged, including the rapid implementation of the initial IMO Strategy on Reduction of Greenhouse Gas Emissions from Ships, adopted in 2018. Discussions are undergoing on the means to implement in practice such ambition, including on a revision of the initial strategy. At the Union level, a set of policies and legislative proposals to support the decarbonisation and further promote the sustainability of the maritime sector has been developed, as reflected in particular in the European Green Deal, the Sustainable and Smart Mobility Strategy, the “Fit for 55” package and the Zero Pollution Strategy. As a result, the need to reduce greenhouse gas emissions from the maritime sector should be reflected in the mandate of the Agency. </w:t>
      </w:r>
    </w:p>
    <w:p w14:paraId="2E0B5974" w14:textId="3C119DA5" w:rsidR="002D3092" w:rsidRPr="00315B6F" w:rsidRDefault="00443218" w:rsidP="00443218">
      <w:pPr>
        <w:pStyle w:val="ManualConsidrant"/>
        <w:rPr>
          <w:bCs/>
          <w:noProof/>
        </w:rPr>
      </w:pPr>
      <w:r w:rsidRPr="00443218">
        <w:t>(17)</w:t>
      </w:r>
      <w:r w:rsidRPr="00443218">
        <w:tab/>
      </w:r>
      <w:r w:rsidR="00877EF3">
        <w:rPr>
          <w:noProof/>
        </w:rPr>
        <w:t xml:space="preserve">In this regard, </w:t>
      </w:r>
      <w:r w:rsidR="00725D31">
        <w:rPr>
          <w:noProof/>
        </w:rPr>
        <w:t xml:space="preserve">while </w:t>
      </w:r>
      <w:r w:rsidR="00877EF3">
        <w:rPr>
          <w:noProof/>
        </w:rPr>
        <w:t>the A</w:t>
      </w:r>
      <w:r w:rsidR="008D01F1">
        <w:rPr>
          <w:noProof/>
        </w:rPr>
        <w:t xml:space="preserve">gency should </w:t>
      </w:r>
      <w:r w:rsidR="00725D31">
        <w:rPr>
          <w:noProof/>
        </w:rPr>
        <w:t xml:space="preserve">continue </w:t>
      </w:r>
      <w:r w:rsidR="00877EF3">
        <w:rPr>
          <w:noProof/>
        </w:rPr>
        <w:t>assist</w:t>
      </w:r>
      <w:r w:rsidR="00725D31">
        <w:rPr>
          <w:noProof/>
        </w:rPr>
        <w:t>ing</w:t>
      </w:r>
      <w:r w:rsidR="00877EF3">
        <w:rPr>
          <w:noProof/>
        </w:rPr>
        <w:t xml:space="preserve"> the Commission and the Member States in the implementation of </w:t>
      </w:r>
      <w:r w:rsidR="00877EF3" w:rsidRPr="0006778B">
        <w:rPr>
          <w:bCs/>
          <w:noProof/>
        </w:rPr>
        <w:t>Regulation (EU) 2015/757</w:t>
      </w:r>
      <w:r w:rsidR="00C11FA8" w:rsidRPr="00C11FA8">
        <w:rPr>
          <w:noProof/>
        </w:rPr>
        <w:t xml:space="preserve"> </w:t>
      </w:r>
      <w:r w:rsidR="00C11FA8" w:rsidRPr="00C11FA8">
        <w:rPr>
          <w:bCs/>
          <w:noProof/>
        </w:rPr>
        <w:t>of the European Parliament and of the Council</w:t>
      </w:r>
      <w:r w:rsidR="00C11FA8" w:rsidRPr="00841708">
        <w:rPr>
          <w:rStyle w:val="FootnoteReference"/>
          <w:noProof/>
        </w:rPr>
        <w:footnoteReference w:id="26"/>
      </w:r>
      <w:r w:rsidR="00877EF3" w:rsidRPr="0006778B">
        <w:rPr>
          <w:bCs/>
          <w:noProof/>
        </w:rPr>
        <w:t> </w:t>
      </w:r>
      <w:r w:rsidR="00725D31" w:rsidRPr="0006778B">
        <w:rPr>
          <w:bCs/>
          <w:noProof/>
        </w:rPr>
        <w:t>it should</w:t>
      </w:r>
      <w:r w:rsidR="00877EF3" w:rsidRPr="0006778B">
        <w:rPr>
          <w:bCs/>
          <w:noProof/>
        </w:rPr>
        <w:t xml:space="preserve"> </w:t>
      </w:r>
      <w:r w:rsidR="00F4653C">
        <w:rPr>
          <w:bCs/>
          <w:noProof/>
        </w:rPr>
        <w:t>further</w:t>
      </w:r>
      <w:r w:rsidR="00F4653C" w:rsidRPr="0006778B">
        <w:rPr>
          <w:bCs/>
          <w:noProof/>
        </w:rPr>
        <w:t xml:space="preserve"> </w:t>
      </w:r>
      <w:r w:rsidR="00725D31" w:rsidRPr="00B07511">
        <w:rPr>
          <w:bCs/>
          <w:noProof/>
        </w:rPr>
        <w:t xml:space="preserve">assist </w:t>
      </w:r>
      <w:r w:rsidR="00877EF3" w:rsidRPr="00FB615B">
        <w:rPr>
          <w:bCs/>
          <w:noProof/>
        </w:rPr>
        <w:t xml:space="preserve">in the implementation of the new </w:t>
      </w:r>
      <w:r w:rsidR="00F4653C" w:rsidRPr="00F4653C">
        <w:rPr>
          <w:bCs/>
          <w:noProof/>
        </w:rPr>
        <w:t xml:space="preserve">regulatory measures to decarbonise the shipping sector, as stemming from the Fit for 55 legislative package, such as the </w:t>
      </w:r>
      <w:r w:rsidR="00877EF3" w:rsidRPr="00FB615B">
        <w:rPr>
          <w:bCs/>
          <w:noProof/>
        </w:rPr>
        <w:t xml:space="preserve">Regulation [..] </w:t>
      </w:r>
      <w:r w:rsidR="00877EF3" w:rsidRPr="00FB2567">
        <w:rPr>
          <w:noProof/>
          <w:lang w:val="en-US"/>
        </w:rPr>
        <w:t>on</w:t>
      </w:r>
      <w:r w:rsidR="00877EF3" w:rsidRPr="00FB2567">
        <w:rPr>
          <w:b/>
          <w:bCs/>
          <w:noProof/>
          <w:lang w:val="en-US"/>
        </w:rPr>
        <w:t> </w:t>
      </w:r>
      <w:r w:rsidR="00877EF3" w:rsidRPr="007F2B6F">
        <w:rPr>
          <w:noProof/>
        </w:rPr>
        <w:t>the use of renewable and low-carbon fuels in maritime transport</w:t>
      </w:r>
      <w:r w:rsidR="00877EF3">
        <w:rPr>
          <w:noProof/>
        </w:rPr>
        <w:t xml:space="preserve"> and the </w:t>
      </w:r>
      <w:r w:rsidR="00877EF3" w:rsidRPr="0006778B">
        <w:rPr>
          <w:bCs/>
          <w:noProof/>
          <w:lang w:val="en-US"/>
        </w:rPr>
        <w:t xml:space="preserve">shipping-related elements </w:t>
      </w:r>
      <w:r w:rsidR="00877EF3" w:rsidRPr="0006778B">
        <w:rPr>
          <w:noProof/>
          <w:lang w:val="en-US"/>
        </w:rPr>
        <w:t>of</w:t>
      </w:r>
      <w:r w:rsidR="0006778B" w:rsidRPr="0006778B">
        <w:rPr>
          <w:noProof/>
          <w:lang w:val="en-US"/>
        </w:rPr>
        <w:t xml:space="preserve"> </w:t>
      </w:r>
      <w:r w:rsidR="0006778B" w:rsidRPr="00DE6BEC">
        <w:rPr>
          <w:bCs/>
          <w:noProof/>
        </w:rPr>
        <w:t xml:space="preserve">Directive 2003/87/EC </w:t>
      </w:r>
      <w:r w:rsidR="00C11FA8" w:rsidRPr="00C11FA8">
        <w:rPr>
          <w:bCs/>
          <w:noProof/>
        </w:rPr>
        <w:t>of the European Parliament and of the Council</w:t>
      </w:r>
      <w:r w:rsidR="00C11FA8" w:rsidRPr="00841708">
        <w:rPr>
          <w:rStyle w:val="FootnoteReference"/>
          <w:noProof/>
        </w:rPr>
        <w:footnoteReference w:id="27"/>
      </w:r>
      <w:r w:rsidR="00C11FA8">
        <w:rPr>
          <w:bCs/>
          <w:noProof/>
        </w:rPr>
        <w:t xml:space="preserve"> </w:t>
      </w:r>
      <w:r w:rsidR="0006778B" w:rsidRPr="00DE6BEC">
        <w:rPr>
          <w:bCs/>
          <w:noProof/>
        </w:rPr>
        <w:t xml:space="preserve">establishing a scheme for greenhouse gas emission allowance trading within the </w:t>
      </w:r>
      <w:r w:rsidR="00DE6BEC" w:rsidRPr="00DE6BEC">
        <w:rPr>
          <w:bCs/>
          <w:noProof/>
        </w:rPr>
        <w:t xml:space="preserve">Community. </w:t>
      </w:r>
      <w:r w:rsidR="00E02A29" w:rsidRPr="0006778B">
        <w:rPr>
          <w:bCs/>
          <w:noProof/>
        </w:rPr>
        <w:t>The A</w:t>
      </w:r>
      <w:r w:rsidR="008D01F1" w:rsidRPr="0006778B">
        <w:rPr>
          <w:bCs/>
          <w:noProof/>
        </w:rPr>
        <w:t>gency should</w:t>
      </w:r>
      <w:r w:rsidR="00E02A29" w:rsidRPr="0006778B">
        <w:rPr>
          <w:bCs/>
          <w:noProof/>
        </w:rPr>
        <w:t xml:space="preserve"> continue </w:t>
      </w:r>
      <w:r w:rsidR="00943128" w:rsidRPr="0006778B">
        <w:rPr>
          <w:bCs/>
          <w:noProof/>
        </w:rPr>
        <w:t>to be</w:t>
      </w:r>
      <w:r w:rsidR="00E02A29" w:rsidRPr="0006778B">
        <w:rPr>
          <w:bCs/>
          <w:noProof/>
        </w:rPr>
        <w:t xml:space="preserve"> at the forefront of expertise at </w:t>
      </w:r>
      <w:r w:rsidR="00C11FA8">
        <w:rPr>
          <w:bCs/>
          <w:noProof/>
        </w:rPr>
        <w:t>Union</w:t>
      </w:r>
      <w:r w:rsidR="00C11FA8" w:rsidRPr="0006778B">
        <w:rPr>
          <w:bCs/>
          <w:noProof/>
        </w:rPr>
        <w:t xml:space="preserve"> </w:t>
      </w:r>
      <w:r w:rsidR="00E02A29" w:rsidRPr="0006778B">
        <w:rPr>
          <w:bCs/>
          <w:noProof/>
        </w:rPr>
        <w:t xml:space="preserve">level to assist in the transition of the sector into renewable and low carbon fuels by conducting research and providing guidance on the </w:t>
      </w:r>
      <w:r w:rsidR="00E02A29" w:rsidRPr="00B07511">
        <w:rPr>
          <w:bCs/>
          <w:noProof/>
          <w:lang w:val="en-US"/>
        </w:rPr>
        <w:t xml:space="preserve"> uptake and deployment of sustainable alternative sources of power for ships, including onshore power supply to ships</w:t>
      </w:r>
      <w:r w:rsidR="00F4653C" w:rsidRPr="00F4653C">
        <w:rPr>
          <w:bCs/>
          <w:noProof/>
          <w:lang w:val="en-US"/>
        </w:rPr>
        <w:t xml:space="preserve"> and in relation to the deployment of energy efficiency and wind propulsion assistance solutions. In order to monitor progress in the area of decarbonisation of the shipping sector, the Agency should report to the Commission on the greenhouse gas reduction efforts and any recommendations that might have every three years.</w:t>
      </w:r>
    </w:p>
    <w:p w14:paraId="0473824C" w14:textId="0BFE766B" w:rsidR="005A15F5" w:rsidRPr="00FA4814" w:rsidRDefault="00443218" w:rsidP="00443218">
      <w:pPr>
        <w:pStyle w:val="ManualConsidrant"/>
        <w:rPr>
          <w:noProof/>
        </w:rPr>
      </w:pPr>
      <w:r w:rsidRPr="00443218">
        <w:t>(18)</w:t>
      </w:r>
      <w:r w:rsidRPr="00443218">
        <w:tab/>
      </w:r>
      <w:r w:rsidR="005A15F5" w:rsidRPr="00FA4814">
        <w:rPr>
          <w:noProof/>
        </w:rPr>
        <w:t xml:space="preserve">In the area of maritime security, </w:t>
      </w:r>
      <w:r w:rsidR="008D01F1" w:rsidRPr="00FA4814">
        <w:rPr>
          <w:noProof/>
        </w:rPr>
        <w:t xml:space="preserve">the Agency should </w:t>
      </w:r>
      <w:r w:rsidR="00D637D0">
        <w:rPr>
          <w:noProof/>
        </w:rPr>
        <w:t xml:space="preserve">continue </w:t>
      </w:r>
      <w:r w:rsidR="00C11FA8">
        <w:rPr>
          <w:noProof/>
        </w:rPr>
        <w:t>to provide</w:t>
      </w:r>
      <w:r w:rsidR="00C11FA8" w:rsidRPr="00FA4814">
        <w:rPr>
          <w:noProof/>
        </w:rPr>
        <w:t xml:space="preserve"> </w:t>
      </w:r>
      <w:r w:rsidR="005A15F5" w:rsidRPr="00FA4814">
        <w:rPr>
          <w:noProof/>
        </w:rPr>
        <w:t>technical assistance to the Commission inspections in the framework of Regulation 725/2004</w:t>
      </w:r>
      <w:r w:rsidR="00C11FA8" w:rsidRPr="00C11FA8">
        <w:rPr>
          <w:noProof/>
          <w:lang w:val="en-US"/>
        </w:rPr>
        <w:t xml:space="preserve"> of the European Parliament and of the Council</w:t>
      </w:r>
      <w:r w:rsidR="00C11FA8" w:rsidRPr="00C11FA8">
        <w:rPr>
          <w:noProof/>
          <w:vertAlign w:val="superscript"/>
        </w:rPr>
        <w:t xml:space="preserve"> </w:t>
      </w:r>
      <w:r w:rsidR="005A15F5" w:rsidRPr="00AD0F94">
        <w:rPr>
          <w:rStyle w:val="FootnoteReference"/>
          <w:noProof/>
        </w:rPr>
        <w:footnoteReference w:id="28"/>
      </w:r>
      <w:r w:rsidR="005A15F5" w:rsidRPr="00FA4814">
        <w:rPr>
          <w:noProof/>
        </w:rPr>
        <w:t xml:space="preserve"> on enhancing ship and port facility security</w:t>
      </w:r>
      <w:r w:rsidR="00FA4814" w:rsidRPr="00FA4814">
        <w:rPr>
          <w:noProof/>
        </w:rPr>
        <w:t xml:space="preserve">. </w:t>
      </w:r>
      <w:r w:rsidR="00DC19DF">
        <w:rPr>
          <w:noProof/>
        </w:rPr>
        <w:t>G</w:t>
      </w:r>
      <w:r w:rsidR="00FA4814" w:rsidRPr="00FA4814">
        <w:rPr>
          <w:noProof/>
        </w:rPr>
        <w:t>iven that t</w:t>
      </w:r>
      <w:r w:rsidR="002D3092" w:rsidRPr="00FA4814">
        <w:rPr>
          <w:noProof/>
        </w:rPr>
        <w:t>he number of cybersecurity incidents in the maritime sector has gone up</w:t>
      </w:r>
      <w:r w:rsidR="002D3092" w:rsidRPr="002D3092">
        <w:rPr>
          <w:noProof/>
        </w:rPr>
        <w:t xml:space="preserve"> </w:t>
      </w:r>
      <w:r w:rsidR="002D3092" w:rsidRPr="000F0DDA">
        <w:rPr>
          <w:noProof/>
        </w:rPr>
        <w:t xml:space="preserve">significantly </w:t>
      </w:r>
      <w:r w:rsidR="00055BB3">
        <w:rPr>
          <w:noProof/>
        </w:rPr>
        <w:t xml:space="preserve">in recent years, </w:t>
      </w:r>
      <w:r w:rsidR="002D3092" w:rsidRPr="000F0DDA">
        <w:rPr>
          <w:noProof/>
        </w:rPr>
        <w:t xml:space="preserve">the Agency </w:t>
      </w:r>
      <w:r w:rsidR="00FA4814">
        <w:rPr>
          <w:noProof/>
        </w:rPr>
        <w:t xml:space="preserve">should assist </w:t>
      </w:r>
      <w:r w:rsidR="00055BB3">
        <w:rPr>
          <w:noProof/>
        </w:rPr>
        <w:t xml:space="preserve">Union efforts to enhance </w:t>
      </w:r>
      <w:r w:rsidR="00FA4814" w:rsidRPr="00FA4814">
        <w:rPr>
          <w:noProof/>
        </w:rPr>
        <w:t>resilience against cybersecurity incidents in the maritime sector by facilitating the exchange of best practices and information on cyber security incidents</w:t>
      </w:r>
      <w:r w:rsidR="00C11FA8">
        <w:rPr>
          <w:noProof/>
        </w:rPr>
        <w:t xml:space="preserve"> between the Member States</w:t>
      </w:r>
      <w:r w:rsidR="00FA4814" w:rsidRPr="00FA4814">
        <w:rPr>
          <w:noProof/>
        </w:rPr>
        <w:t>.</w:t>
      </w:r>
    </w:p>
    <w:p w14:paraId="5E5A5834" w14:textId="75A9BE82" w:rsidR="00C11FA8" w:rsidRPr="00C11FA8" w:rsidRDefault="00443218" w:rsidP="00443218">
      <w:pPr>
        <w:pStyle w:val="ManualConsidrant"/>
        <w:rPr>
          <w:noProof/>
        </w:rPr>
      </w:pPr>
      <w:r w:rsidRPr="00443218">
        <w:t>(19)</w:t>
      </w:r>
      <w:r w:rsidRPr="00443218">
        <w:tab/>
      </w:r>
      <w:r w:rsidR="00943128" w:rsidRPr="00943128">
        <w:rPr>
          <w:noProof/>
        </w:rPr>
        <w:t xml:space="preserve">The Agency should continue </w:t>
      </w:r>
      <w:r w:rsidR="00C11FA8">
        <w:rPr>
          <w:noProof/>
        </w:rPr>
        <w:t>to host</w:t>
      </w:r>
      <w:r w:rsidR="00C11FA8" w:rsidRPr="00943128">
        <w:rPr>
          <w:noProof/>
        </w:rPr>
        <w:t xml:space="preserve"> </w:t>
      </w:r>
      <w:r w:rsidR="00943128" w:rsidRPr="00943128">
        <w:rPr>
          <w:noProof/>
        </w:rPr>
        <w:t>the vessel monitoring and information system established under Directive 2002/59/EC</w:t>
      </w:r>
      <w:r w:rsidR="00C11FA8" w:rsidRPr="00C11FA8">
        <w:rPr>
          <w:noProof/>
        </w:rPr>
        <w:t xml:space="preserve"> of the European Parliament and of the Council</w:t>
      </w:r>
      <w:r w:rsidR="00C11FA8" w:rsidRPr="00841708">
        <w:rPr>
          <w:rStyle w:val="FootnoteReference"/>
          <w:noProof/>
        </w:rPr>
        <w:footnoteReference w:id="29"/>
      </w:r>
      <w:r w:rsidR="00C11FA8" w:rsidRPr="00C11FA8">
        <w:rPr>
          <w:noProof/>
        </w:rPr>
        <w:t xml:space="preserve"> </w:t>
      </w:r>
      <w:r w:rsidR="00943128" w:rsidRPr="00943128">
        <w:rPr>
          <w:noProof/>
        </w:rPr>
        <w:t xml:space="preserve"> together with other systems underpinning the establishment of a maritime awareness picture. In this regard, the Agency should continue to play a vital role in the management of the maritime security component of Copernicus programme and should continue making use of available state-of-the-art technology, such as remotely piloted aircraft systems providing to Member States and other Union bodies a useful tool for surveillance and monitoring. In addition to these services, the Agency has demonstrated its strategic role in providing maritime situational awareness supporting various crises, such as the COVID-19 and Russia’s war of aggression against Ukraine. </w:t>
      </w:r>
      <w:r w:rsidR="00C11FA8" w:rsidRPr="00C11FA8">
        <w:rPr>
          <w:noProof/>
        </w:rPr>
        <w:t>As a result, the Agency should operate a centre, open 24 hours per day and 7 days per week, which should assist the Commission and the Member States with such emergency situations.</w:t>
      </w:r>
    </w:p>
    <w:p w14:paraId="4AF69E61" w14:textId="30819123" w:rsidR="00D637D0" w:rsidRDefault="00443218" w:rsidP="00443218">
      <w:pPr>
        <w:pStyle w:val="ManualConsidrant"/>
        <w:rPr>
          <w:noProof/>
        </w:rPr>
      </w:pPr>
      <w:r w:rsidRPr="00443218">
        <w:t>(20)</w:t>
      </w:r>
      <w:r w:rsidRPr="00443218">
        <w:tab/>
      </w:r>
      <w:r w:rsidR="00E30CAA" w:rsidRPr="00047C50">
        <w:rPr>
          <w:noProof/>
        </w:rPr>
        <w:t xml:space="preserve">Digitalisation of data is </w:t>
      </w:r>
      <w:r w:rsidR="00277F01" w:rsidRPr="00047C50">
        <w:rPr>
          <w:noProof/>
        </w:rPr>
        <w:t>part of</w:t>
      </w:r>
      <w:r w:rsidR="00E30CAA" w:rsidRPr="00047C50">
        <w:rPr>
          <w:noProof/>
        </w:rPr>
        <w:t xml:space="preserve"> technological progress in the area of data collection and communication with a view to helping to bring down costs and making efficient use of human resources.</w:t>
      </w:r>
      <w:r w:rsidR="00E30CAA">
        <w:rPr>
          <w:noProof/>
        </w:rPr>
        <w:t xml:space="preserve"> T</w:t>
      </w:r>
      <w:r w:rsidR="00E30CAA" w:rsidRPr="00582356">
        <w:rPr>
          <w:noProof/>
        </w:rPr>
        <w:t>he deployment and operation of Maritime A</w:t>
      </w:r>
      <w:r w:rsidR="00E30CAA">
        <w:rPr>
          <w:noProof/>
        </w:rPr>
        <w:t xml:space="preserve">utonomous Surface Ships (MASS) and the </w:t>
      </w:r>
      <w:r w:rsidR="00E30CAA" w:rsidRPr="00582356">
        <w:rPr>
          <w:noProof/>
        </w:rPr>
        <w:t>digital and technological developments provide a wide range of new opportunities in terms of data collection and management of integrated systems. This creates opportunities for the potential digitalisation, automation and standardisation of several processes, which w</w:t>
      </w:r>
      <w:r w:rsidR="00C11FA8">
        <w:rPr>
          <w:noProof/>
        </w:rPr>
        <w:t>ou</w:t>
      </w:r>
      <w:r w:rsidR="00E30CAA" w:rsidRPr="00582356">
        <w:rPr>
          <w:noProof/>
        </w:rPr>
        <w:t>l</w:t>
      </w:r>
      <w:r w:rsidR="00C11FA8">
        <w:rPr>
          <w:noProof/>
        </w:rPr>
        <w:t>d</w:t>
      </w:r>
      <w:r w:rsidR="00E30CAA" w:rsidRPr="00582356">
        <w:rPr>
          <w:noProof/>
        </w:rPr>
        <w:t xml:space="preserve"> allow for the facilitation of safety, security, sustainability and efficiency of maritime operations, including surveillance mechanisms, at </w:t>
      </w:r>
      <w:r w:rsidR="00C11FA8">
        <w:rPr>
          <w:noProof/>
        </w:rPr>
        <w:t>Union</w:t>
      </w:r>
      <w:r w:rsidR="00C11FA8" w:rsidRPr="00582356">
        <w:rPr>
          <w:noProof/>
        </w:rPr>
        <w:t xml:space="preserve"> </w:t>
      </w:r>
      <w:r w:rsidR="00E30CAA" w:rsidRPr="00582356">
        <w:rPr>
          <w:noProof/>
        </w:rPr>
        <w:t>level</w:t>
      </w:r>
      <w:r w:rsidR="00B07511">
        <w:rPr>
          <w:noProof/>
        </w:rPr>
        <w:t>, reducing in parallel the administrative burden to the Member States</w:t>
      </w:r>
      <w:r w:rsidR="00E30CAA" w:rsidRPr="00582356">
        <w:rPr>
          <w:noProof/>
        </w:rPr>
        <w:t>.</w:t>
      </w:r>
      <w:r w:rsidR="00E30CAA">
        <w:rPr>
          <w:noProof/>
        </w:rPr>
        <w:t xml:space="preserve"> In this regard, the Agency should, among others, facilitate</w:t>
      </w:r>
      <w:r w:rsidR="00E30CAA" w:rsidRPr="00B3264F">
        <w:rPr>
          <w:noProof/>
        </w:rPr>
        <w:t xml:space="preserve"> and </w:t>
      </w:r>
      <w:r w:rsidR="00E30CAA">
        <w:rPr>
          <w:noProof/>
        </w:rPr>
        <w:t>promote the use</w:t>
      </w:r>
      <w:r w:rsidR="00E30CAA" w:rsidRPr="00B3264F">
        <w:rPr>
          <w:noProof/>
        </w:rPr>
        <w:t xml:space="preserve"> of electronic certificates, the collection, recording and evaluation of technical data, the systematic exploitation of existing databases, including their cross-fertilisation through the use of innovative IT and artificial intelligence tools, and, where appropriate, the development of additional interoperable databases</w:t>
      </w:r>
      <w:r w:rsidR="00E30CAA">
        <w:rPr>
          <w:noProof/>
        </w:rPr>
        <w:t>.</w:t>
      </w:r>
    </w:p>
    <w:p w14:paraId="7226C0C2" w14:textId="750734CD" w:rsidR="00E30CAA" w:rsidRDefault="00443218" w:rsidP="00443218">
      <w:pPr>
        <w:pStyle w:val="ManualConsidrant"/>
        <w:rPr>
          <w:noProof/>
        </w:rPr>
      </w:pPr>
      <w:r w:rsidRPr="00443218">
        <w:t>(21)</w:t>
      </w:r>
      <w:r w:rsidRPr="00443218">
        <w:tab/>
      </w:r>
      <w:r w:rsidR="00E30CAA">
        <w:rPr>
          <w:noProof/>
        </w:rPr>
        <w:t xml:space="preserve"> </w:t>
      </w:r>
      <w:r w:rsidR="00E30CAA" w:rsidRPr="005D2555">
        <w:rPr>
          <w:noProof/>
        </w:rPr>
        <w:t xml:space="preserve">In order to properly carry out the tasks entrusted to the Agency, it is appropriate that its officials </w:t>
      </w:r>
      <w:r w:rsidR="00C11FA8">
        <w:rPr>
          <w:noProof/>
        </w:rPr>
        <w:t xml:space="preserve">should </w:t>
      </w:r>
      <w:r w:rsidR="00E30CAA" w:rsidRPr="005D2555">
        <w:rPr>
          <w:noProof/>
        </w:rPr>
        <w:t xml:space="preserve">carry out visits to the Member States in order to monitor the overall functioning of the </w:t>
      </w:r>
      <w:r w:rsidR="00C11FA8">
        <w:rPr>
          <w:noProof/>
        </w:rPr>
        <w:t>Union</w:t>
      </w:r>
      <w:r w:rsidR="00C11FA8" w:rsidRPr="005D2555">
        <w:rPr>
          <w:noProof/>
        </w:rPr>
        <w:t xml:space="preserve"> </w:t>
      </w:r>
      <w:r w:rsidR="00E30CAA" w:rsidRPr="005D2555">
        <w:rPr>
          <w:noProof/>
        </w:rPr>
        <w:t>maritime safety and pollution prevention system.</w:t>
      </w:r>
      <w:r w:rsidR="00E30CAA" w:rsidRPr="007C484D">
        <w:rPr>
          <w:noProof/>
        </w:rPr>
        <w:t xml:space="preserve"> The Agency</w:t>
      </w:r>
      <w:r w:rsidR="00E30CAA">
        <w:rPr>
          <w:noProof/>
        </w:rPr>
        <w:t xml:space="preserve"> </w:t>
      </w:r>
      <w:r w:rsidR="00C11FA8">
        <w:rPr>
          <w:noProof/>
        </w:rPr>
        <w:t xml:space="preserve">should </w:t>
      </w:r>
      <w:r w:rsidR="00277F01">
        <w:rPr>
          <w:noProof/>
        </w:rPr>
        <w:t xml:space="preserve">also </w:t>
      </w:r>
      <w:r w:rsidR="00E30CAA">
        <w:rPr>
          <w:noProof/>
        </w:rPr>
        <w:t>carry</w:t>
      </w:r>
      <w:r w:rsidR="00E30CAA" w:rsidRPr="007C484D">
        <w:rPr>
          <w:noProof/>
        </w:rPr>
        <w:t xml:space="preserve"> out inspections in order to assist the Commission in the assessment of the effective implementation of </w:t>
      </w:r>
      <w:r w:rsidR="00435339">
        <w:rPr>
          <w:noProof/>
        </w:rPr>
        <w:t>Union</w:t>
      </w:r>
      <w:r w:rsidR="00435339" w:rsidRPr="007C484D">
        <w:rPr>
          <w:noProof/>
        </w:rPr>
        <w:t xml:space="preserve"> </w:t>
      </w:r>
      <w:r w:rsidR="00E30CAA" w:rsidRPr="007C484D">
        <w:rPr>
          <w:noProof/>
        </w:rPr>
        <w:t xml:space="preserve">law. </w:t>
      </w:r>
    </w:p>
    <w:p w14:paraId="53BDC44B" w14:textId="16D7EF62" w:rsidR="006A79E8" w:rsidRDefault="00443218" w:rsidP="00443218">
      <w:pPr>
        <w:pStyle w:val="ManualConsidrant"/>
        <w:rPr>
          <w:noProof/>
        </w:rPr>
      </w:pPr>
      <w:r w:rsidRPr="00443218">
        <w:t>(22)</w:t>
      </w:r>
      <w:r w:rsidRPr="00443218">
        <w:tab/>
      </w:r>
      <w:r w:rsidR="00E30CAA">
        <w:rPr>
          <w:noProof/>
        </w:rPr>
        <w:t xml:space="preserve">In the context of the IMO, the International Labour Organisation (ILO) and the Paris Memorandum </w:t>
      </w:r>
      <w:r w:rsidR="00E30CAA" w:rsidRPr="00F20DD0">
        <w:rPr>
          <w:noProof/>
        </w:rPr>
        <w:t>of Understanding on Port State Control</w:t>
      </w:r>
      <w:r w:rsidR="00435339" w:rsidRPr="00435339">
        <w:rPr>
          <w:noProof/>
        </w:rPr>
        <w:t xml:space="preserve">, signed at Paris on 26 January 1982 </w:t>
      </w:r>
      <w:r w:rsidR="00E30CAA" w:rsidRPr="00F20DD0">
        <w:rPr>
          <w:noProof/>
        </w:rPr>
        <w:t xml:space="preserve"> (‘Paris MoU’)</w:t>
      </w:r>
      <w:r w:rsidR="00E30CAA">
        <w:rPr>
          <w:noProof/>
        </w:rPr>
        <w:t xml:space="preserve">, the </w:t>
      </w:r>
      <w:r w:rsidR="00432B54">
        <w:rPr>
          <w:noProof/>
        </w:rPr>
        <w:t>Commission</w:t>
      </w:r>
      <w:r w:rsidR="00E30CAA">
        <w:rPr>
          <w:noProof/>
        </w:rPr>
        <w:t xml:space="preserve"> and the Member States may need technical assistance and expertise. </w:t>
      </w:r>
      <w:r w:rsidR="0090388D">
        <w:rPr>
          <w:noProof/>
        </w:rPr>
        <w:t xml:space="preserve">Likewise, the Commission </w:t>
      </w:r>
      <w:r w:rsidR="00435339">
        <w:rPr>
          <w:noProof/>
        </w:rPr>
        <w:t xml:space="preserve">may </w:t>
      </w:r>
      <w:r w:rsidR="0090388D">
        <w:rPr>
          <w:noProof/>
        </w:rPr>
        <w:t>also need the technical assistance of the Agency in supporting third countries in the maritime domain, in particular with</w:t>
      </w:r>
      <w:r w:rsidR="00B07511">
        <w:rPr>
          <w:noProof/>
        </w:rPr>
        <w:t xml:space="preserve"> capacity building and</w:t>
      </w:r>
      <w:r w:rsidR="0090388D">
        <w:rPr>
          <w:noProof/>
        </w:rPr>
        <w:t xml:space="preserve"> pollution prevention and response means. </w:t>
      </w:r>
      <w:r w:rsidR="00E30CAA" w:rsidRPr="00F20DD0">
        <w:rPr>
          <w:noProof/>
        </w:rPr>
        <w:t xml:space="preserve">The Management Board </w:t>
      </w:r>
      <w:r w:rsidR="00E30CAA">
        <w:rPr>
          <w:noProof/>
        </w:rPr>
        <w:t xml:space="preserve">of the Agency </w:t>
      </w:r>
      <w:r w:rsidR="00E30CAA" w:rsidRPr="00F20DD0">
        <w:rPr>
          <w:noProof/>
        </w:rPr>
        <w:t>sh</w:t>
      </w:r>
      <w:r w:rsidR="00DC19DF">
        <w:rPr>
          <w:noProof/>
        </w:rPr>
        <w:t xml:space="preserve">ould be tasked with </w:t>
      </w:r>
      <w:r w:rsidR="00E30CAA" w:rsidRPr="00F20DD0">
        <w:rPr>
          <w:noProof/>
        </w:rPr>
        <w:t>adopt</w:t>
      </w:r>
      <w:r w:rsidR="00DC19DF">
        <w:rPr>
          <w:noProof/>
        </w:rPr>
        <w:t>ing</w:t>
      </w:r>
      <w:r w:rsidR="00E30CAA" w:rsidRPr="00F20DD0">
        <w:rPr>
          <w:noProof/>
        </w:rPr>
        <w:t xml:space="preserve"> a strategy for international relations of the Agency concerning matters under its competence</w:t>
      </w:r>
      <w:r w:rsidR="00B07511">
        <w:rPr>
          <w:noProof/>
        </w:rPr>
        <w:t>, as part of the single programming document</w:t>
      </w:r>
      <w:r w:rsidR="00E30CAA" w:rsidRPr="00F20DD0">
        <w:rPr>
          <w:noProof/>
        </w:rPr>
        <w:t>.</w:t>
      </w:r>
    </w:p>
    <w:p w14:paraId="322047CA" w14:textId="1A5054F5" w:rsidR="00435339" w:rsidRPr="00435339" w:rsidRDefault="00443218" w:rsidP="00443218">
      <w:pPr>
        <w:pStyle w:val="ManualConsidrant"/>
        <w:rPr>
          <w:noProof/>
        </w:rPr>
      </w:pPr>
      <w:r w:rsidRPr="00443218">
        <w:t>(23)</w:t>
      </w:r>
      <w:r w:rsidRPr="00443218">
        <w:tab/>
      </w:r>
      <w:r w:rsidR="00435339" w:rsidRPr="00435339">
        <w:rPr>
          <w:noProof/>
        </w:rPr>
        <w:t xml:space="preserve">National authorities carrying out coast guard functions are responsible for a wide range of tasks, which may include maritime safety, security, search and rescue, border control, fisheries control, customs control, general law enforcement and environmental protection. The Agency, the European Border and Coast Guard Agency, established by Regulation (EU) 2019/1896 </w:t>
      </w:r>
      <w:r w:rsidR="00EF4FC2" w:rsidRPr="00EF4FC2">
        <w:rPr>
          <w:noProof/>
        </w:rPr>
        <w:t>of the European Parliament and of the Council</w:t>
      </w:r>
      <w:r w:rsidR="00EF4FC2" w:rsidRPr="00841708">
        <w:rPr>
          <w:rStyle w:val="FootnoteReference"/>
          <w:noProof/>
        </w:rPr>
        <w:footnoteReference w:id="30"/>
      </w:r>
      <w:r w:rsidR="00435339" w:rsidRPr="00435339">
        <w:rPr>
          <w:noProof/>
        </w:rPr>
        <w:t xml:space="preserve">, and the European Fisheries Control Agency, established by Regulation (EU) 2019/473 </w:t>
      </w:r>
      <w:r w:rsidR="00EF4FC2" w:rsidRPr="00EF4FC2">
        <w:rPr>
          <w:noProof/>
        </w:rPr>
        <w:t>of the European Parliament and of the Council</w:t>
      </w:r>
      <w:r w:rsidR="00EF4FC2" w:rsidRPr="00841708">
        <w:rPr>
          <w:rStyle w:val="FootnoteReference"/>
          <w:noProof/>
        </w:rPr>
        <w:footnoteReference w:id="31"/>
      </w:r>
      <w:r w:rsidR="00435339" w:rsidRPr="00435339">
        <w:rPr>
          <w:noProof/>
        </w:rPr>
        <w:t>, should therefore strengthen their cooperation, within their mandate, both with each other and with the national authorities carrying out coast guard functions, in order to increase maritime situational awareness and to support coherent and cost-efficient action.</w:t>
      </w:r>
    </w:p>
    <w:p w14:paraId="1B6EE25B" w14:textId="1BE0CE20" w:rsidR="00B46B36" w:rsidRPr="0084666C" w:rsidRDefault="00443218" w:rsidP="00443218">
      <w:pPr>
        <w:pStyle w:val="ManualConsidrant"/>
        <w:rPr>
          <w:noProof/>
        </w:rPr>
      </w:pPr>
      <w:r w:rsidRPr="00443218">
        <w:t>(24)</w:t>
      </w:r>
      <w:r w:rsidRPr="00443218">
        <w:tab/>
      </w:r>
      <w:r w:rsidR="006A79E8">
        <w:rPr>
          <w:noProof/>
        </w:rPr>
        <w:t xml:space="preserve">The implementation of this Regulation </w:t>
      </w:r>
      <w:r w:rsidR="00564C69">
        <w:rPr>
          <w:noProof/>
        </w:rPr>
        <w:t>should</w:t>
      </w:r>
      <w:r w:rsidR="006A79E8">
        <w:rPr>
          <w:noProof/>
        </w:rPr>
        <w:t xml:space="preserve"> not affect the division of competence between the Union and the Member States or the obligations of Member States under international conventions such as the United Nations Convention on the Law of the Sea, the International Convention for the Safety of Life at Sea, the International Convention on Maritime Search and Rescue, the International Convention for the Prevention of Pollution from Ships, the International Convention on Standards of Training, Certification and Watchkeeping for Seafarers, and other relevant international maritime instrument.</w:t>
      </w:r>
    </w:p>
    <w:tbl>
      <w:tblPr>
        <w:tblW w:w="5000" w:type="pct"/>
        <w:shd w:val="clear" w:color="auto" w:fill="FFFFFF"/>
        <w:tblCellMar>
          <w:left w:w="0" w:type="dxa"/>
          <w:right w:w="0" w:type="dxa"/>
        </w:tblCellMar>
        <w:tblLook w:val="04A0" w:firstRow="1" w:lastRow="0" w:firstColumn="1" w:lastColumn="0" w:noHBand="0" w:noVBand="1"/>
      </w:tblPr>
      <w:tblGrid>
        <w:gridCol w:w="4986"/>
        <w:gridCol w:w="4986"/>
      </w:tblGrid>
      <w:tr w:rsidR="00B46B36" w:rsidRPr="00B46B36" w14:paraId="6502716C" w14:textId="77777777" w:rsidTr="00B46B36">
        <w:tc>
          <w:tcPr>
            <w:tcW w:w="0" w:type="auto"/>
            <w:shd w:val="clear" w:color="auto" w:fill="FFFFFF"/>
            <w:hideMark/>
          </w:tcPr>
          <w:p w14:paraId="07EE8BF6" w14:textId="77777777" w:rsidR="00B46B36" w:rsidRPr="00B46B36" w:rsidRDefault="00B46B36" w:rsidP="00B46B36">
            <w:pPr>
              <w:spacing w:after="0" w:line="312" w:lineRule="atLeast"/>
              <w:rPr>
                <w:rFonts w:eastAsia="Times New Roman"/>
                <w:noProof/>
                <w:color w:val="333333"/>
                <w:sz w:val="27"/>
                <w:szCs w:val="27"/>
                <w:lang w:val="en-US"/>
              </w:rPr>
            </w:pPr>
          </w:p>
        </w:tc>
        <w:tc>
          <w:tcPr>
            <w:tcW w:w="0" w:type="auto"/>
            <w:shd w:val="clear" w:color="auto" w:fill="FFFFFF"/>
            <w:hideMark/>
          </w:tcPr>
          <w:p w14:paraId="657C1A1B" w14:textId="77777777" w:rsidR="00B46B36" w:rsidRPr="00B46B36" w:rsidRDefault="00B46B36" w:rsidP="00B46B36">
            <w:pPr>
              <w:spacing w:after="0" w:line="312" w:lineRule="atLeast"/>
              <w:rPr>
                <w:rFonts w:eastAsia="Times New Roman"/>
                <w:noProof/>
                <w:color w:val="333333"/>
                <w:sz w:val="27"/>
                <w:szCs w:val="27"/>
                <w:lang w:val="en-US"/>
              </w:rPr>
            </w:pPr>
          </w:p>
        </w:tc>
      </w:tr>
    </w:tbl>
    <w:p w14:paraId="29C6207D" w14:textId="028AA4CC" w:rsidR="00E30CAA" w:rsidRDefault="00443218" w:rsidP="00443218">
      <w:pPr>
        <w:pStyle w:val="ManualConsidrant"/>
        <w:rPr>
          <w:noProof/>
        </w:rPr>
      </w:pPr>
      <w:r w:rsidRPr="00443218">
        <w:t>(25)</w:t>
      </w:r>
      <w:r w:rsidRPr="00443218">
        <w:tab/>
      </w:r>
      <w:r w:rsidR="00E30CAA">
        <w:rPr>
          <w:noProof/>
        </w:rPr>
        <w:t xml:space="preserve">In order to streamline the decision-making process in the Agency and to contribute to enhancing efficiency and effectiveness, a two-level governance structure should be introduced. To that end, the Member States and the Commission should be represented on a Management Board vested with the necessary powers, including the power to establish the budget and approve the programming document. The Management Board should give general orientations for the Agency's activities and be more closely involved in the monitoring of the Agency's activities, with a view to reinforcing supervision on administrative and budgetary matters. A smaller Executive Board should be set up with the task of preparing the meetings of the Management Board in an appropriate manner and supporting its decision-making process. </w:t>
      </w:r>
      <w:r w:rsidR="00E30CAA" w:rsidRPr="00582356">
        <w:rPr>
          <w:noProof/>
        </w:rPr>
        <w:t xml:space="preserve">The powers of the Executive Board should be defined in a mandate to be adopted by the Management Board and should, where </w:t>
      </w:r>
      <w:r w:rsidR="00564C69">
        <w:rPr>
          <w:noProof/>
        </w:rPr>
        <w:t>necessary</w:t>
      </w:r>
      <w:r w:rsidR="00E30CAA" w:rsidRPr="00582356">
        <w:rPr>
          <w:noProof/>
        </w:rPr>
        <w:t>, include opinions and provisional decisions subject to final endorsement by the Management Board.</w:t>
      </w:r>
      <w:r w:rsidR="00E30CAA" w:rsidRPr="009E7F81">
        <w:rPr>
          <w:noProof/>
        </w:rPr>
        <w:t xml:space="preserve"> </w:t>
      </w:r>
      <w:r w:rsidR="00FF0E1A" w:rsidRPr="00FF0E1A">
        <w:rPr>
          <w:noProof/>
        </w:rPr>
        <w:t>The Agency should be headed by an Executive Director</w:t>
      </w:r>
      <w:r w:rsidR="00CD638A">
        <w:rPr>
          <w:noProof/>
        </w:rPr>
        <w:t>.</w:t>
      </w:r>
      <w:r w:rsidR="00FF0E1A">
        <w:rPr>
          <w:noProof/>
        </w:rPr>
        <w:t xml:space="preserve"> </w:t>
      </w:r>
    </w:p>
    <w:p w14:paraId="30D93699" w14:textId="14D67672" w:rsidR="00E30CAA" w:rsidRDefault="00443218" w:rsidP="00443218">
      <w:pPr>
        <w:pStyle w:val="ManualConsidrant"/>
        <w:rPr>
          <w:noProof/>
        </w:rPr>
      </w:pPr>
      <w:r w:rsidRPr="00443218">
        <w:t>(26)</w:t>
      </w:r>
      <w:r w:rsidRPr="00443218">
        <w:tab/>
      </w:r>
      <w:r w:rsidR="00E30CAA">
        <w:rPr>
          <w:noProof/>
        </w:rPr>
        <w:t xml:space="preserve">In order to guarantee the transparency of the Management Board's decisions, representatives of the sectors concerned should attend its meetings, but without the right to vote. </w:t>
      </w:r>
      <w:r w:rsidR="00E30CAA" w:rsidRPr="00582356">
        <w:rPr>
          <w:noProof/>
        </w:rPr>
        <w:t>The representatives of the various stakeholders should be appointed by the Commission on the basis of their representativeness at Union level</w:t>
      </w:r>
      <w:r w:rsidR="00E30CAA">
        <w:rPr>
          <w:noProof/>
        </w:rPr>
        <w:t xml:space="preserve">. </w:t>
      </w:r>
    </w:p>
    <w:p w14:paraId="18106799" w14:textId="4BC30CFF" w:rsidR="00E30CAA" w:rsidRDefault="00443218" w:rsidP="00443218">
      <w:pPr>
        <w:pStyle w:val="ManualConsidrant"/>
        <w:rPr>
          <w:noProof/>
        </w:rPr>
      </w:pPr>
      <w:r w:rsidRPr="00443218">
        <w:t>(27)</w:t>
      </w:r>
      <w:r w:rsidRPr="00443218">
        <w:tab/>
      </w:r>
      <w:r w:rsidR="00F30C58">
        <w:rPr>
          <w:noProof/>
        </w:rPr>
        <w:t>I</w:t>
      </w:r>
      <w:r w:rsidR="00E30CAA">
        <w:rPr>
          <w:noProof/>
        </w:rPr>
        <w:t xml:space="preserve">n order to perform its tasks properly, the Agency should have legal personality and an autonomous budget funded mainly through a contribution by the Union and through fees and charges paid by </w:t>
      </w:r>
      <w:r w:rsidR="00277F01">
        <w:rPr>
          <w:noProof/>
        </w:rPr>
        <w:t>third countries or other entities</w:t>
      </w:r>
      <w:r w:rsidR="00E30CAA">
        <w:rPr>
          <w:noProof/>
        </w:rPr>
        <w:t>. The Agency's independence and impartiality should not be compromised by any financial contribution that it receives from Member States, third countries or other entities. In order to ensure independence in its daily management and in the opinions, recommendations and decisions which it issues, the Agency's organisation should be transparent and the Executive Director should have full responsibility. The Agency's staff should be independent and should be employed on both short-term and long-term contracts in order to maintain its organisational knowledge and business continuity, while keeping a necessary and ongoing exchange of expertise with the maritime sector. The expenditure of the Agency should include staff, administrative, infrastructure and operational expenses.</w:t>
      </w:r>
    </w:p>
    <w:p w14:paraId="48630E28" w14:textId="14563F32" w:rsidR="00E30CAA" w:rsidRDefault="00443218" w:rsidP="00443218">
      <w:pPr>
        <w:pStyle w:val="ManualConsidrant"/>
        <w:rPr>
          <w:noProof/>
        </w:rPr>
      </w:pPr>
      <w:r w:rsidRPr="00443218">
        <w:t>(28)</w:t>
      </w:r>
      <w:r w:rsidRPr="00443218">
        <w:tab/>
      </w:r>
      <w:r w:rsidR="00E30CAA">
        <w:rPr>
          <w:noProof/>
        </w:rPr>
        <w:t>With regard to the prevention and management of conflicts of interest, it is essential that the Agency act</w:t>
      </w:r>
      <w:r w:rsidR="003C1003">
        <w:rPr>
          <w:noProof/>
        </w:rPr>
        <w:t>s</w:t>
      </w:r>
      <w:r w:rsidR="00E30CAA">
        <w:rPr>
          <w:noProof/>
        </w:rPr>
        <w:t xml:space="preserve"> impartially, demonstrate</w:t>
      </w:r>
      <w:r w:rsidR="003C1003">
        <w:rPr>
          <w:noProof/>
        </w:rPr>
        <w:t>s</w:t>
      </w:r>
      <w:r w:rsidR="00E30CAA">
        <w:rPr>
          <w:noProof/>
        </w:rPr>
        <w:t xml:space="preserve"> integrity and establish</w:t>
      </w:r>
      <w:r w:rsidR="003C1003">
        <w:rPr>
          <w:noProof/>
        </w:rPr>
        <w:t>es</w:t>
      </w:r>
      <w:r w:rsidR="00E30CAA">
        <w:rPr>
          <w:noProof/>
        </w:rPr>
        <w:t xml:space="preserve"> high professional standards. There should never be any legitimate reason to suspect that decisions might be influenced by interests conflicting with the role of the Agency as a body serving the Union as a whole or by private interests or affiliations of any member of the Management Board which would create, or have the potential to create, a conflict with the proper performance of the official duties of the person concerned. The Management Board should therefore adopt comprehensive rules on conflicts of interests. </w:t>
      </w:r>
    </w:p>
    <w:p w14:paraId="1B22E981" w14:textId="27FC47AB" w:rsidR="006A79E8" w:rsidRDefault="00443218" w:rsidP="00443218">
      <w:pPr>
        <w:pStyle w:val="ManualConsidrant"/>
        <w:rPr>
          <w:noProof/>
        </w:rPr>
      </w:pPr>
      <w:r w:rsidRPr="00443218">
        <w:t>(29)</w:t>
      </w:r>
      <w:r w:rsidRPr="00443218">
        <w:tab/>
      </w:r>
      <w:r w:rsidR="006A79E8" w:rsidRPr="006A79E8">
        <w:rPr>
          <w:noProof/>
        </w:rPr>
        <w:t>A broader strategic perspective in relation to the activities of the Agency would facilitate the planning and management of its resources in a more effective manner and would contribute to a higher quality of its outputs. Th</w:t>
      </w:r>
      <w:r w:rsidR="00564C69">
        <w:rPr>
          <w:noProof/>
        </w:rPr>
        <w:t>at</w:t>
      </w:r>
      <w:r w:rsidR="006A79E8" w:rsidRPr="006A79E8">
        <w:rPr>
          <w:noProof/>
        </w:rPr>
        <w:t xml:space="preserve"> is confirmed and reinforced by Delegated Regulation (EU) 2019/715. Therefore, a single programming document containing the annual and multi-annual work programmes should be adopted and updated periodically by the Management Board, following proper consultation of the relevant stakeholders.</w:t>
      </w:r>
    </w:p>
    <w:p w14:paraId="2564AC97" w14:textId="3B863DC3" w:rsidR="00CA641A" w:rsidRDefault="00443218" w:rsidP="00443218">
      <w:pPr>
        <w:pStyle w:val="ManualConsidrant"/>
        <w:rPr>
          <w:noProof/>
        </w:rPr>
      </w:pPr>
      <w:r w:rsidRPr="00443218">
        <w:t>(30)</w:t>
      </w:r>
      <w:r w:rsidRPr="00443218">
        <w:tab/>
      </w:r>
      <w:r w:rsidR="00CA641A" w:rsidRPr="00CA641A">
        <w:rPr>
          <w:noProof/>
        </w:rPr>
        <w:t xml:space="preserve">When </w:t>
      </w:r>
      <w:r w:rsidR="00CA641A">
        <w:rPr>
          <w:noProof/>
        </w:rPr>
        <w:t xml:space="preserve">the Agency is asked to conduct a new task not specifically </w:t>
      </w:r>
      <w:r w:rsidR="00564C69">
        <w:rPr>
          <w:noProof/>
        </w:rPr>
        <w:t xml:space="preserve">provided for </w:t>
      </w:r>
      <w:r w:rsidR="00CA641A">
        <w:rPr>
          <w:noProof/>
        </w:rPr>
        <w:t xml:space="preserve">in its mandate or certain tasks  for which a consideration and an analysis of </w:t>
      </w:r>
      <w:r w:rsidR="00CA641A" w:rsidRPr="00CA641A">
        <w:rPr>
          <w:noProof/>
        </w:rPr>
        <w:t xml:space="preserve"> the impact</w:t>
      </w:r>
      <w:r w:rsidR="00564C69" w:rsidRPr="00564C69">
        <w:rPr>
          <w:noProof/>
        </w:rPr>
        <w:t xml:space="preserve"> </w:t>
      </w:r>
      <w:r w:rsidR="00564C69" w:rsidRPr="00CA641A">
        <w:rPr>
          <w:noProof/>
        </w:rPr>
        <w:t xml:space="preserve">on </w:t>
      </w:r>
      <w:r w:rsidR="00564C69">
        <w:rPr>
          <w:noProof/>
        </w:rPr>
        <w:t xml:space="preserve">its </w:t>
      </w:r>
      <w:r w:rsidR="00564C69" w:rsidRPr="00CA641A">
        <w:rPr>
          <w:noProof/>
        </w:rPr>
        <w:t>resources</w:t>
      </w:r>
      <w:r w:rsidR="00CA641A" w:rsidRPr="00CA641A">
        <w:rPr>
          <w:noProof/>
        </w:rPr>
        <w:t xml:space="preserve">, in human and budgetary terms, </w:t>
      </w:r>
      <w:r w:rsidR="00CA641A">
        <w:rPr>
          <w:noProof/>
        </w:rPr>
        <w:t xml:space="preserve">is necessary according to its mandate, the Management Board should include such tasks in the programming document only after such an analysis. </w:t>
      </w:r>
      <w:r w:rsidR="00307730">
        <w:rPr>
          <w:noProof/>
        </w:rPr>
        <w:t>Th</w:t>
      </w:r>
      <w:r w:rsidR="00564C69">
        <w:rPr>
          <w:noProof/>
        </w:rPr>
        <w:t>at</w:t>
      </w:r>
      <w:r w:rsidR="00307730">
        <w:rPr>
          <w:noProof/>
        </w:rPr>
        <w:t xml:space="preserve"> analysis should </w:t>
      </w:r>
      <w:r w:rsidR="00FB615B">
        <w:rPr>
          <w:noProof/>
        </w:rPr>
        <w:t xml:space="preserve">identify the necessary resources with which </w:t>
      </w:r>
      <w:r w:rsidR="00564C69">
        <w:rPr>
          <w:noProof/>
        </w:rPr>
        <w:t>the Agency</w:t>
      </w:r>
      <w:r w:rsidR="00307730">
        <w:rPr>
          <w:noProof/>
        </w:rPr>
        <w:t xml:space="preserve"> </w:t>
      </w:r>
      <w:r w:rsidR="00DE6BEC">
        <w:rPr>
          <w:noProof/>
        </w:rPr>
        <w:t>could deliver</w:t>
      </w:r>
      <w:r w:rsidR="00307730">
        <w:rPr>
          <w:noProof/>
        </w:rPr>
        <w:t xml:space="preserve"> upon th</w:t>
      </w:r>
      <w:r w:rsidR="00564C69">
        <w:rPr>
          <w:noProof/>
        </w:rPr>
        <w:t>o</w:t>
      </w:r>
      <w:r w:rsidR="00307730">
        <w:rPr>
          <w:noProof/>
        </w:rPr>
        <w:t xml:space="preserve">se new tasks </w:t>
      </w:r>
      <w:r w:rsidR="00FB615B" w:rsidRPr="00FB615B">
        <w:rPr>
          <w:noProof/>
        </w:rPr>
        <w:t xml:space="preserve">and </w:t>
      </w:r>
      <w:r w:rsidR="00564C69">
        <w:rPr>
          <w:noProof/>
        </w:rPr>
        <w:t xml:space="preserve">whether the </w:t>
      </w:r>
      <w:r w:rsidR="00307730">
        <w:rPr>
          <w:noProof/>
        </w:rPr>
        <w:t>existing tasks of the Agency are negatively affected.</w:t>
      </w:r>
    </w:p>
    <w:p w14:paraId="223DF593" w14:textId="28ED87FA" w:rsidR="00FF0E1A" w:rsidRDefault="00443218" w:rsidP="00443218">
      <w:pPr>
        <w:pStyle w:val="ManualConsidrant"/>
        <w:rPr>
          <w:noProof/>
          <w:lang w:val="en-US"/>
        </w:rPr>
      </w:pPr>
      <w:r w:rsidRPr="00443218">
        <w:t>(31)</w:t>
      </w:r>
      <w:r w:rsidRPr="00443218">
        <w:tab/>
      </w:r>
      <w:r w:rsidR="00FF0E1A">
        <w:rPr>
          <w:noProof/>
        </w:rPr>
        <w:t xml:space="preserve">The Agency should be properly resourced to carry out its tasks and granted an autonomous budget. It should be mainly financed by a contribution from the general budget of the Union. The Union budgetary procedure should be applicable </w:t>
      </w:r>
      <w:r w:rsidR="00121334">
        <w:rPr>
          <w:noProof/>
        </w:rPr>
        <w:t>to</w:t>
      </w:r>
      <w:r w:rsidR="00FF0E1A">
        <w:rPr>
          <w:noProof/>
        </w:rPr>
        <w:t xml:space="preserve"> the Union contribution and </w:t>
      </w:r>
      <w:r w:rsidR="00121334">
        <w:rPr>
          <w:noProof/>
        </w:rPr>
        <w:t xml:space="preserve">to </w:t>
      </w:r>
      <w:r w:rsidR="00FF0E1A">
        <w:rPr>
          <w:noProof/>
        </w:rPr>
        <w:t>any other subsidies chargeable to the general budget of the Union. The auditing of accounts should be undertaken by the Court of Auditors of the Union.</w:t>
      </w:r>
    </w:p>
    <w:p w14:paraId="3E02BE47" w14:textId="4E9AEFC7" w:rsidR="00FF0E1A" w:rsidRDefault="00443218" w:rsidP="00443218">
      <w:pPr>
        <w:pStyle w:val="ManualConsidrant"/>
        <w:rPr>
          <w:noProof/>
        </w:rPr>
      </w:pPr>
      <w:r w:rsidRPr="00443218">
        <w:t>(32)</w:t>
      </w:r>
      <w:r w:rsidRPr="00443218">
        <w:tab/>
      </w:r>
      <w:r w:rsidR="00FF0E1A">
        <w:rPr>
          <w:noProof/>
        </w:rPr>
        <w:t xml:space="preserve">Fees improve the funding of an agency and may be considered for specific </w:t>
      </w:r>
      <w:r w:rsidR="000A13A8">
        <w:rPr>
          <w:noProof/>
        </w:rPr>
        <w:t>services, falling under the scope of its competencies, rendered by the Agency to third countries or the industry</w:t>
      </w:r>
      <w:r w:rsidR="00FF0E1A">
        <w:rPr>
          <w:noProof/>
        </w:rPr>
        <w:t>. Any fees levied by the Agency should cover its costs for providing the respective services.</w:t>
      </w:r>
    </w:p>
    <w:p w14:paraId="0A4A7446" w14:textId="460BD298" w:rsidR="00E30CAA" w:rsidRDefault="00443218" w:rsidP="00443218">
      <w:pPr>
        <w:pStyle w:val="ManualConsidrant"/>
        <w:rPr>
          <w:noProof/>
        </w:rPr>
      </w:pPr>
      <w:r w:rsidRPr="00443218">
        <w:t>(33)</w:t>
      </w:r>
      <w:r w:rsidRPr="00443218">
        <w:tab/>
      </w:r>
      <w:r w:rsidR="00E30CAA" w:rsidRPr="00E94A1A">
        <w:rPr>
          <w:noProof/>
        </w:rPr>
        <w:t>In orde</w:t>
      </w:r>
      <w:r w:rsidR="00E30CAA">
        <w:rPr>
          <w:noProof/>
        </w:rPr>
        <w:t xml:space="preserve">r to ensure uniform conditions </w:t>
      </w:r>
      <w:r w:rsidR="00E30CAA" w:rsidRPr="00E94A1A">
        <w:rPr>
          <w:noProof/>
        </w:rPr>
        <w:t xml:space="preserve">for the implementation </w:t>
      </w:r>
      <w:r w:rsidR="00E30CAA">
        <w:rPr>
          <w:noProof/>
        </w:rPr>
        <w:t>of this Regulation</w:t>
      </w:r>
      <w:r w:rsidR="00E30CAA" w:rsidRPr="00E94A1A">
        <w:rPr>
          <w:noProof/>
        </w:rPr>
        <w:t xml:space="preserve"> </w:t>
      </w:r>
      <w:r w:rsidR="00E30CAA">
        <w:rPr>
          <w:noProof/>
        </w:rPr>
        <w:t xml:space="preserve">with regards to </w:t>
      </w:r>
      <w:r w:rsidR="00E30CAA" w:rsidRPr="00E94A1A">
        <w:rPr>
          <w:noProof/>
        </w:rPr>
        <w:t>fees and charges</w:t>
      </w:r>
      <w:r w:rsidR="00E30CAA">
        <w:rPr>
          <w:noProof/>
        </w:rPr>
        <w:t xml:space="preserve">, </w:t>
      </w:r>
      <w:r w:rsidR="00E30CAA" w:rsidRPr="00E94A1A">
        <w:rPr>
          <w:noProof/>
        </w:rPr>
        <w:t>implementing</w:t>
      </w:r>
      <w:r w:rsidR="00E30CAA">
        <w:rPr>
          <w:noProof/>
        </w:rPr>
        <w:t xml:space="preserve"> </w:t>
      </w:r>
      <w:r w:rsidR="00E30CAA" w:rsidRPr="00E94A1A">
        <w:rPr>
          <w:noProof/>
        </w:rPr>
        <w:t>powers should be conferred on the Commission. Those powers should be exercised  in accordance with  Regulation  (EU)  No  182/2011  of the</w:t>
      </w:r>
      <w:r w:rsidR="005A15F5">
        <w:rPr>
          <w:noProof/>
        </w:rPr>
        <w:t xml:space="preserve"> </w:t>
      </w:r>
      <w:r w:rsidR="00E30CAA" w:rsidRPr="00E94A1A">
        <w:rPr>
          <w:noProof/>
        </w:rPr>
        <w:t>Europea</w:t>
      </w:r>
      <w:r w:rsidR="00E30CAA">
        <w:rPr>
          <w:noProof/>
        </w:rPr>
        <w:t>n Parliament and of the Council</w:t>
      </w:r>
      <w:r w:rsidR="00E30CAA" w:rsidRPr="00AD0F94">
        <w:rPr>
          <w:rStyle w:val="FootnoteReference"/>
          <w:noProof/>
        </w:rPr>
        <w:footnoteReference w:id="32"/>
      </w:r>
      <w:r w:rsidR="006A79E8">
        <w:rPr>
          <w:noProof/>
        </w:rPr>
        <w:t>.</w:t>
      </w:r>
    </w:p>
    <w:p w14:paraId="655B6A09" w14:textId="17918E46" w:rsidR="00121334" w:rsidRDefault="00443218" w:rsidP="00443218">
      <w:pPr>
        <w:pStyle w:val="ManualConsidrant"/>
        <w:rPr>
          <w:noProof/>
        </w:rPr>
      </w:pPr>
      <w:r w:rsidRPr="00443218">
        <w:t>(34)</w:t>
      </w:r>
      <w:r w:rsidRPr="00443218">
        <w:tab/>
      </w:r>
      <w:r w:rsidR="00121334">
        <w:rPr>
          <w:noProof/>
        </w:rPr>
        <w:t>Over the past years, as more decentralised agencies have been created, transparency and control over the management of Union funding allocated to them has improved, in particular as regards the budgetisation of fees, financial control, power of discharge, pension scheme contributions and the internal budgetary procedure (code of conduct). Similarly, Regulation (EU, Euratom) No 883/2013 of the European Parliament and of the Council</w:t>
      </w:r>
      <w:r w:rsidR="00121334" w:rsidRPr="00AD0F94">
        <w:rPr>
          <w:rStyle w:val="FootnoteReference"/>
          <w:noProof/>
        </w:rPr>
        <w:footnoteReference w:id="33"/>
      </w:r>
      <w:r w:rsidR="00121334">
        <w:rPr>
          <w:noProof/>
        </w:rPr>
        <w:t xml:space="preserve"> should apply without restriction to the Agency, which should accede to the Inter-institutional Agreement of 25 May 1999 between the European Parliament, the Council of the European Union and the Commission of the European Communities concerning internal investigations by the European Anti-Fraud Office (OLAF)</w:t>
      </w:r>
      <w:r w:rsidR="00121334" w:rsidRPr="00AD0F94">
        <w:rPr>
          <w:rStyle w:val="FootnoteReference"/>
          <w:noProof/>
        </w:rPr>
        <w:footnoteReference w:id="34"/>
      </w:r>
      <w:r w:rsidR="00121334">
        <w:rPr>
          <w:noProof/>
        </w:rPr>
        <w:t>.</w:t>
      </w:r>
    </w:p>
    <w:p w14:paraId="7EFFB57B" w14:textId="5FDC0AA7" w:rsidR="00E30CAA" w:rsidRDefault="00443218" w:rsidP="00443218">
      <w:pPr>
        <w:pStyle w:val="ManualConsidrant"/>
        <w:rPr>
          <w:noProof/>
        </w:rPr>
      </w:pPr>
      <w:r w:rsidRPr="00443218">
        <w:t>(35)</w:t>
      </w:r>
      <w:r w:rsidRPr="00443218">
        <w:tab/>
      </w:r>
      <w:r w:rsidR="00E30CAA" w:rsidRPr="00603B63">
        <w:rPr>
          <w:noProof/>
        </w:rPr>
        <w:t xml:space="preserve">Since the objectives of this </w:t>
      </w:r>
      <w:r w:rsidR="00E30CAA">
        <w:rPr>
          <w:noProof/>
        </w:rPr>
        <w:t xml:space="preserve">Regulation, namely to establish a specialised body </w:t>
      </w:r>
      <w:r w:rsidR="00826AB3">
        <w:rPr>
          <w:noProof/>
        </w:rPr>
        <w:t>that can assist the Commission and the Member S</w:t>
      </w:r>
      <w:r w:rsidR="00FF02A2">
        <w:rPr>
          <w:noProof/>
        </w:rPr>
        <w:t>t</w:t>
      </w:r>
      <w:r w:rsidR="00826AB3">
        <w:rPr>
          <w:noProof/>
        </w:rPr>
        <w:t xml:space="preserve">ates in </w:t>
      </w:r>
      <w:r w:rsidR="00E30CAA" w:rsidRPr="002975D1">
        <w:rPr>
          <w:noProof/>
        </w:rPr>
        <w:t xml:space="preserve">the application and monitoring of </w:t>
      </w:r>
      <w:r w:rsidR="00E30CAA">
        <w:rPr>
          <w:noProof/>
        </w:rPr>
        <w:t xml:space="preserve">the </w:t>
      </w:r>
      <w:r w:rsidR="00121334">
        <w:rPr>
          <w:noProof/>
        </w:rPr>
        <w:t>Union</w:t>
      </w:r>
      <w:r w:rsidR="00121334" w:rsidRPr="002975D1">
        <w:rPr>
          <w:noProof/>
        </w:rPr>
        <w:t xml:space="preserve"> </w:t>
      </w:r>
      <w:r w:rsidR="00E30CAA" w:rsidRPr="002975D1">
        <w:rPr>
          <w:noProof/>
        </w:rPr>
        <w:t xml:space="preserve">legislation in the field of maritime safety, as well </w:t>
      </w:r>
      <w:r w:rsidR="00826AB3">
        <w:rPr>
          <w:noProof/>
        </w:rPr>
        <w:t xml:space="preserve">as </w:t>
      </w:r>
      <w:r w:rsidR="00E30CAA" w:rsidRPr="002975D1">
        <w:rPr>
          <w:noProof/>
        </w:rPr>
        <w:t>with the evaluation of its effectiveness</w:t>
      </w:r>
      <w:r w:rsidR="00E30CAA">
        <w:rPr>
          <w:noProof/>
        </w:rPr>
        <w:t xml:space="preserve">, </w:t>
      </w:r>
      <w:r w:rsidR="00E30CAA" w:rsidRPr="00603B63">
        <w:rPr>
          <w:noProof/>
        </w:rPr>
        <w:t>cannot be sufficiently achieved by the Member States</w:t>
      </w:r>
      <w:r w:rsidR="00E30CAA">
        <w:rPr>
          <w:noProof/>
        </w:rPr>
        <w:t xml:space="preserve"> </w:t>
      </w:r>
      <w:r w:rsidR="00E30CAA" w:rsidRPr="00603B63">
        <w:rPr>
          <w:noProof/>
        </w:rPr>
        <w:t xml:space="preserve">but can rather, by reason of </w:t>
      </w:r>
      <w:r w:rsidR="00E30CAA">
        <w:rPr>
          <w:noProof/>
        </w:rPr>
        <w:t xml:space="preserve">the </w:t>
      </w:r>
      <w:r w:rsidR="00826AB3">
        <w:rPr>
          <w:noProof/>
        </w:rPr>
        <w:t>cooperation</w:t>
      </w:r>
      <w:r w:rsidR="00E30CAA">
        <w:rPr>
          <w:noProof/>
        </w:rPr>
        <w:t xml:space="preserve"> to be done, </w:t>
      </w:r>
      <w:r w:rsidR="00E30CAA" w:rsidRPr="00603B63">
        <w:rPr>
          <w:noProof/>
        </w:rPr>
        <w:t xml:space="preserve">be better achieved at Union level, the Union may adopt measures, in accordance with the principle of subsidiarity as set out in Article 5 of the Treaty on European Union. In accordance with the principle of proportionality, as set out in that Article, this </w:t>
      </w:r>
      <w:r w:rsidR="00E30CAA">
        <w:rPr>
          <w:noProof/>
        </w:rPr>
        <w:t>Regulation</w:t>
      </w:r>
      <w:r w:rsidR="00E30CAA" w:rsidRPr="00603B63">
        <w:rPr>
          <w:noProof/>
        </w:rPr>
        <w:t xml:space="preserve"> does not go beyond what is necessary in order to achieve those objectives.</w:t>
      </w:r>
    </w:p>
    <w:p w14:paraId="32E22433" w14:textId="17D19F61" w:rsidR="00E30CAA" w:rsidRDefault="00443218" w:rsidP="00443218">
      <w:pPr>
        <w:pStyle w:val="ManualConsidrant"/>
        <w:rPr>
          <w:noProof/>
        </w:rPr>
      </w:pPr>
      <w:r w:rsidRPr="00443218">
        <w:t>(36)</w:t>
      </w:r>
      <w:r w:rsidRPr="00443218">
        <w:tab/>
      </w:r>
      <w:r w:rsidR="00E30CAA">
        <w:rPr>
          <w:noProof/>
        </w:rPr>
        <w:t>It is necessary for the proper functioning of the Agency to implement certain principles regarding the governance of the Agency in order to comply with the Joint Statement and Common Approach agreed by the Inter-Institutional Working Group on EU decentralised agencies in July 2012, the purpose of which is to streamline the activities of agencies and increase their performance.</w:t>
      </w:r>
    </w:p>
    <w:p w14:paraId="28937D63" w14:textId="56084F28" w:rsidR="00E30CAA" w:rsidRDefault="00443218" w:rsidP="00443218">
      <w:pPr>
        <w:pStyle w:val="ManualConsidrant"/>
        <w:rPr>
          <w:noProof/>
        </w:rPr>
      </w:pPr>
      <w:r w:rsidRPr="00443218">
        <w:t>(37)</w:t>
      </w:r>
      <w:r w:rsidRPr="00443218">
        <w:tab/>
      </w:r>
      <w:r w:rsidR="00E30CAA">
        <w:rPr>
          <w:noProof/>
        </w:rPr>
        <w:t>This Regulation respects the fundamental rights and observes the principles recognised in particular by the Charter of Fundamental Rights of the European Union.</w:t>
      </w:r>
      <w:r w:rsidR="00E30CAA" w:rsidDel="00751041">
        <w:rPr>
          <w:noProof/>
        </w:rPr>
        <w:t xml:space="preserve"> </w:t>
      </w:r>
    </w:p>
    <w:p w14:paraId="3D3E1608" w14:textId="0BB91286" w:rsidR="001B73A1" w:rsidRDefault="00443218" w:rsidP="00443218">
      <w:pPr>
        <w:pStyle w:val="ManualConsidrant"/>
        <w:rPr>
          <w:noProof/>
        </w:rPr>
      </w:pPr>
      <w:r w:rsidRPr="00443218">
        <w:t>(38)</w:t>
      </w:r>
      <w:r w:rsidRPr="00443218">
        <w:tab/>
      </w:r>
      <w:r w:rsidR="00121334" w:rsidRPr="00121334">
        <w:rPr>
          <w:noProof/>
        </w:rPr>
        <w:t>The European Maritime Safety Agency established by Regulation (EC) No 1406/2022 remains the same legal person and will continue all its activities and  procedures</w:t>
      </w:r>
      <w:r w:rsidR="001B73A1" w:rsidRPr="001B73A1">
        <w:rPr>
          <w:noProof/>
        </w:rPr>
        <w:t>.</w:t>
      </w:r>
    </w:p>
    <w:p w14:paraId="11E00D4C" w14:textId="77777777" w:rsidR="00FB615B" w:rsidRDefault="00FB615B" w:rsidP="00604C98">
      <w:pPr>
        <w:rPr>
          <w:noProof/>
        </w:rPr>
      </w:pPr>
    </w:p>
    <w:p w14:paraId="5B6ACEA9" w14:textId="77777777" w:rsidR="00053218" w:rsidRDefault="00053218" w:rsidP="007D7BFB">
      <w:pPr>
        <w:pStyle w:val="Formuledadoption"/>
        <w:rPr>
          <w:noProof/>
        </w:rPr>
      </w:pPr>
      <w:r w:rsidRPr="00F96E01">
        <w:rPr>
          <w:noProof/>
        </w:rPr>
        <w:t>HAVE ADOPTED THIS REGULATION:</w:t>
      </w:r>
    </w:p>
    <w:p w14:paraId="2B87101F" w14:textId="77777777" w:rsidR="00DE42AA" w:rsidRPr="00DE42AA" w:rsidRDefault="00DE42AA" w:rsidP="00DE42AA">
      <w:pPr>
        <w:pStyle w:val="Titrearticle"/>
        <w:rPr>
          <w:noProof/>
        </w:rPr>
      </w:pPr>
    </w:p>
    <w:p w14:paraId="77825039" w14:textId="77777777" w:rsidR="00F73186" w:rsidRDefault="00F73186" w:rsidP="008F3E00">
      <w:pPr>
        <w:pStyle w:val="Titrearticle"/>
        <w:spacing w:before="0" w:after="200"/>
        <w:rPr>
          <w:noProof/>
        </w:rPr>
      </w:pPr>
      <w:r>
        <w:rPr>
          <w:noProof/>
        </w:rPr>
        <w:t>CHAPTER I</w:t>
      </w:r>
    </w:p>
    <w:p w14:paraId="5D4C882D" w14:textId="77777777" w:rsidR="00F752C7" w:rsidRDefault="00F752C7" w:rsidP="008F3E00">
      <w:pPr>
        <w:pStyle w:val="Titrearticle"/>
        <w:spacing w:before="0" w:after="200"/>
        <w:rPr>
          <w:b/>
          <w:noProof/>
        </w:rPr>
      </w:pPr>
      <w:r w:rsidRPr="00F752C7">
        <w:rPr>
          <w:b/>
          <w:noProof/>
        </w:rPr>
        <w:t>SUBJECT MATTER, SCOPE AND OBJECTIVES</w:t>
      </w:r>
    </w:p>
    <w:p w14:paraId="5C110EB9" w14:textId="77777777" w:rsidR="00053218" w:rsidRDefault="00053218" w:rsidP="008F3E00">
      <w:pPr>
        <w:pStyle w:val="Titrearticle"/>
        <w:spacing w:before="0" w:after="200"/>
        <w:rPr>
          <w:noProof/>
        </w:rPr>
      </w:pPr>
      <w:r w:rsidRPr="00F96E01">
        <w:rPr>
          <w:noProof/>
        </w:rPr>
        <w:t>Article 1</w:t>
      </w:r>
    </w:p>
    <w:p w14:paraId="156EAA06" w14:textId="77777777" w:rsidR="00F73186" w:rsidRPr="00623E90" w:rsidRDefault="00F73186" w:rsidP="008F3E00">
      <w:pPr>
        <w:spacing w:before="0" w:after="200"/>
        <w:jc w:val="center"/>
        <w:rPr>
          <w:b/>
          <w:noProof/>
        </w:rPr>
      </w:pPr>
      <w:r w:rsidRPr="00623E90">
        <w:rPr>
          <w:b/>
          <w:noProof/>
        </w:rPr>
        <w:t>E</w:t>
      </w:r>
      <w:r w:rsidR="00623E90" w:rsidRPr="00623E90">
        <w:rPr>
          <w:b/>
          <w:noProof/>
        </w:rPr>
        <w:t>stablishment, subject matter and scope</w:t>
      </w:r>
    </w:p>
    <w:p w14:paraId="517D6159" w14:textId="77777777" w:rsidR="00623E90" w:rsidRPr="00623E90" w:rsidRDefault="00623E90" w:rsidP="008F3E00">
      <w:pPr>
        <w:spacing w:before="0" w:after="200"/>
        <w:rPr>
          <w:noProof/>
          <w:lang w:val="en-US"/>
        </w:rPr>
      </w:pPr>
      <w:r w:rsidRPr="00623E90">
        <w:rPr>
          <w:b/>
          <w:bCs/>
          <w:noProof/>
          <w:lang w:val="en-US"/>
        </w:rPr>
        <w:t xml:space="preserve"> </w:t>
      </w:r>
    </w:p>
    <w:p w14:paraId="520C83E0" w14:textId="77777777" w:rsidR="00B871D9" w:rsidRDefault="002C10CA" w:rsidP="00B871D9">
      <w:pPr>
        <w:pStyle w:val="Point0"/>
        <w:rPr>
          <w:noProof/>
          <w:lang w:val="en-US"/>
        </w:rPr>
      </w:pPr>
      <w:r>
        <w:rPr>
          <w:noProof/>
          <w:lang w:val="en-US"/>
        </w:rPr>
        <w:t>1.</w:t>
      </w:r>
      <w:r>
        <w:rPr>
          <w:noProof/>
          <w:lang w:val="en-US"/>
        </w:rPr>
        <w:tab/>
      </w:r>
      <w:r w:rsidR="00623E90" w:rsidRPr="00623E90">
        <w:rPr>
          <w:noProof/>
          <w:lang w:val="en-US"/>
        </w:rPr>
        <w:t xml:space="preserve">This Regulation </w:t>
      </w:r>
      <w:r w:rsidR="00B871D9" w:rsidRPr="00B871D9">
        <w:rPr>
          <w:noProof/>
          <w:lang w:val="en-US"/>
        </w:rPr>
        <w:t xml:space="preserve">provides comprehensive rules </w:t>
      </w:r>
      <w:r w:rsidR="00B871D9">
        <w:rPr>
          <w:noProof/>
          <w:lang w:val="en-US"/>
        </w:rPr>
        <w:t>o</w:t>
      </w:r>
      <w:r w:rsidR="00B871D9" w:rsidRPr="00B871D9">
        <w:rPr>
          <w:noProof/>
          <w:lang w:val="en-US"/>
        </w:rPr>
        <w:t>n the task</w:t>
      </w:r>
      <w:r w:rsidR="00B871D9">
        <w:rPr>
          <w:noProof/>
          <w:lang w:val="en-US"/>
        </w:rPr>
        <w:t>s</w:t>
      </w:r>
      <w:r w:rsidR="00B871D9" w:rsidRPr="00B871D9">
        <w:rPr>
          <w:noProof/>
          <w:lang w:val="en-US"/>
        </w:rPr>
        <w:t xml:space="preserve">, functioning and governance of the European Maritime Safety Agency established by Regulation (EC) No </w:t>
      </w:r>
      <w:r w:rsidR="00B871D9">
        <w:rPr>
          <w:noProof/>
          <w:lang w:val="en-US"/>
        </w:rPr>
        <w:t>1406/2002</w:t>
      </w:r>
      <w:r w:rsidR="00B871D9" w:rsidRPr="00B871D9">
        <w:rPr>
          <w:noProof/>
          <w:lang w:val="en-US"/>
        </w:rPr>
        <w:t xml:space="preserve"> (‘the Agency’).</w:t>
      </w:r>
    </w:p>
    <w:p w14:paraId="452BFB78" w14:textId="77777777" w:rsidR="00623E90" w:rsidRDefault="002C10CA" w:rsidP="00B871D9">
      <w:pPr>
        <w:pStyle w:val="Point0"/>
        <w:rPr>
          <w:noProof/>
          <w:lang w:val="en-US"/>
        </w:rPr>
      </w:pPr>
      <w:r>
        <w:rPr>
          <w:noProof/>
          <w:lang w:val="en-US"/>
        </w:rPr>
        <w:t>2.</w:t>
      </w:r>
      <w:r>
        <w:rPr>
          <w:noProof/>
          <w:lang w:val="en-US"/>
        </w:rPr>
        <w:tab/>
      </w:r>
      <w:r w:rsidR="00623E90">
        <w:rPr>
          <w:noProof/>
          <w:lang w:val="en-US"/>
        </w:rPr>
        <w:t>The Agency shall assist the Member St</w:t>
      </w:r>
      <w:r w:rsidR="00057153">
        <w:rPr>
          <w:noProof/>
          <w:lang w:val="en-US"/>
        </w:rPr>
        <w:t>ates and the Commission in the</w:t>
      </w:r>
      <w:r w:rsidR="00623E90">
        <w:rPr>
          <w:noProof/>
          <w:lang w:val="en-US"/>
        </w:rPr>
        <w:t xml:space="preserve"> </w:t>
      </w:r>
      <w:r>
        <w:rPr>
          <w:noProof/>
          <w:lang w:val="en-US"/>
        </w:rPr>
        <w:t>effective</w:t>
      </w:r>
      <w:r w:rsidR="00BE5C1E">
        <w:rPr>
          <w:noProof/>
          <w:lang w:val="en-US"/>
        </w:rPr>
        <w:t xml:space="preserve"> a</w:t>
      </w:r>
      <w:r>
        <w:rPr>
          <w:noProof/>
          <w:lang w:val="en-US"/>
        </w:rPr>
        <w:t>pplication</w:t>
      </w:r>
      <w:r w:rsidR="00623E90">
        <w:rPr>
          <w:noProof/>
          <w:lang w:val="en-US"/>
        </w:rPr>
        <w:t xml:space="preserve"> and </w:t>
      </w:r>
      <w:r w:rsidR="00F752C7">
        <w:rPr>
          <w:noProof/>
          <w:lang w:val="en-US"/>
        </w:rPr>
        <w:t xml:space="preserve">implementation </w:t>
      </w:r>
      <w:r w:rsidR="00623E90">
        <w:rPr>
          <w:noProof/>
          <w:lang w:val="en-US"/>
        </w:rPr>
        <w:t xml:space="preserve">of Union law related to maritime transport across the Union. </w:t>
      </w:r>
      <w:r w:rsidR="00623E90" w:rsidRPr="00623E90">
        <w:rPr>
          <w:noProof/>
          <w:lang w:val="en-US"/>
        </w:rPr>
        <w:t xml:space="preserve">To that end, the Agency shall cooperate with the Member States and the Commission and provide them with technical, operational and scientific assistance </w:t>
      </w:r>
      <w:r w:rsidR="00286DCE">
        <w:rPr>
          <w:noProof/>
          <w:lang w:val="en-US"/>
        </w:rPr>
        <w:t xml:space="preserve">within the scope of the Agency’s objectives and tasks </w:t>
      </w:r>
      <w:r w:rsidR="003A73BB" w:rsidRPr="003A73BB">
        <w:rPr>
          <w:noProof/>
        </w:rPr>
        <w:t>set out in Article 2 and Chapters II and III</w:t>
      </w:r>
      <w:r w:rsidR="00286DCE">
        <w:rPr>
          <w:noProof/>
          <w:lang w:val="en-US"/>
        </w:rPr>
        <w:t xml:space="preserve">. </w:t>
      </w:r>
    </w:p>
    <w:p w14:paraId="435B154B" w14:textId="77777777" w:rsidR="00286DCE" w:rsidRDefault="002C10CA" w:rsidP="00BE5C1E">
      <w:pPr>
        <w:pStyle w:val="Point0"/>
        <w:ind w:left="0" w:firstLine="0"/>
        <w:rPr>
          <w:noProof/>
          <w:lang w:val="en-US"/>
        </w:rPr>
      </w:pPr>
      <w:r>
        <w:rPr>
          <w:noProof/>
          <w:lang w:val="en-US"/>
        </w:rPr>
        <w:t>3.</w:t>
      </w:r>
      <w:r>
        <w:rPr>
          <w:noProof/>
          <w:lang w:val="en-US"/>
        </w:rPr>
        <w:tab/>
      </w:r>
      <w:r w:rsidR="00286DCE">
        <w:rPr>
          <w:noProof/>
          <w:lang w:val="en-US"/>
        </w:rPr>
        <w:t xml:space="preserve">By providing the </w:t>
      </w:r>
      <w:r w:rsidR="00286DCE" w:rsidRPr="00623E90">
        <w:rPr>
          <w:noProof/>
          <w:lang w:val="en-US"/>
        </w:rPr>
        <w:t>assistance referred to in paragraph 2, the Agency shall</w:t>
      </w:r>
      <w:r w:rsidR="00286DCE">
        <w:rPr>
          <w:noProof/>
          <w:lang w:val="en-US"/>
        </w:rPr>
        <w:t xml:space="preserve"> in particular </w:t>
      </w:r>
      <w:r w:rsidR="005B74D4">
        <w:rPr>
          <w:noProof/>
          <w:lang w:val="en-US"/>
        </w:rPr>
        <w:t>provide support to</w:t>
      </w:r>
      <w:r w:rsidR="00286DCE" w:rsidRPr="00623E90">
        <w:rPr>
          <w:noProof/>
          <w:lang w:val="en-US"/>
        </w:rPr>
        <w:t xml:space="preserve"> the Member States and the Commission to apply the relevant </w:t>
      </w:r>
      <w:r w:rsidR="003A73BB">
        <w:rPr>
          <w:noProof/>
          <w:lang w:val="en-US"/>
        </w:rPr>
        <w:t xml:space="preserve">Union </w:t>
      </w:r>
      <w:r w:rsidR="00286DCE" w:rsidRPr="00623E90">
        <w:rPr>
          <w:noProof/>
          <w:lang w:val="en-US"/>
        </w:rPr>
        <w:t>legal acts properly</w:t>
      </w:r>
      <w:r w:rsidR="00286DCE">
        <w:rPr>
          <w:noProof/>
          <w:lang w:val="en-US"/>
        </w:rPr>
        <w:t xml:space="preserve"> while contributing to </w:t>
      </w:r>
      <w:r w:rsidR="00286DCE" w:rsidRPr="00623E90">
        <w:rPr>
          <w:noProof/>
          <w:lang w:val="en-US"/>
        </w:rPr>
        <w:t>the overall efficiency of maritime traffic and maritime transpor</w:t>
      </w:r>
      <w:r w:rsidR="005B74D4">
        <w:rPr>
          <w:noProof/>
          <w:lang w:val="en-US"/>
        </w:rPr>
        <w:t>t as set out in this Regulation,</w:t>
      </w:r>
      <w:r w:rsidR="00286DCE" w:rsidRPr="00623E90">
        <w:rPr>
          <w:noProof/>
          <w:lang w:val="en-US"/>
        </w:rPr>
        <w:t xml:space="preserve"> so as to facilitate the </w:t>
      </w:r>
      <w:r w:rsidR="00057153">
        <w:rPr>
          <w:noProof/>
          <w:lang w:val="en-US"/>
        </w:rPr>
        <w:t>achievement of</w:t>
      </w:r>
      <w:r w:rsidR="00B96844">
        <w:rPr>
          <w:noProof/>
          <w:lang w:val="en-US"/>
        </w:rPr>
        <w:t xml:space="preserve"> the</w:t>
      </w:r>
      <w:r w:rsidR="00057153">
        <w:rPr>
          <w:noProof/>
          <w:lang w:val="en-US"/>
        </w:rPr>
        <w:t xml:space="preserve"> Union’s </w:t>
      </w:r>
      <w:r w:rsidR="00DE42AA">
        <w:rPr>
          <w:noProof/>
          <w:lang w:val="en-US"/>
        </w:rPr>
        <w:t>objectives</w:t>
      </w:r>
      <w:r w:rsidR="00057153">
        <w:rPr>
          <w:noProof/>
          <w:lang w:val="en-US"/>
        </w:rPr>
        <w:t xml:space="preserve"> in the maritime transport domain</w:t>
      </w:r>
      <w:r w:rsidR="00286DCE" w:rsidRPr="00623E90">
        <w:rPr>
          <w:noProof/>
          <w:lang w:val="en-US"/>
        </w:rPr>
        <w:t>.</w:t>
      </w:r>
    </w:p>
    <w:p w14:paraId="184CAAE7" w14:textId="77777777" w:rsidR="000A5278" w:rsidRDefault="002C10CA" w:rsidP="00BE5C1E">
      <w:pPr>
        <w:pStyle w:val="Point0"/>
        <w:ind w:left="0" w:firstLine="0"/>
        <w:rPr>
          <w:noProof/>
          <w:lang w:val="en-US"/>
        </w:rPr>
      </w:pPr>
      <w:r>
        <w:rPr>
          <w:noProof/>
          <w:lang w:val="en-US"/>
        </w:rPr>
        <w:t>4.</w:t>
      </w:r>
      <w:r>
        <w:rPr>
          <w:noProof/>
          <w:lang w:val="en-US"/>
        </w:rPr>
        <w:tab/>
      </w:r>
      <w:r w:rsidR="00057153">
        <w:rPr>
          <w:noProof/>
          <w:lang w:val="en-US"/>
        </w:rPr>
        <w:t xml:space="preserve">Any </w:t>
      </w:r>
      <w:r w:rsidR="003870A9">
        <w:rPr>
          <w:noProof/>
          <w:lang w:val="en-US"/>
        </w:rPr>
        <w:t>assistance</w:t>
      </w:r>
      <w:r w:rsidR="003A73BB">
        <w:rPr>
          <w:noProof/>
          <w:lang w:val="en-US"/>
        </w:rPr>
        <w:t xml:space="preserve"> provided by the Agency</w:t>
      </w:r>
      <w:r w:rsidR="003870A9">
        <w:rPr>
          <w:noProof/>
          <w:lang w:val="en-US"/>
        </w:rPr>
        <w:t xml:space="preserve"> shall be without prejudice to</w:t>
      </w:r>
      <w:r w:rsidR="000A5278">
        <w:rPr>
          <w:noProof/>
          <w:lang w:val="en-US"/>
        </w:rPr>
        <w:t xml:space="preserve"> the </w:t>
      </w:r>
      <w:r w:rsidR="00C11E00">
        <w:rPr>
          <w:noProof/>
          <w:lang w:val="en-US"/>
        </w:rPr>
        <w:t>rights and responsibilities</w:t>
      </w:r>
      <w:r w:rsidR="000A5278">
        <w:rPr>
          <w:noProof/>
          <w:lang w:val="en-US"/>
        </w:rPr>
        <w:t xml:space="preserve"> of the Member States as flag, port or coastal States. </w:t>
      </w:r>
    </w:p>
    <w:p w14:paraId="50450C6D" w14:textId="77777777" w:rsidR="005A64F4" w:rsidRDefault="005A64F4" w:rsidP="008F3E00">
      <w:pPr>
        <w:spacing w:before="0" w:after="200"/>
        <w:rPr>
          <w:noProof/>
          <w:lang w:val="en-US"/>
        </w:rPr>
      </w:pPr>
    </w:p>
    <w:p w14:paraId="03FA8765" w14:textId="77777777" w:rsidR="000A5278" w:rsidRDefault="000A5278" w:rsidP="008F3E00">
      <w:pPr>
        <w:pStyle w:val="Titrearticle"/>
        <w:spacing w:before="0" w:after="200"/>
        <w:rPr>
          <w:noProof/>
        </w:rPr>
      </w:pPr>
      <w:r>
        <w:rPr>
          <w:noProof/>
          <w:lang w:val="en-US"/>
        </w:rPr>
        <w:t xml:space="preserve"> </w:t>
      </w:r>
      <w:r>
        <w:rPr>
          <w:noProof/>
        </w:rPr>
        <w:t>Article 2</w:t>
      </w:r>
    </w:p>
    <w:p w14:paraId="3D28E058" w14:textId="77777777" w:rsidR="000A5278" w:rsidRPr="00623E90" w:rsidRDefault="000A5278" w:rsidP="008F3E00">
      <w:pPr>
        <w:spacing w:before="0" w:after="200"/>
        <w:jc w:val="center"/>
        <w:rPr>
          <w:b/>
          <w:noProof/>
        </w:rPr>
      </w:pPr>
      <w:r>
        <w:rPr>
          <w:b/>
          <w:noProof/>
        </w:rPr>
        <w:t>Objectives</w:t>
      </w:r>
      <w:r w:rsidR="00B9318B">
        <w:rPr>
          <w:b/>
          <w:noProof/>
        </w:rPr>
        <w:t xml:space="preserve"> of the Agency</w:t>
      </w:r>
    </w:p>
    <w:p w14:paraId="643361B7" w14:textId="77777777" w:rsidR="00BE5C1E" w:rsidRDefault="00BE5C1E" w:rsidP="00BE5C1E">
      <w:pPr>
        <w:pStyle w:val="Point0"/>
        <w:ind w:left="0" w:firstLine="0"/>
        <w:rPr>
          <w:noProof/>
        </w:rPr>
      </w:pPr>
      <w:r>
        <w:rPr>
          <w:noProof/>
        </w:rPr>
        <w:t>1.</w:t>
      </w:r>
      <w:r>
        <w:rPr>
          <w:noProof/>
        </w:rPr>
        <w:tab/>
      </w:r>
      <w:r w:rsidR="000A5278">
        <w:rPr>
          <w:noProof/>
        </w:rPr>
        <w:t xml:space="preserve">The objectives of the Agency shall be the promotion and establishment of a high, uniform and effective level of maritime safety </w:t>
      </w:r>
      <w:r w:rsidR="00C11E00">
        <w:rPr>
          <w:noProof/>
        </w:rPr>
        <w:t xml:space="preserve">aiming towards zero accidents, </w:t>
      </w:r>
      <w:r w:rsidR="002A0CCF">
        <w:rPr>
          <w:noProof/>
        </w:rPr>
        <w:t xml:space="preserve">maritime security, </w:t>
      </w:r>
      <w:r w:rsidR="005A64F4">
        <w:rPr>
          <w:noProof/>
        </w:rPr>
        <w:t xml:space="preserve">the </w:t>
      </w:r>
      <w:r w:rsidR="005A64F4" w:rsidRPr="00DE42AA">
        <w:rPr>
          <w:noProof/>
          <w:lang w:val="en-US"/>
        </w:rPr>
        <w:t>reduction of greenhouse gas emissions from ships</w:t>
      </w:r>
      <w:r w:rsidR="00C11E00">
        <w:rPr>
          <w:noProof/>
        </w:rPr>
        <w:t xml:space="preserve"> and the sustainability of the maritime sector</w:t>
      </w:r>
      <w:r w:rsidR="00C11E00" w:rsidRPr="00C11E00">
        <w:rPr>
          <w:noProof/>
        </w:rPr>
        <w:t xml:space="preserve"> </w:t>
      </w:r>
      <w:r w:rsidR="00DA65A5">
        <w:rPr>
          <w:noProof/>
        </w:rPr>
        <w:t>as well as</w:t>
      </w:r>
      <w:r w:rsidR="00C11E00">
        <w:rPr>
          <w:noProof/>
        </w:rPr>
        <w:t xml:space="preserve"> the prevention of and response to pollution caused by </w:t>
      </w:r>
      <w:r w:rsidR="00E34752">
        <w:rPr>
          <w:noProof/>
        </w:rPr>
        <w:t>ships and</w:t>
      </w:r>
      <w:r w:rsidR="00DA65A5">
        <w:rPr>
          <w:noProof/>
        </w:rPr>
        <w:t xml:space="preserve"> the</w:t>
      </w:r>
      <w:r w:rsidR="00C11E00">
        <w:rPr>
          <w:noProof/>
        </w:rPr>
        <w:t xml:space="preserve"> response to marine pollution caused by oil and gas installation</w:t>
      </w:r>
      <w:r w:rsidR="00F4118A">
        <w:rPr>
          <w:noProof/>
        </w:rPr>
        <w:t>s</w:t>
      </w:r>
      <w:r w:rsidR="00C11E00">
        <w:rPr>
          <w:noProof/>
        </w:rPr>
        <w:t xml:space="preserve">. </w:t>
      </w:r>
    </w:p>
    <w:p w14:paraId="223889D7" w14:textId="77777777" w:rsidR="00C11E00" w:rsidRDefault="00BE5C1E" w:rsidP="00BE5C1E">
      <w:pPr>
        <w:pStyle w:val="Point0"/>
        <w:ind w:left="0" w:firstLine="0"/>
        <w:rPr>
          <w:noProof/>
        </w:rPr>
      </w:pPr>
      <w:r>
        <w:rPr>
          <w:noProof/>
        </w:rPr>
        <w:t>2.</w:t>
      </w:r>
      <w:r>
        <w:rPr>
          <w:noProof/>
        </w:rPr>
        <w:tab/>
      </w:r>
      <w:r w:rsidR="00C11E00">
        <w:rPr>
          <w:noProof/>
        </w:rPr>
        <w:t>Further objectives of the Agency shall be the</w:t>
      </w:r>
      <w:r w:rsidR="005B74D4">
        <w:rPr>
          <w:noProof/>
        </w:rPr>
        <w:t xml:space="preserve"> promotion of</w:t>
      </w:r>
      <w:r w:rsidR="00C11E00">
        <w:rPr>
          <w:noProof/>
        </w:rPr>
        <w:t xml:space="preserve"> digitalisation </w:t>
      </w:r>
      <w:r w:rsidR="00281EF1">
        <w:rPr>
          <w:noProof/>
        </w:rPr>
        <w:t xml:space="preserve">of the maritime sector by facilitating the electronic transmission of data </w:t>
      </w:r>
      <w:r w:rsidR="00305816">
        <w:rPr>
          <w:noProof/>
        </w:rPr>
        <w:t xml:space="preserve">supporting </w:t>
      </w:r>
      <w:r w:rsidR="00281EF1">
        <w:rPr>
          <w:noProof/>
        </w:rPr>
        <w:t xml:space="preserve">simplification and the provision of </w:t>
      </w:r>
      <w:r w:rsidR="002A0CCF">
        <w:rPr>
          <w:noProof/>
        </w:rPr>
        <w:t xml:space="preserve">integrated </w:t>
      </w:r>
      <w:r w:rsidR="00281EF1">
        <w:rPr>
          <w:noProof/>
        </w:rPr>
        <w:t>maritime surveillance</w:t>
      </w:r>
      <w:r w:rsidR="005B74D4">
        <w:rPr>
          <w:noProof/>
        </w:rPr>
        <w:t xml:space="preserve"> and awareness</w:t>
      </w:r>
      <w:r w:rsidR="00281EF1">
        <w:rPr>
          <w:noProof/>
        </w:rPr>
        <w:t xml:space="preserve"> </w:t>
      </w:r>
      <w:r w:rsidR="002A0CCF">
        <w:rPr>
          <w:noProof/>
        </w:rPr>
        <w:t>system</w:t>
      </w:r>
      <w:r w:rsidR="00AC7F5C">
        <w:rPr>
          <w:noProof/>
        </w:rPr>
        <w:t>s</w:t>
      </w:r>
      <w:r w:rsidR="002A0CCF">
        <w:rPr>
          <w:noProof/>
        </w:rPr>
        <w:t xml:space="preserve"> and </w:t>
      </w:r>
      <w:r w:rsidR="00281EF1">
        <w:rPr>
          <w:noProof/>
        </w:rPr>
        <w:t>services to the Commission and the Member States.</w:t>
      </w:r>
    </w:p>
    <w:p w14:paraId="6E0CC735" w14:textId="77777777" w:rsidR="0027647A" w:rsidRDefault="0027647A" w:rsidP="008F3E00">
      <w:pPr>
        <w:spacing w:before="0" w:after="200"/>
        <w:rPr>
          <w:noProof/>
        </w:rPr>
      </w:pPr>
    </w:p>
    <w:p w14:paraId="7B432EBE" w14:textId="77777777" w:rsidR="00D0269F" w:rsidRDefault="00D0269F" w:rsidP="008F3E00">
      <w:pPr>
        <w:spacing w:before="0" w:after="200"/>
        <w:rPr>
          <w:noProof/>
        </w:rPr>
      </w:pPr>
    </w:p>
    <w:p w14:paraId="5B651DD7" w14:textId="77777777" w:rsidR="004333C2" w:rsidRDefault="004333C2" w:rsidP="008F3E00">
      <w:pPr>
        <w:pStyle w:val="Titrearticle"/>
        <w:spacing w:before="0" w:after="200"/>
        <w:rPr>
          <w:noProof/>
        </w:rPr>
      </w:pPr>
      <w:r>
        <w:rPr>
          <w:noProof/>
        </w:rPr>
        <w:t>CHAPTER II</w:t>
      </w:r>
    </w:p>
    <w:p w14:paraId="5136B3D2" w14:textId="77777777" w:rsidR="004333C2" w:rsidRPr="009B5F9E" w:rsidRDefault="004333C2" w:rsidP="008F3E00">
      <w:pPr>
        <w:spacing w:before="0" w:after="200"/>
        <w:jc w:val="center"/>
        <w:rPr>
          <w:b/>
          <w:noProof/>
        </w:rPr>
      </w:pPr>
      <w:r w:rsidRPr="009B5F9E">
        <w:rPr>
          <w:b/>
          <w:noProof/>
        </w:rPr>
        <w:t xml:space="preserve">TASKS OF THE AGENCY </w:t>
      </w:r>
    </w:p>
    <w:p w14:paraId="3A9D5CA6" w14:textId="77777777" w:rsidR="004333C2" w:rsidRDefault="004333C2" w:rsidP="008F3E00">
      <w:pPr>
        <w:pStyle w:val="Titrearticle"/>
        <w:spacing w:before="0" w:after="200"/>
        <w:rPr>
          <w:noProof/>
        </w:rPr>
      </w:pPr>
      <w:r>
        <w:rPr>
          <w:noProof/>
        </w:rPr>
        <w:t xml:space="preserve">Article </w:t>
      </w:r>
      <w:r w:rsidR="005F3604">
        <w:rPr>
          <w:noProof/>
        </w:rPr>
        <w:t>3</w:t>
      </w:r>
    </w:p>
    <w:p w14:paraId="41F83295" w14:textId="77777777" w:rsidR="004333C2" w:rsidRDefault="005B74D4" w:rsidP="008F3E00">
      <w:pPr>
        <w:spacing w:before="0" w:after="200"/>
        <w:jc w:val="center"/>
        <w:rPr>
          <w:b/>
          <w:noProof/>
        </w:rPr>
      </w:pPr>
      <w:r>
        <w:rPr>
          <w:b/>
          <w:noProof/>
        </w:rPr>
        <w:t>Horizontal t</w:t>
      </w:r>
      <w:r w:rsidR="00784FBD">
        <w:rPr>
          <w:b/>
          <w:noProof/>
        </w:rPr>
        <w:t xml:space="preserve">echnical support </w:t>
      </w:r>
    </w:p>
    <w:p w14:paraId="69B955A5" w14:textId="77777777" w:rsidR="007141BB" w:rsidRDefault="007141BB" w:rsidP="008F3E00">
      <w:pPr>
        <w:spacing w:before="0" w:after="200"/>
        <w:jc w:val="center"/>
        <w:rPr>
          <w:b/>
          <w:noProof/>
        </w:rPr>
      </w:pPr>
    </w:p>
    <w:p w14:paraId="06177AC7" w14:textId="77777777" w:rsidR="00784FBD" w:rsidRDefault="004140CE" w:rsidP="00BE5C1E">
      <w:pPr>
        <w:pStyle w:val="Point0"/>
        <w:rPr>
          <w:noProof/>
        </w:rPr>
      </w:pPr>
      <w:r>
        <w:rPr>
          <w:noProof/>
        </w:rPr>
        <w:t>1.</w:t>
      </w:r>
      <w:r>
        <w:rPr>
          <w:noProof/>
        </w:rPr>
        <w:tab/>
      </w:r>
      <w:r w:rsidR="00784FBD">
        <w:rPr>
          <w:noProof/>
        </w:rPr>
        <w:t>The Agency shall assist the Commission:</w:t>
      </w:r>
    </w:p>
    <w:p w14:paraId="4DCDE3FB" w14:textId="70A88311" w:rsidR="00DE6BEC" w:rsidRDefault="00443218" w:rsidP="00443218">
      <w:pPr>
        <w:pStyle w:val="Point0"/>
        <w:rPr>
          <w:noProof/>
          <w:lang w:val="en-US"/>
        </w:rPr>
      </w:pPr>
      <w:r w:rsidRPr="00443218">
        <w:t>(a)</w:t>
      </w:r>
      <w:r w:rsidRPr="00443218">
        <w:tab/>
      </w:r>
      <w:r w:rsidR="00EA5640" w:rsidRPr="00784FBD">
        <w:rPr>
          <w:noProof/>
          <w:lang w:val="en-US"/>
        </w:rPr>
        <w:t xml:space="preserve">in the </w:t>
      </w:r>
      <w:r w:rsidR="00EA5640">
        <w:rPr>
          <w:noProof/>
          <w:lang w:val="en-US"/>
        </w:rPr>
        <w:t xml:space="preserve">control of the </w:t>
      </w:r>
      <w:r w:rsidR="00EA5640" w:rsidRPr="00784FBD">
        <w:rPr>
          <w:noProof/>
          <w:lang w:val="en-US"/>
        </w:rPr>
        <w:t>effective implementation of relevant binding legal acts of the</w:t>
      </w:r>
      <w:r w:rsidR="00EA5640">
        <w:rPr>
          <w:noProof/>
          <w:lang w:val="en-US"/>
        </w:rPr>
        <w:t xml:space="preserve"> </w:t>
      </w:r>
      <w:r w:rsidR="00EA5640" w:rsidRPr="00784FBD">
        <w:rPr>
          <w:noProof/>
          <w:lang w:val="en-US"/>
        </w:rPr>
        <w:t>Union,</w:t>
      </w:r>
      <w:r w:rsidR="00E72E3E">
        <w:rPr>
          <w:noProof/>
          <w:lang w:val="en-US"/>
        </w:rPr>
        <w:t xml:space="preserve"> falling under the objectives of the Agency,</w:t>
      </w:r>
      <w:r w:rsidR="00EA5640" w:rsidRPr="00784FBD">
        <w:rPr>
          <w:noProof/>
          <w:lang w:val="en-US"/>
        </w:rPr>
        <w:t xml:space="preserve"> in particular by carrying-out </w:t>
      </w:r>
      <w:r w:rsidR="003A73BB">
        <w:rPr>
          <w:noProof/>
          <w:lang w:val="en-US"/>
        </w:rPr>
        <w:t xml:space="preserve">the </w:t>
      </w:r>
      <w:r w:rsidR="00EA5640" w:rsidRPr="00784FBD">
        <w:rPr>
          <w:noProof/>
          <w:lang w:val="en-US"/>
        </w:rPr>
        <w:t>visits and inspections as</w:t>
      </w:r>
      <w:r w:rsidR="00EA5640">
        <w:rPr>
          <w:noProof/>
          <w:lang w:val="en-US"/>
        </w:rPr>
        <w:t xml:space="preserve"> </w:t>
      </w:r>
      <w:r w:rsidR="00EA5640" w:rsidRPr="00784FBD">
        <w:rPr>
          <w:noProof/>
          <w:lang w:val="en-US"/>
        </w:rPr>
        <w:t xml:space="preserve">referred to in </w:t>
      </w:r>
      <w:r w:rsidR="00EA5640" w:rsidRPr="00E34752">
        <w:rPr>
          <w:noProof/>
          <w:lang w:val="en-US"/>
        </w:rPr>
        <w:t xml:space="preserve">Article </w:t>
      </w:r>
      <w:r w:rsidR="00EA5640">
        <w:rPr>
          <w:noProof/>
          <w:lang w:val="en-US"/>
        </w:rPr>
        <w:t xml:space="preserve">10.  </w:t>
      </w:r>
      <w:r w:rsidR="00EA5640" w:rsidRPr="00784FBD">
        <w:rPr>
          <w:noProof/>
          <w:lang w:val="en-US"/>
        </w:rPr>
        <w:t xml:space="preserve">In this regard, </w:t>
      </w:r>
      <w:r w:rsidR="00E72E3E">
        <w:rPr>
          <w:noProof/>
          <w:lang w:val="en-US"/>
        </w:rPr>
        <w:t>the Agency</w:t>
      </w:r>
      <w:r w:rsidR="00E72E3E" w:rsidRPr="00784FBD">
        <w:rPr>
          <w:noProof/>
          <w:lang w:val="en-US"/>
        </w:rPr>
        <w:t xml:space="preserve"> </w:t>
      </w:r>
      <w:r w:rsidR="00EA5640" w:rsidRPr="00784FBD">
        <w:rPr>
          <w:noProof/>
          <w:lang w:val="en-US"/>
        </w:rPr>
        <w:t>may address suggestions to the</w:t>
      </w:r>
      <w:r w:rsidR="00EA5640">
        <w:rPr>
          <w:noProof/>
          <w:lang w:val="en-US"/>
        </w:rPr>
        <w:t xml:space="preserve"> </w:t>
      </w:r>
      <w:r w:rsidR="00EA5640" w:rsidRPr="00784FBD">
        <w:rPr>
          <w:noProof/>
          <w:lang w:val="en-US"/>
        </w:rPr>
        <w:t>Commission for possible improvements;</w:t>
      </w:r>
    </w:p>
    <w:p w14:paraId="6EAFFD28" w14:textId="3DEAB82E" w:rsidR="00DE6BEC" w:rsidRDefault="00443218" w:rsidP="00443218">
      <w:pPr>
        <w:pStyle w:val="Point0"/>
        <w:rPr>
          <w:noProof/>
          <w:lang w:val="en-US"/>
        </w:rPr>
      </w:pPr>
      <w:r w:rsidRPr="00443218">
        <w:t>(b)</w:t>
      </w:r>
      <w:r w:rsidRPr="00443218">
        <w:tab/>
      </w:r>
      <w:r w:rsidR="00EA5640" w:rsidRPr="00FB2567">
        <w:rPr>
          <w:noProof/>
          <w:lang w:val="en-US"/>
        </w:rPr>
        <w:t xml:space="preserve"> </w:t>
      </w:r>
      <w:r w:rsidR="00EA5640" w:rsidRPr="00FB2567">
        <w:rPr>
          <w:noProof/>
        </w:rPr>
        <w:t xml:space="preserve">in the preparatory work for updating and developing relevant legal acts of the Union falling under the objectives of the Agency, in particular in </w:t>
      </w:r>
      <w:r w:rsidR="00E72E3E">
        <w:rPr>
          <w:noProof/>
        </w:rPr>
        <w:t>accordance</w:t>
      </w:r>
      <w:r w:rsidR="00EA5640" w:rsidRPr="00FB2567">
        <w:rPr>
          <w:noProof/>
        </w:rPr>
        <w:t xml:space="preserve"> with the development of international </w:t>
      </w:r>
      <w:r w:rsidR="00E72E3E">
        <w:rPr>
          <w:noProof/>
        </w:rPr>
        <w:t>law</w:t>
      </w:r>
      <w:r w:rsidR="00EA5640" w:rsidRPr="00FB2567">
        <w:rPr>
          <w:noProof/>
        </w:rPr>
        <w:t>;</w:t>
      </w:r>
    </w:p>
    <w:p w14:paraId="708FD3BA" w14:textId="4900C74D" w:rsidR="00DE6BEC" w:rsidRPr="00DE6BEC" w:rsidRDefault="00443218" w:rsidP="00443218">
      <w:pPr>
        <w:pStyle w:val="Point0"/>
        <w:rPr>
          <w:noProof/>
          <w:lang w:val="en-US"/>
        </w:rPr>
      </w:pPr>
      <w:r w:rsidRPr="00443218">
        <w:t>(c)</w:t>
      </w:r>
      <w:r w:rsidRPr="00443218">
        <w:tab/>
      </w:r>
      <w:r w:rsidR="008F5C26" w:rsidRPr="00DE6BEC">
        <w:rPr>
          <w:noProof/>
          <w:lang w:val="en-US"/>
        </w:rPr>
        <w:t xml:space="preserve">in the performance of any other task assigned to the Commission in legislative acts of the Union </w:t>
      </w:r>
      <w:r w:rsidR="00DE21F9" w:rsidRPr="00DE6BEC">
        <w:rPr>
          <w:noProof/>
          <w:lang w:val="en-US"/>
        </w:rPr>
        <w:t>regarding</w:t>
      </w:r>
      <w:r w:rsidR="00547050" w:rsidRPr="00DE6BEC">
        <w:rPr>
          <w:noProof/>
          <w:lang w:val="en-US"/>
        </w:rPr>
        <w:t xml:space="preserve"> </w:t>
      </w:r>
      <w:r w:rsidR="008F5C26" w:rsidRPr="00DE6BEC">
        <w:rPr>
          <w:noProof/>
          <w:lang w:val="en-US"/>
        </w:rPr>
        <w:t>the objectives of the Agency</w:t>
      </w:r>
      <w:r w:rsidR="006047B0" w:rsidRPr="00DE6BEC">
        <w:rPr>
          <w:noProof/>
          <w:lang w:val="en-US"/>
        </w:rPr>
        <w:t xml:space="preserve">. </w:t>
      </w:r>
    </w:p>
    <w:p w14:paraId="58BA6B7F" w14:textId="77777777" w:rsidR="00516D95" w:rsidRPr="00FB2567" w:rsidRDefault="004140CE" w:rsidP="00604C98">
      <w:pPr>
        <w:pStyle w:val="Point0"/>
        <w:rPr>
          <w:noProof/>
          <w:lang w:val="en-US"/>
        </w:rPr>
      </w:pPr>
      <w:r w:rsidRPr="00FB2567">
        <w:rPr>
          <w:noProof/>
          <w:lang w:val="en-US"/>
        </w:rPr>
        <w:t>2.</w:t>
      </w:r>
      <w:r w:rsidRPr="00FB2567">
        <w:rPr>
          <w:noProof/>
          <w:lang w:val="en-US"/>
        </w:rPr>
        <w:tab/>
      </w:r>
      <w:r w:rsidR="00516D95" w:rsidRPr="00FB2567">
        <w:rPr>
          <w:noProof/>
          <w:lang w:val="en-US"/>
        </w:rPr>
        <w:t xml:space="preserve">The Agency shall </w:t>
      </w:r>
      <w:r w:rsidR="00474C78" w:rsidRPr="00FB2567">
        <w:rPr>
          <w:noProof/>
          <w:lang w:val="en-US"/>
        </w:rPr>
        <w:t xml:space="preserve">work with </w:t>
      </w:r>
      <w:r w:rsidR="00516D95" w:rsidRPr="00FB2567">
        <w:rPr>
          <w:noProof/>
          <w:lang w:val="en-US"/>
        </w:rPr>
        <w:t>the Member States</w:t>
      </w:r>
      <w:r w:rsidR="00474C78" w:rsidRPr="00FB2567">
        <w:rPr>
          <w:noProof/>
          <w:lang w:val="en-US"/>
        </w:rPr>
        <w:t xml:space="preserve"> to</w:t>
      </w:r>
      <w:r w:rsidR="00516D95" w:rsidRPr="00FB2567">
        <w:rPr>
          <w:noProof/>
          <w:lang w:val="en-US"/>
        </w:rPr>
        <w:t>:</w:t>
      </w:r>
    </w:p>
    <w:p w14:paraId="02BADAC1" w14:textId="297D5A5F" w:rsidR="00474C78" w:rsidRPr="003931C3" w:rsidRDefault="00443218" w:rsidP="00443218">
      <w:pPr>
        <w:pStyle w:val="Point0"/>
        <w:rPr>
          <w:noProof/>
          <w:lang w:val="en-US"/>
        </w:rPr>
      </w:pPr>
      <w:r w:rsidRPr="00443218">
        <w:t>(a)</w:t>
      </w:r>
      <w:r w:rsidRPr="00443218">
        <w:tab/>
      </w:r>
      <w:r w:rsidR="00474C78" w:rsidRPr="003931C3">
        <w:rPr>
          <w:noProof/>
          <w:lang w:val="en-US"/>
        </w:rPr>
        <w:t xml:space="preserve">organise, where appropriate, relevant </w:t>
      </w:r>
      <w:r w:rsidR="00DE21F9" w:rsidRPr="003931C3">
        <w:rPr>
          <w:noProof/>
          <w:lang w:val="en-US"/>
        </w:rPr>
        <w:t xml:space="preserve">capacity building and </w:t>
      </w:r>
      <w:r w:rsidR="00474C78" w:rsidRPr="003931C3">
        <w:rPr>
          <w:noProof/>
          <w:lang w:val="en-US"/>
        </w:rPr>
        <w:t>training activities in fields which</w:t>
      </w:r>
      <w:r w:rsidR="00E72E3E">
        <w:rPr>
          <w:noProof/>
          <w:lang w:val="en-US"/>
        </w:rPr>
        <w:t xml:space="preserve"> fall under the objectives of the Agency and</w:t>
      </w:r>
      <w:r w:rsidR="00474C78" w:rsidRPr="003931C3">
        <w:rPr>
          <w:noProof/>
          <w:lang w:val="en-US"/>
        </w:rPr>
        <w:t xml:space="preserve"> are the responsibility of the Member States. In this regard, the Agency shall establish </w:t>
      </w:r>
      <w:r w:rsidR="00422CE3" w:rsidRPr="003931C3">
        <w:rPr>
          <w:noProof/>
          <w:lang w:val="en-US"/>
        </w:rPr>
        <w:t xml:space="preserve">appropriate </w:t>
      </w:r>
      <w:r w:rsidR="00E20F88" w:rsidRPr="003931C3">
        <w:rPr>
          <w:noProof/>
          <w:lang w:val="en-US"/>
        </w:rPr>
        <w:t>capabilities</w:t>
      </w:r>
      <w:r w:rsidR="00AC7F5C" w:rsidRPr="003931C3">
        <w:rPr>
          <w:noProof/>
          <w:lang w:val="en-US"/>
        </w:rPr>
        <w:t xml:space="preserve"> </w:t>
      </w:r>
      <w:r w:rsidR="00D70B4F" w:rsidRPr="003931C3">
        <w:rPr>
          <w:noProof/>
          <w:lang w:val="en-US"/>
        </w:rPr>
        <w:t xml:space="preserve"> with the aim to </w:t>
      </w:r>
      <w:r w:rsidR="00D70B4F" w:rsidRPr="00D70B4F">
        <w:rPr>
          <w:noProof/>
        </w:rPr>
        <w:t>develop, implement and coordinate training</w:t>
      </w:r>
      <w:r w:rsidR="00D70B4F">
        <w:rPr>
          <w:noProof/>
        </w:rPr>
        <w:t xml:space="preserve"> activities relevant to the objectives of the Agency</w:t>
      </w:r>
      <w:r w:rsidR="00E72E3E">
        <w:rPr>
          <w:noProof/>
        </w:rPr>
        <w:t>, including</w:t>
      </w:r>
      <w:r w:rsidR="00D70B4F">
        <w:rPr>
          <w:noProof/>
        </w:rPr>
        <w:t xml:space="preserve"> through</w:t>
      </w:r>
      <w:r w:rsidR="002E3984">
        <w:rPr>
          <w:noProof/>
        </w:rPr>
        <w:t xml:space="preserve"> </w:t>
      </w:r>
      <w:r w:rsidR="00D70B4F">
        <w:rPr>
          <w:noProof/>
        </w:rPr>
        <w:t xml:space="preserve">the development of </w:t>
      </w:r>
      <w:r w:rsidR="00D70B4F" w:rsidRPr="00D70B4F">
        <w:rPr>
          <w:noProof/>
        </w:rPr>
        <w:t>common</w:t>
      </w:r>
      <w:r w:rsidR="005B74D4">
        <w:rPr>
          <w:noProof/>
        </w:rPr>
        <w:t xml:space="preserve"> core</w:t>
      </w:r>
      <w:r w:rsidR="00D70B4F" w:rsidRPr="00D70B4F">
        <w:rPr>
          <w:noProof/>
        </w:rPr>
        <w:t xml:space="preserve"> curricula courses, seminars, conferences,</w:t>
      </w:r>
      <w:r w:rsidR="005F3604">
        <w:rPr>
          <w:noProof/>
        </w:rPr>
        <w:t xml:space="preserve"> workshops</w:t>
      </w:r>
      <w:r w:rsidR="00D70B4F" w:rsidRPr="00D70B4F">
        <w:rPr>
          <w:noProof/>
        </w:rPr>
        <w:t xml:space="preserve"> as well as web-based, e-learning and other innovative and advanced training </w:t>
      </w:r>
      <w:r w:rsidR="00D70B4F">
        <w:rPr>
          <w:noProof/>
        </w:rPr>
        <w:t xml:space="preserve">tools. </w:t>
      </w:r>
      <w:r w:rsidR="00C86FFD">
        <w:rPr>
          <w:noProof/>
        </w:rPr>
        <w:t xml:space="preserve">The details of </w:t>
      </w:r>
      <w:r w:rsidR="005B74D4">
        <w:rPr>
          <w:noProof/>
        </w:rPr>
        <w:t>s</w:t>
      </w:r>
      <w:r w:rsidR="00D70B4F">
        <w:rPr>
          <w:noProof/>
        </w:rPr>
        <w:t xml:space="preserve">uch training activities provided outside formal education </w:t>
      </w:r>
      <w:r w:rsidR="00DA65A5">
        <w:rPr>
          <w:noProof/>
        </w:rPr>
        <w:t>shall</w:t>
      </w:r>
      <w:r w:rsidR="00D70B4F">
        <w:rPr>
          <w:noProof/>
        </w:rPr>
        <w:t xml:space="preserve"> be developed in close consultation with the Member States and the Commission</w:t>
      </w:r>
      <w:r w:rsidR="00E72E3E">
        <w:rPr>
          <w:noProof/>
        </w:rPr>
        <w:t xml:space="preserve"> and</w:t>
      </w:r>
      <w:r w:rsidR="00D70B4F">
        <w:rPr>
          <w:noProof/>
        </w:rPr>
        <w:t xml:space="preserve"> approv</w:t>
      </w:r>
      <w:r w:rsidR="00E72E3E">
        <w:rPr>
          <w:noProof/>
        </w:rPr>
        <w:t>ed by</w:t>
      </w:r>
      <w:r w:rsidR="00D70B4F">
        <w:rPr>
          <w:noProof/>
        </w:rPr>
        <w:t xml:space="preserve"> the </w:t>
      </w:r>
      <w:r w:rsidR="00547050">
        <w:rPr>
          <w:noProof/>
        </w:rPr>
        <w:t xml:space="preserve">Management </w:t>
      </w:r>
      <w:r w:rsidR="00D70B4F">
        <w:rPr>
          <w:noProof/>
        </w:rPr>
        <w:t>Board</w:t>
      </w:r>
      <w:r w:rsidR="005B74D4">
        <w:rPr>
          <w:noProof/>
        </w:rPr>
        <w:t xml:space="preserve"> </w:t>
      </w:r>
      <w:r w:rsidR="00E72E3E">
        <w:rPr>
          <w:noProof/>
        </w:rPr>
        <w:t>in accordance with A</w:t>
      </w:r>
      <w:r w:rsidR="005B74D4">
        <w:rPr>
          <w:noProof/>
        </w:rPr>
        <w:t>rticle 17</w:t>
      </w:r>
      <w:r w:rsidR="00E72E3E">
        <w:rPr>
          <w:noProof/>
        </w:rPr>
        <w:t xml:space="preserve"> of this Regulation</w:t>
      </w:r>
      <w:r w:rsidR="00D70B4F">
        <w:rPr>
          <w:noProof/>
        </w:rPr>
        <w:t>, while fully respecting Article 166 of the Treaty on the Functioning of the European Union (TFEU);</w:t>
      </w:r>
    </w:p>
    <w:p w14:paraId="5566DC01" w14:textId="0CB8D2D8" w:rsidR="00474C78" w:rsidRPr="005F3262" w:rsidRDefault="00443218" w:rsidP="00443218">
      <w:pPr>
        <w:pStyle w:val="Point0"/>
        <w:rPr>
          <w:noProof/>
          <w:lang w:val="en-US"/>
        </w:rPr>
      </w:pPr>
      <w:r w:rsidRPr="00443218">
        <w:t>(b)</w:t>
      </w:r>
      <w:r w:rsidRPr="00443218">
        <w:tab/>
      </w:r>
      <w:r w:rsidR="00474C78" w:rsidRPr="005F3262">
        <w:rPr>
          <w:noProof/>
          <w:lang w:val="en-US"/>
        </w:rPr>
        <w:t>develop technical solutions, including the provision of relevant operational services, and provide technical assistance, to building up the necessary national capacity for the implementation of relevant legal acts of the Union pertinent to the objectives of the Agency</w:t>
      </w:r>
      <w:r w:rsidR="009E502C" w:rsidRPr="005F3262">
        <w:rPr>
          <w:noProof/>
          <w:lang w:val="en-US"/>
        </w:rPr>
        <w:t>.</w:t>
      </w:r>
      <w:r w:rsidR="002B0BEF" w:rsidRPr="005F3262">
        <w:rPr>
          <w:noProof/>
          <w:lang w:val="en-US"/>
        </w:rPr>
        <w:t xml:space="preserve"> </w:t>
      </w:r>
    </w:p>
    <w:p w14:paraId="6612ED8D" w14:textId="77777777" w:rsidR="00B271C9" w:rsidRDefault="004140CE" w:rsidP="004140CE">
      <w:pPr>
        <w:pStyle w:val="Point0"/>
        <w:ind w:left="0" w:firstLine="0"/>
        <w:rPr>
          <w:noProof/>
          <w:lang w:val="en-US"/>
        </w:rPr>
      </w:pPr>
      <w:r>
        <w:rPr>
          <w:noProof/>
          <w:lang w:val="en-US"/>
        </w:rPr>
        <w:t>3.</w:t>
      </w:r>
      <w:r>
        <w:rPr>
          <w:noProof/>
          <w:lang w:val="en-US"/>
        </w:rPr>
        <w:tab/>
      </w:r>
      <w:r w:rsidR="00B271C9">
        <w:rPr>
          <w:noProof/>
          <w:lang w:val="en-US"/>
        </w:rPr>
        <w:t xml:space="preserve">The Agency shall promote and facilitate cooperation between Member States and between them and the Commission </w:t>
      </w:r>
      <w:r w:rsidR="009E502C">
        <w:rPr>
          <w:noProof/>
          <w:lang w:val="en-US"/>
        </w:rPr>
        <w:t>in the implementation of the Union legislation by promoting the exchange and dissemination of experiences and good practices.</w:t>
      </w:r>
    </w:p>
    <w:p w14:paraId="7F302D3C" w14:textId="77777777" w:rsidR="00FD6C6A" w:rsidRDefault="004140CE" w:rsidP="004140CE">
      <w:pPr>
        <w:pStyle w:val="Point0"/>
        <w:ind w:left="0" w:firstLine="0"/>
        <w:rPr>
          <w:noProof/>
          <w:lang w:val="en-US"/>
        </w:rPr>
      </w:pPr>
      <w:r>
        <w:rPr>
          <w:noProof/>
          <w:lang w:val="en-US"/>
        </w:rPr>
        <w:t>4.</w:t>
      </w:r>
      <w:r>
        <w:rPr>
          <w:noProof/>
          <w:lang w:val="en-US"/>
        </w:rPr>
        <w:tab/>
      </w:r>
      <w:r w:rsidR="000664F3">
        <w:rPr>
          <w:noProof/>
          <w:lang w:val="en-US"/>
        </w:rPr>
        <w:t xml:space="preserve">The Agency shall contribute, at the Commission’s request, or </w:t>
      </w:r>
      <w:r w:rsidR="00AD343D">
        <w:rPr>
          <w:noProof/>
          <w:lang w:val="en-US"/>
        </w:rPr>
        <w:t>o</w:t>
      </w:r>
      <w:r w:rsidR="000664F3">
        <w:rPr>
          <w:noProof/>
          <w:lang w:val="en-US"/>
        </w:rPr>
        <w:t>n its own initiative</w:t>
      </w:r>
      <w:r w:rsidR="00C21D60">
        <w:rPr>
          <w:noProof/>
          <w:lang w:val="en-US"/>
        </w:rPr>
        <w:t>,</w:t>
      </w:r>
      <w:r w:rsidR="000664F3">
        <w:rPr>
          <w:noProof/>
          <w:lang w:val="en-US"/>
        </w:rPr>
        <w:t xml:space="preserve"> subject to the approval of </w:t>
      </w:r>
      <w:r w:rsidR="00E72E3E">
        <w:rPr>
          <w:noProof/>
          <w:lang w:val="en-US"/>
        </w:rPr>
        <w:t xml:space="preserve">the </w:t>
      </w:r>
      <w:r w:rsidR="00547050">
        <w:rPr>
          <w:noProof/>
          <w:lang w:val="en-US"/>
        </w:rPr>
        <w:t xml:space="preserve">Management </w:t>
      </w:r>
      <w:r w:rsidR="00CD629C">
        <w:rPr>
          <w:noProof/>
          <w:lang w:val="en-US"/>
        </w:rPr>
        <w:t>B</w:t>
      </w:r>
      <w:r w:rsidR="000664F3">
        <w:rPr>
          <w:noProof/>
          <w:lang w:val="en-US"/>
        </w:rPr>
        <w:t xml:space="preserve">oard </w:t>
      </w:r>
      <w:r w:rsidR="00E72E3E">
        <w:rPr>
          <w:noProof/>
        </w:rPr>
        <w:t>in accordance with</w:t>
      </w:r>
      <w:r w:rsidR="00CD629C" w:rsidRPr="00CD629C">
        <w:rPr>
          <w:noProof/>
        </w:rPr>
        <w:t xml:space="preserve"> Article 17</w:t>
      </w:r>
      <w:r w:rsidR="00C21D60">
        <w:rPr>
          <w:noProof/>
          <w:lang w:val="en-US"/>
        </w:rPr>
        <w:t>, to maritime research activities at the Union level</w:t>
      </w:r>
      <w:r w:rsidR="005778FC">
        <w:rPr>
          <w:noProof/>
          <w:lang w:val="en-US"/>
        </w:rPr>
        <w:t xml:space="preserve"> </w:t>
      </w:r>
      <w:r w:rsidR="00FF6CE3">
        <w:rPr>
          <w:noProof/>
          <w:lang w:val="en-US"/>
        </w:rPr>
        <w:t>consistent with</w:t>
      </w:r>
      <w:r w:rsidR="00AC7F5C">
        <w:rPr>
          <w:noProof/>
          <w:lang w:val="en-US"/>
        </w:rPr>
        <w:t xml:space="preserve"> </w:t>
      </w:r>
      <w:r w:rsidR="005778FC">
        <w:rPr>
          <w:noProof/>
          <w:lang w:val="en-US"/>
        </w:rPr>
        <w:t xml:space="preserve"> the objectives</w:t>
      </w:r>
      <w:r w:rsidR="00E72E3E">
        <w:rPr>
          <w:noProof/>
          <w:lang w:val="en-US"/>
        </w:rPr>
        <w:t xml:space="preserve"> of the Agency</w:t>
      </w:r>
      <w:r w:rsidR="00C21D60">
        <w:rPr>
          <w:noProof/>
          <w:lang w:val="en-US"/>
        </w:rPr>
        <w:t xml:space="preserve">.  In this regard, the Agency shall assist the Commission and the Member States in identifying key research themes, without prejudice to other </w:t>
      </w:r>
      <w:r w:rsidR="00E72E3E">
        <w:rPr>
          <w:noProof/>
          <w:lang w:val="en-US"/>
        </w:rPr>
        <w:t xml:space="preserve">research </w:t>
      </w:r>
      <w:r w:rsidR="00C21D60">
        <w:rPr>
          <w:noProof/>
          <w:lang w:val="en-US"/>
        </w:rPr>
        <w:t xml:space="preserve">activities at the Union level, and in </w:t>
      </w:r>
      <w:r w:rsidR="00C21D60" w:rsidRPr="00C21D60">
        <w:rPr>
          <w:noProof/>
          <w:lang w:val="en-US"/>
        </w:rPr>
        <w:t>analyzing ongoing and completed research projects relevant to the objectives of the Agency</w:t>
      </w:r>
      <w:r w:rsidR="00FD6C6A">
        <w:rPr>
          <w:noProof/>
          <w:lang w:val="en-US"/>
        </w:rPr>
        <w:t>.</w:t>
      </w:r>
      <w:r w:rsidR="00C21D60">
        <w:rPr>
          <w:noProof/>
          <w:lang w:val="en-US"/>
        </w:rPr>
        <w:t xml:space="preserve"> Where appropriate</w:t>
      </w:r>
      <w:r w:rsidR="005778FC">
        <w:rPr>
          <w:noProof/>
          <w:lang w:val="en-US"/>
        </w:rPr>
        <w:t>, subject to the applicable rules on intellectual property and security considerations,</w:t>
      </w:r>
      <w:r w:rsidR="000664F3">
        <w:rPr>
          <w:noProof/>
          <w:lang w:val="en-US"/>
        </w:rPr>
        <w:t xml:space="preserve"> </w:t>
      </w:r>
      <w:r w:rsidR="005778FC">
        <w:rPr>
          <w:noProof/>
          <w:lang w:val="en-US"/>
        </w:rPr>
        <w:t>the Agency may disseminate the results of its research and innovation activities</w:t>
      </w:r>
      <w:r w:rsidR="002E3984">
        <w:rPr>
          <w:noProof/>
          <w:lang w:val="en-US"/>
        </w:rPr>
        <w:t xml:space="preserve">, following </w:t>
      </w:r>
      <w:r w:rsidR="00AD452C">
        <w:rPr>
          <w:noProof/>
          <w:lang w:val="en-US"/>
        </w:rPr>
        <w:t>approval</w:t>
      </w:r>
      <w:r w:rsidR="002E3984">
        <w:rPr>
          <w:noProof/>
          <w:lang w:val="en-US"/>
        </w:rPr>
        <w:t xml:space="preserve"> </w:t>
      </w:r>
      <w:r w:rsidR="009C51FC">
        <w:rPr>
          <w:noProof/>
          <w:lang w:val="en-US"/>
        </w:rPr>
        <w:t xml:space="preserve">by </w:t>
      </w:r>
      <w:r w:rsidR="002E3984">
        <w:rPr>
          <w:noProof/>
          <w:lang w:val="en-US"/>
        </w:rPr>
        <w:t>the Commission,</w:t>
      </w:r>
      <w:r w:rsidR="005778FC">
        <w:rPr>
          <w:noProof/>
          <w:lang w:val="en-US"/>
        </w:rPr>
        <w:t xml:space="preserve"> as part of its contribution to creating synergies between the research and innovation activities of other Union bodies and the Member S</w:t>
      </w:r>
      <w:r w:rsidR="009E502C">
        <w:rPr>
          <w:noProof/>
          <w:lang w:val="en-US"/>
        </w:rPr>
        <w:t>tates.</w:t>
      </w:r>
    </w:p>
    <w:p w14:paraId="76445007" w14:textId="77777777" w:rsidR="00B271C9" w:rsidRDefault="004140CE" w:rsidP="004140CE">
      <w:pPr>
        <w:pStyle w:val="Point0"/>
        <w:ind w:left="0" w:firstLine="0"/>
        <w:rPr>
          <w:noProof/>
          <w:lang w:val="en-US"/>
        </w:rPr>
      </w:pPr>
      <w:r>
        <w:rPr>
          <w:noProof/>
          <w:lang w:val="en-US"/>
        </w:rPr>
        <w:t>5.</w:t>
      </w:r>
      <w:r>
        <w:rPr>
          <w:noProof/>
          <w:lang w:val="en-US"/>
        </w:rPr>
        <w:tab/>
      </w:r>
      <w:r w:rsidR="000664F3">
        <w:rPr>
          <w:noProof/>
          <w:lang w:val="en-US"/>
        </w:rPr>
        <w:t xml:space="preserve">Where required for the implementation of its tasks, the Agency shall </w:t>
      </w:r>
      <w:r w:rsidR="00DC4802">
        <w:rPr>
          <w:noProof/>
          <w:lang w:val="en-US"/>
        </w:rPr>
        <w:t>undertake</w:t>
      </w:r>
      <w:r w:rsidR="000664F3">
        <w:rPr>
          <w:noProof/>
          <w:lang w:val="en-US"/>
        </w:rPr>
        <w:t xml:space="preserve"> studies, involving</w:t>
      </w:r>
      <w:r w:rsidR="00BD26A6" w:rsidRPr="00BD26A6">
        <w:rPr>
          <w:noProof/>
          <w:lang w:val="en-US"/>
        </w:rPr>
        <w:t xml:space="preserve"> </w:t>
      </w:r>
      <w:r w:rsidR="00BD26A6">
        <w:rPr>
          <w:noProof/>
          <w:lang w:val="en-US"/>
        </w:rPr>
        <w:t>the Commission and</w:t>
      </w:r>
      <w:r w:rsidR="00DC4802">
        <w:rPr>
          <w:noProof/>
          <w:lang w:val="en-US"/>
        </w:rPr>
        <w:t xml:space="preserve"> where applicable,</w:t>
      </w:r>
      <w:r w:rsidR="000664F3">
        <w:rPr>
          <w:noProof/>
          <w:lang w:val="en-US"/>
        </w:rPr>
        <w:t xml:space="preserve"> through consultation steering groups, the Member States, and where appropriate, the social partners and industry representatives with expertise in the relevant topics.</w:t>
      </w:r>
      <w:r w:rsidR="00A41E3F">
        <w:rPr>
          <w:noProof/>
          <w:lang w:val="en-US"/>
        </w:rPr>
        <w:t xml:space="preserve"> </w:t>
      </w:r>
    </w:p>
    <w:p w14:paraId="35BF18DA" w14:textId="77777777" w:rsidR="00566A6F" w:rsidRDefault="004140CE" w:rsidP="004140CE">
      <w:pPr>
        <w:pStyle w:val="Point0"/>
        <w:ind w:left="0" w:firstLine="0"/>
        <w:rPr>
          <w:noProof/>
          <w:lang w:val="en-US"/>
        </w:rPr>
      </w:pPr>
      <w:r>
        <w:rPr>
          <w:noProof/>
          <w:lang w:val="en-US"/>
        </w:rPr>
        <w:t>6.</w:t>
      </w:r>
      <w:r>
        <w:rPr>
          <w:noProof/>
          <w:lang w:val="en-US"/>
        </w:rPr>
        <w:tab/>
      </w:r>
      <w:r w:rsidR="00A41E3F">
        <w:rPr>
          <w:noProof/>
          <w:lang w:val="en-US"/>
        </w:rPr>
        <w:t xml:space="preserve">On the basis of the research and studies conducted by the Agency, but also on the basis of the experience gained through its own activities, especially the visits and inspections, and exchange of information and good practices with the Member States and the Commission, the Agency may </w:t>
      </w:r>
      <w:r w:rsidR="00D40974">
        <w:rPr>
          <w:noProof/>
          <w:lang w:val="en-US"/>
        </w:rPr>
        <w:t>issue</w:t>
      </w:r>
      <w:r w:rsidR="00AD343D">
        <w:rPr>
          <w:noProof/>
          <w:lang w:val="en-US"/>
        </w:rPr>
        <w:t>, after prior consultation with the Commission</w:t>
      </w:r>
      <w:r w:rsidR="002E3984">
        <w:rPr>
          <w:noProof/>
          <w:lang w:val="en-US"/>
        </w:rPr>
        <w:t>, relevant</w:t>
      </w:r>
      <w:r w:rsidR="00A41E3F">
        <w:rPr>
          <w:noProof/>
          <w:lang w:val="en-US"/>
        </w:rPr>
        <w:t xml:space="preserve"> </w:t>
      </w:r>
      <w:r w:rsidR="00EC2BA6">
        <w:rPr>
          <w:noProof/>
          <w:lang w:val="en-US"/>
        </w:rPr>
        <w:t xml:space="preserve">non-binding </w:t>
      </w:r>
      <w:r w:rsidR="00A41E3F">
        <w:rPr>
          <w:noProof/>
          <w:lang w:val="en-US"/>
        </w:rPr>
        <w:t>recommendations</w:t>
      </w:r>
      <w:r w:rsidR="00EC2BA6">
        <w:rPr>
          <w:noProof/>
          <w:lang w:val="en-US"/>
        </w:rPr>
        <w:t>,</w:t>
      </w:r>
      <w:r w:rsidR="00B271C9">
        <w:rPr>
          <w:noProof/>
          <w:lang w:val="en-US"/>
        </w:rPr>
        <w:t xml:space="preserve"> guidelines or manuals</w:t>
      </w:r>
      <w:r w:rsidR="00A1648D">
        <w:rPr>
          <w:noProof/>
          <w:lang w:val="en-US"/>
        </w:rPr>
        <w:t xml:space="preserve"> to </w:t>
      </w:r>
      <w:r w:rsidR="00EC2BA6">
        <w:rPr>
          <w:noProof/>
          <w:lang w:val="en-US"/>
        </w:rPr>
        <w:t xml:space="preserve">support and </w:t>
      </w:r>
      <w:r w:rsidR="00A1648D">
        <w:rPr>
          <w:noProof/>
          <w:lang w:val="en-US"/>
        </w:rPr>
        <w:t xml:space="preserve">facilitate </w:t>
      </w:r>
      <w:r w:rsidR="00EC2BA6">
        <w:rPr>
          <w:noProof/>
          <w:lang w:val="en-US"/>
        </w:rPr>
        <w:t>Member States</w:t>
      </w:r>
      <w:r w:rsidR="005B74D4">
        <w:rPr>
          <w:noProof/>
          <w:lang w:val="en-US"/>
        </w:rPr>
        <w:t>, and where appropriate the industry,</w:t>
      </w:r>
      <w:r w:rsidR="00EC2BA6">
        <w:rPr>
          <w:noProof/>
          <w:lang w:val="en-US"/>
        </w:rPr>
        <w:t xml:space="preserve"> in </w:t>
      </w:r>
      <w:r w:rsidR="00A1648D">
        <w:rPr>
          <w:noProof/>
          <w:lang w:val="en-US"/>
        </w:rPr>
        <w:t>the implementation of the Union legislation</w:t>
      </w:r>
      <w:r w:rsidR="00E36C7B">
        <w:rPr>
          <w:noProof/>
          <w:lang w:val="en-US"/>
        </w:rPr>
        <w:t>.</w:t>
      </w:r>
    </w:p>
    <w:p w14:paraId="7F2923DB" w14:textId="77777777" w:rsidR="00566A6F" w:rsidRDefault="001A3898" w:rsidP="008F3E00">
      <w:pPr>
        <w:pStyle w:val="Titrearticle"/>
        <w:spacing w:before="0" w:after="200"/>
        <w:rPr>
          <w:noProof/>
        </w:rPr>
      </w:pPr>
      <w:r>
        <w:rPr>
          <w:noProof/>
        </w:rPr>
        <w:t>Article 4</w:t>
      </w:r>
    </w:p>
    <w:p w14:paraId="68517F65" w14:textId="77777777" w:rsidR="00566A6F" w:rsidRDefault="00566A6F" w:rsidP="008F3E00">
      <w:pPr>
        <w:spacing w:before="0" w:after="200"/>
        <w:jc w:val="center"/>
        <w:rPr>
          <w:b/>
          <w:noProof/>
        </w:rPr>
      </w:pPr>
      <w:r w:rsidRPr="00566A6F">
        <w:rPr>
          <w:b/>
          <w:noProof/>
        </w:rPr>
        <w:t>Tasks relating to maritime safety</w:t>
      </w:r>
    </w:p>
    <w:p w14:paraId="199122D4" w14:textId="77777777" w:rsidR="00843C85" w:rsidRDefault="004140CE" w:rsidP="00376D6D">
      <w:pPr>
        <w:pStyle w:val="Point0"/>
        <w:ind w:left="0" w:firstLine="0"/>
        <w:rPr>
          <w:noProof/>
        </w:rPr>
      </w:pPr>
      <w:r>
        <w:rPr>
          <w:noProof/>
        </w:rPr>
        <w:t>1.</w:t>
      </w:r>
      <w:r>
        <w:rPr>
          <w:noProof/>
        </w:rPr>
        <w:tab/>
      </w:r>
      <w:r w:rsidR="00566A6F">
        <w:rPr>
          <w:noProof/>
        </w:rPr>
        <w:t>The Age</w:t>
      </w:r>
      <w:r w:rsidR="002F2A64">
        <w:rPr>
          <w:noProof/>
        </w:rPr>
        <w:t>ncy shall monitor progress on the safety of maritime transport in the U</w:t>
      </w:r>
      <w:r w:rsidR="00D01E0A">
        <w:rPr>
          <w:noProof/>
        </w:rPr>
        <w:t xml:space="preserve">nion, conduct risk analysis on the basis of the available data and </w:t>
      </w:r>
      <w:r w:rsidR="002F2A64">
        <w:rPr>
          <w:noProof/>
        </w:rPr>
        <w:t xml:space="preserve">develop safety risk assessment models to identify safety challenges and risks. Every </w:t>
      </w:r>
      <w:r w:rsidR="00E02A29">
        <w:rPr>
          <w:noProof/>
        </w:rPr>
        <w:t>three</w:t>
      </w:r>
      <w:r w:rsidR="002F2A64">
        <w:rPr>
          <w:noProof/>
        </w:rPr>
        <w:t xml:space="preserve"> years</w:t>
      </w:r>
      <w:r w:rsidR="00843C85">
        <w:rPr>
          <w:noProof/>
        </w:rPr>
        <w:t xml:space="preserve"> it</w:t>
      </w:r>
      <w:r w:rsidR="002F2A64">
        <w:rPr>
          <w:noProof/>
        </w:rPr>
        <w:t xml:space="preserve"> shall present to the Commission a report on progress on maritime safety with </w:t>
      </w:r>
      <w:r w:rsidR="00843C85">
        <w:rPr>
          <w:noProof/>
        </w:rPr>
        <w:t xml:space="preserve">possible </w:t>
      </w:r>
      <w:r w:rsidR="002F2A64">
        <w:rPr>
          <w:noProof/>
        </w:rPr>
        <w:t xml:space="preserve">technical recommendations that </w:t>
      </w:r>
      <w:r w:rsidR="00944A0F">
        <w:rPr>
          <w:noProof/>
        </w:rPr>
        <w:t>could</w:t>
      </w:r>
      <w:r w:rsidR="002F2A64">
        <w:rPr>
          <w:noProof/>
        </w:rPr>
        <w:t xml:space="preserve"> be addressed at the Union or the international level. In this regard, the Agency shall </w:t>
      </w:r>
      <w:r w:rsidR="00FB130B">
        <w:rPr>
          <w:noProof/>
        </w:rPr>
        <w:t>in particular analyse and propose relevant guidance or recommendations in relation to potential safety risks stemming from the uptake and deployment of sustainable alternative sources of power for ships, including onshore power supply to ships</w:t>
      </w:r>
      <w:r w:rsidR="004F6F28">
        <w:rPr>
          <w:noProof/>
        </w:rPr>
        <w:t xml:space="preserve"> at berth</w:t>
      </w:r>
      <w:r w:rsidR="00FB130B">
        <w:rPr>
          <w:noProof/>
        </w:rPr>
        <w:t>.</w:t>
      </w:r>
    </w:p>
    <w:p w14:paraId="6FF1F063" w14:textId="77777777" w:rsidR="00376D6D" w:rsidRPr="00376D6D" w:rsidRDefault="00376D6D" w:rsidP="00791A33">
      <w:pPr>
        <w:pStyle w:val="Point0"/>
        <w:ind w:left="0" w:firstLine="0"/>
        <w:rPr>
          <w:noProof/>
        </w:rPr>
      </w:pPr>
      <w:r>
        <w:rPr>
          <w:noProof/>
        </w:rPr>
        <w:t xml:space="preserve">2. </w:t>
      </w:r>
      <w:r>
        <w:rPr>
          <w:noProof/>
        </w:rPr>
        <w:tab/>
        <w:t>The</w:t>
      </w:r>
      <w:r w:rsidR="00B0158C">
        <w:rPr>
          <w:noProof/>
        </w:rPr>
        <w:t xml:space="preserve"> Agency shall </w:t>
      </w:r>
      <w:r w:rsidR="00EE0D83">
        <w:rPr>
          <w:noProof/>
        </w:rPr>
        <w:t>assist</w:t>
      </w:r>
      <w:r w:rsidR="00B0158C">
        <w:rPr>
          <w:noProof/>
        </w:rPr>
        <w:t xml:space="preserve"> the Commission and the Member States in the implementation of Directive 2009/21/EC</w:t>
      </w:r>
      <w:r w:rsidR="008D5B26">
        <w:rPr>
          <w:noProof/>
        </w:rPr>
        <w:t>. In particular, the Agency shall develop and maintain</w:t>
      </w:r>
      <w:r w:rsidR="00B0158C">
        <w:rPr>
          <w:noProof/>
        </w:rPr>
        <w:t xml:space="preserve"> </w:t>
      </w:r>
      <w:r w:rsidR="008D5B26">
        <w:rPr>
          <w:noProof/>
        </w:rPr>
        <w:t>the inspection database</w:t>
      </w:r>
      <w:r>
        <w:rPr>
          <w:noProof/>
        </w:rPr>
        <w:t xml:space="preserve"> in </w:t>
      </w:r>
      <w:r w:rsidR="008D5B26">
        <w:rPr>
          <w:noProof/>
        </w:rPr>
        <w:t xml:space="preserve"> </w:t>
      </w:r>
      <w:r w:rsidR="00B0158C">
        <w:rPr>
          <w:noProof/>
        </w:rPr>
        <w:t>accord</w:t>
      </w:r>
      <w:r>
        <w:rPr>
          <w:noProof/>
        </w:rPr>
        <w:t>ance with</w:t>
      </w:r>
      <w:r w:rsidR="00B0158C">
        <w:rPr>
          <w:noProof/>
        </w:rPr>
        <w:t xml:space="preserve"> </w:t>
      </w:r>
      <w:r>
        <w:rPr>
          <w:noProof/>
        </w:rPr>
        <w:t>[</w:t>
      </w:r>
      <w:r w:rsidR="00B0158C" w:rsidRPr="008D5B26">
        <w:rPr>
          <w:noProof/>
        </w:rPr>
        <w:t>Article</w:t>
      </w:r>
      <w:r w:rsidR="008D5B26" w:rsidRPr="008D5B26">
        <w:rPr>
          <w:noProof/>
        </w:rPr>
        <w:t xml:space="preserve"> 6a</w:t>
      </w:r>
      <w:r>
        <w:rPr>
          <w:noProof/>
        </w:rPr>
        <w:t>]</w:t>
      </w:r>
      <w:r w:rsidR="00B0158C" w:rsidRPr="008D5B26">
        <w:rPr>
          <w:noProof/>
        </w:rPr>
        <w:t xml:space="preserve"> </w:t>
      </w:r>
      <w:r w:rsidR="00B0158C">
        <w:rPr>
          <w:noProof/>
        </w:rPr>
        <w:t xml:space="preserve">of </w:t>
      </w:r>
      <w:r>
        <w:rPr>
          <w:noProof/>
        </w:rPr>
        <w:t xml:space="preserve"> that </w:t>
      </w:r>
      <w:r w:rsidR="00B0158C" w:rsidRPr="00B0158C">
        <w:rPr>
          <w:noProof/>
        </w:rPr>
        <w:t>Directive</w:t>
      </w:r>
      <w:r w:rsidR="008D5B26">
        <w:rPr>
          <w:noProof/>
        </w:rPr>
        <w:t xml:space="preserve">, </w:t>
      </w:r>
      <w:r>
        <w:rPr>
          <w:noProof/>
        </w:rPr>
        <w:t xml:space="preserve"> establish </w:t>
      </w:r>
      <w:r w:rsidR="008D5B26">
        <w:rPr>
          <w:noProof/>
        </w:rPr>
        <w:t xml:space="preserve">the </w:t>
      </w:r>
      <w:r w:rsidRPr="00376D6D">
        <w:rPr>
          <w:noProof/>
        </w:rPr>
        <w:t xml:space="preserve">electronic reporting tool referred to in </w:t>
      </w:r>
      <w:r w:rsidR="00791A33">
        <w:rPr>
          <w:noProof/>
        </w:rPr>
        <w:t>[</w:t>
      </w:r>
      <w:r w:rsidRPr="00376D6D">
        <w:rPr>
          <w:noProof/>
        </w:rPr>
        <w:t>Article 9</w:t>
      </w:r>
      <w:r w:rsidR="00946A57">
        <w:rPr>
          <w:noProof/>
        </w:rPr>
        <w:t>b</w:t>
      </w:r>
      <w:r w:rsidR="00791A33">
        <w:rPr>
          <w:noProof/>
        </w:rPr>
        <w:t>]</w:t>
      </w:r>
      <w:r w:rsidRPr="00376D6D">
        <w:rPr>
          <w:noProof/>
        </w:rPr>
        <w:t xml:space="preserve"> of that Directive, </w:t>
      </w:r>
      <w:r w:rsidR="00A44EED">
        <w:rPr>
          <w:noProof/>
        </w:rPr>
        <w:t>maintain the public website referred to in Article 8</w:t>
      </w:r>
      <w:r w:rsidR="003D6856">
        <w:rPr>
          <w:noProof/>
        </w:rPr>
        <w:t xml:space="preserve">(2c) </w:t>
      </w:r>
      <w:r w:rsidRPr="00376D6D">
        <w:rPr>
          <w:noProof/>
        </w:rPr>
        <w:t xml:space="preserve">and provide to the Commission recommendations on the basis of the data collected. </w:t>
      </w:r>
    </w:p>
    <w:p w14:paraId="2F9FE9D8" w14:textId="77777777" w:rsidR="00791A33" w:rsidRDefault="00B0158C" w:rsidP="004140CE">
      <w:pPr>
        <w:pStyle w:val="Point0"/>
        <w:ind w:left="0" w:firstLine="0"/>
        <w:rPr>
          <w:noProof/>
        </w:rPr>
      </w:pPr>
      <w:r>
        <w:rPr>
          <w:noProof/>
        </w:rPr>
        <w:t xml:space="preserve">The Agency </w:t>
      </w:r>
      <w:r w:rsidRPr="00B0158C">
        <w:rPr>
          <w:noProof/>
        </w:rPr>
        <w:t>shall</w:t>
      </w:r>
      <w:r w:rsidR="008D5B26">
        <w:rPr>
          <w:noProof/>
        </w:rPr>
        <w:t xml:space="preserve">  assist the Commission in participating as an observer in the I</w:t>
      </w:r>
      <w:r w:rsidR="00791A33">
        <w:rPr>
          <w:noProof/>
        </w:rPr>
        <w:t xml:space="preserve">nternational </w:t>
      </w:r>
      <w:r w:rsidR="008D5B26">
        <w:rPr>
          <w:noProof/>
        </w:rPr>
        <w:t>M</w:t>
      </w:r>
      <w:r w:rsidR="00791A33">
        <w:rPr>
          <w:noProof/>
        </w:rPr>
        <w:t xml:space="preserve">aritime </w:t>
      </w:r>
      <w:r w:rsidR="008D5B26">
        <w:rPr>
          <w:noProof/>
        </w:rPr>
        <w:t>O</w:t>
      </w:r>
      <w:r w:rsidR="00791A33">
        <w:rPr>
          <w:noProof/>
        </w:rPr>
        <w:t>rganisation</w:t>
      </w:r>
      <w:r w:rsidR="008D5B26">
        <w:rPr>
          <w:noProof/>
        </w:rPr>
        <w:t xml:space="preserve"> auditing process according to </w:t>
      </w:r>
      <w:r w:rsidR="00791A33">
        <w:rPr>
          <w:noProof/>
        </w:rPr>
        <w:t>[</w:t>
      </w:r>
      <w:r w:rsidR="008D5B26">
        <w:rPr>
          <w:noProof/>
        </w:rPr>
        <w:t>Article 7</w:t>
      </w:r>
      <w:r w:rsidR="00791A33">
        <w:rPr>
          <w:noProof/>
        </w:rPr>
        <w:t>]</w:t>
      </w:r>
      <w:r w:rsidR="008D5B26">
        <w:rPr>
          <w:noProof/>
        </w:rPr>
        <w:t xml:space="preserve"> of Directive 2009/21/EC.  </w:t>
      </w:r>
      <w:r w:rsidR="002F3ED5">
        <w:rPr>
          <w:noProof/>
        </w:rPr>
        <w:t xml:space="preserve">The Agency shall also </w:t>
      </w:r>
      <w:r w:rsidRPr="00B0158C">
        <w:rPr>
          <w:noProof/>
        </w:rPr>
        <w:t>develop relevant tools and services assisting the Member States</w:t>
      </w:r>
      <w:r w:rsidR="00EE0D83">
        <w:rPr>
          <w:noProof/>
        </w:rPr>
        <w:t>, upon their request,</w:t>
      </w:r>
      <w:r w:rsidRPr="00B0158C">
        <w:rPr>
          <w:noProof/>
        </w:rPr>
        <w:t xml:space="preserve"> on fulfilling their ob</w:t>
      </w:r>
      <w:r>
        <w:rPr>
          <w:noProof/>
        </w:rPr>
        <w:t>ligations under Directive 2009/21</w:t>
      </w:r>
      <w:r w:rsidRPr="00B0158C">
        <w:rPr>
          <w:noProof/>
        </w:rPr>
        <w:t xml:space="preserve">/EC. </w:t>
      </w:r>
    </w:p>
    <w:p w14:paraId="24DAE241" w14:textId="77777777" w:rsidR="00B0158C" w:rsidRPr="001E3C58" w:rsidRDefault="001E3C58" w:rsidP="004140CE">
      <w:pPr>
        <w:pStyle w:val="Point0"/>
        <w:ind w:left="0" w:firstLine="0"/>
        <w:rPr>
          <w:noProof/>
        </w:rPr>
      </w:pPr>
      <w:r w:rsidRPr="001E3C58">
        <w:rPr>
          <w:noProof/>
        </w:rPr>
        <w:t xml:space="preserve">The Agency shall also provide </w:t>
      </w:r>
      <w:r w:rsidR="00B841B2" w:rsidRPr="00B841B2">
        <w:rPr>
          <w:noProof/>
        </w:rPr>
        <w:t xml:space="preserve">a </w:t>
      </w:r>
      <w:r w:rsidR="00987351">
        <w:rPr>
          <w:noProof/>
        </w:rPr>
        <w:t>common</w:t>
      </w:r>
      <w:r w:rsidR="00B841B2" w:rsidRPr="00B841B2">
        <w:rPr>
          <w:noProof/>
        </w:rPr>
        <w:t xml:space="preserve"> capacity building </w:t>
      </w:r>
      <w:r w:rsidR="00283564">
        <w:rPr>
          <w:noProof/>
        </w:rPr>
        <w:t xml:space="preserve">scheme </w:t>
      </w:r>
      <w:r w:rsidRPr="001E3C58">
        <w:rPr>
          <w:noProof/>
        </w:rPr>
        <w:t xml:space="preserve"> for flag State surveyors and flag State inspectors</w:t>
      </w:r>
      <w:r>
        <w:rPr>
          <w:noProof/>
        </w:rPr>
        <w:t xml:space="preserve"> of the Member States</w:t>
      </w:r>
      <w:r w:rsidRPr="001E3C58">
        <w:rPr>
          <w:noProof/>
        </w:rPr>
        <w:t xml:space="preserve">, </w:t>
      </w:r>
      <w:r w:rsidR="00791A33">
        <w:rPr>
          <w:noProof/>
        </w:rPr>
        <w:t>referred to in</w:t>
      </w:r>
      <w:r w:rsidRPr="001E3C58">
        <w:rPr>
          <w:noProof/>
        </w:rPr>
        <w:t xml:space="preserve"> </w:t>
      </w:r>
      <w:r w:rsidR="00791A33">
        <w:rPr>
          <w:noProof/>
        </w:rPr>
        <w:t>[</w:t>
      </w:r>
      <w:r w:rsidRPr="001E3C58">
        <w:rPr>
          <w:noProof/>
        </w:rPr>
        <w:t xml:space="preserve">Article </w:t>
      </w:r>
      <w:r>
        <w:rPr>
          <w:noProof/>
        </w:rPr>
        <w:t>4</w:t>
      </w:r>
      <w:r w:rsidR="00B841B2">
        <w:rPr>
          <w:noProof/>
        </w:rPr>
        <w:t>c</w:t>
      </w:r>
      <w:r w:rsidR="00791A33">
        <w:rPr>
          <w:noProof/>
        </w:rPr>
        <w:t>]</w:t>
      </w:r>
      <w:r w:rsidRPr="001E3C58">
        <w:rPr>
          <w:noProof/>
        </w:rPr>
        <w:t>of the aforementioned Directive</w:t>
      </w:r>
      <w:r>
        <w:rPr>
          <w:noProof/>
        </w:rPr>
        <w:t>.</w:t>
      </w:r>
      <w:r w:rsidRPr="001E3C58">
        <w:rPr>
          <w:noProof/>
        </w:rPr>
        <w:t xml:space="preserve"> </w:t>
      </w:r>
    </w:p>
    <w:p w14:paraId="7C26A8D5" w14:textId="77777777" w:rsidR="00791A33" w:rsidRDefault="004140CE" w:rsidP="004140CE">
      <w:pPr>
        <w:pStyle w:val="Point0"/>
        <w:ind w:left="0" w:firstLine="0"/>
        <w:rPr>
          <w:noProof/>
        </w:rPr>
      </w:pPr>
      <w:r>
        <w:rPr>
          <w:noProof/>
        </w:rPr>
        <w:t>3.</w:t>
      </w:r>
      <w:r>
        <w:rPr>
          <w:noProof/>
        </w:rPr>
        <w:tab/>
      </w:r>
      <w:r w:rsidR="00B0158C">
        <w:rPr>
          <w:noProof/>
        </w:rPr>
        <w:t xml:space="preserve">The Agency shall </w:t>
      </w:r>
      <w:r w:rsidR="00EE0D83">
        <w:rPr>
          <w:noProof/>
        </w:rPr>
        <w:t>assist</w:t>
      </w:r>
      <w:r w:rsidR="00B0158C">
        <w:rPr>
          <w:noProof/>
        </w:rPr>
        <w:t xml:space="preserve"> the Commission in</w:t>
      </w:r>
      <w:r w:rsidR="00DC4802">
        <w:rPr>
          <w:noProof/>
        </w:rPr>
        <w:t xml:space="preserve"> the </w:t>
      </w:r>
      <w:r w:rsidR="00B0158C">
        <w:rPr>
          <w:noProof/>
        </w:rPr>
        <w:t xml:space="preserve"> development and maintenance of the database</w:t>
      </w:r>
      <w:r w:rsidR="004E5882">
        <w:rPr>
          <w:noProof/>
        </w:rPr>
        <w:t>s</w:t>
      </w:r>
      <w:r w:rsidR="00B0158C">
        <w:rPr>
          <w:noProof/>
        </w:rPr>
        <w:t xml:space="preserve"> provided </w:t>
      </w:r>
      <w:r w:rsidR="00791A33">
        <w:rPr>
          <w:noProof/>
        </w:rPr>
        <w:t xml:space="preserve">for </w:t>
      </w:r>
      <w:r w:rsidR="00B0158C">
        <w:rPr>
          <w:noProof/>
        </w:rPr>
        <w:t xml:space="preserve">in </w:t>
      </w:r>
      <w:r w:rsidR="00B0158C" w:rsidRPr="00812262">
        <w:rPr>
          <w:noProof/>
        </w:rPr>
        <w:t>Article</w:t>
      </w:r>
      <w:r w:rsidR="004E5882" w:rsidRPr="00812262">
        <w:rPr>
          <w:noProof/>
        </w:rPr>
        <w:t>s</w:t>
      </w:r>
      <w:r w:rsidR="00B0158C" w:rsidRPr="00812262">
        <w:rPr>
          <w:noProof/>
        </w:rPr>
        <w:t xml:space="preserve"> </w:t>
      </w:r>
      <w:r w:rsidR="00D633D7" w:rsidRPr="00812262">
        <w:rPr>
          <w:noProof/>
        </w:rPr>
        <w:t>24</w:t>
      </w:r>
      <w:r w:rsidR="004E5882">
        <w:rPr>
          <w:noProof/>
        </w:rPr>
        <w:t xml:space="preserve"> and 24a</w:t>
      </w:r>
      <w:r w:rsidR="00B0158C">
        <w:rPr>
          <w:noProof/>
        </w:rPr>
        <w:t xml:space="preserve"> of Directive 2009/16/EC. On the basis of the data collected, the Agency shall assist the Commission in the analysis of the relevant information and the publication of information </w:t>
      </w:r>
      <w:r w:rsidR="004E5882">
        <w:rPr>
          <w:noProof/>
        </w:rPr>
        <w:t>concerning</w:t>
      </w:r>
      <w:r w:rsidR="00B0158C">
        <w:rPr>
          <w:noProof/>
        </w:rPr>
        <w:t xml:space="preserve"> ships</w:t>
      </w:r>
      <w:r w:rsidR="004E5882">
        <w:rPr>
          <w:noProof/>
        </w:rPr>
        <w:t xml:space="preserve"> and companies with low and very low performance</w:t>
      </w:r>
      <w:r w:rsidR="00B0158C">
        <w:rPr>
          <w:noProof/>
        </w:rPr>
        <w:t xml:space="preserve"> pursuant to Directive 2009/16/EC. </w:t>
      </w:r>
    </w:p>
    <w:p w14:paraId="7227EFAF" w14:textId="77777777" w:rsidR="00791A33" w:rsidRDefault="00B0158C" w:rsidP="004140CE">
      <w:pPr>
        <w:pStyle w:val="Point0"/>
        <w:ind w:left="0" w:firstLine="0"/>
        <w:rPr>
          <w:noProof/>
        </w:rPr>
      </w:pPr>
      <w:r>
        <w:rPr>
          <w:noProof/>
        </w:rPr>
        <w:t>The Agency shall develop relevant tools and services assisting the Member States</w:t>
      </w:r>
      <w:r w:rsidR="00EE0D83">
        <w:rPr>
          <w:noProof/>
        </w:rPr>
        <w:t>, upon their request,</w:t>
      </w:r>
      <w:r>
        <w:rPr>
          <w:noProof/>
        </w:rPr>
        <w:t xml:space="preserve"> on fulfilling their obligations under Directive 2009/16/EC. </w:t>
      </w:r>
    </w:p>
    <w:p w14:paraId="0122F39B" w14:textId="77777777" w:rsidR="00B0158C" w:rsidRDefault="004E5882" w:rsidP="004140CE">
      <w:pPr>
        <w:pStyle w:val="Point0"/>
        <w:ind w:left="0" w:firstLine="0"/>
        <w:rPr>
          <w:noProof/>
        </w:rPr>
      </w:pPr>
      <w:r>
        <w:rPr>
          <w:noProof/>
        </w:rPr>
        <w:t>The Agency shall also provide a professional development and training program for port State control inspectors</w:t>
      </w:r>
      <w:r w:rsidR="001E3C58">
        <w:rPr>
          <w:noProof/>
        </w:rPr>
        <w:t xml:space="preserve"> of the Member States</w:t>
      </w:r>
      <w:r>
        <w:rPr>
          <w:noProof/>
        </w:rPr>
        <w:t xml:space="preserve">, as provided </w:t>
      </w:r>
      <w:r w:rsidR="00791A33">
        <w:rPr>
          <w:noProof/>
        </w:rPr>
        <w:t xml:space="preserve">for in  </w:t>
      </w:r>
      <w:r w:rsidR="000F47F5">
        <w:rPr>
          <w:noProof/>
        </w:rPr>
        <w:t>[</w:t>
      </w:r>
      <w:r>
        <w:rPr>
          <w:noProof/>
        </w:rPr>
        <w:t xml:space="preserve">Article 22 </w:t>
      </w:r>
      <w:r w:rsidR="00791A33">
        <w:rPr>
          <w:noProof/>
        </w:rPr>
        <w:t>(</w:t>
      </w:r>
      <w:r>
        <w:rPr>
          <w:noProof/>
        </w:rPr>
        <w:t>7</w:t>
      </w:r>
      <w:r w:rsidR="00791A33">
        <w:rPr>
          <w:noProof/>
        </w:rPr>
        <w:t>)</w:t>
      </w:r>
      <w:r w:rsidR="000F47F5">
        <w:rPr>
          <w:noProof/>
        </w:rPr>
        <w:t>]</w:t>
      </w:r>
      <w:r>
        <w:rPr>
          <w:noProof/>
        </w:rPr>
        <w:t xml:space="preserve"> of the aforementioned Directive</w:t>
      </w:r>
      <w:r w:rsidR="00791A33">
        <w:rPr>
          <w:noProof/>
        </w:rPr>
        <w:t xml:space="preserve"> </w:t>
      </w:r>
      <w:r w:rsidR="00791A33" w:rsidRPr="00791A33">
        <w:rPr>
          <w:noProof/>
        </w:rPr>
        <w:t>2009/16/EC</w:t>
      </w:r>
      <w:r>
        <w:rPr>
          <w:noProof/>
        </w:rPr>
        <w:t>.</w:t>
      </w:r>
    </w:p>
    <w:p w14:paraId="34E82B7F" w14:textId="77777777" w:rsidR="008850C5" w:rsidRDefault="004140CE" w:rsidP="004140CE">
      <w:pPr>
        <w:pStyle w:val="Point0"/>
        <w:ind w:left="0" w:firstLine="0"/>
        <w:rPr>
          <w:noProof/>
        </w:rPr>
      </w:pPr>
      <w:r>
        <w:rPr>
          <w:noProof/>
        </w:rPr>
        <w:t>4.</w:t>
      </w:r>
      <w:r>
        <w:rPr>
          <w:noProof/>
        </w:rPr>
        <w:tab/>
      </w:r>
      <w:r w:rsidR="00EE0D83" w:rsidRPr="00EE0D83">
        <w:rPr>
          <w:noProof/>
        </w:rPr>
        <w:t xml:space="preserve">The Agency shall assist the Commission in the development and maintenance of the database provided </w:t>
      </w:r>
      <w:r w:rsidR="00791A33">
        <w:rPr>
          <w:noProof/>
        </w:rPr>
        <w:t xml:space="preserve">for </w:t>
      </w:r>
      <w:r w:rsidR="00EE0D83" w:rsidRPr="00EE0D83">
        <w:rPr>
          <w:noProof/>
        </w:rPr>
        <w:t xml:space="preserve">in Article </w:t>
      </w:r>
      <w:r w:rsidR="00EE0D83">
        <w:rPr>
          <w:noProof/>
        </w:rPr>
        <w:t xml:space="preserve">17 </w:t>
      </w:r>
      <w:r w:rsidR="00EE0D83" w:rsidRPr="00EE0D83">
        <w:rPr>
          <w:noProof/>
        </w:rPr>
        <w:t>of D</w:t>
      </w:r>
      <w:r w:rsidR="00EE0D83">
        <w:rPr>
          <w:noProof/>
        </w:rPr>
        <w:t>irective 2009/18</w:t>
      </w:r>
      <w:r w:rsidR="00EE0D83" w:rsidRPr="00EE0D83">
        <w:rPr>
          <w:noProof/>
        </w:rPr>
        <w:t xml:space="preserve">/EC. </w:t>
      </w:r>
      <w:r w:rsidR="00EE0D83" w:rsidRPr="00EE0D83">
        <w:rPr>
          <w:noProof/>
          <w:lang w:val="en-US"/>
        </w:rPr>
        <w:t>On the basis of</w:t>
      </w:r>
      <w:r w:rsidR="00EE0D83">
        <w:rPr>
          <w:noProof/>
          <w:lang w:val="en-US"/>
        </w:rPr>
        <w:t xml:space="preserve"> the </w:t>
      </w:r>
      <w:r w:rsidR="00EE0D83" w:rsidRPr="00EE0D83">
        <w:rPr>
          <w:noProof/>
          <w:lang w:val="en-US"/>
        </w:rPr>
        <w:t xml:space="preserve">data </w:t>
      </w:r>
      <w:r w:rsidR="00EE0D83">
        <w:rPr>
          <w:noProof/>
          <w:lang w:val="en-US"/>
        </w:rPr>
        <w:t>collected</w:t>
      </w:r>
      <w:r w:rsidR="00EE0D83" w:rsidRPr="00EE0D83">
        <w:rPr>
          <w:noProof/>
          <w:lang w:val="en-US"/>
        </w:rPr>
        <w:t xml:space="preserve"> the Agency shall compile a yearly overview of </w:t>
      </w:r>
      <w:r w:rsidR="00EE0D83">
        <w:rPr>
          <w:noProof/>
          <w:lang w:val="en-US"/>
        </w:rPr>
        <w:t>marine casualties and incidents.</w:t>
      </w:r>
      <w:r w:rsidR="00EE0D83" w:rsidRPr="00EE0D83">
        <w:rPr>
          <w:noProof/>
          <w:lang w:val="en-US"/>
        </w:rPr>
        <w:t xml:space="preserve"> </w:t>
      </w:r>
      <w:r w:rsidR="00EE0D83">
        <w:rPr>
          <w:noProof/>
        </w:rPr>
        <w:t>T</w:t>
      </w:r>
      <w:r w:rsidR="00EE0D83" w:rsidRPr="00EE0D83">
        <w:rPr>
          <w:noProof/>
        </w:rPr>
        <w:t>he Agency shall, if requeste</w:t>
      </w:r>
      <w:r w:rsidR="007B36FB">
        <w:rPr>
          <w:noProof/>
        </w:rPr>
        <w:t xml:space="preserve">d by the </w:t>
      </w:r>
      <w:r w:rsidR="00791A33">
        <w:rPr>
          <w:noProof/>
        </w:rPr>
        <w:t xml:space="preserve">concerned </w:t>
      </w:r>
      <w:r w:rsidR="007B36FB">
        <w:rPr>
          <w:noProof/>
        </w:rPr>
        <w:t>Member States</w:t>
      </w:r>
      <w:r w:rsidR="00DC4802">
        <w:rPr>
          <w:noProof/>
        </w:rPr>
        <w:t xml:space="preserve"> and </w:t>
      </w:r>
      <w:r w:rsidR="00791A33">
        <w:rPr>
          <w:noProof/>
        </w:rPr>
        <w:t>where</w:t>
      </w:r>
      <w:r w:rsidR="00DC4802">
        <w:rPr>
          <w:noProof/>
        </w:rPr>
        <w:t xml:space="preserve"> no conflict of interest arises</w:t>
      </w:r>
      <w:r w:rsidR="00EE0D83" w:rsidRPr="00EE0D83">
        <w:rPr>
          <w:noProof/>
        </w:rPr>
        <w:t xml:space="preserve">, provide operational support to these Member States concerning </w:t>
      </w:r>
      <w:r w:rsidR="009B3652">
        <w:rPr>
          <w:noProof/>
        </w:rPr>
        <w:t xml:space="preserve">safety </w:t>
      </w:r>
      <w:r w:rsidR="00EE0D83" w:rsidRPr="00EE0D83">
        <w:rPr>
          <w:noProof/>
        </w:rPr>
        <w:t>investigations</w:t>
      </w:r>
      <w:r w:rsidR="00791A33">
        <w:rPr>
          <w:noProof/>
        </w:rPr>
        <w:t>.</w:t>
      </w:r>
      <w:r w:rsidR="00EE0D83" w:rsidRPr="00EE0D83">
        <w:rPr>
          <w:noProof/>
        </w:rPr>
        <w:t xml:space="preserve"> </w:t>
      </w:r>
      <w:r w:rsidR="00791A33">
        <w:rPr>
          <w:noProof/>
        </w:rPr>
        <w:t>The Agency</w:t>
      </w:r>
      <w:r w:rsidR="00EE0D83" w:rsidRPr="00EE0D83">
        <w:rPr>
          <w:noProof/>
        </w:rPr>
        <w:t xml:space="preserve"> shall</w:t>
      </w:r>
      <w:r w:rsidR="00791A33">
        <w:rPr>
          <w:noProof/>
        </w:rPr>
        <w:t xml:space="preserve"> also</w:t>
      </w:r>
      <w:r w:rsidR="00EE0D83" w:rsidRPr="00EE0D83">
        <w:rPr>
          <w:noProof/>
        </w:rPr>
        <w:t xml:space="preserve"> carry out </w:t>
      </w:r>
      <w:r w:rsidR="009B3652">
        <w:rPr>
          <w:noProof/>
        </w:rPr>
        <w:t xml:space="preserve">an </w:t>
      </w:r>
      <w:r w:rsidR="00EE0D83" w:rsidRPr="00EE0D83">
        <w:rPr>
          <w:noProof/>
        </w:rPr>
        <w:t>analysis of safety investigation reports with a view to identify added value at Union level in terms of any relevant lessons to be drawn.</w:t>
      </w:r>
      <w:r w:rsidR="00D40974">
        <w:rPr>
          <w:noProof/>
        </w:rPr>
        <w:t xml:space="preserve"> </w:t>
      </w:r>
    </w:p>
    <w:p w14:paraId="49D964BB" w14:textId="77777777" w:rsidR="00EE0D83" w:rsidRDefault="007B36FB" w:rsidP="004140CE">
      <w:pPr>
        <w:pStyle w:val="Point0"/>
        <w:ind w:left="0" w:firstLine="0"/>
        <w:rPr>
          <w:noProof/>
        </w:rPr>
      </w:pPr>
      <w:r>
        <w:rPr>
          <w:noProof/>
        </w:rPr>
        <w:t xml:space="preserve">The Agency shall provide </w:t>
      </w:r>
      <w:r w:rsidR="00FF4D0C" w:rsidRPr="00FF4D0C">
        <w:rPr>
          <w:noProof/>
        </w:rPr>
        <w:t xml:space="preserve">a professional development and training program </w:t>
      </w:r>
      <w:r>
        <w:rPr>
          <w:noProof/>
        </w:rPr>
        <w:t>to the competent marine safety accident investigation Authorities.</w:t>
      </w:r>
    </w:p>
    <w:p w14:paraId="33FA24C0" w14:textId="77777777" w:rsidR="00924DE9" w:rsidRPr="00924DE9" w:rsidRDefault="00FF7514" w:rsidP="004140CE">
      <w:pPr>
        <w:pStyle w:val="Point0"/>
        <w:ind w:left="0" w:firstLine="0"/>
        <w:rPr>
          <w:noProof/>
        </w:rPr>
      </w:pPr>
      <w:r>
        <w:rPr>
          <w:noProof/>
        </w:rPr>
        <w:t>5.</w:t>
      </w:r>
      <w:r w:rsidRPr="00FF7514">
        <w:rPr>
          <w:noProof/>
        </w:rPr>
        <w:t xml:space="preserve"> The Agency shall assist the Commission and the Member States in the implementation of Directives 2009/45/EC</w:t>
      </w:r>
      <w:r w:rsidRPr="00841708">
        <w:rPr>
          <w:rStyle w:val="FootnoteReference"/>
          <w:noProof/>
        </w:rPr>
        <w:footnoteReference w:id="35"/>
      </w:r>
      <w:r w:rsidRPr="00FF7514">
        <w:rPr>
          <w:noProof/>
        </w:rPr>
        <w:t xml:space="preserve"> and 2003/25/EC of the European Parliament and of the Council</w:t>
      </w:r>
      <w:r w:rsidRPr="00841708">
        <w:rPr>
          <w:rStyle w:val="FootnoteReference"/>
          <w:noProof/>
        </w:rPr>
        <w:footnoteReference w:id="36"/>
      </w:r>
      <w:r w:rsidRPr="00FF7514">
        <w:rPr>
          <w:noProof/>
        </w:rPr>
        <w:t xml:space="preserve"> and Council Directive 98/41/EC</w:t>
      </w:r>
      <w:r w:rsidRPr="00841708">
        <w:rPr>
          <w:rStyle w:val="FootnoteReference"/>
          <w:noProof/>
        </w:rPr>
        <w:footnoteReference w:id="37"/>
      </w:r>
      <w:r w:rsidRPr="00FF7514">
        <w:rPr>
          <w:noProof/>
        </w:rPr>
        <w:t xml:space="preserve">. The Agency shall, in particular, develop and maintain a database for recording measures as provided for in Article 9 of Directive 2009/45/EC and Article 9 of Directive 98/41/EC and assist the Commission in the assessment such measures.  </w:t>
      </w:r>
    </w:p>
    <w:p w14:paraId="1E60AE92" w14:textId="77777777" w:rsidR="00B0158C" w:rsidRDefault="004140CE" w:rsidP="004140CE">
      <w:pPr>
        <w:pStyle w:val="Point0"/>
        <w:ind w:left="0" w:firstLine="0"/>
        <w:rPr>
          <w:noProof/>
        </w:rPr>
      </w:pPr>
      <w:r>
        <w:rPr>
          <w:noProof/>
        </w:rPr>
        <w:t>6.</w:t>
      </w:r>
      <w:r w:rsidR="00FF7514">
        <w:rPr>
          <w:noProof/>
        </w:rPr>
        <w:t xml:space="preserve"> </w:t>
      </w:r>
      <w:r w:rsidR="00B0158C">
        <w:rPr>
          <w:noProof/>
        </w:rPr>
        <w:t xml:space="preserve">The Agency shall facilitate the cooperation and the exchange of information between the Commission and the Member States for the assessment of the recognised organisations that carry out survey and certification tasks </w:t>
      </w:r>
      <w:r w:rsidR="00FF7514">
        <w:rPr>
          <w:noProof/>
        </w:rPr>
        <w:t xml:space="preserve">in </w:t>
      </w:r>
      <w:r w:rsidR="00FF7514" w:rsidRPr="00ED79FA">
        <w:rPr>
          <w:noProof/>
        </w:rPr>
        <w:t>accord</w:t>
      </w:r>
      <w:r w:rsidR="00FF7514">
        <w:rPr>
          <w:noProof/>
        </w:rPr>
        <w:t>ance with</w:t>
      </w:r>
      <w:r w:rsidR="00FF7514" w:rsidRPr="00ED79FA">
        <w:rPr>
          <w:noProof/>
        </w:rPr>
        <w:t xml:space="preserve"> Article 8(1) of Regulation (EC) No 391/2009</w:t>
      </w:r>
      <w:r w:rsidR="00FF7514">
        <w:rPr>
          <w:rStyle w:val="FootnoteReference"/>
          <w:noProof/>
        </w:rPr>
        <w:footnoteReference w:id="38"/>
      </w:r>
      <w:r w:rsidR="00B0158C">
        <w:rPr>
          <w:noProof/>
        </w:rPr>
        <w:t>. In particular, the Agency shall:</w:t>
      </w:r>
    </w:p>
    <w:p w14:paraId="7E15E230" w14:textId="2EF51F26" w:rsidR="00B0158C" w:rsidRDefault="00443218" w:rsidP="00443218">
      <w:pPr>
        <w:pStyle w:val="Point0"/>
        <w:rPr>
          <w:noProof/>
        </w:rPr>
      </w:pPr>
      <w:r w:rsidRPr="00443218">
        <w:t>(a)</w:t>
      </w:r>
      <w:r w:rsidRPr="00443218">
        <w:tab/>
      </w:r>
      <w:r w:rsidR="00B0158C">
        <w:rPr>
          <w:noProof/>
        </w:rPr>
        <w:t>provide to the Commission a</w:t>
      </w:r>
      <w:r w:rsidR="008731DA">
        <w:rPr>
          <w:noProof/>
        </w:rPr>
        <w:t>n opinion</w:t>
      </w:r>
      <w:r w:rsidR="00B0158C">
        <w:rPr>
          <w:noProof/>
        </w:rPr>
        <w:t xml:space="preserve"> on its assessment of the recognised organisations under Article 8(1) of </w:t>
      </w:r>
      <w:r w:rsidR="00B0158C" w:rsidRPr="00F2796C">
        <w:rPr>
          <w:noProof/>
        </w:rPr>
        <w:t xml:space="preserve"> Regulation (EC) No 391/2009</w:t>
      </w:r>
      <w:r w:rsidR="00B0158C">
        <w:rPr>
          <w:noProof/>
        </w:rPr>
        <w:t xml:space="preserve">; </w:t>
      </w:r>
    </w:p>
    <w:p w14:paraId="289352C2" w14:textId="7C42EFC4" w:rsidR="00B0158C" w:rsidRDefault="00443218" w:rsidP="00443218">
      <w:pPr>
        <w:pStyle w:val="Point0"/>
        <w:rPr>
          <w:noProof/>
        </w:rPr>
      </w:pPr>
      <w:r w:rsidRPr="00443218">
        <w:t>(b)</w:t>
      </w:r>
      <w:r w:rsidRPr="00443218">
        <w:tab/>
      </w:r>
      <w:r w:rsidR="00B0158C">
        <w:rPr>
          <w:noProof/>
        </w:rPr>
        <w:t xml:space="preserve">provide to the Member States appropriate information in the context of the inspections </w:t>
      </w:r>
      <w:r w:rsidR="002F3ED5">
        <w:rPr>
          <w:noProof/>
        </w:rPr>
        <w:t xml:space="preserve">conducted to support the Commission’s assessment under Article 8 </w:t>
      </w:r>
      <w:r w:rsidR="00FF7514">
        <w:rPr>
          <w:noProof/>
        </w:rPr>
        <w:t>(1)</w:t>
      </w:r>
      <w:r w:rsidR="002F3ED5">
        <w:rPr>
          <w:noProof/>
        </w:rPr>
        <w:t xml:space="preserve"> of Regulation (EC) No 391/2009</w:t>
      </w:r>
      <w:r w:rsidR="00B0158C">
        <w:rPr>
          <w:noProof/>
        </w:rPr>
        <w:t xml:space="preserve"> in order to support the monitoring and oversight of the recognised organisations according to </w:t>
      </w:r>
      <w:r w:rsidR="00B0158C" w:rsidRPr="002F3ED5">
        <w:rPr>
          <w:noProof/>
        </w:rPr>
        <w:t>Article 9 of Directive 2009/15/</w:t>
      </w:r>
      <w:r w:rsidR="002F3ED5" w:rsidRPr="002F3ED5">
        <w:rPr>
          <w:noProof/>
        </w:rPr>
        <w:t>EC</w:t>
      </w:r>
      <w:r w:rsidR="00FF7514" w:rsidRPr="00FF7514">
        <w:rPr>
          <w:noProof/>
        </w:rPr>
        <w:t xml:space="preserve"> of the European Parliament and of the Council</w:t>
      </w:r>
      <w:r w:rsidR="00FF7514" w:rsidRPr="00841708">
        <w:rPr>
          <w:rStyle w:val="FootnoteReference"/>
          <w:noProof/>
        </w:rPr>
        <w:footnoteReference w:id="39"/>
      </w:r>
      <w:r w:rsidR="002F3ED5">
        <w:rPr>
          <w:noProof/>
        </w:rPr>
        <w:t xml:space="preserve"> supporting</w:t>
      </w:r>
      <w:r w:rsidR="009F604F">
        <w:rPr>
          <w:noProof/>
        </w:rPr>
        <w:t xml:space="preserve"> </w:t>
      </w:r>
      <w:r w:rsidR="00B0158C">
        <w:rPr>
          <w:noProof/>
        </w:rPr>
        <w:t>the</w:t>
      </w:r>
      <w:r w:rsidR="00FF7514">
        <w:rPr>
          <w:noProof/>
        </w:rPr>
        <w:t xml:space="preserve"> Member States</w:t>
      </w:r>
      <w:r w:rsidR="00B0158C">
        <w:rPr>
          <w:noProof/>
        </w:rPr>
        <w:t xml:space="preserve"> in the discharge of their Union and international obligations as flag States. </w:t>
      </w:r>
      <w:r w:rsidR="00B82711">
        <w:rPr>
          <w:noProof/>
        </w:rPr>
        <w:t xml:space="preserve">In this regard, the Agency shall assist the Commission in the managing of the high level group on flag State matters under </w:t>
      </w:r>
      <w:r w:rsidR="00FF7514">
        <w:rPr>
          <w:noProof/>
        </w:rPr>
        <w:t>[</w:t>
      </w:r>
      <w:r w:rsidR="00B82711">
        <w:rPr>
          <w:noProof/>
        </w:rPr>
        <w:t xml:space="preserve">Article 9 </w:t>
      </w:r>
      <w:r w:rsidR="00FF7514">
        <w:rPr>
          <w:noProof/>
        </w:rPr>
        <w:t>(1)]</w:t>
      </w:r>
      <w:r w:rsidR="00B82711">
        <w:rPr>
          <w:noProof/>
        </w:rPr>
        <w:t xml:space="preserve"> of Directive 2009/21/EC.</w:t>
      </w:r>
    </w:p>
    <w:p w14:paraId="36DAB81D" w14:textId="55A0289D" w:rsidR="00B0158C" w:rsidRDefault="00443218" w:rsidP="00443218">
      <w:pPr>
        <w:pStyle w:val="Point0"/>
        <w:rPr>
          <w:noProof/>
        </w:rPr>
      </w:pPr>
      <w:r w:rsidRPr="00443218">
        <w:t>(c)</w:t>
      </w:r>
      <w:r w:rsidRPr="00443218">
        <w:tab/>
      </w:r>
      <w:r w:rsidR="00B0158C">
        <w:rPr>
          <w:noProof/>
        </w:rPr>
        <w:t xml:space="preserve">provide, on its own initiative or at the Commission’s request, a recommendation and technical assistance to the Commission on possible remedial measures or the imposition of fines to the recognised organisations in accordance with Article 5 and 6 of </w:t>
      </w:r>
      <w:r w:rsidR="00B0158C" w:rsidRPr="003D6317">
        <w:rPr>
          <w:noProof/>
        </w:rPr>
        <w:t>Regulation (EC) No 391/2009</w:t>
      </w:r>
      <w:r w:rsidR="00B0158C">
        <w:rPr>
          <w:noProof/>
        </w:rPr>
        <w:t>.</w:t>
      </w:r>
    </w:p>
    <w:p w14:paraId="7FD60FFD" w14:textId="77777777" w:rsidR="00C51EC4" w:rsidRDefault="004140CE" w:rsidP="004140CE">
      <w:pPr>
        <w:pStyle w:val="Point0"/>
        <w:ind w:left="0" w:firstLine="0"/>
        <w:rPr>
          <w:noProof/>
        </w:rPr>
      </w:pPr>
      <w:r>
        <w:rPr>
          <w:noProof/>
        </w:rPr>
        <w:t>7.</w:t>
      </w:r>
      <w:r>
        <w:rPr>
          <w:noProof/>
        </w:rPr>
        <w:tab/>
      </w:r>
      <w:r w:rsidR="00C51EC4" w:rsidRPr="00ED79FA">
        <w:rPr>
          <w:noProof/>
        </w:rPr>
        <w:t>The Agency shall assist the Commission in the implementation of Directive 2014/90/EU</w:t>
      </w:r>
      <w:r w:rsidR="00C51EC4" w:rsidRPr="0082576D">
        <w:rPr>
          <w:noProof/>
        </w:rPr>
        <w:t xml:space="preserve"> of the European Parliament and of the Council</w:t>
      </w:r>
      <w:r w:rsidR="00C51EC4">
        <w:rPr>
          <w:rStyle w:val="FootnoteReference"/>
          <w:noProof/>
        </w:rPr>
        <w:footnoteReference w:id="40"/>
      </w:r>
      <w:r w:rsidR="00C51EC4" w:rsidRPr="00ED79FA">
        <w:rPr>
          <w:noProof/>
        </w:rPr>
        <w:t xml:space="preserve"> by providing its technical assessment on safety aspects, providing recommendations with lists of the respective design, construction and performance requirements and testing standards, developing and maintaining the database </w:t>
      </w:r>
      <w:r w:rsidR="00C51EC4">
        <w:rPr>
          <w:noProof/>
        </w:rPr>
        <w:t>provided for in</w:t>
      </w:r>
      <w:r w:rsidR="00C51EC4" w:rsidRPr="00ED79FA">
        <w:rPr>
          <w:noProof/>
        </w:rPr>
        <w:t xml:space="preserve"> Article 35(</w:t>
      </w:r>
      <w:r w:rsidR="00C51EC4">
        <w:rPr>
          <w:noProof/>
        </w:rPr>
        <w:t>4</w:t>
      </w:r>
      <w:r w:rsidR="00C51EC4" w:rsidRPr="00ED79FA">
        <w:rPr>
          <w:noProof/>
        </w:rPr>
        <w:t xml:space="preserve">) of </w:t>
      </w:r>
      <w:r w:rsidR="00C51EC4">
        <w:rPr>
          <w:noProof/>
        </w:rPr>
        <w:t xml:space="preserve">that </w:t>
      </w:r>
      <w:r w:rsidR="00C51EC4" w:rsidRPr="00ED79FA">
        <w:rPr>
          <w:noProof/>
        </w:rPr>
        <w:t xml:space="preserve">Directive and facilitating cooperation between notified assessment bodies acting as the technical secretariat for their coordination group. </w:t>
      </w:r>
    </w:p>
    <w:p w14:paraId="52306CD9" w14:textId="77777777" w:rsidR="00575E36" w:rsidRPr="00575E36" w:rsidRDefault="004140CE" w:rsidP="004140CE">
      <w:pPr>
        <w:pStyle w:val="Point0"/>
        <w:ind w:left="0" w:firstLine="0"/>
        <w:rPr>
          <w:noProof/>
        </w:rPr>
      </w:pPr>
      <w:r>
        <w:rPr>
          <w:noProof/>
        </w:rPr>
        <w:t>8.</w:t>
      </w:r>
      <w:r>
        <w:rPr>
          <w:noProof/>
        </w:rPr>
        <w:tab/>
      </w:r>
      <w:r w:rsidR="00E668FD">
        <w:rPr>
          <w:noProof/>
        </w:rPr>
        <w:t xml:space="preserve">The Agency shall assist the Commission and the Member States in the identification of safety risks related to the development of maritime </w:t>
      </w:r>
      <w:r w:rsidR="00C83180">
        <w:rPr>
          <w:noProof/>
        </w:rPr>
        <w:t xml:space="preserve">autonomous and </w:t>
      </w:r>
      <w:r w:rsidR="00E668FD">
        <w:rPr>
          <w:noProof/>
        </w:rPr>
        <w:t xml:space="preserve">automated surface </w:t>
      </w:r>
      <w:r w:rsidR="008731DA">
        <w:rPr>
          <w:noProof/>
        </w:rPr>
        <w:t>ships</w:t>
      </w:r>
      <w:r w:rsidR="00AC7718">
        <w:rPr>
          <w:noProof/>
        </w:rPr>
        <w:t xml:space="preserve"> (MASS)</w:t>
      </w:r>
      <w:r w:rsidR="008731DA">
        <w:rPr>
          <w:noProof/>
        </w:rPr>
        <w:t xml:space="preserve">, </w:t>
      </w:r>
      <w:r w:rsidR="00E70E0A">
        <w:rPr>
          <w:noProof/>
        </w:rPr>
        <w:t xml:space="preserve">and </w:t>
      </w:r>
      <w:r w:rsidR="00E668FD">
        <w:rPr>
          <w:noProof/>
        </w:rPr>
        <w:t>assist the Member States by facilitating</w:t>
      </w:r>
      <w:r w:rsidR="00E70E0A">
        <w:rPr>
          <w:noProof/>
        </w:rPr>
        <w:t>,</w:t>
      </w:r>
      <w:r w:rsidR="00E668FD">
        <w:rPr>
          <w:noProof/>
        </w:rPr>
        <w:t xml:space="preserve"> through research and the development of relevant digital tools, guidance and manuals </w:t>
      </w:r>
      <w:r w:rsidR="008731DA">
        <w:rPr>
          <w:noProof/>
        </w:rPr>
        <w:t xml:space="preserve">for </w:t>
      </w:r>
      <w:r w:rsidR="00E668FD">
        <w:rPr>
          <w:noProof/>
        </w:rPr>
        <w:t xml:space="preserve">the approval of </w:t>
      </w:r>
      <w:r w:rsidR="00AC7718">
        <w:rPr>
          <w:noProof/>
        </w:rPr>
        <w:t>MASS</w:t>
      </w:r>
      <w:r w:rsidR="008731DA">
        <w:rPr>
          <w:noProof/>
        </w:rPr>
        <w:t xml:space="preserve"> </w:t>
      </w:r>
      <w:r w:rsidR="00E668FD">
        <w:rPr>
          <w:noProof/>
        </w:rPr>
        <w:t>projects</w:t>
      </w:r>
      <w:r w:rsidR="00DA5ADA">
        <w:rPr>
          <w:noProof/>
        </w:rPr>
        <w:t xml:space="preserve"> and/or operations</w:t>
      </w:r>
      <w:r w:rsidR="00E668FD">
        <w:rPr>
          <w:noProof/>
        </w:rPr>
        <w:t>.</w:t>
      </w:r>
    </w:p>
    <w:p w14:paraId="26CC9820" w14:textId="77777777" w:rsidR="00575E36" w:rsidRPr="00575E36" w:rsidRDefault="004140CE" w:rsidP="004140CE">
      <w:pPr>
        <w:pStyle w:val="Point0"/>
        <w:ind w:left="0" w:firstLine="0"/>
        <w:rPr>
          <w:noProof/>
        </w:rPr>
      </w:pPr>
      <w:r>
        <w:rPr>
          <w:noProof/>
        </w:rPr>
        <w:t>9.</w:t>
      </w:r>
      <w:r>
        <w:rPr>
          <w:noProof/>
        </w:rPr>
        <w:tab/>
      </w:r>
      <w:r w:rsidR="00575E36" w:rsidRPr="00575E36">
        <w:rPr>
          <w:noProof/>
        </w:rPr>
        <w:t>The Agency shall gather and analyse data on seafarers provided and used in accordance with Directive (EU) 2022/993</w:t>
      </w:r>
      <w:r w:rsidR="00EF4FC2" w:rsidRPr="00EF4FC2">
        <w:rPr>
          <w:noProof/>
        </w:rPr>
        <w:t xml:space="preserve"> of the European Parliament and of the Council</w:t>
      </w:r>
      <w:r w:rsidR="00EF4FC2" w:rsidRPr="00841708">
        <w:rPr>
          <w:rStyle w:val="FootnoteReference"/>
          <w:noProof/>
        </w:rPr>
        <w:footnoteReference w:id="41"/>
      </w:r>
      <w:r w:rsidR="00EF4FC2" w:rsidRPr="00EF4FC2">
        <w:rPr>
          <w:noProof/>
        </w:rPr>
        <w:t>.</w:t>
      </w:r>
      <w:r w:rsidR="00575E36" w:rsidRPr="00575E36">
        <w:rPr>
          <w:noProof/>
        </w:rPr>
        <w:t xml:space="preserve"> </w:t>
      </w:r>
      <w:r w:rsidR="00EF4FC2">
        <w:rPr>
          <w:noProof/>
        </w:rPr>
        <w:t>I</w:t>
      </w:r>
      <w:r w:rsidR="00575E36" w:rsidRPr="00575E36">
        <w:rPr>
          <w:noProof/>
        </w:rPr>
        <w:t>t may also gather and analyse data on the implementation of the Maritime Labour Convention, 2006 (MLC, 2006)</w:t>
      </w:r>
      <w:r w:rsidR="00F432EB">
        <w:rPr>
          <w:noProof/>
        </w:rPr>
        <w:t xml:space="preserve"> </w:t>
      </w:r>
      <w:r w:rsidR="00F432EB" w:rsidRPr="00F432EB">
        <w:rPr>
          <w:noProof/>
        </w:rPr>
        <w:t>with the aim of assisting in the improvement of the onboard working and living conditions of seafarers.</w:t>
      </w:r>
      <w:r w:rsidR="00575E36" w:rsidRPr="00575E36">
        <w:rPr>
          <w:noProof/>
        </w:rPr>
        <w:t>.</w:t>
      </w:r>
    </w:p>
    <w:p w14:paraId="11F4CE8E" w14:textId="77777777" w:rsidR="00575E36" w:rsidRDefault="00575E36" w:rsidP="00575E36">
      <w:pPr>
        <w:pStyle w:val="ListParagraph"/>
        <w:spacing w:before="0" w:after="200"/>
        <w:ind w:left="1080"/>
        <w:rPr>
          <w:noProof/>
        </w:rPr>
      </w:pPr>
    </w:p>
    <w:p w14:paraId="77A4E9A3" w14:textId="77777777" w:rsidR="00566A6F" w:rsidRDefault="00566A6F" w:rsidP="008F3E00">
      <w:pPr>
        <w:spacing w:before="0" w:after="200"/>
        <w:jc w:val="center"/>
        <w:rPr>
          <w:b/>
          <w:noProof/>
        </w:rPr>
      </w:pPr>
    </w:p>
    <w:p w14:paraId="0CA3FA12" w14:textId="77777777" w:rsidR="00BF0870" w:rsidRDefault="001A3898" w:rsidP="008F3E00">
      <w:pPr>
        <w:pStyle w:val="Titrearticle"/>
        <w:spacing w:before="0" w:after="200"/>
        <w:rPr>
          <w:noProof/>
        </w:rPr>
      </w:pPr>
      <w:r>
        <w:rPr>
          <w:noProof/>
        </w:rPr>
        <w:t>Article 5</w:t>
      </w:r>
    </w:p>
    <w:p w14:paraId="09BD2EBA" w14:textId="77777777" w:rsidR="00CD4529" w:rsidRDefault="00BF0870" w:rsidP="008F3E00">
      <w:pPr>
        <w:spacing w:before="0" w:after="200"/>
        <w:jc w:val="center"/>
        <w:rPr>
          <w:b/>
          <w:noProof/>
        </w:rPr>
      </w:pPr>
      <w:r w:rsidRPr="00566A6F">
        <w:rPr>
          <w:b/>
          <w:noProof/>
        </w:rPr>
        <w:t xml:space="preserve">Tasks relating to </w:t>
      </w:r>
      <w:r>
        <w:rPr>
          <w:b/>
          <w:noProof/>
        </w:rPr>
        <w:t>sustainability</w:t>
      </w:r>
      <w:r w:rsidR="0043792B">
        <w:rPr>
          <w:b/>
          <w:noProof/>
        </w:rPr>
        <w:t xml:space="preserve"> </w:t>
      </w:r>
    </w:p>
    <w:p w14:paraId="39B65329" w14:textId="77777777" w:rsidR="0043792B" w:rsidRPr="003D75D4" w:rsidRDefault="004140CE" w:rsidP="004140CE">
      <w:pPr>
        <w:pStyle w:val="Point0"/>
        <w:ind w:left="0" w:firstLine="0"/>
        <w:rPr>
          <w:noProof/>
          <w:lang w:val="en-US"/>
        </w:rPr>
      </w:pPr>
      <w:r>
        <w:rPr>
          <w:noProof/>
          <w:lang w:val="en-US"/>
        </w:rPr>
        <w:t>1.</w:t>
      </w:r>
      <w:r>
        <w:rPr>
          <w:noProof/>
          <w:lang w:val="en-US"/>
        </w:rPr>
        <w:tab/>
      </w:r>
      <w:r w:rsidR="00A711CE" w:rsidRPr="003D75D4">
        <w:rPr>
          <w:noProof/>
          <w:lang w:val="en-US"/>
        </w:rPr>
        <w:t>The Agency shall</w:t>
      </w:r>
      <w:r w:rsidR="008731DA" w:rsidRPr="003D75D4">
        <w:rPr>
          <w:noProof/>
          <w:lang w:val="en-US"/>
        </w:rPr>
        <w:t>, in</w:t>
      </w:r>
      <w:r w:rsidR="00D633D7" w:rsidRPr="003D75D4">
        <w:rPr>
          <w:noProof/>
          <w:lang w:val="en-US"/>
        </w:rPr>
        <w:t xml:space="preserve"> a cost efficient</w:t>
      </w:r>
      <w:r w:rsidR="00E70E0A">
        <w:rPr>
          <w:noProof/>
          <w:lang w:val="en-US"/>
        </w:rPr>
        <w:t>,</w:t>
      </w:r>
      <w:r w:rsidR="00D633D7" w:rsidRPr="003D75D4">
        <w:rPr>
          <w:noProof/>
          <w:lang w:val="en-US"/>
        </w:rPr>
        <w:t xml:space="preserve"> way </w:t>
      </w:r>
      <w:r w:rsidR="00A711CE" w:rsidRPr="003D75D4">
        <w:rPr>
          <w:noProof/>
          <w:lang w:val="en-US"/>
        </w:rPr>
        <w:t xml:space="preserve">support the Member States with additional </w:t>
      </w:r>
      <w:r w:rsidR="00D633D7" w:rsidRPr="003D75D4">
        <w:rPr>
          <w:noProof/>
          <w:lang w:val="en-US"/>
        </w:rPr>
        <w:t xml:space="preserve">pollution response </w:t>
      </w:r>
      <w:r w:rsidR="00A711CE" w:rsidRPr="003D75D4">
        <w:rPr>
          <w:noProof/>
          <w:lang w:val="en-US"/>
        </w:rPr>
        <w:t>means in case of pollution caused by ships as well as marine pollution caused by oil and gas installations</w:t>
      </w:r>
      <w:r w:rsidR="002A54AE" w:rsidRPr="003D75D4">
        <w:rPr>
          <w:noProof/>
          <w:lang w:val="en-US"/>
        </w:rPr>
        <w:t xml:space="preserve">. The Agency shall so act on </w:t>
      </w:r>
      <w:r w:rsidR="00A711CE" w:rsidRPr="003D75D4">
        <w:rPr>
          <w:noProof/>
          <w:lang w:val="en-US"/>
        </w:rPr>
        <w:t xml:space="preserve">request </w:t>
      </w:r>
      <w:r w:rsidR="002A54AE" w:rsidRPr="003D75D4">
        <w:rPr>
          <w:noProof/>
          <w:lang w:val="en-US"/>
        </w:rPr>
        <w:t xml:space="preserve">of </w:t>
      </w:r>
      <w:r w:rsidR="00A711CE" w:rsidRPr="003D75D4">
        <w:rPr>
          <w:noProof/>
          <w:lang w:val="en-US"/>
        </w:rPr>
        <w:t>the affected Member State under the authority of which the cleaning operations are conducted</w:t>
      </w:r>
      <w:r w:rsidR="002A54AE" w:rsidRPr="003D75D4">
        <w:rPr>
          <w:noProof/>
          <w:lang w:val="en-US"/>
        </w:rPr>
        <w:t>. Such assistance is</w:t>
      </w:r>
      <w:r w:rsidR="00A711CE" w:rsidRPr="003D75D4">
        <w:rPr>
          <w:noProof/>
          <w:lang w:val="en-US"/>
        </w:rPr>
        <w:t xml:space="preserve"> without prejudice to the responsibility of coastal States to have appropriate pollution response mechanisms in place</w:t>
      </w:r>
      <w:r w:rsidR="009F604F" w:rsidRPr="003D75D4">
        <w:rPr>
          <w:noProof/>
          <w:lang w:val="en-US"/>
        </w:rPr>
        <w:t xml:space="preserve"> and shall respect</w:t>
      </w:r>
      <w:r w:rsidR="00A711CE" w:rsidRPr="003D75D4">
        <w:rPr>
          <w:noProof/>
          <w:lang w:val="en-US"/>
        </w:rPr>
        <w:t xml:space="preserve"> existing cooperation between Member States in this field. </w:t>
      </w:r>
      <w:r w:rsidR="00647350" w:rsidRPr="003D75D4">
        <w:rPr>
          <w:noProof/>
          <w:lang w:val="en-US"/>
        </w:rPr>
        <w:t>The operational means that the Agency provides to the Member States shall take into account and cater for the transition of</w:t>
      </w:r>
      <w:r w:rsidR="00260101" w:rsidRPr="003D75D4">
        <w:rPr>
          <w:noProof/>
          <w:lang w:val="en-US"/>
        </w:rPr>
        <w:t xml:space="preserve"> the</w:t>
      </w:r>
      <w:r w:rsidR="00647350" w:rsidRPr="003D75D4">
        <w:rPr>
          <w:noProof/>
          <w:lang w:val="en-US"/>
        </w:rPr>
        <w:t xml:space="preserve"> sector </w:t>
      </w:r>
      <w:r w:rsidR="00E9290D" w:rsidRPr="003D75D4">
        <w:rPr>
          <w:noProof/>
          <w:lang w:val="en-US"/>
        </w:rPr>
        <w:t xml:space="preserve">to the use of </w:t>
      </w:r>
      <w:r w:rsidR="00647350" w:rsidRPr="003D75D4">
        <w:rPr>
          <w:noProof/>
          <w:lang w:val="en-US"/>
        </w:rPr>
        <w:t xml:space="preserve">sustainable alternative sources of power for ships. </w:t>
      </w:r>
      <w:r w:rsidR="00A711CE" w:rsidRPr="003D75D4">
        <w:rPr>
          <w:noProof/>
          <w:lang w:val="en-US"/>
        </w:rPr>
        <w:t xml:space="preserve">As appropriate, requests for mobilisation of anti-pollution actions shall be relayed through the </w:t>
      </w:r>
      <w:r w:rsidR="00C51EC4">
        <w:rPr>
          <w:noProof/>
          <w:lang w:val="en-US"/>
        </w:rPr>
        <w:t>Union</w:t>
      </w:r>
      <w:r w:rsidR="00C51EC4" w:rsidRPr="003D75D4">
        <w:rPr>
          <w:noProof/>
          <w:lang w:val="en-US"/>
        </w:rPr>
        <w:t xml:space="preserve"> </w:t>
      </w:r>
      <w:r w:rsidR="00A711CE" w:rsidRPr="003D75D4">
        <w:rPr>
          <w:noProof/>
          <w:lang w:val="en-US"/>
        </w:rPr>
        <w:t xml:space="preserve">Civil Protection Mechanism established </w:t>
      </w:r>
      <w:r w:rsidR="0043792B" w:rsidRPr="003D75D4">
        <w:rPr>
          <w:noProof/>
          <w:lang w:val="en-US"/>
        </w:rPr>
        <w:t>by Decision</w:t>
      </w:r>
      <w:r w:rsidR="00647350" w:rsidRPr="003D75D4">
        <w:rPr>
          <w:noProof/>
          <w:lang w:val="en-US"/>
        </w:rPr>
        <w:t xml:space="preserve"> No 1313/2013/EU</w:t>
      </w:r>
      <w:r w:rsidR="00C51EC4" w:rsidRPr="00C51EC4">
        <w:rPr>
          <w:noProof/>
        </w:rPr>
        <w:t xml:space="preserve"> of the European Parliament and of the Council</w:t>
      </w:r>
      <w:r w:rsidR="00C51EC4" w:rsidRPr="00841708">
        <w:rPr>
          <w:rStyle w:val="FootnoteReference"/>
          <w:noProof/>
        </w:rPr>
        <w:footnoteReference w:id="42"/>
      </w:r>
      <w:r w:rsidR="00647350" w:rsidRPr="003D75D4">
        <w:rPr>
          <w:noProof/>
          <w:lang w:val="en-US"/>
        </w:rPr>
        <w:t>.</w:t>
      </w:r>
    </w:p>
    <w:p w14:paraId="22A13193" w14:textId="77777777" w:rsidR="00177CAE" w:rsidRPr="00177CAE" w:rsidRDefault="004140CE" w:rsidP="004140CE">
      <w:pPr>
        <w:pStyle w:val="Point0"/>
        <w:ind w:left="0" w:firstLine="0"/>
        <w:rPr>
          <w:noProof/>
          <w:lang w:val="en-US"/>
        </w:rPr>
      </w:pPr>
      <w:r>
        <w:rPr>
          <w:noProof/>
          <w:lang w:val="en-US"/>
        </w:rPr>
        <w:t>2.</w:t>
      </w:r>
      <w:r>
        <w:rPr>
          <w:noProof/>
          <w:lang w:val="en-US"/>
        </w:rPr>
        <w:tab/>
      </w:r>
      <w:r w:rsidR="004848A2">
        <w:rPr>
          <w:noProof/>
          <w:lang w:val="en-US"/>
        </w:rPr>
        <w:t xml:space="preserve"> </w:t>
      </w:r>
      <w:r w:rsidR="005F3604" w:rsidRPr="005F3604">
        <w:rPr>
          <w:noProof/>
          <w:lang w:val="en-US"/>
        </w:rPr>
        <w:t xml:space="preserve">The Agency shall assist the Commission and the Member States with the detection of possible pollution and pursuit of ships making illegal discharges in accordance with </w:t>
      </w:r>
      <w:r w:rsidR="00CB6797" w:rsidRPr="00CB6797">
        <w:rPr>
          <w:bCs/>
          <w:noProof/>
        </w:rPr>
        <w:t>Directive 2005/35/EC</w:t>
      </w:r>
      <w:r w:rsidR="00D91218">
        <w:rPr>
          <w:bCs/>
          <w:noProof/>
        </w:rPr>
        <w:t xml:space="preserve">. The Agency shall in particular assist with the implementation of Articles </w:t>
      </w:r>
      <w:r w:rsidR="004C430E">
        <w:rPr>
          <w:bCs/>
          <w:noProof/>
        </w:rPr>
        <w:t>[</w:t>
      </w:r>
      <w:r w:rsidR="00D91218">
        <w:rPr>
          <w:bCs/>
          <w:noProof/>
        </w:rPr>
        <w:t>1</w:t>
      </w:r>
      <w:r w:rsidR="007647F0">
        <w:rPr>
          <w:bCs/>
          <w:noProof/>
        </w:rPr>
        <w:t>0</w:t>
      </w:r>
      <w:r w:rsidR="00D91218">
        <w:rPr>
          <w:bCs/>
          <w:noProof/>
        </w:rPr>
        <w:t>, 1</w:t>
      </w:r>
      <w:r w:rsidR="007647F0">
        <w:rPr>
          <w:bCs/>
          <w:noProof/>
        </w:rPr>
        <w:t>0a, 10b, 10c and 10d</w:t>
      </w:r>
      <w:r w:rsidR="004C430E">
        <w:rPr>
          <w:bCs/>
          <w:noProof/>
        </w:rPr>
        <w:t>]</w:t>
      </w:r>
      <w:r w:rsidR="007647F0">
        <w:rPr>
          <w:bCs/>
          <w:noProof/>
        </w:rPr>
        <w:t xml:space="preserve"> of</w:t>
      </w:r>
      <w:r w:rsidR="00D91218">
        <w:rPr>
          <w:bCs/>
          <w:noProof/>
        </w:rPr>
        <w:t xml:space="preserve"> </w:t>
      </w:r>
      <w:r w:rsidR="00C51EC4">
        <w:rPr>
          <w:bCs/>
          <w:noProof/>
        </w:rPr>
        <w:t xml:space="preserve">that </w:t>
      </w:r>
      <w:r w:rsidR="00D91218">
        <w:rPr>
          <w:bCs/>
          <w:noProof/>
        </w:rPr>
        <w:t xml:space="preserve"> D</w:t>
      </w:r>
      <w:r w:rsidR="009F665D">
        <w:rPr>
          <w:bCs/>
          <w:noProof/>
        </w:rPr>
        <w:t>irective</w:t>
      </w:r>
      <w:r w:rsidR="00177CAE">
        <w:rPr>
          <w:bCs/>
          <w:noProof/>
        </w:rPr>
        <w:t xml:space="preserve"> by:</w:t>
      </w:r>
    </w:p>
    <w:p w14:paraId="1CF79A8A" w14:textId="43EF7D21" w:rsidR="00177CAE" w:rsidRPr="004140CE" w:rsidRDefault="00443218" w:rsidP="00443218">
      <w:pPr>
        <w:pStyle w:val="Point0"/>
        <w:rPr>
          <w:noProof/>
          <w:lang w:val="en-US"/>
        </w:rPr>
      </w:pPr>
      <w:r w:rsidRPr="00443218">
        <w:t>(a)</w:t>
      </w:r>
      <w:r w:rsidRPr="00443218">
        <w:tab/>
      </w:r>
      <w:r w:rsidR="009F665D" w:rsidRPr="00177CAE">
        <w:rPr>
          <w:noProof/>
        </w:rPr>
        <w:t>developing and maintaining the necessary information system (CleanSeaNet)</w:t>
      </w:r>
      <w:r w:rsidR="004E6196">
        <w:rPr>
          <w:noProof/>
        </w:rPr>
        <w:t>,</w:t>
      </w:r>
      <w:r w:rsidR="004E6196" w:rsidRPr="004140CE">
        <w:rPr>
          <w:noProof/>
          <w:lang w:val="en-US"/>
        </w:rPr>
        <w:t xml:space="preserve"> as part of the Union </w:t>
      </w:r>
      <w:r w:rsidR="00C51EC4">
        <w:rPr>
          <w:noProof/>
          <w:lang w:val="en-US"/>
        </w:rPr>
        <w:t>M</w:t>
      </w:r>
      <w:r w:rsidR="004E6196" w:rsidRPr="004140CE">
        <w:rPr>
          <w:noProof/>
          <w:lang w:val="en-US"/>
        </w:rPr>
        <w:t>aritime Information and Exchange System (SafeSeaNet),</w:t>
      </w:r>
      <w:r w:rsidR="00177CAE">
        <w:rPr>
          <w:noProof/>
        </w:rPr>
        <w:t xml:space="preserve"> </w:t>
      </w:r>
      <w:r w:rsidR="00177CAE" w:rsidRPr="00177CAE">
        <w:rPr>
          <w:noProof/>
        </w:rPr>
        <w:t>and databases</w:t>
      </w:r>
      <w:r w:rsidR="00177CAE">
        <w:rPr>
          <w:noProof/>
        </w:rPr>
        <w:t>;</w:t>
      </w:r>
    </w:p>
    <w:p w14:paraId="61F05435" w14:textId="5F0E5569" w:rsidR="00D91218" w:rsidRPr="004140CE" w:rsidRDefault="00443218" w:rsidP="00443218">
      <w:pPr>
        <w:pStyle w:val="Point0"/>
        <w:rPr>
          <w:noProof/>
          <w:lang w:val="en-US"/>
        </w:rPr>
      </w:pPr>
      <w:r w:rsidRPr="00443218">
        <w:t>(b)</w:t>
      </w:r>
      <w:r w:rsidRPr="00443218">
        <w:tab/>
      </w:r>
      <w:r w:rsidR="00177CAE">
        <w:rPr>
          <w:noProof/>
        </w:rPr>
        <w:t>collecting, analysing and disseminating the relevant information on the implementation and enforcement of  Directive</w:t>
      </w:r>
      <w:r w:rsidR="00C51EC4">
        <w:rPr>
          <w:noProof/>
        </w:rPr>
        <w:t xml:space="preserve"> </w:t>
      </w:r>
      <w:r w:rsidR="00C51EC4" w:rsidRPr="00C51EC4">
        <w:rPr>
          <w:bCs/>
          <w:noProof/>
        </w:rPr>
        <w:t>2005/35/EC</w:t>
      </w:r>
      <w:r w:rsidR="00177CAE">
        <w:rPr>
          <w:noProof/>
        </w:rPr>
        <w:t>;</w:t>
      </w:r>
    </w:p>
    <w:p w14:paraId="5BDB584F" w14:textId="0AB50F08" w:rsidR="00177CAE" w:rsidRPr="004140CE" w:rsidRDefault="00443218" w:rsidP="00443218">
      <w:pPr>
        <w:pStyle w:val="Point0"/>
        <w:rPr>
          <w:noProof/>
          <w:lang w:val="en-US"/>
        </w:rPr>
      </w:pPr>
      <w:r w:rsidRPr="00443218">
        <w:t>(c)</w:t>
      </w:r>
      <w:r w:rsidRPr="00443218">
        <w:tab/>
      </w:r>
      <w:r w:rsidR="00177CAE" w:rsidRPr="004140CE">
        <w:rPr>
          <w:noProof/>
          <w:lang w:val="en-US"/>
        </w:rPr>
        <w:t>providing capacity building to the competent national authorities and facilitating</w:t>
      </w:r>
      <w:r w:rsidR="007647F0" w:rsidRPr="004140CE">
        <w:rPr>
          <w:noProof/>
          <w:lang w:val="en-US"/>
        </w:rPr>
        <w:t xml:space="preserve"> the exchange of best practices;</w:t>
      </w:r>
    </w:p>
    <w:p w14:paraId="08D7AD7D" w14:textId="12420B38" w:rsidR="007647F0" w:rsidRPr="004140CE" w:rsidRDefault="00443218" w:rsidP="00443218">
      <w:pPr>
        <w:pStyle w:val="Point0"/>
        <w:rPr>
          <w:noProof/>
          <w:lang w:val="en-US"/>
        </w:rPr>
      </w:pPr>
      <w:r w:rsidRPr="00443218">
        <w:t>(d)</w:t>
      </w:r>
      <w:r w:rsidRPr="00443218">
        <w:tab/>
      </w:r>
      <w:r w:rsidR="007647F0" w:rsidRPr="004140CE">
        <w:rPr>
          <w:noProof/>
          <w:lang w:val="en-US"/>
        </w:rPr>
        <w:t xml:space="preserve">developing and maintaining the </w:t>
      </w:r>
      <w:r w:rsidR="007647F0" w:rsidRPr="007647F0">
        <w:rPr>
          <w:noProof/>
        </w:rPr>
        <w:t>online external reporting channel for receiving and handling information on potential illegal discharges communicated by the crew and shall relay such information to the Member State or Member States concerned</w:t>
      </w:r>
      <w:r w:rsidR="007647F0">
        <w:rPr>
          <w:noProof/>
        </w:rPr>
        <w:t>.</w:t>
      </w:r>
    </w:p>
    <w:p w14:paraId="55273F45" w14:textId="77777777" w:rsidR="00647350" w:rsidRPr="00F44DE6" w:rsidRDefault="004140CE" w:rsidP="004140CE">
      <w:pPr>
        <w:pStyle w:val="Point0"/>
        <w:ind w:left="0" w:firstLine="0"/>
        <w:rPr>
          <w:noProof/>
          <w:lang w:val="en-US"/>
        </w:rPr>
      </w:pPr>
      <w:r>
        <w:rPr>
          <w:noProof/>
          <w:lang w:val="en-US"/>
        </w:rPr>
        <w:t>3.</w:t>
      </w:r>
      <w:r>
        <w:rPr>
          <w:noProof/>
          <w:lang w:val="en-US"/>
        </w:rPr>
        <w:tab/>
      </w:r>
      <w:r w:rsidR="0043792B">
        <w:rPr>
          <w:noProof/>
          <w:lang w:val="en-US"/>
        </w:rPr>
        <w:t xml:space="preserve">The Agency shall </w:t>
      </w:r>
      <w:r w:rsidR="00DA5ADA">
        <w:rPr>
          <w:noProof/>
          <w:lang w:val="en-US"/>
        </w:rPr>
        <w:t>provide</w:t>
      </w:r>
      <w:r w:rsidR="0043792B">
        <w:rPr>
          <w:noProof/>
          <w:lang w:val="en-US"/>
        </w:rPr>
        <w:t xml:space="preserve"> the</w:t>
      </w:r>
      <w:r w:rsidR="0043792B" w:rsidRPr="0043792B">
        <w:rPr>
          <w:noProof/>
          <w:lang w:val="en-US"/>
        </w:rPr>
        <w:t xml:space="preserve"> CleanSeaNet</w:t>
      </w:r>
      <w:r w:rsidR="0043792B">
        <w:rPr>
          <w:noProof/>
          <w:lang w:val="en-US"/>
        </w:rPr>
        <w:t xml:space="preserve"> </w:t>
      </w:r>
      <w:r w:rsidR="00DA5ADA">
        <w:rPr>
          <w:noProof/>
          <w:lang w:val="en-US"/>
        </w:rPr>
        <w:t xml:space="preserve">service </w:t>
      </w:r>
      <w:r w:rsidR="00F44DE6">
        <w:rPr>
          <w:noProof/>
          <w:lang w:val="en-US"/>
        </w:rPr>
        <w:t xml:space="preserve">and any other tools </w:t>
      </w:r>
      <w:r w:rsidR="0043792B" w:rsidRPr="0043792B">
        <w:rPr>
          <w:noProof/>
          <w:lang w:val="en-US"/>
        </w:rPr>
        <w:t xml:space="preserve">to </w:t>
      </w:r>
      <w:r w:rsidR="00D90ABA">
        <w:rPr>
          <w:noProof/>
          <w:lang w:val="en-US"/>
        </w:rPr>
        <w:t>assist the</w:t>
      </w:r>
      <w:r w:rsidR="00D90ABA" w:rsidRPr="00D90ABA">
        <w:rPr>
          <w:noProof/>
          <w:lang w:val="en-US"/>
        </w:rPr>
        <w:t xml:space="preserve"> Commission and the Member States</w:t>
      </w:r>
      <w:r w:rsidR="00D90ABA">
        <w:rPr>
          <w:noProof/>
          <w:lang w:val="en-US"/>
        </w:rPr>
        <w:t xml:space="preserve">, upon their request, </w:t>
      </w:r>
      <w:r w:rsidR="00E9290D">
        <w:rPr>
          <w:noProof/>
          <w:lang w:val="en-US"/>
        </w:rPr>
        <w:t>to monitor</w:t>
      </w:r>
      <w:r w:rsidR="0043792B" w:rsidRPr="0043792B">
        <w:rPr>
          <w:noProof/>
          <w:lang w:val="en-US"/>
        </w:rPr>
        <w:t xml:space="preserve"> the extent and environmental impact of </w:t>
      </w:r>
      <w:r w:rsidR="0043792B">
        <w:rPr>
          <w:noProof/>
          <w:lang w:val="en-US"/>
        </w:rPr>
        <w:t>marine oil</w:t>
      </w:r>
      <w:r w:rsidR="0043792B" w:rsidRPr="0043792B">
        <w:rPr>
          <w:noProof/>
          <w:lang w:val="en-US"/>
        </w:rPr>
        <w:t xml:space="preserve"> pollution caus</w:t>
      </w:r>
      <w:r w:rsidR="0043792B">
        <w:rPr>
          <w:noProof/>
          <w:lang w:val="en-US"/>
        </w:rPr>
        <w:t xml:space="preserve">ed by oil and gas installations. </w:t>
      </w:r>
      <w:r w:rsidR="0043792B" w:rsidRPr="0043792B">
        <w:rPr>
          <w:noProof/>
          <w:lang w:val="en-US"/>
        </w:rPr>
        <w:t xml:space="preserve"> </w:t>
      </w:r>
    </w:p>
    <w:p w14:paraId="5DB31002" w14:textId="77777777" w:rsidR="002225E4" w:rsidRPr="002225E4" w:rsidRDefault="004140CE" w:rsidP="004140CE">
      <w:pPr>
        <w:pStyle w:val="Point0"/>
        <w:ind w:left="0" w:firstLine="0"/>
        <w:rPr>
          <w:noProof/>
          <w:lang w:val="en-US"/>
        </w:rPr>
      </w:pPr>
      <w:r>
        <w:rPr>
          <w:noProof/>
        </w:rPr>
        <w:t>4.</w:t>
      </w:r>
      <w:r>
        <w:rPr>
          <w:noProof/>
        </w:rPr>
        <w:tab/>
      </w:r>
      <w:r w:rsidR="002225E4">
        <w:rPr>
          <w:noProof/>
        </w:rPr>
        <w:t xml:space="preserve">The Agency shall </w:t>
      </w:r>
      <w:r w:rsidR="002225E4" w:rsidRPr="002225E4">
        <w:rPr>
          <w:noProof/>
        </w:rPr>
        <w:t>assist the Commission</w:t>
      </w:r>
      <w:r w:rsidR="003722A2">
        <w:rPr>
          <w:noProof/>
        </w:rPr>
        <w:t xml:space="preserve"> and the Member States in the implementation of </w:t>
      </w:r>
      <w:r w:rsidR="003722A2" w:rsidRPr="003722A2">
        <w:rPr>
          <w:noProof/>
        </w:rPr>
        <w:t>Directive (EU) 2019/883</w:t>
      </w:r>
      <w:r w:rsidR="003722A2" w:rsidRPr="003722A2">
        <w:rPr>
          <w:b/>
          <w:bCs/>
          <w:noProof/>
        </w:rPr>
        <w:t xml:space="preserve"> </w:t>
      </w:r>
      <w:r w:rsidR="003722A2" w:rsidRPr="003722A2">
        <w:rPr>
          <w:bCs/>
          <w:noProof/>
        </w:rPr>
        <w:t>on port reception facilities for the delivery of waste from ships</w:t>
      </w:r>
      <w:r w:rsidR="003722A2">
        <w:rPr>
          <w:bCs/>
          <w:noProof/>
        </w:rPr>
        <w:t xml:space="preserve">. In particular, the Agency shall assist the Commission </w:t>
      </w:r>
      <w:r w:rsidR="002225E4" w:rsidRPr="002225E4">
        <w:rPr>
          <w:noProof/>
        </w:rPr>
        <w:t xml:space="preserve">in the development and maintenance of the </w:t>
      </w:r>
      <w:r w:rsidR="007668D4">
        <w:rPr>
          <w:noProof/>
        </w:rPr>
        <w:t xml:space="preserve">inspection </w:t>
      </w:r>
      <w:r w:rsidR="002225E4" w:rsidRPr="002225E4">
        <w:rPr>
          <w:noProof/>
        </w:rPr>
        <w:t xml:space="preserve">database provided </w:t>
      </w:r>
      <w:r w:rsidR="00780058">
        <w:rPr>
          <w:noProof/>
        </w:rPr>
        <w:t xml:space="preserve">for </w:t>
      </w:r>
      <w:r w:rsidR="002225E4" w:rsidRPr="002225E4">
        <w:rPr>
          <w:noProof/>
        </w:rPr>
        <w:t>in Article 1</w:t>
      </w:r>
      <w:r w:rsidR="002225E4">
        <w:rPr>
          <w:noProof/>
        </w:rPr>
        <w:t xml:space="preserve">4 of </w:t>
      </w:r>
      <w:r w:rsidR="00780058">
        <w:rPr>
          <w:noProof/>
        </w:rPr>
        <w:t xml:space="preserve"> that </w:t>
      </w:r>
      <w:r w:rsidR="002225E4" w:rsidRPr="002225E4">
        <w:rPr>
          <w:noProof/>
        </w:rPr>
        <w:t xml:space="preserve">Directive. </w:t>
      </w:r>
    </w:p>
    <w:p w14:paraId="397A03AE" w14:textId="77777777" w:rsidR="00BB49DB" w:rsidRPr="00DD14F1" w:rsidRDefault="004140CE" w:rsidP="007456EE">
      <w:pPr>
        <w:pStyle w:val="Point0"/>
        <w:ind w:left="0" w:firstLine="0"/>
        <w:rPr>
          <w:noProof/>
        </w:rPr>
      </w:pPr>
      <w:r>
        <w:rPr>
          <w:noProof/>
          <w:lang w:val="en-US"/>
        </w:rPr>
        <w:t>5.</w:t>
      </w:r>
      <w:r>
        <w:rPr>
          <w:noProof/>
          <w:lang w:val="en-US"/>
        </w:rPr>
        <w:tab/>
      </w:r>
      <w:r w:rsidR="00BB49DB">
        <w:rPr>
          <w:noProof/>
        </w:rPr>
        <w:t>The Agency shall assist the Commission</w:t>
      </w:r>
      <w:r w:rsidR="003722A2">
        <w:rPr>
          <w:noProof/>
        </w:rPr>
        <w:t xml:space="preserve"> and the Member States</w:t>
      </w:r>
      <w:r w:rsidR="00BB49DB">
        <w:rPr>
          <w:noProof/>
        </w:rPr>
        <w:t xml:space="preserve"> </w:t>
      </w:r>
      <w:r w:rsidR="00BB49DB" w:rsidRPr="00E36C7B">
        <w:rPr>
          <w:noProof/>
          <w:lang w:val="en-US"/>
        </w:rPr>
        <w:t>in the context of the implementation of Directive 2008/56/</w:t>
      </w:r>
      <w:r w:rsidR="00223CD8">
        <w:rPr>
          <w:noProof/>
          <w:lang w:val="en-US"/>
        </w:rPr>
        <w:t>EC</w:t>
      </w:r>
      <w:r w:rsidR="00BB49DB" w:rsidRPr="00AD343D">
        <w:rPr>
          <w:noProof/>
          <w:lang w:val="en-US"/>
        </w:rPr>
        <w:t>,</w:t>
      </w:r>
      <w:r w:rsidR="00BB49DB" w:rsidRPr="00E36C7B">
        <w:rPr>
          <w:noProof/>
          <w:lang w:val="en-US"/>
        </w:rPr>
        <w:t xml:space="preserve"> by contributing to the objective of achieving good environmental status of marine waters with its shipping-related elements and in exploiting the results of ex</w:t>
      </w:r>
      <w:r w:rsidR="00BB49DB">
        <w:rPr>
          <w:noProof/>
          <w:lang w:val="en-US"/>
        </w:rPr>
        <w:t xml:space="preserve">isting tools such as </w:t>
      </w:r>
      <w:r w:rsidR="00B56251">
        <w:rPr>
          <w:noProof/>
          <w:lang w:val="en-US"/>
        </w:rPr>
        <w:t>the Integrated Maritime Services</w:t>
      </w:r>
      <w:r w:rsidR="00BB49DB">
        <w:rPr>
          <w:noProof/>
          <w:lang w:val="en-US"/>
        </w:rPr>
        <w:t>. In this regard, the Agency shall conduct further research in issues related to lost containers</w:t>
      </w:r>
      <w:r w:rsidR="004C430E">
        <w:rPr>
          <w:noProof/>
          <w:lang w:val="en-US"/>
        </w:rPr>
        <w:t>, including plastic pellets,</w:t>
      </w:r>
      <w:r w:rsidR="00BB49DB">
        <w:rPr>
          <w:noProof/>
          <w:lang w:val="en-US"/>
        </w:rPr>
        <w:t xml:space="preserve"> and underwater noise and provide recommendations to the Commission and the Member States.</w:t>
      </w:r>
      <w:r w:rsidR="00DD14F1">
        <w:rPr>
          <w:noProof/>
          <w:lang w:val="en-US"/>
        </w:rPr>
        <w:t xml:space="preserve"> </w:t>
      </w:r>
    </w:p>
    <w:p w14:paraId="18EBF3B8" w14:textId="77777777" w:rsidR="003B4533" w:rsidRDefault="004140CE" w:rsidP="007456EE">
      <w:pPr>
        <w:pStyle w:val="Point0"/>
        <w:ind w:left="0" w:firstLine="0"/>
        <w:rPr>
          <w:noProof/>
        </w:rPr>
      </w:pPr>
      <w:r>
        <w:rPr>
          <w:noProof/>
        </w:rPr>
        <w:t>6.</w:t>
      </w:r>
      <w:r>
        <w:rPr>
          <w:noProof/>
        </w:rPr>
        <w:tab/>
      </w:r>
      <w:r w:rsidR="00D749C3" w:rsidRPr="00D749C3">
        <w:rPr>
          <w:noProof/>
        </w:rPr>
        <w:t xml:space="preserve">The Agency shall assist the </w:t>
      </w:r>
      <w:r w:rsidR="00E932F8">
        <w:rPr>
          <w:noProof/>
        </w:rPr>
        <w:t xml:space="preserve">Commission and the </w:t>
      </w:r>
      <w:r w:rsidR="005D36D3">
        <w:rPr>
          <w:noProof/>
        </w:rPr>
        <w:t>Member States</w:t>
      </w:r>
      <w:r w:rsidR="004C430E">
        <w:rPr>
          <w:noProof/>
        </w:rPr>
        <w:t>, including</w:t>
      </w:r>
      <w:r w:rsidR="005D36D3">
        <w:rPr>
          <w:noProof/>
        </w:rPr>
        <w:t xml:space="preserve"> with operational tools and services</w:t>
      </w:r>
      <w:r w:rsidR="004C430E">
        <w:rPr>
          <w:noProof/>
        </w:rPr>
        <w:t>,</w:t>
      </w:r>
      <w:r w:rsidR="00D749C3" w:rsidRPr="00D749C3">
        <w:rPr>
          <w:noProof/>
        </w:rPr>
        <w:t xml:space="preserve"> in the </w:t>
      </w:r>
      <w:r w:rsidR="005D36D3">
        <w:rPr>
          <w:noProof/>
        </w:rPr>
        <w:t xml:space="preserve">implementation of </w:t>
      </w:r>
      <w:r w:rsidR="003722A2">
        <w:rPr>
          <w:noProof/>
        </w:rPr>
        <w:t>the shipping-related elements</w:t>
      </w:r>
      <w:r w:rsidR="005D36D3">
        <w:rPr>
          <w:noProof/>
        </w:rPr>
        <w:t xml:space="preserve"> of Directive (EU) 2016/802. In this regard, the Agency shall</w:t>
      </w:r>
      <w:r w:rsidR="005D36D3" w:rsidRPr="005D36D3">
        <w:rPr>
          <w:noProof/>
        </w:rPr>
        <w:t xml:space="preserve"> </w:t>
      </w:r>
      <w:r w:rsidR="005D36D3">
        <w:rPr>
          <w:noProof/>
        </w:rPr>
        <w:t xml:space="preserve">also </w:t>
      </w:r>
      <w:r w:rsidR="004C430E">
        <w:rPr>
          <w:noProof/>
        </w:rPr>
        <w:t>enhance</w:t>
      </w:r>
      <w:r w:rsidR="004C430E" w:rsidRPr="00D749C3">
        <w:rPr>
          <w:noProof/>
        </w:rPr>
        <w:t xml:space="preserve"> </w:t>
      </w:r>
      <w:r w:rsidR="00D749C3" w:rsidRPr="00D749C3">
        <w:rPr>
          <w:noProof/>
        </w:rPr>
        <w:t xml:space="preserve">and </w:t>
      </w:r>
      <w:r w:rsidR="005D36D3">
        <w:rPr>
          <w:noProof/>
        </w:rPr>
        <w:t>maintain a database providing assistance to the Member States on targeting</w:t>
      </w:r>
      <w:r w:rsidR="004C430E">
        <w:rPr>
          <w:noProof/>
        </w:rPr>
        <w:t xml:space="preserve"> and prioritising</w:t>
      </w:r>
      <w:r w:rsidR="005D36D3">
        <w:rPr>
          <w:noProof/>
        </w:rPr>
        <w:t xml:space="preserve"> appropriately</w:t>
      </w:r>
      <w:r w:rsidR="000F47F5">
        <w:rPr>
          <w:noProof/>
        </w:rPr>
        <w:t xml:space="preserve"> </w:t>
      </w:r>
      <w:r w:rsidR="005D36D3">
        <w:rPr>
          <w:noProof/>
        </w:rPr>
        <w:t>ships</w:t>
      </w:r>
      <w:r w:rsidR="004C430E">
        <w:rPr>
          <w:noProof/>
        </w:rPr>
        <w:t xml:space="preserve"> for inspections based on risk of non compliance </w:t>
      </w:r>
      <w:r w:rsidR="00223CD8">
        <w:rPr>
          <w:noProof/>
        </w:rPr>
        <w:t>with that</w:t>
      </w:r>
      <w:r w:rsidR="005D36D3">
        <w:rPr>
          <w:noProof/>
        </w:rPr>
        <w:t xml:space="preserve"> Directive</w:t>
      </w:r>
      <w:r w:rsidR="004C430E">
        <w:rPr>
          <w:noProof/>
        </w:rPr>
        <w:t xml:space="preserve">. </w:t>
      </w:r>
      <w:r w:rsidR="005D36D3">
        <w:rPr>
          <w:noProof/>
        </w:rPr>
        <w:t xml:space="preserve"> </w:t>
      </w:r>
    </w:p>
    <w:p w14:paraId="2EF19497" w14:textId="77777777" w:rsidR="008E1E5E" w:rsidRPr="00260101" w:rsidRDefault="004140CE" w:rsidP="007456EE">
      <w:pPr>
        <w:pStyle w:val="Point0"/>
        <w:ind w:left="0" w:firstLine="0"/>
        <w:rPr>
          <w:noProof/>
        </w:rPr>
      </w:pPr>
      <w:r>
        <w:rPr>
          <w:noProof/>
        </w:rPr>
        <w:t>7.</w:t>
      </w:r>
      <w:r>
        <w:rPr>
          <w:noProof/>
        </w:rPr>
        <w:tab/>
      </w:r>
      <w:r w:rsidR="008E1E5E">
        <w:rPr>
          <w:noProof/>
        </w:rPr>
        <w:t xml:space="preserve">The Agency shall assist the Commission and the Member States, upon their request, with </w:t>
      </w:r>
      <w:r w:rsidR="008E1E5E" w:rsidRPr="00260101">
        <w:rPr>
          <w:noProof/>
        </w:rPr>
        <w:t>appropriate</w:t>
      </w:r>
      <w:r w:rsidR="002B0BEF">
        <w:rPr>
          <w:noProof/>
        </w:rPr>
        <w:t xml:space="preserve"> operational</w:t>
      </w:r>
      <w:r w:rsidR="008E1E5E">
        <w:rPr>
          <w:noProof/>
        </w:rPr>
        <w:t xml:space="preserve"> tools </w:t>
      </w:r>
      <w:r w:rsidR="00E36C7B">
        <w:rPr>
          <w:noProof/>
        </w:rPr>
        <w:t xml:space="preserve">and services </w:t>
      </w:r>
      <w:r w:rsidR="008E1E5E">
        <w:rPr>
          <w:noProof/>
        </w:rPr>
        <w:t xml:space="preserve">on the </w:t>
      </w:r>
      <w:r w:rsidR="004C430E">
        <w:rPr>
          <w:noProof/>
        </w:rPr>
        <w:t xml:space="preserve">monitoring and </w:t>
      </w:r>
      <w:r w:rsidR="008E1E5E">
        <w:rPr>
          <w:noProof/>
        </w:rPr>
        <w:t>collection of data in relation to nitrogen oxides (NOx) emissions from ships.</w:t>
      </w:r>
      <w:r w:rsidR="002B0BEF">
        <w:rPr>
          <w:noProof/>
        </w:rPr>
        <w:t xml:space="preserve"> </w:t>
      </w:r>
    </w:p>
    <w:p w14:paraId="04DE27EC" w14:textId="77777777" w:rsidR="002225E4" w:rsidRPr="00B61380" w:rsidRDefault="004140CE" w:rsidP="007456EE">
      <w:pPr>
        <w:pStyle w:val="Point0"/>
        <w:ind w:left="0" w:firstLine="0"/>
        <w:rPr>
          <w:noProof/>
        </w:rPr>
      </w:pPr>
      <w:r>
        <w:rPr>
          <w:noProof/>
          <w:lang w:val="en-US"/>
        </w:rPr>
        <w:t>8.</w:t>
      </w:r>
      <w:r>
        <w:rPr>
          <w:noProof/>
          <w:lang w:val="en-US"/>
        </w:rPr>
        <w:tab/>
      </w:r>
      <w:r w:rsidR="008E1E5E">
        <w:rPr>
          <w:noProof/>
          <w:lang w:val="en-US"/>
        </w:rPr>
        <w:t xml:space="preserve">The Agency shall assist the Commission and the Member States in the implementation of Regulation </w:t>
      </w:r>
      <w:r w:rsidR="008E1E5E" w:rsidRPr="008E1E5E">
        <w:rPr>
          <w:noProof/>
        </w:rPr>
        <w:t>(EU) No 1257/2013</w:t>
      </w:r>
      <w:r w:rsidR="008E1E5E">
        <w:rPr>
          <w:noProof/>
        </w:rPr>
        <w:t xml:space="preserve"> </w:t>
      </w:r>
      <w:r w:rsidR="006D694B" w:rsidRPr="006D694B">
        <w:rPr>
          <w:noProof/>
        </w:rPr>
        <w:t>of the European Parliament and of the Council</w:t>
      </w:r>
      <w:r w:rsidR="006D694B" w:rsidRPr="00841708">
        <w:rPr>
          <w:rStyle w:val="FootnoteReference"/>
          <w:noProof/>
        </w:rPr>
        <w:footnoteReference w:id="43"/>
      </w:r>
      <w:r w:rsidR="006D694B" w:rsidRPr="006D694B">
        <w:rPr>
          <w:noProof/>
        </w:rPr>
        <w:t xml:space="preserve"> </w:t>
      </w:r>
      <w:r w:rsidR="00720428">
        <w:rPr>
          <w:noProof/>
        </w:rPr>
        <w:t xml:space="preserve">by issuing appropriate guidance </w:t>
      </w:r>
      <w:r w:rsidR="00720428" w:rsidRPr="00720428">
        <w:rPr>
          <w:noProof/>
        </w:rPr>
        <w:t xml:space="preserve">and </w:t>
      </w:r>
      <w:r w:rsidR="002D369F">
        <w:rPr>
          <w:noProof/>
        </w:rPr>
        <w:t xml:space="preserve">through </w:t>
      </w:r>
      <w:r w:rsidR="008E1E5E">
        <w:rPr>
          <w:noProof/>
        </w:rPr>
        <w:t xml:space="preserve">the collection and analysis of data on </w:t>
      </w:r>
      <w:r w:rsidR="008E1E5E" w:rsidRPr="00021500">
        <w:rPr>
          <w:noProof/>
          <w:lang w:val="en-US"/>
        </w:rPr>
        <w:t>compliance</w:t>
      </w:r>
      <w:r w:rsidR="008E1E5E">
        <w:rPr>
          <w:noProof/>
        </w:rPr>
        <w:t xml:space="preserve"> with the provision</w:t>
      </w:r>
      <w:r w:rsidR="00720428">
        <w:rPr>
          <w:noProof/>
        </w:rPr>
        <w:t>s</w:t>
      </w:r>
      <w:r w:rsidR="008E1E5E">
        <w:rPr>
          <w:noProof/>
        </w:rPr>
        <w:t xml:space="preserve"> of </w:t>
      </w:r>
      <w:r w:rsidR="006D694B">
        <w:rPr>
          <w:noProof/>
        </w:rPr>
        <w:t>that</w:t>
      </w:r>
      <w:r w:rsidR="008E1E5E">
        <w:rPr>
          <w:noProof/>
        </w:rPr>
        <w:t xml:space="preserve"> Regulation.</w:t>
      </w:r>
      <w:r w:rsidR="00B61380" w:rsidRPr="00B61380">
        <w:rPr>
          <w:noProof/>
        </w:rPr>
        <w:t xml:space="preserve"> </w:t>
      </w:r>
    </w:p>
    <w:p w14:paraId="59AE2BA6" w14:textId="77777777" w:rsidR="00B56251" w:rsidRPr="008E1E5E" w:rsidRDefault="004140CE" w:rsidP="007456EE">
      <w:pPr>
        <w:pStyle w:val="Point0"/>
        <w:ind w:left="0" w:firstLine="0"/>
        <w:rPr>
          <w:noProof/>
          <w:lang w:val="en-US"/>
        </w:rPr>
      </w:pPr>
      <w:r>
        <w:rPr>
          <w:noProof/>
        </w:rPr>
        <w:t>9.</w:t>
      </w:r>
      <w:r>
        <w:rPr>
          <w:noProof/>
        </w:rPr>
        <w:tab/>
      </w:r>
      <w:r w:rsidR="00B56251">
        <w:rPr>
          <w:noProof/>
        </w:rPr>
        <w:t xml:space="preserve">The Agency shall every </w:t>
      </w:r>
      <w:r w:rsidR="00E02A29">
        <w:rPr>
          <w:noProof/>
        </w:rPr>
        <w:t>three</w:t>
      </w:r>
      <w:r w:rsidR="00B56251">
        <w:rPr>
          <w:noProof/>
        </w:rPr>
        <w:t xml:space="preserve"> years present to the Commission a report on the progress made in </w:t>
      </w:r>
      <w:r w:rsidR="002D369F">
        <w:rPr>
          <w:noProof/>
        </w:rPr>
        <w:t xml:space="preserve">reducing </w:t>
      </w:r>
      <w:r w:rsidR="00B56251">
        <w:rPr>
          <w:noProof/>
        </w:rPr>
        <w:t>the environmental impact of maritime transport at the Union level.</w:t>
      </w:r>
    </w:p>
    <w:p w14:paraId="09CD71E0" w14:textId="77777777" w:rsidR="008E1E5E" w:rsidRDefault="008E1E5E" w:rsidP="008F3E00">
      <w:pPr>
        <w:pStyle w:val="ListParagraph"/>
        <w:spacing w:before="0" w:after="200"/>
        <w:rPr>
          <w:noProof/>
          <w:lang w:val="en-US"/>
        </w:rPr>
      </w:pPr>
    </w:p>
    <w:p w14:paraId="29964770" w14:textId="77777777" w:rsidR="00021500" w:rsidRDefault="00021500" w:rsidP="008F3E00">
      <w:pPr>
        <w:pStyle w:val="Titrearticle"/>
        <w:spacing w:before="0" w:after="200"/>
        <w:rPr>
          <w:noProof/>
        </w:rPr>
      </w:pPr>
      <w:r>
        <w:rPr>
          <w:noProof/>
        </w:rPr>
        <w:t xml:space="preserve">Article </w:t>
      </w:r>
      <w:r w:rsidR="001A3898">
        <w:rPr>
          <w:noProof/>
        </w:rPr>
        <w:t>6</w:t>
      </w:r>
    </w:p>
    <w:p w14:paraId="053F5BD9" w14:textId="77777777" w:rsidR="00021500" w:rsidRDefault="00021500" w:rsidP="002A54AE">
      <w:pPr>
        <w:spacing w:before="0" w:after="200"/>
        <w:jc w:val="center"/>
        <w:rPr>
          <w:b/>
          <w:noProof/>
        </w:rPr>
      </w:pPr>
      <w:r w:rsidRPr="00566A6F">
        <w:rPr>
          <w:b/>
          <w:noProof/>
        </w:rPr>
        <w:t xml:space="preserve">Tasks relating to </w:t>
      </w:r>
      <w:r w:rsidR="0026555B">
        <w:rPr>
          <w:b/>
          <w:noProof/>
        </w:rPr>
        <w:t>decarbonisation</w:t>
      </w:r>
    </w:p>
    <w:p w14:paraId="6AB3443C" w14:textId="77777777" w:rsidR="00B24458" w:rsidRPr="002C10CA" w:rsidRDefault="002C10CA" w:rsidP="002C10CA">
      <w:pPr>
        <w:pStyle w:val="Point0"/>
        <w:ind w:left="0" w:firstLine="0"/>
        <w:rPr>
          <w:noProof/>
          <w:lang w:val="en-US"/>
        </w:rPr>
      </w:pPr>
      <w:r>
        <w:rPr>
          <w:noProof/>
          <w:lang w:val="en-US"/>
        </w:rPr>
        <w:t>1.</w:t>
      </w:r>
      <w:r>
        <w:rPr>
          <w:noProof/>
          <w:lang w:val="en-US"/>
        </w:rPr>
        <w:tab/>
      </w:r>
      <w:r w:rsidR="00BB49DB" w:rsidRPr="002C10CA">
        <w:rPr>
          <w:noProof/>
          <w:lang w:val="en-US"/>
        </w:rPr>
        <w:t>The Agency shall monitor progress on the operational</w:t>
      </w:r>
      <w:r w:rsidR="00521CF0">
        <w:rPr>
          <w:noProof/>
          <w:lang w:val="en-US"/>
        </w:rPr>
        <w:t xml:space="preserve"> and technical</w:t>
      </w:r>
      <w:r w:rsidR="00BB49DB" w:rsidRPr="002C10CA">
        <w:rPr>
          <w:noProof/>
          <w:lang w:val="en-US"/>
        </w:rPr>
        <w:t xml:space="preserve"> measures undertaken </w:t>
      </w:r>
      <w:r w:rsidR="00AA64C2" w:rsidRPr="00AA64C2">
        <w:rPr>
          <w:noProof/>
        </w:rPr>
        <w:t xml:space="preserve">to increase the energy efficiency of ships </w:t>
      </w:r>
      <w:r w:rsidR="00DA62DB" w:rsidRPr="002C10CA">
        <w:rPr>
          <w:noProof/>
          <w:lang w:val="en-US"/>
        </w:rPr>
        <w:t xml:space="preserve">and the deployment of </w:t>
      </w:r>
      <w:r w:rsidR="00AA64C2" w:rsidRPr="002C10CA">
        <w:rPr>
          <w:bCs/>
          <w:noProof/>
        </w:rPr>
        <w:t>sustainable alternative fuels, energy and power systems for ships</w:t>
      </w:r>
      <w:r w:rsidR="00FB54E4">
        <w:rPr>
          <w:noProof/>
        </w:rPr>
        <w:t>,</w:t>
      </w:r>
      <w:r w:rsidR="00FB54E4" w:rsidRPr="002C10CA">
        <w:rPr>
          <w:noProof/>
          <w:lang w:val="en-US"/>
        </w:rPr>
        <w:t xml:space="preserve"> </w:t>
      </w:r>
      <w:r w:rsidR="00BB49DB" w:rsidRPr="002C10CA">
        <w:rPr>
          <w:noProof/>
          <w:lang w:val="en-US"/>
        </w:rPr>
        <w:t>including onshore power supply</w:t>
      </w:r>
      <w:r w:rsidR="00521CF0">
        <w:rPr>
          <w:noProof/>
          <w:lang w:val="en-US"/>
        </w:rPr>
        <w:t xml:space="preserve"> and wind propulsion assistance</w:t>
      </w:r>
      <w:r w:rsidR="00FB54E4" w:rsidRPr="002C10CA">
        <w:rPr>
          <w:noProof/>
          <w:lang w:val="en-US"/>
        </w:rPr>
        <w:t>,</w:t>
      </w:r>
      <w:r w:rsidR="00DA62DB" w:rsidRPr="00BB49DB">
        <w:rPr>
          <w:noProof/>
        </w:rPr>
        <w:t xml:space="preserve"> </w:t>
      </w:r>
      <w:r w:rsidR="00DA62DB" w:rsidRPr="002C10CA">
        <w:rPr>
          <w:noProof/>
          <w:lang w:val="en-US"/>
        </w:rPr>
        <w:t>to reduce greenhouse gas emissions from ships</w:t>
      </w:r>
      <w:r w:rsidR="00BB49DB" w:rsidRPr="002C10CA">
        <w:rPr>
          <w:noProof/>
          <w:lang w:val="en-US"/>
        </w:rPr>
        <w:t xml:space="preserve">. </w:t>
      </w:r>
      <w:r w:rsidR="00E02A29" w:rsidRPr="002C10CA">
        <w:rPr>
          <w:noProof/>
          <w:lang w:val="en-US"/>
        </w:rPr>
        <w:t xml:space="preserve"> </w:t>
      </w:r>
    </w:p>
    <w:p w14:paraId="7A4D98AC" w14:textId="77777777" w:rsidR="00BB49DB" w:rsidRPr="002C10CA" w:rsidRDefault="002C10CA" w:rsidP="002C10CA">
      <w:pPr>
        <w:pStyle w:val="Point0"/>
        <w:ind w:left="0" w:firstLine="0"/>
        <w:rPr>
          <w:noProof/>
          <w:lang w:val="en-US"/>
        </w:rPr>
      </w:pPr>
      <w:r>
        <w:rPr>
          <w:noProof/>
          <w:lang w:val="en-US"/>
        </w:rPr>
        <w:t>2.</w:t>
      </w:r>
      <w:r>
        <w:rPr>
          <w:noProof/>
          <w:lang w:val="en-US"/>
        </w:rPr>
        <w:tab/>
      </w:r>
      <w:r w:rsidR="00B24458" w:rsidRPr="002C10CA">
        <w:rPr>
          <w:noProof/>
          <w:lang w:val="en-US"/>
        </w:rPr>
        <w:t xml:space="preserve">The Agency shall provide technical assistance to the Commission and the Member States, upon their request, in relation to </w:t>
      </w:r>
      <w:r w:rsidR="002D369F">
        <w:rPr>
          <w:noProof/>
          <w:lang w:val="en-US"/>
        </w:rPr>
        <w:t>regulatory efforts to reduce</w:t>
      </w:r>
      <w:r w:rsidR="002D369F" w:rsidRPr="002C10CA">
        <w:rPr>
          <w:noProof/>
          <w:lang w:val="en-US"/>
        </w:rPr>
        <w:t xml:space="preserve"> </w:t>
      </w:r>
      <w:r w:rsidR="00B24458" w:rsidRPr="002C10CA">
        <w:rPr>
          <w:noProof/>
          <w:lang w:val="en-US"/>
        </w:rPr>
        <w:t xml:space="preserve">greenhouse gas emissions from ships. </w:t>
      </w:r>
      <w:r w:rsidR="00BB49DB" w:rsidRPr="002C10CA">
        <w:rPr>
          <w:noProof/>
          <w:lang w:val="en-US"/>
        </w:rPr>
        <w:t xml:space="preserve">In this regard, the Agency </w:t>
      </w:r>
      <w:r w:rsidR="00335E16" w:rsidRPr="002C10CA">
        <w:rPr>
          <w:noProof/>
          <w:lang w:val="en-US"/>
        </w:rPr>
        <w:t>may</w:t>
      </w:r>
      <w:r w:rsidR="00BB49DB" w:rsidRPr="002C10CA">
        <w:rPr>
          <w:noProof/>
          <w:lang w:val="en-US"/>
        </w:rPr>
        <w:t xml:space="preserve"> </w:t>
      </w:r>
      <w:r w:rsidR="00335E16" w:rsidRPr="002C10CA">
        <w:rPr>
          <w:noProof/>
          <w:lang w:val="en-US"/>
        </w:rPr>
        <w:t xml:space="preserve">utilize any operational tools or services pertinent to the </w:t>
      </w:r>
      <w:r w:rsidR="00432B54" w:rsidRPr="002C10CA">
        <w:rPr>
          <w:noProof/>
          <w:lang w:val="en-US"/>
        </w:rPr>
        <w:t>task</w:t>
      </w:r>
      <w:r w:rsidR="00432B54">
        <w:rPr>
          <w:noProof/>
          <w:lang w:val="en-US"/>
        </w:rPr>
        <w:t xml:space="preserve">. The Agency </w:t>
      </w:r>
      <w:r w:rsidR="00335E16" w:rsidRPr="002C10CA">
        <w:rPr>
          <w:noProof/>
          <w:lang w:val="en-US"/>
        </w:rPr>
        <w:t>shall in particular</w:t>
      </w:r>
      <w:r w:rsidR="00BB49DB" w:rsidRPr="002C10CA">
        <w:rPr>
          <w:noProof/>
          <w:lang w:val="en-US"/>
        </w:rPr>
        <w:t xml:space="preserve"> research, analy</w:t>
      </w:r>
      <w:r w:rsidR="00432B54">
        <w:rPr>
          <w:noProof/>
          <w:lang w:val="en-US"/>
        </w:rPr>
        <w:t>s</w:t>
      </w:r>
      <w:r w:rsidR="00BB49DB" w:rsidRPr="002C10CA">
        <w:rPr>
          <w:noProof/>
          <w:lang w:val="en-US"/>
        </w:rPr>
        <w:t xml:space="preserve">e and propose relevant guidance or recommendations in relation to the uptake and deployment of </w:t>
      </w:r>
      <w:r w:rsidR="00C43947" w:rsidRPr="002C10CA">
        <w:rPr>
          <w:bCs/>
          <w:noProof/>
        </w:rPr>
        <w:t>sustainable alternative fuels, energy and power systems for ships</w:t>
      </w:r>
      <w:r w:rsidR="00C43947" w:rsidRPr="00C43947">
        <w:rPr>
          <w:noProof/>
        </w:rPr>
        <w:t>,</w:t>
      </w:r>
      <w:r w:rsidR="00C43947" w:rsidRPr="002C10CA">
        <w:rPr>
          <w:noProof/>
          <w:lang w:val="en-US"/>
        </w:rPr>
        <w:t xml:space="preserve"> including onshore power supply</w:t>
      </w:r>
      <w:r w:rsidR="00521CF0" w:rsidRPr="00521CF0">
        <w:rPr>
          <w:noProof/>
          <w:lang w:val="en-US"/>
        </w:rPr>
        <w:t xml:space="preserve"> and wind propulsion assistance as well as in relation to energy efficiency measures.</w:t>
      </w:r>
    </w:p>
    <w:p w14:paraId="0DE6E763" w14:textId="77777777" w:rsidR="00C43947" w:rsidRPr="002C10CA" w:rsidRDefault="002C10CA" w:rsidP="002C10CA">
      <w:pPr>
        <w:pStyle w:val="Point0"/>
        <w:ind w:left="0" w:firstLine="0"/>
        <w:rPr>
          <w:noProof/>
          <w:lang w:val="en-US"/>
        </w:rPr>
      </w:pPr>
      <w:r>
        <w:rPr>
          <w:noProof/>
          <w:lang w:val="en-US"/>
        </w:rPr>
        <w:t>3.</w:t>
      </w:r>
      <w:r>
        <w:rPr>
          <w:noProof/>
          <w:lang w:val="en-US"/>
        </w:rPr>
        <w:tab/>
      </w:r>
      <w:r w:rsidR="00AD452C" w:rsidRPr="002C10CA">
        <w:rPr>
          <w:noProof/>
          <w:lang w:val="en-US"/>
        </w:rPr>
        <w:t xml:space="preserve">The Agency shall assist the Commission and the Member States </w:t>
      </w:r>
      <w:r w:rsidR="00521CF0" w:rsidRPr="002C10CA">
        <w:rPr>
          <w:noProof/>
          <w:lang w:val="en-US"/>
        </w:rPr>
        <w:t xml:space="preserve">in </w:t>
      </w:r>
      <w:r w:rsidR="00521CF0" w:rsidRPr="00AA64C2">
        <w:rPr>
          <w:noProof/>
        </w:rPr>
        <w:t>the</w:t>
      </w:r>
      <w:r w:rsidR="00AD452C">
        <w:rPr>
          <w:noProof/>
        </w:rPr>
        <w:t xml:space="preserve"> implementation of </w:t>
      </w:r>
      <w:r w:rsidR="00AD452C" w:rsidRPr="002C10CA">
        <w:rPr>
          <w:noProof/>
          <w:lang w:val="en-US"/>
        </w:rPr>
        <w:t>Regulation (EU)[.., on</w:t>
      </w:r>
      <w:r w:rsidR="00AD452C" w:rsidRPr="002C10CA">
        <w:rPr>
          <w:b/>
          <w:bCs/>
          <w:noProof/>
          <w:lang w:val="en-US"/>
        </w:rPr>
        <w:t> </w:t>
      </w:r>
      <w:r w:rsidR="00AD452C" w:rsidRPr="007F2B6F">
        <w:rPr>
          <w:noProof/>
        </w:rPr>
        <w:t>the use of renewable and low-car</w:t>
      </w:r>
      <w:r w:rsidR="00C43947">
        <w:rPr>
          <w:noProof/>
        </w:rPr>
        <w:t>bon fuels in maritime transport</w:t>
      </w:r>
      <w:r w:rsidR="00432B54">
        <w:rPr>
          <w:noProof/>
        </w:rPr>
        <w:t>]</w:t>
      </w:r>
      <w:r w:rsidR="00AD452C">
        <w:rPr>
          <w:noProof/>
        </w:rPr>
        <w:t xml:space="preserve">. </w:t>
      </w:r>
      <w:r w:rsidR="00C43947" w:rsidRPr="00C43947">
        <w:rPr>
          <w:noProof/>
        </w:rPr>
        <w:t xml:space="preserve">In particular, the Agency shall assist the Commission with the  development and maintenance of the FuelEU database and other relevant IT tools as referred to in </w:t>
      </w:r>
      <w:r w:rsidR="00C43947">
        <w:rPr>
          <w:noProof/>
        </w:rPr>
        <w:t>[</w:t>
      </w:r>
      <w:r w:rsidR="00C43947" w:rsidRPr="00C43947">
        <w:rPr>
          <w:noProof/>
        </w:rPr>
        <w:t>Article 16</w:t>
      </w:r>
      <w:r w:rsidR="00C43947">
        <w:rPr>
          <w:noProof/>
        </w:rPr>
        <w:t>]</w:t>
      </w:r>
      <w:r w:rsidR="00C43947" w:rsidRPr="00C43947">
        <w:rPr>
          <w:noProof/>
        </w:rPr>
        <w:t xml:space="preserve"> of that Regulation, in the development of the appropriate monitoring tools, guidance and risk-based targeting tools to facilitate verification and enforcement activities </w:t>
      </w:r>
      <w:r w:rsidR="00432B54">
        <w:rPr>
          <w:noProof/>
        </w:rPr>
        <w:t>provided for in</w:t>
      </w:r>
      <w:r w:rsidR="000F47F5">
        <w:rPr>
          <w:noProof/>
        </w:rPr>
        <w:t xml:space="preserve"> </w:t>
      </w:r>
      <w:r w:rsidR="00432B54" w:rsidRPr="00C43947">
        <w:rPr>
          <w:noProof/>
        </w:rPr>
        <w:t>[Article 15 ter]</w:t>
      </w:r>
      <w:r w:rsidR="00432B54">
        <w:rPr>
          <w:noProof/>
        </w:rPr>
        <w:t xml:space="preserve"> of</w:t>
      </w:r>
      <w:r w:rsidR="00432B54" w:rsidRPr="00C43947">
        <w:rPr>
          <w:noProof/>
        </w:rPr>
        <w:t xml:space="preserve"> </w:t>
      </w:r>
      <w:r w:rsidR="00C43947" w:rsidRPr="00C43947">
        <w:rPr>
          <w:noProof/>
        </w:rPr>
        <w:t xml:space="preserve"> that Regulation and with the analysis of the relevant data and the preparation of the reporting under [Article 28] of </w:t>
      </w:r>
      <w:r w:rsidR="00432B54">
        <w:rPr>
          <w:noProof/>
        </w:rPr>
        <w:t xml:space="preserve">that </w:t>
      </w:r>
      <w:r w:rsidR="00C43947" w:rsidRPr="00C43947">
        <w:rPr>
          <w:noProof/>
        </w:rPr>
        <w:t>Regulation.</w:t>
      </w:r>
    </w:p>
    <w:p w14:paraId="6E477FD4" w14:textId="77777777" w:rsidR="00BE2C7A" w:rsidRPr="00BE2C7A" w:rsidRDefault="002C10CA" w:rsidP="00BE2C7A">
      <w:pPr>
        <w:pStyle w:val="Point0"/>
        <w:ind w:left="0" w:firstLine="0"/>
        <w:rPr>
          <w:noProof/>
        </w:rPr>
      </w:pPr>
      <w:r>
        <w:rPr>
          <w:noProof/>
          <w:lang w:val="en-US"/>
        </w:rPr>
        <w:t>4.</w:t>
      </w:r>
      <w:r>
        <w:rPr>
          <w:noProof/>
          <w:lang w:val="en-US"/>
        </w:rPr>
        <w:tab/>
      </w:r>
      <w:r w:rsidR="00FB54E4" w:rsidRPr="002C10CA">
        <w:rPr>
          <w:noProof/>
          <w:lang w:val="en-US"/>
        </w:rPr>
        <w:t>The Agency shall assist the Commission</w:t>
      </w:r>
      <w:r w:rsidR="0053282B" w:rsidRPr="002C10CA">
        <w:rPr>
          <w:noProof/>
          <w:lang w:val="en-US"/>
        </w:rPr>
        <w:t xml:space="preserve"> and the Member States</w:t>
      </w:r>
      <w:r w:rsidR="00FB54E4" w:rsidRPr="002C10CA">
        <w:rPr>
          <w:noProof/>
          <w:lang w:val="en-US"/>
        </w:rPr>
        <w:t xml:space="preserve"> in the</w:t>
      </w:r>
      <w:r w:rsidR="0053282B" w:rsidRPr="002C10CA">
        <w:rPr>
          <w:noProof/>
          <w:lang w:val="en-US"/>
        </w:rPr>
        <w:t xml:space="preserve"> implementation of</w:t>
      </w:r>
      <w:r w:rsidR="0053282B" w:rsidRPr="00C43947">
        <w:rPr>
          <w:noProof/>
        </w:rPr>
        <w:t xml:space="preserve"> Regulation (EU) 2015/</w:t>
      </w:r>
      <w:r w:rsidR="00521CF0" w:rsidRPr="00C43947">
        <w:rPr>
          <w:noProof/>
        </w:rPr>
        <w:t xml:space="preserve">757. </w:t>
      </w:r>
      <w:r w:rsidR="0053282B" w:rsidRPr="00C43947">
        <w:rPr>
          <w:noProof/>
        </w:rPr>
        <w:t>In particular</w:t>
      </w:r>
      <w:r w:rsidR="0049626B">
        <w:rPr>
          <w:noProof/>
        </w:rPr>
        <w:t>,</w:t>
      </w:r>
      <w:r w:rsidR="0053282B" w:rsidRPr="00C43947">
        <w:rPr>
          <w:noProof/>
        </w:rPr>
        <w:t xml:space="preserve"> the Agency shall assist the Commission with the</w:t>
      </w:r>
      <w:r w:rsidR="0053282B" w:rsidRPr="002C10CA">
        <w:rPr>
          <w:noProof/>
          <w:lang w:val="en-US"/>
        </w:rPr>
        <w:t xml:space="preserve"> development</w:t>
      </w:r>
      <w:r w:rsidR="00D94805">
        <w:rPr>
          <w:noProof/>
          <w:lang w:val="en-US"/>
        </w:rPr>
        <w:t>, update</w:t>
      </w:r>
      <w:r w:rsidR="00FB54E4" w:rsidRPr="002C10CA">
        <w:rPr>
          <w:noProof/>
          <w:lang w:val="en-US"/>
        </w:rPr>
        <w:t xml:space="preserve"> and maintenance of relevant IT tools</w:t>
      </w:r>
      <w:r w:rsidR="00521CF0">
        <w:rPr>
          <w:noProof/>
          <w:lang w:val="en-US"/>
        </w:rPr>
        <w:t>,</w:t>
      </w:r>
      <w:r w:rsidR="00FB54E4" w:rsidRPr="002C10CA">
        <w:rPr>
          <w:noProof/>
          <w:lang w:val="en-US"/>
        </w:rPr>
        <w:t xml:space="preserve"> databases</w:t>
      </w:r>
      <w:r w:rsidR="00521CF0">
        <w:rPr>
          <w:noProof/>
          <w:lang w:val="en-US"/>
        </w:rPr>
        <w:t xml:space="preserve"> and guidance</w:t>
      </w:r>
      <w:r w:rsidR="00FB54E4" w:rsidRPr="002C10CA">
        <w:rPr>
          <w:noProof/>
          <w:lang w:val="en-US"/>
        </w:rPr>
        <w:t xml:space="preserve"> for the purposes of implementing </w:t>
      </w:r>
      <w:r w:rsidR="008972F6">
        <w:rPr>
          <w:noProof/>
          <w:lang w:val="en-US"/>
        </w:rPr>
        <w:t xml:space="preserve">that </w:t>
      </w:r>
      <w:r w:rsidR="00F520A0" w:rsidRPr="00C43947">
        <w:rPr>
          <w:noProof/>
        </w:rPr>
        <w:t xml:space="preserve">Regulation </w:t>
      </w:r>
      <w:r w:rsidR="007F2B6F" w:rsidRPr="00C43947">
        <w:rPr>
          <w:noProof/>
        </w:rPr>
        <w:t>and</w:t>
      </w:r>
      <w:r w:rsidR="00F520A0" w:rsidRPr="00C43947">
        <w:rPr>
          <w:noProof/>
        </w:rPr>
        <w:t xml:space="preserve"> </w:t>
      </w:r>
      <w:r w:rsidR="00BE2C7A">
        <w:rPr>
          <w:noProof/>
        </w:rPr>
        <w:t>facilitating enforcement</w:t>
      </w:r>
      <w:r w:rsidR="00D94805">
        <w:rPr>
          <w:noProof/>
        </w:rPr>
        <w:t xml:space="preserve"> activities</w:t>
      </w:r>
      <w:r w:rsidR="00BE2C7A">
        <w:rPr>
          <w:noProof/>
        </w:rPr>
        <w:t xml:space="preserve">, </w:t>
      </w:r>
      <w:r w:rsidR="00F520A0" w:rsidRPr="00C43947">
        <w:rPr>
          <w:noProof/>
        </w:rPr>
        <w:t>assist the Commission with the analysis of relevant data</w:t>
      </w:r>
      <w:r w:rsidR="00BE2C7A">
        <w:rPr>
          <w:noProof/>
        </w:rPr>
        <w:t xml:space="preserve"> reported under that </w:t>
      </w:r>
      <w:r w:rsidR="00D94805">
        <w:rPr>
          <w:noProof/>
        </w:rPr>
        <w:t>R</w:t>
      </w:r>
      <w:r w:rsidR="00BE2C7A">
        <w:rPr>
          <w:noProof/>
        </w:rPr>
        <w:t>egulation</w:t>
      </w:r>
      <w:r w:rsidR="00D94805">
        <w:rPr>
          <w:noProof/>
        </w:rPr>
        <w:t>,</w:t>
      </w:r>
      <w:r w:rsidR="00F520A0" w:rsidRPr="00C43947">
        <w:rPr>
          <w:noProof/>
        </w:rPr>
        <w:t xml:space="preserve"> and </w:t>
      </w:r>
      <w:r w:rsidR="00BE2C7A" w:rsidRPr="00BE2C7A">
        <w:rPr>
          <w:noProof/>
        </w:rPr>
        <w:t xml:space="preserve">support the Commission in its activities to comply with the obligations under Article 21 of </w:t>
      </w:r>
      <w:r w:rsidR="00780058">
        <w:rPr>
          <w:noProof/>
        </w:rPr>
        <w:t>that</w:t>
      </w:r>
      <w:r w:rsidR="00BE2C7A" w:rsidRPr="00BE2C7A">
        <w:rPr>
          <w:noProof/>
        </w:rPr>
        <w:t xml:space="preserve"> Regulation. </w:t>
      </w:r>
    </w:p>
    <w:p w14:paraId="47FFD111" w14:textId="77777777" w:rsidR="002F67A3" w:rsidRDefault="002C10CA" w:rsidP="007456EE">
      <w:pPr>
        <w:pStyle w:val="Point0"/>
        <w:ind w:left="0" w:firstLine="0"/>
        <w:rPr>
          <w:noProof/>
          <w:lang w:val="en-US"/>
        </w:rPr>
      </w:pPr>
      <w:r>
        <w:rPr>
          <w:noProof/>
          <w:lang w:val="en-US"/>
        </w:rPr>
        <w:t>5.</w:t>
      </w:r>
      <w:r>
        <w:rPr>
          <w:noProof/>
          <w:lang w:val="en-US"/>
        </w:rPr>
        <w:tab/>
      </w:r>
      <w:r w:rsidR="00BE2C7A" w:rsidRPr="00BE2C7A">
        <w:rPr>
          <w:noProof/>
          <w:lang w:val="en-US"/>
        </w:rPr>
        <w:t xml:space="preserve">The Agency shall assist the Commission and the Member States in the implementation of  </w:t>
      </w:r>
      <w:r w:rsidR="00BE2C7A" w:rsidRPr="00BE2C7A">
        <w:rPr>
          <w:noProof/>
        </w:rPr>
        <w:t>Directive 2003/87/EC, as relevant to the maritime sector</w:t>
      </w:r>
      <w:r w:rsidR="00BE2C7A">
        <w:rPr>
          <w:noProof/>
        </w:rPr>
        <w:t>.</w:t>
      </w:r>
      <w:r w:rsidR="00BE2C7A" w:rsidRPr="00BE2C7A">
        <w:rPr>
          <w:noProof/>
        </w:rPr>
        <w:t xml:space="preserve"> In particular, the Agency shall assist the Commission with the development of the appropriate IT implementation tools, monitoring tools, guidance and risk-based targeting tools to facilitate verification, enforcement and implementation activities related to Directive 2003/87/EC, as relevant to the maritime sector, while</w:t>
      </w:r>
      <w:r w:rsidR="00BE2C7A" w:rsidRPr="00BE2C7A">
        <w:rPr>
          <w:noProof/>
          <w:lang w:val="en-US"/>
        </w:rPr>
        <w:t xml:space="preserve"> exploiting the results of existing relevant tools</w:t>
      </w:r>
      <w:r w:rsidR="00BE2C7A" w:rsidRPr="00BE2C7A">
        <w:rPr>
          <w:noProof/>
        </w:rPr>
        <w:t>, services and databases</w:t>
      </w:r>
      <w:r w:rsidR="00120AEB" w:rsidRPr="002C10CA">
        <w:rPr>
          <w:noProof/>
          <w:lang w:val="en-US"/>
        </w:rPr>
        <w:t>.</w:t>
      </w:r>
      <w:r w:rsidR="00CE5561" w:rsidRPr="002C10CA">
        <w:rPr>
          <w:noProof/>
          <w:lang w:val="en-US"/>
        </w:rPr>
        <w:t xml:space="preserve"> </w:t>
      </w:r>
    </w:p>
    <w:p w14:paraId="3C044621" w14:textId="77777777" w:rsidR="001873E8" w:rsidRPr="00896437" w:rsidRDefault="002F67A3" w:rsidP="008972F6">
      <w:pPr>
        <w:pStyle w:val="Point0"/>
        <w:ind w:left="0" w:firstLine="0"/>
        <w:rPr>
          <w:noProof/>
          <w:lang w:val="en-US"/>
        </w:rPr>
      </w:pPr>
      <w:r>
        <w:rPr>
          <w:noProof/>
          <w:lang w:val="en-US"/>
        </w:rPr>
        <w:t xml:space="preserve">6. </w:t>
      </w:r>
      <w:r w:rsidR="008972F6" w:rsidRPr="008972F6">
        <w:rPr>
          <w:noProof/>
        </w:rPr>
        <w:t xml:space="preserve">The Agency shall every three years present to the Commission a report on the progress made in achieving the decarbonisation of maritime transport at the Union level. Where possible, the report shall include technical analysis on identified issues that could to be addressed at the Union level. </w:t>
      </w:r>
    </w:p>
    <w:p w14:paraId="0B03285F" w14:textId="77777777" w:rsidR="00CE5561" w:rsidRDefault="001A3898" w:rsidP="008F3E00">
      <w:pPr>
        <w:pStyle w:val="Titrearticle"/>
        <w:spacing w:before="0" w:after="200"/>
        <w:rPr>
          <w:noProof/>
        </w:rPr>
      </w:pPr>
      <w:r>
        <w:rPr>
          <w:noProof/>
        </w:rPr>
        <w:t>Article 7</w:t>
      </w:r>
    </w:p>
    <w:p w14:paraId="133089D3" w14:textId="77777777" w:rsidR="00CE5561" w:rsidRDefault="00CE5561" w:rsidP="008F3E00">
      <w:pPr>
        <w:spacing w:before="0" w:after="200"/>
        <w:jc w:val="center"/>
        <w:rPr>
          <w:b/>
          <w:noProof/>
        </w:rPr>
      </w:pPr>
      <w:r w:rsidRPr="00CE5561">
        <w:rPr>
          <w:b/>
          <w:noProof/>
        </w:rPr>
        <w:t>Tasks relating t</w:t>
      </w:r>
      <w:r w:rsidR="00AC7718">
        <w:rPr>
          <w:b/>
          <w:noProof/>
        </w:rPr>
        <w:t>o</w:t>
      </w:r>
      <w:r w:rsidRPr="00CE5561">
        <w:rPr>
          <w:b/>
          <w:noProof/>
        </w:rPr>
        <w:t xml:space="preserve"> </w:t>
      </w:r>
      <w:r>
        <w:rPr>
          <w:b/>
          <w:noProof/>
        </w:rPr>
        <w:t>ma</w:t>
      </w:r>
      <w:r w:rsidR="001873E8">
        <w:rPr>
          <w:b/>
          <w:noProof/>
        </w:rPr>
        <w:t>ritime security and cybersecurity</w:t>
      </w:r>
    </w:p>
    <w:p w14:paraId="482417CD" w14:textId="77777777" w:rsidR="001873E8" w:rsidRPr="001873E8" w:rsidRDefault="007456EE" w:rsidP="007456EE">
      <w:pPr>
        <w:pStyle w:val="Point0"/>
        <w:ind w:left="0" w:firstLine="0"/>
        <w:rPr>
          <w:noProof/>
        </w:rPr>
      </w:pPr>
      <w:r>
        <w:rPr>
          <w:noProof/>
          <w:lang w:val="en-US"/>
        </w:rPr>
        <w:t>1.</w:t>
      </w:r>
      <w:r>
        <w:rPr>
          <w:noProof/>
          <w:lang w:val="en-US"/>
        </w:rPr>
        <w:tab/>
      </w:r>
      <w:r w:rsidR="001873E8" w:rsidRPr="003D75D4">
        <w:rPr>
          <w:noProof/>
          <w:lang w:val="en-US"/>
        </w:rPr>
        <w:t xml:space="preserve">The Agency shall </w:t>
      </w:r>
      <w:r w:rsidR="00AD343D" w:rsidRPr="003D75D4">
        <w:rPr>
          <w:noProof/>
          <w:lang w:val="en-US"/>
        </w:rPr>
        <w:t xml:space="preserve">provide </w:t>
      </w:r>
      <w:r w:rsidR="001873E8" w:rsidRPr="003D75D4">
        <w:rPr>
          <w:noProof/>
          <w:lang w:val="en-US"/>
        </w:rPr>
        <w:t>technical assistance to the Commission in the performance of the inspection tasks assigned to it pursuant to Article 9(4) of Regulation (EC) No 725/2004.</w:t>
      </w:r>
    </w:p>
    <w:p w14:paraId="2BB1FD7F" w14:textId="77777777" w:rsidR="001873E8" w:rsidRDefault="007456EE" w:rsidP="007456EE">
      <w:pPr>
        <w:pStyle w:val="Point0"/>
        <w:ind w:left="0" w:firstLine="0"/>
        <w:rPr>
          <w:noProof/>
        </w:rPr>
      </w:pPr>
      <w:r>
        <w:rPr>
          <w:noProof/>
        </w:rPr>
        <w:t>2.</w:t>
      </w:r>
      <w:r>
        <w:rPr>
          <w:noProof/>
        </w:rPr>
        <w:tab/>
      </w:r>
      <w:r w:rsidR="001873E8">
        <w:rPr>
          <w:noProof/>
        </w:rPr>
        <w:t>The Agency shall assist the Commission and the Member States, together with any other relevant Union body, in developing resilience against cybersecurity incidents in the maritime sector in particular by facilitating the exchange of best practices</w:t>
      </w:r>
      <w:r w:rsidR="00FA3B63">
        <w:rPr>
          <w:noProof/>
        </w:rPr>
        <w:t xml:space="preserve"> and information on cyber security incidents</w:t>
      </w:r>
      <w:r w:rsidR="00F4653C">
        <w:rPr>
          <w:noProof/>
        </w:rPr>
        <w:t xml:space="preserve"> between the Member States</w:t>
      </w:r>
      <w:r w:rsidR="001873E8">
        <w:rPr>
          <w:noProof/>
        </w:rPr>
        <w:t>.</w:t>
      </w:r>
    </w:p>
    <w:p w14:paraId="6656CBCC" w14:textId="77777777" w:rsidR="001873E8" w:rsidRPr="00AC7718" w:rsidRDefault="001A3898" w:rsidP="008F3E00">
      <w:pPr>
        <w:pStyle w:val="Titrearticle"/>
        <w:spacing w:before="0" w:after="200"/>
        <w:rPr>
          <w:noProof/>
        </w:rPr>
      </w:pPr>
      <w:r w:rsidRPr="00AC7718">
        <w:rPr>
          <w:noProof/>
        </w:rPr>
        <w:t>Article 8</w:t>
      </w:r>
    </w:p>
    <w:p w14:paraId="2AD54912" w14:textId="77777777" w:rsidR="00036726" w:rsidRPr="00AC7718" w:rsidRDefault="001873E8" w:rsidP="008F3E00">
      <w:pPr>
        <w:spacing w:before="0" w:after="200"/>
        <w:jc w:val="center"/>
        <w:rPr>
          <w:b/>
          <w:noProof/>
        </w:rPr>
      </w:pPr>
      <w:r w:rsidRPr="007456EE">
        <w:rPr>
          <w:b/>
          <w:noProof/>
          <w:lang w:val="en-IE"/>
        </w:rPr>
        <w:t xml:space="preserve">Tasks </w:t>
      </w:r>
      <w:r w:rsidR="00AC7718" w:rsidRPr="007456EE">
        <w:rPr>
          <w:b/>
          <w:noProof/>
          <w:lang w:val="en-IE"/>
        </w:rPr>
        <w:t xml:space="preserve">relating to </w:t>
      </w:r>
      <w:r w:rsidRPr="007456EE">
        <w:rPr>
          <w:b/>
          <w:noProof/>
          <w:lang w:val="en-IE"/>
        </w:rPr>
        <w:t xml:space="preserve"> maritime </w:t>
      </w:r>
      <w:r w:rsidRPr="00AC7718">
        <w:rPr>
          <w:b/>
          <w:noProof/>
        </w:rPr>
        <w:t>surveillance and maritime crises</w:t>
      </w:r>
    </w:p>
    <w:p w14:paraId="536109F6" w14:textId="77777777" w:rsidR="00FF11DE" w:rsidRPr="003D75D4" w:rsidRDefault="007456EE" w:rsidP="007456EE">
      <w:pPr>
        <w:pStyle w:val="Point0"/>
        <w:ind w:left="0" w:firstLine="0"/>
        <w:rPr>
          <w:noProof/>
          <w:lang w:val="en-US"/>
        </w:rPr>
      </w:pPr>
      <w:r>
        <w:rPr>
          <w:noProof/>
          <w:lang w:val="en-US"/>
        </w:rPr>
        <w:t>1.</w:t>
      </w:r>
      <w:r>
        <w:rPr>
          <w:noProof/>
          <w:lang w:val="en-US"/>
        </w:rPr>
        <w:tab/>
      </w:r>
      <w:r w:rsidR="00120AEB" w:rsidRPr="003D75D4">
        <w:rPr>
          <w:noProof/>
          <w:lang w:val="en-US"/>
        </w:rPr>
        <w:t xml:space="preserve">The Agency shall </w:t>
      </w:r>
      <w:r w:rsidR="00F54562" w:rsidRPr="003D75D4">
        <w:rPr>
          <w:noProof/>
          <w:lang w:val="en-US"/>
        </w:rPr>
        <w:t>provide to</w:t>
      </w:r>
      <w:r w:rsidR="00120AEB" w:rsidRPr="003D75D4">
        <w:rPr>
          <w:noProof/>
          <w:lang w:val="en-US"/>
        </w:rPr>
        <w:t xml:space="preserve"> the Commission and the Member States</w:t>
      </w:r>
      <w:r w:rsidR="00F54562" w:rsidRPr="003D75D4">
        <w:rPr>
          <w:noProof/>
          <w:lang w:val="en-US"/>
        </w:rPr>
        <w:t xml:space="preserve">, upon </w:t>
      </w:r>
      <w:r w:rsidR="00F54562">
        <w:rPr>
          <w:noProof/>
          <w:lang w:val="en-US"/>
        </w:rPr>
        <w:t xml:space="preserve">their </w:t>
      </w:r>
      <w:r w:rsidR="00F54562" w:rsidRPr="003D75D4">
        <w:rPr>
          <w:noProof/>
          <w:lang w:val="en-US"/>
        </w:rPr>
        <w:t>request</w:t>
      </w:r>
      <w:r w:rsidR="00F26CC5" w:rsidRPr="003D75D4">
        <w:rPr>
          <w:noProof/>
          <w:lang w:val="en-US"/>
        </w:rPr>
        <w:t>, maritime</w:t>
      </w:r>
      <w:r w:rsidR="00120AEB" w:rsidRPr="003D75D4">
        <w:rPr>
          <w:noProof/>
          <w:lang w:val="en-US"/>
        </w:rPr>
        <w:t xml:space="preserve"> surveillance and communication services based on state-of-the-art, including space-based and ground infrastructure and sensors mounted on any kind of platform, improving maritime situational awareness. </w:t>
      </w:r>
    </w:p>
    <w:p w14:paraId="4CC7F4B7" w14:textId="77777777" w:rsidR="00036726" w:rsidRDefault="007456EE" w:rsidP="007456EE">
      <w:pPr>
        <w:pStyle w:val="Point0"/>
        <w:ind w:left="0" w:firstLine="0"/>
        <w:rPr>
          <w:noProof/>
          <w:lang w:val="en-US"/>
        </w:rPr>
      </w:pPr>
      <w:r>
        <w:rPr>
          <w:noProof/>
          <w:lang w:val="en-US"/>
        </w:rPr>
        <w:t>2.</w:t>
      </w:r>
      <w:r>
        <w:rPr>
          <w:noProof/>
          <w:lang w:val="en-US"/>
        </w:rPr>
        <w:tab/>
      </w:r>
      <w:r w:rsidR="001374AC">
        <w:rPr>
          <w:noProof/>
          <w:lang w:val="en-US"/>
        </w:rPr>
        <w:t>I</w:t>
      </w:r>
      <w:r w:rsidR="001374AC" w:rsidRPr="001374AC">
        <w:rPr>
          <w:noProof/>
          <w:lang w:val="en-US"/>
        </w:rPr>
        <w:t>n the field of traffic monitoring covered by Directive 2002/59/EC, the Agency shall in particular promote cooperation between riparian States in the shipping areas concerned, as well as</w:t>
      </w:r>
      <w:r w:rsidR="00591E11">
        <w:rPr>
          <w:noProof/>
          <w:lang w:val="en-US"/>
        </w:rPr>
        <w:t xml:space="preserve">, </w:t>
      </w:r>
      <w:r w:rsidR="001374AC" w:rsidRPr="001374AC">
        <w:rPr>
          <w:noProof/>
          <w:lang w:val="en-US"/>
        </w:rPr>
        <w:t>develop</w:t>
      </w:r>
      <w:r w:rsidR="00AC7718">
        <w:rPr>
          <w:noProof/>
          <w:lang w:val="en-US"/>
        </w:rPr>
        <w:t>,</w:t>
      </w:r>
      <w:r w:rsidR="001374AC" w:rsidRPr="001374AC">
        <w:rPr>
          <w:noProof/>
          <w:lang w:val="en-US"/>
        </w:rPr>
        <w:t xml:space="preserve"> </w:t>
      </w:r>
      <w:r w:rsidR="00AC7718">
        <w:rPr>
          <w:noProof/>
          <w:lang w:val="en-US"/>
        </w:rPr>
        <w:t>maintain</w:t>
      </w:r>
      <w:r w:rsidR="00AC7718" w:rsidRPr="001374AC">
        <w:rPr>
          <w:noProof/>
          <w:lang w:val="en-US"/>
        </w:rPr>
        <w:t xml:space="preserve"> </w:t>
      </w:r>
      <w:r w:rsidR="001374AC" w:rsidRPr="001374AC">
        <w:rPr>
          <w:noProof/>
          <w:lang w:val="en-US"/>
        </w:rPr>
        <w:t xml:space="preserve">and operate the European Union Long-Range Identification and Tracking of Ships European Data Centre and the Union Maritime Information and Exchange System (SafeSeaNet) as referred to in Articles 6b and 22a of that Directive as well as the International Long-Range Identification and Tracking information data exchange system in accordance with the commitment made in the </w:t>
      </w:r>
      <w:r w:rsidR="00F54562">
        <w:rPr>
          <w:noProof/>
          <w:lang w:val="en-US"/>
        </w:rPr>
        <w:t>IMO</w:t>
      </w:r>
      <w:r w:rsidR="001374AC">
        <w:rPr>
          <w:noProof/>
          <w:lang w:val="en-US"/>
        </w:rPr>
        <w:t>.</w:t>
      </w:r>
    </w:p>
    <w:p w14:paraId="2E03DBDC" w14:textId="77777777" w:rsidR="00036174" w:rsidRDefault="007456EE" w:rsidP="007456EE">
      <w:pPr>
        <w:pStyle w:val="Point0"/>
        <w:ind w:left="0" w:firstLine="0"/>
        <w:rPr>
          <w:noProof/>
          <w:lang w:val="en-US"/>
        </w:rPr>
      </w:pPr>
      <w:r>
        <w:rPr>
          <w:noProof/>
          <w:lang w:val="en-US"/>
        </w:rPr>
        <w:t>3.</w:t>
      </w:r>
      <w:r>
        <w:rPr>
          <w:noProof/>
          <w:lang w:val="en-US"/>
        </w:rPr>
        <w:tab/>
      </w:r>
      <w:r w:rsidR="001374AC">
        <w:rPr>
          <w:noProof/>
          <w:lang w:val="en-US"/>
        </w:rPr>
        <w:t>The Agency shall provide</w:t>
      </w:r>
      <w:r w:rsidR="001374AC" w:rsidRPr="001374AC">
        <w:rPr>
          <w:noProof/>
          <w:lang w:val="en-US"/>
        </w:rPr>
        <w:t xml:space="preserve">, </w:t>
      </w:r>
      <w:r w:rsidR="00096067">
        <w:rPr>
          <w:noProof/>
          <w:lang w:val="en-US"/>
        </w:rPr>
        <w:t xml:space="preserve">upon request and without prejudice to national and Union law, </w:t>
      </w:r>
      <w:r w:rsidR="001374AC" w:rsidRPr="001374AC">
        <w:rPr>
          <w:noProof/>
          <w:lang w:val="en-US"/>
        </w:rPr>
        <w:t>relevant vessel positioning and Earth observation data to the</w:t>
      </w:r>
      <w:r w:rsidR="00036174">
        <w:rPr>
          <w:noProof/>
          <w:lang w:val="en-US"/>
        </w:rPr>
        <w:t xml:space="preserve"> Commission, the</w:t>
      </w:r>
      <w:r w:rsidR="001374AC" w:rsidRPr="001374AC">
        <w:rPr>
          <w:noProof/>
          <w:lang w:val="en-US"/>
        </w:rPr>
        <w:t xml:space="preserve"> competent national authorities and relevant Union bodies w</w:t>
      </w:r>
      <w:r w:rsidR="00036174">
        <w:rPr>
          <w:noProof/>
          <w:lang w:val="en-US"/>
        </w:rPr>
        <w:t xml:space="preserve">ithin their mandate in order to </w:t>
      </w:r>
      <w:r w:rsidR="001374AC" w:rsidRPr="00036174">
        <w:rPr>
          <w:noProof/>
          <w:lang w:val="en-US"/>
        </w:rPr>
        <w:t>facilitate measures against threats of piracy and of intentional unlawful acts as provided for in applicable Union law or under internationally agreed legal instruments in the area of maritime transport, subject to applicable data protection rules and in accordance with administrative procedures to be established by the High Level Steering Group established in accordance with Directive 2002/59/EC, as appropriate. The provision of long-range identification and tracking of ships data shall be subject to the consent of the flag State concerned</w:t>
      </w:r>
      <w:r w:rsidR="00036174" w:rsidRPr="00036174">
        <w:rPr>
          <w:noProof/>
          <w:lang w:val="en-US"/>
        </w:rPr>
        <w:t>.</w:t>
      </w:r>
    </w:p>
    <w:p w14:paraId="6516566B" w14:textId="77777777" w:rsidR="003A1827" w:rsidRDefault="007456EE" w:rsidP="007456EE">
      <w:pPr>
        <w:pStyle w:val="Point0"/>
        <w:ind w:left="0" w:firstLine="0"/>
        <w:rPr>
          <w:noProof/>
          <w:lang w:val="en-US"/>
        </w:rPr>
      </w:pPr>
      <w:r>
        <w:rPr>
          <w:noProof/>
          <w:lang w:val="en-US"/>
        </w:rPr>
        <w:t>4.</w:t>
      </w:r>
      <w:r>
        <w:rPr>
          <w:noProof/>
          <w:lang w:val="en-US"/>
        </w:rPr>
        <w:tab/>
      </w:r>
      <w:r w:rsidR="00036174" w:rsidRPr="00036174">
        <w:rPr>
          <w:noProof/>
          <w:lang w:val="en-US"/>
        </w:rPr>
        <w:t xml:space="preserve">The Agency </w:t>
      </w:r>
      <w:r w:rsidR="00036174">
        <w:rPr>
          <w:noProof/>
          <w:lang w:val="en-US"/>
        </w:rPr>
        <w:t>shall operate a center</w:t>
      </w:r>
      <w:r w:rsidR="00F54562">
        <w:rPr>
          <w:noProof/>
          <w:lang w:val="en-US"/>
        </w:rPr>
        <w:t xml:space="preserve"> available 24 hours a day and 7 days a week</w:t>
      </w:r>
      <w:r w:rsidR="00036174">
        <w:rPr>
          <w:noProof/>
          <w:lang w:val="en-US"/>
        </w:rPr>
        <w:t xml:space="preserve"> providing</w:t>
      </w:r>
      <w:r w:rsidR="00897D4A">
        <w:rPr>
          <w:noProof/>
          <w:lang w:val="en-US"/>
        </w:rPr>
        <w:t xml:space="preserve">, </w:t>
      </w:r>
      <w:r w:rsidR="00897D4A" w:rsidRPr="001374AC">
        <w:rPr>
          <w:noProof/>
          <w:lang w:val="en-US"/>
        </w:rPr>
        <w:t>upon request and without prejudice to national and Union law,</w:t>
      </w:r>
      <w:r w:rsidR="00897D4A">
        <w:rPr>
          <w:noProof/>
          <w:lang w:val="en-US"/>
        </w:rPr>
        <w:t xml:space="preserve"> </w:t>
      </w:r>
      <w:r w:rsidR="00897D4A" w:rsidRPr="003A1827">
        <w:rPr>
          <w:noProof/>
          <w:lang w:val="en-US"/>
        </w:rPr>
        <w:t>to the Commission, the competent national authorities</w:t>
      </w:r>
      <w:r w:rsidR="00897D4A">
        <w:rPr>
          <w:noProof/>
          <w:lang w:val="en-US"/>
        </w:rPr>
        <w:t>,</w:t>
      </w:r>
      <w:r w:rsidR="00897D4A" w:rsidRPr="003A1827">
        <w:rPr>
          <w:noProof/>
          <w:lang w:val="en-US"/>
        </w:rPr>
        <w:t xml:space="preserve"> </w:t>
      </w:r>
      <w:r w:rsidR="00897D4A">
        <w:rPr>
          <w:noProof/>
          <w:lang w:val="en-US"/>
        </w:rPr>
        <w:t xml:space="preserve">without prejudice to their rights and responsibilities as flag, coastal and port States, </w:t>
      </w:r>
      <w:r w:rsidR="00897D4A" w:rsidRPr="003A1827">
        <w:rPr>
          <w:noProof/>
          <w:lang w:val="en-US"/>
        </w:rPr>
        <w:t>and</w:t>
      </w:r>
      <w:r w:rsidR="00897D4A">
        <w:rPr>
          <w:noProof/>
          <w:lang w:val="en-US"/>
        </w:rPr>
        <w:t xml:space="preserve"> to</w:t>
      </w:r>
      <w:r w:rsidR="00897D4A" w:rsidRPr="003A1827">
        <w:rPr>
          <w:noProof/>
          <w:lang w:val="en-US"/>
        </w:rPr>
        <w:t xml:space="preserve"> relevant Union bodies</w:t>
      </w:r>
      <w:r w:rsidR="00897D4A">
        <w:rPr>
          <w:noProof/>
          <w:lang w:val="en-US"/>
        </w:rPr>
        <w:t>,</w:t>
      </w:r>
      <w:r w:rsidR="00897D4A" w:rsidRPr="003A1827">
        <w:rPr>
          <w:noProof/>
          <w:lang w:val="en-US"/>
        </w:rPr>
        <w:t xml:space="preserve"> within their mandate</w:t>
      </w:r>
      <w:r w:rsidR="00897D4A">
        <w:rPr>
          <w:noProof/>
          <w:lang w:val="en-US"/>
        </w:rPr>
        <w:t xml:space="preserve">, </w:t>
      </w:r>
      <w:r w:rsidR="00897D4A" w:rsidRPr="00120AEB">
        <w:rPr>
          <w:noProof/>
          <w:lang w:val="en-US"/>
        </w:rPr>
        <w:t>maritime</w:t>
      </w:r>
      <w:r w:rsidR="00120AEB" w:rsidRPr="00120AEB">
        <w:rPr>
          <w:noProof/>
          <w:lang w:val="en-US"/>
        </w:rPr>
        <w:t xml:space="preserve"> situational awareness</w:t>
      </w:r>
      <w:r w:rsidR="00897D4A">
        <w:rPr>
          <w:noProof/>
          <w:lang w:val="en-US"/>
        </w:rPr>
        <w:t xml:space="preserve"> and </w:t>
      </w:r>
      <w:r w:rsidR="00FA3B63" w:rsidRPr="00FA3B63">
        <w:rPr>
          <w:noProof/>
          <w:lang w:val="en-US"/>
        </w:rPr>
        <w:t>analytical data</w:t>
      </w:r>
      <w:r w:rsidR="006A22B1">
        <w:rPr>
          <w:noProof/>
          <w:lang w:val="en-US"/>
        </w:rPr>
        <w:t xml:space="preserve">, as appropriate, </w:t>
      </w:r>
      <w:r w:rsidR="00FA3B63" w:rsidRPr="00FA3B63">
        <w:rPr>
          <w:noProof/>
          <w:lang w:val="en-US"/>
        </w:rPr>
        <w:t>supporting</w:t>
      </w:r>
      <w:r w:rsidR="00120AEB">
        <w:rPr>
          <w:noProof/>
          <w:lang w:val="en-US"/>
        </w:rPr>
        <w:t xml:space="preserve"> them</w:t>
      </w:r>
      <w:r w:rsidR="00FA3B63" w:rsidRPr="00FA3B63">
        <w:rPr>
          <w:noProof/>
          <w:lang w:val="en-US"/>
        </w:rPr>
        <w:t xml:space="preserve"> in</w:t>
      </w:r>
      <w:r w:rsidR="003A1827">
        <w:rPr>
          <w:noProof/>
          <w:lang w:val="en-US"/>
        </w:rPr>
        <w:t>:</w:t>
      </w:r>
    </w:p>
    <w:p w14:paraId="24FE3C5C" w14:textId="7065F3AC" w:rsidR="00923CA6" w:rsidRDefault="00443218" w:rsidP="00443218">
      <w:pPr>
        <w:pStyle w:val="Point0"/>
        <w:rPr>
          <w:noProof/>
          <w:lang w:val="en-US"/>
        </w:rPr>
      </w:pPr>
      <w:r w:rsidRPr="00443218">
        <w:t>(a)</w:t>
      </w:r>
      <w:r w:rsidRPr="00443218">
        <w:tab/>
      </w:r>
      <w:r w:rsidR="00923CA6" w:rsidRPr="00FA3B63">
        <w:rPr>
          <w:noProof/>
          <w:lang w:val="en-US"/>
        </w:rPr>
        <w:t>safety, security and pollution at sea</w:t>
      </w:r>
      <w:r w:rsidR="00923CA6">
        <w:rPr>
          <w:noProof/>
          <w:lang w:val="en-US"/>
        </w:rPr>
        <w:t>;</w:t>
      </w:r>
    </w:p>
    <w:p w14:paraId="485E6811" w14:textId="211CFEC1" w:rsidR="003A1827" w:rsidRDefault="00443218" w:rsidP="00443218">
      <w:pPr>
        <w:pStyle w:val="Point0"/>
        <w:rPr>
          <w:noProof/>
          <w:lang w:val="en-US"/>
        </w:rPr>
      </w:pPr>
      <w:r w:rsidRPr="00443218">
        <w:t>(b)</w:t>
      </w:r>
      <w:r w:rsidRPr="00443218">
        <w:tab/>
      </w:r>
      <w:r w:rsidR="003A1827">
        <w:rPr>
          <w:noProof/>
          <w:lang w:val="en-US"/>
        </w:rPr>
        <w:t>situations of emergency at sea;</w:t>
      </w:r>
    </w:p>
    <w:p w14:paraId="68CB3B6D" w14:textId="04C1FD3F" w:rsidR="00036174" w:rsidRDefault="00443218" w:rsidP="00443218">
      <w:pPr>
        <w:pStyle w:val="Point0"/>
        <w:rPr>
          <w:noProof/>
          <w:lang w:val="en-US"/>
        </w:rPr>
      </w:pPr>
      <w:r w:rsidRPr="00443218">
        <w:t>(c)</w:t>
      </w:r>
      <w:r w:rsidRPr="00443218">
        <w:tab/>
      </w:r>
      <w:r w:rsidR="003A1827">
        <w:rPr>
          <w:noProof/>
          <w:lang w:val="en-US"/>
        </w:rPr>
        <w:t>the implementation of any Union legislation</w:t>
      </w:r>
      <w:r w:rsidR="00036174" w:rsidRPr="003A1827">
        <w:rPr>
          <w:noProof/>
          <w:lang w:val="en-US"/>
        </w:rPr>
        <w:t xml:space="preserve"> </w:t>
      </w:r>
      <w:r w:rsidR="003A1827">
        <w:rPr>
          <w:noProof/>
          <w:lang w:val="en-US"/>
        </w:rPr>
        <w:t xml:space="preserve">requiring the </w:t>
      </w:r>
      <w:r w:rsidR="00FA3B63">
        <w:rPr>
          <w:noProof/>
          <w:lang w:val="en-US"/>
        </w:rPr>
        <w:t>monitoring</w:t>
      </w:r>
      <w:r w:rsidR="003A1827">
        <w:rPr>
          <w:noProof/>
          <w:lang w:val="en-US"/>
        </w:rPr>
        <w:t xml:space="preserve"> of ship movements;</w:t>
      </w:r>
    </w:p>
    <w:p w14:paraId="57B3A9F9" w14:textId="3C5ADC4B" w:rsidR="003A1827" w:rsidRDefault="00443218" w:rsidP="00443218">
      <w:pPr>
        <w:pStyle w:val="Point0"/>
        <w:rPr>
          <w:noProof/>
          <w:lang w:val="en-US"/>
        </w:rPr>
      </w:pPr>
      <w:r w:rsidRPr="00443218">
        <w:t>(d)</w:t>
      </w:r>
      <w:r w:rsidRPr="00443218">
        <w:tab/>
      </w:r>
      <w:r w:rsidR="001374AC" w:rsidRPr="003A1827">
        <w:rPr>
          <w:noProof/>
          <w:lang w:val="en-US"/>
        </w:rPr>
        <w:t>measures against threats of piracy and of intentional unlawful acts as provided for in applicable Union law or under internationally agreed legal instruments in the area of maritime transport</w:t>
      </w:r>
      <w:r w:rsidR="003A1827">
        <w:rPr>
          <w:noProof/>
          <w:lang w:val="en-US"/>
        </w:rPr>
        <w:t>;</w:t>
      </w:r>
    </w:p>
    <w:p w14:paraId="228CAC72" w14:textId="6F58CA6E" w:rsidR="003A1827" w:rsidRDefault="00443218" w:rsidP="00443218">
      <w:pPr>
        <w:pStyle w:val="Point0"/>
        <w:rPr>
          <w:noProof/>
          <w:lang w:val="en-US"/>
        </w:rPr>
      </w:pPr>
      <w:r w:rsidRPr="00443218">
        <w:t>(e)</w:t>
      </w:r>
      <w:r w:rsidRPr="00443218">
        <w:tab/>
      </w:r>
      <w:r w:rsidR="003A1827">
        <w:rPr>
          <w:noProof/>
          <w:lang w:val="en-US"/>
        </w:rPr>
        <w:t xml:space="preserve">the deployment of </w:t>
      </w:r>
      <w:r w:rsidR="00BD3E4F">
        <w:rPr>
          <w:noProof/>
          <w:lang w:val="en-US"/>
        </w:rPr>
        <w:t>MASS and their interaction with conventional ships.</w:t>
      </w:r>
    </w:p>
    <w:p w14:paraId="09C055FA" w14:textId="77777777" w:rsidR="0072533E" w:rsidRPr="0072533E" w:rsidRDefault="0072533E" w:rsidP="007456EE">
      <w:pPr>
        <w:pStyle w:val="Point0"/>
        <w:ind w:left="0" w:firstLine="0"/>
        <w:rPr>
          <w:noProof/>
          <w:lang w:val="en-US"/>
        </w:rPr>
      </w:pPr>
      <w:r>
        <w:rPr>
          <w:noProof/>
          <w:lang w:val="en-US"/>
        </w:rPr>
        <w:t xml:space="preserve">The provision of such </w:t>
      </w:r>
      <w:r w:rsidR="00897D4A">
        <w:rPr>
          <w:noProof/>
          <w:lang w:val="en-US"/>
        </w:rPr>
        <w:t>information shall</w:t>
      </w:r>
      <w:r>
        <w:rPr>
          <w:noProof/>
          <w:lang w:val="en-US"/>
        </w:rPr>
        <w:t xml:space="preserve"> be </w:t>
      </w:r>
      <w:r w:rsidR="001374AC" w:rsidRPr="0072533E">
        <w:rPr>
          <w:noProof/>
          <w:lang w:val="en-US"/>
        </w:rPr>
        <w:t>subject to applicable data protection rules and in accordance with administrative procedures to be established by the High Level Steering Group established in accordance with Directive 2002/59/EC, as appropriate. The provision of long-range identification and tracking of ships data shall be subject to the consent of the flag State concerned</w:t>
      </w:r>
      <w:r>
        <w:rPr>
          <w:noProof/>
          <w:lang w:val="en-US"/>
        </w:rPr>
        <w:t>.</w:t>
      </w:r>
    </w:p>
    <w:p w14:paraId="32AF1304" w14:textId="77777777" w:rsidR="00BD3E4F" w:rsidRDefault="002F67A3" w:rsidP="007456EE">
      <w:pPr>
        <w:pStyle w:val="Point0"/>
        <w:ind w:left="0" w:firstLine="0"/>
        <w:rPr>
          <w:noProof/>
          <w:lang w:val="en-US"/>
        </w:rPr>
      </w:pPr>
      <w:r>
        <w:rPr>
          <w:noProof/>
          <w:lang w:val="en-US"/>
        </w:rPr>
        <w:t>5</w:t>
      </w:r>
      <w:r w:rsidR="007456EE">
        <w:rPr>
          <w:noProof/>
          <w:lang w:val="en-US"/>
        </w:rPr>
        <w:t>.</w:t>
      </w:r>
      <w:r w:rsidR="007456EE">
        <w:rPr>
          <w:noProof/>
          <w:lang w:val="en-US"/>
        </w:rPr>
        <w:tab/>
      </w:r>
      <w:r w:rsidR="00F44DE6">
        <w:rPr>
          <w:noProof/>
          <w:lang w:val="en-US"/>
        </w:rPr>
        <w:t xml:space="preserve">The Agency </w:t>
      </w:r>
      <w:r w:rsidR="000278B6">
        <w:rPr>
          <w:noProof/>
          <w:lang w:val="en-US"/>
        </w:rPr>
        <w:t>shall within its field of competence contribute to a timely response to and mitigation of crises by assisting</w:t>
      </w:r>
      <w:r w:rsidR="00923CA6">
        <w:rPr>
          <w:noProof/>
          <w:lang w:val="en-US"/>
        </w:rPr>
        <w:t>, upon request,</w:t>
      </w:r>
      <w:r w:rsidR="000278B6">
        <w:rPr>
          <w:noProof/>
          <w:lang w:val="en-US"/>
        </w:rPr>
        <w:t xml:space="preserve"> the Member States and the Commission</w:t>
      </w:r>
      <w:r w:rsidR="00923CA6">
        <w:rPr>
          <w:noProof/>
          <w:lang w:val="en-US"/>
        </w:rPr>
        <w:t xml:space="preserve"> with the execution of contingency plans and</w:t>
      </w:r>
      <w:r w:rsidR="000278B6">
        <w:rPr>
          <w:noProof/>
          <w:lang w:val="en-US"/>
        </w:rPr>
        <w:t xml:space="preserve"> by facilitating the exchange of information and best practices.</w:t>
      </w:r>
    </w:p>
    <w:p w14:paraId="017946F7" w14:textId="77777777" w:rsidR="00741347" w:rsidRPr="007423DA" w:rsidRDefault="002F67A3" w:rsidP="007456EE">
      <w:pPr>
        <w:pStyle w:val="Point0"/>
        <w:ind w:left="0" w:firstLine="0"/>
        <w:rPr>
          <w:noProof/>
          <w:lang w:val="en-US"/>
        </w:rPr>
      </w:pPr>
      <w:r>
        <w:rPr>
          <w:noProof/>
          <w:lang w:val="en-US"/>
        </w:rPr>
        <w:t>6</w:t>
      </w:r>
      <w:r w:rsidR="007456EE">
        <w:rPr>
          <w:noProof/>
          <w:lang w:val="en-US"/>
        </w:rPr>
        <w:t>.</w:t>
      </w:r>
      <w:r w:rsidR="007456EE">
        <w:rPr>
          <w:noProof/>
          <w:lang w:val="en-US"/>
        </w:rPr>
        <w:tab/>
      </w:r>
      <w:r w:rsidR="000278B6" w:rsidRPr="000278B6">
        <w:rPr>
          <w:noProof/>
          <w:lang w:val="en-US"/>
        </w:rPr>
        <w:t xml:space="preserve">The Agency shall assist the Commission in the </w:t>
      </w:r>
      <w:r w:rsidR="000278B6" w:rsidRPr="000278B6">
        <w:rPr>
          <w:noProof/>
        </w:rPr>
        <w:t>operation of the maritime surveillance component of the Copernicus Security Service</w:t>
      </w:r>
      <w:r w:rsidR="00741347">
        <w:rPr>
          <w:noProof/>
        </w:rPr>
        <w:t xml:space="preserve"> within the governance</w:t>
      </w:r>
      <w:r w:rsidR="00B96844">
        <w:rPr>
          <w:noProof/>
        </w:rPr>
        <w:t xml:space="preserve"> and financial</w:t>
      </w:r>
      <w:r w:rsidR="00741347">
        <w:rPr>
          <w:noProof/>
        </w:rPr>
        <w:t xml:space="preserve"> framework of the Copernicus programme. </w:t>
      </w:r>
    </w:p>
    <w:p w14:paraId="24A42249" w14:textId="77777777" w:rsidR="00870E6E" w:rsidRDefault="002F67A3" w:rsidP="007456EE">
      <w:pPr>
        <w:pStyle w:val="Point0"/>
        <w:ind w:left="0" w:firstLine="0"/>
        <w:rPr>
          <w:rFonts w:eastAsia="Calibri"/>
          <w:noProof/>
        </w:rPr>
      </w:pPr>
      <w:r>
        <w:rPr>
          <w:noProof/>
          <w:lang w:val="en-US"/>
        </w:rPr>
        <w:t>7</w:t>
      </w:r>
      <w:r w:rsidR="007456EE">
        <w:rPr>
          <w:noProof/>
          <w:lang w:val="en-US"/>
        </w:rPr>
        <w:t>.</w:t>
      </w:r>
      <w:r w:rsidR="007456EE">
        <w:rPr>
          <w:noProof/>
          <w:lang w:val="en-US"/>
        </w:rPr>
        <w:tab/>
      </w:r>
      <w:r w:rsidR="00870E6E" w:rsidRPr="00870E6E">
        <w:rPr>
          <w:rFonts w:eastAsia="Calibri"/>
          <w:noProof/>
        </w:rPr>
        <w:t>The Agency shall assist the Commission and the Member States in the development and maintenance of the voluntary Common Information Sharing Environment</w:t>
      </w:r>
      <w:r w:rsidR="00554968">
        <w:rPr>
          <w:rFonts w:eastAsia="Calibri"/>
          <w:noProof/>
        </w:rPr>
        <w:t xml:space="preserve"> (CISE)</w:t>
      </w:r>
      <w:r w:rsidR="00870E6E" w:rsidRPr="00870E6E">
        <w:rPr>
          <w:rFonts w:eastAsia="Calibri"/>
          <w:noProof/>
        </w:rPr>
        <w:t xml:space="preserve">, an interoperability </w:t>
      </w:r>
      <w:r w:rsidR="00554968">
        <w:rPr>
          <w:rFonts w:eastAsia="Calibri"/>
          <w:noProof/>
        </w:rPr>
        <w:t>solution,</w:t>
      </w:r>
      <w:r w:rsidR="00870E6E" w:rsidRPr="00870E6E">
        <w:rPr>
          <w:rFonts w:eastAsia="Calibri"/>
          <w:noProof/>
        </w:rPr>
        <w:t xml:space="preserve"> with the aim of facilitating information exchange between different systems used by civil and military authorities with responsibility in the maritime domain complementing the information already available through the mandatory information systems.</w:t>
      </w:r>
    </w:p>
    <w:p w14:paraId="47C418F8" w14:textId="77777777" w:rsidR="00870E6E" w:rsidRDefault="00870E6E" w:rsidP="007456EE">
      <w:pPr>
        <w:pStyle w:val="Point0"/>
        <w:ind w:left="0" w:firstLine="0"/>
        <w:rPr>
          <w:noProof/>
          <w:lang w:val="en-US"/>
        </w:rPr>
      </w:pPr>
    </w:p>
    <w:p w14:paraId="48FECE41" w14:textId="77777777" w:rsidR="00CD4529" w:rsidRDefault="00CD4529" w:rsidP="008F3E00">
      <w:pPr>
        <w:pStyle w:val="Titrearticle"/>
        <w:spacing w:before="0" w:after="200"/>
        <w:rPr>
          <w:noProof/>
        </w:rPr>
      </w:pPr>
      <w:r>
        <w:rPr>
          <w:noProof/>
        </w:rPr>
        <w:t xml:space="preserve">Article </w:t>
      </w:r>
      <w:r w:rsidR="001A3898">
        <w:rPr>
          <w:noProof/>
        </w:rPr>
        <w:t>9</w:t>
      </w:r>
    </w:p>
    <w:p w14:paraId="723B61D6" w14:textId="77777777" w:rsidR="00CD4529" w:rsidRDefault="00CD4529" w:rsidP="008F3E00">
      <w:pPr>
        <w:spacing w:before="0" w:after="200"/>
        <w:jc w:val="center"/>
        <w:rPr>
          <w:b/>
          <w:noProof/>
        </w:rPr>
      </w:pPr>
      <w:r w:rsidRPr="00CE5561">
        <w:rPr>
          <w:b/>
          <w:noProof/>
        </w:rPr>
        <w:t xml:space="preserve">Tasks  </w:t>
      </w:r>
      <w:r w:rsidR="0061594A">
        <w:rPr>
          <w:b/>
          <w:noProof/>
        </w:rPr>
        <w:t xml:space="preserve">relating to </w:t>
      </w:r>
      <w:r w:rsidR="007423DA">
        <w:rPr>
          <w:b/>
          <w:noProof/>
        </w:rPr>
        <w:t>digitalisation and simplification</w:t>
      </w:r>
    </w:p>
    <w:p w14:paraId="6B2540DB" w14:textId="77777777" w:rsidR="00727222" w:rsidRPr="003D75D4" w:rsidRDefault="007456EE" w:rsidP="007456EE">
      <w:pPr>
        <w:pStyle w:val="Point0"/>
        <w:ind w:left="0" w:firstLine="0"/>
        <w:rPr>
          <w:bCs/>
          <w:noProof/>
          <w:lang w:val="en-US"/>
        </w:rPr>
      </w:pPr>
      <w:r>
        <w:rPr>
          <w:noProof/>
          <w:lang w:val="en-US"/>
        </w:rPr>
        <w:t>1.</w:t>
      </w:r>
      <w:r>
        <w:rPr>
          <w:noProof/>
          <w:lang w:val="en-US"/>
        </w:rPr>
        <w:tab/>
      </w:r>
      <w:r w:rsidR="007423DA" w:rsidRPr="003D75D4">
        <w:rPr>
          <w:noProof/>
          <w:lang w:val="en-US"/>
        </w:rPr>
        <w:t>The Agency shall, where appropriate, collect and provide, in the areas of Union law within the Agency’s competence, objective, reliable and comparable statistics, information and data, to enable the Commission and the Member States to take the necessary steps to improve their actions and to evaluate the effectiveness and cost-efficiency of existing measures. Such tasks shall include the</w:t>
      </w:r>
      <w:r w:rsidR="00727222" w:rsidRPr="003D75D4">
        <w:rPr>
          <w:noProof/>
          <w:lang w:val="en-US"/>
        </w:rPr>
        <w:t xml:space="preserve"> facilitation</w:t>
      </w:r>
      <w:r w:rsidR="00FC42F1" w:rsidRPr="003D75D4">
        <w:rPr>
          <w:noProof/>
          <w:lang w:val="en-US"/>
        </w:rPr>
        <w:t xml:space="preserve"> and promotion</w:t>
      </w:r>
      <w:r w:rsidR="00727222" w:rsidRPr="003D75D4">
        <w:rPr>
          <w:noProof/>
          <w:lang w:val="en-US"/>
        </w:rPr>
        <w:t xml:space="preserve"> of electronic certificates, the</w:t>
      </w:r>
      <w:r w:rsidR="007423DA" w:rsidRPr="003D75D4">
        <w:rPr>
          <w:noProof/>
          <w:lang w:val="en-US"/>
        </w:rPr>
        <w:t xml:space="preserve"> collection, recording and evaluation of technical data, the systematic exploitation of existing databases, including their cross-fertilisation through the use of innovative IT</w:t>
      </w:r>
      <w:r w:rsidR="003E49FB" w:rsidRPr="003D75D4">
        <w:rPr>
          <w:noProof/>
          <w:lang w:val="en-US"/>
        </w:rPr>
        <w:t xml:space="preserve"> and artificial intelligence</w:t>
      </w:r>
      <w:r w:rsidR="007423DA" w:rsidRPr="003D75D4">
        <w:rPr>
          <w:noProof/>
          <w:lang w:val="en-US"/>
        </w:rPr>
        <w:t xml:space="preserve"> tools, and, where appropriate, the development of additional </w:t>
      </w:r>
      <w:r w:rsidR="00D95BDE" w:rsidRPr="003D75D4">
        <w:rPr>
          <w:noProof/>
          <w:lang w:val="en-US"/>
        </w:rPr>
        <w:t xml:space="preserve">interoperable </w:t>
      </w:r>
      <w:r w:rsidR="007423DA" w:rsidRPr="003D75D4">
        <w:rPr>
          <w:noProof/>
          <w:lang w:val="en-US"/>
        </w:rPr>
        <w:t>databases.</w:t>
      </w:r>
      <w:r w:rsidR="00EC3C45" w:rsidRPr="003D75D4">
        <w:rPr>
          <w:noProof/>
          <w:lang w:val="en-US"/>
        </w:rPr>
        <w:t xml:space="preserve"> </w:t>
      </w:r>
      <w:r w:rsidR="00F04DFE" w:rsidRPr="003D75D4">
        <w:rPr>
          <w:iCs/>
          <w:noProof/>
        </w:rPr>
        <w:t xml:space="preserve">In this regard, the Agency shall </w:t>
      </w:r>
      <w:r w:rsidR="00E932F8" w:rsidRPr="003D75D4">
        <w:rPr>
          <w:iCs/>
          <w:noProof/>
        </w:rPr>
        <w:t xml:space="preserve">also </w:t>
      </w:r>
      <w:r w:rsidR="00F04DFE" w:rsidRPr="003D75D4">
        <w:rPr>
          <w:iCs/>
          <w:noProof/>
        </w:rPr>
        <w:t>contribute to the maritime domain of the common European mobility data space</w:t>
      </w:r>
      <w:r w:rsidR="00F04DFE">
        <w:rPr>
          <w:noProof/>
        </w:rPr>
        <w:t xml:space="preserve"> by </w:t>
      </w:r>
      <w:r w:rsidR="00F04DFE" w:rsidRPr="003D75D4">
        <w:rPr>
          <w:iCs/>
          <w:noProof/>
          <w:lang w:val="en-IE"/>
        </w:rPr>
        <w:t>exploring links with systems of other transport modes</w:t>
      </w:r>
      <w:r w:rsidR="00F04DFE" w:rsidRPr="003D75D4">
        <w:rPr>
          <w:iCs/>
          <w:noProof/>
        </w:rPr>
        <w:t xml:space="preserve">. </w:t>
      </w:r>
    </w:p>
    <w:p w14:paraId="0F3603FA" w14:textId="77777777" w:rsidR="00F94588" w:rsidRPr="00F94588" w:rsidRDefault="007456EE" w:rsidP="007456EE">
      <w:pPr>
        <w:pStyle w:val="Point0"/>
        <w:ind w:left="0" w:firstLine="0"/>
        <w:rPr>
          <w:noProof/>
          <w:lang w:val="en-US"/>
        </w:rPr>
      </w:pPr>
      <w:r>
        <w:rPr>
          <w:noProof/>
          <w:lang w:val="en-US"/>
        </w:rPr>
        <w:t>2.</w:t>
      </w:r>
      <w:r>
        <w:rPr>
          <w:noProof/>
          <w:lang w:val="en-US"/>
        </w:rPr>
        <w:tab/>
      </w:r>
      <w:r w:rsidR="00F94588" w:rsidRPr="00F94588">
        <w:rPr>
          <w:noProof/>
          <w:lang w:val="en-US"/>
        </w:rPr>
        <w:t xml:space="preserve">The Agency shall assist the Commission in the implementation of the Regulation (EU) 2019/1239 </w:t>
      </w:r>
      <w:r w:rsidR="00743971" w:rsidRPr="00743971">
        <w:rPr>
          <w:noProof/>
        </w:rPr>
        <w:t>of the European Parliament and of the Council</w:t>
      </w:r>
      <w:r w:rsidR="00743971" w:rsidRPr="00841708">
        <w:rPr>
          <w:rStyle w:val="FootnoteReference"/>
          <w:noProof/>
        </w:rPr>
        <w:footnoteReference w:id="44"/>
      </w:r>
      <w:r w:rsidR="00F94588" w:rsidRPr="00F94588">
        <w:rPr>
          <w:noProof/>
          <w:lang w:val="en-US"/>
        </w:rPr>
        <w:t>, with the following tasks:</w:t>
      </w:r>
    </w:p>
    <w:p w14:paraId="26434F62" w14:textId="02BB87E3" w:rsidR="00F94588" w:rsidRPr="003D75D4" w:rsidRDefault="00443218" w:rsidP="00443218">
      <w:pPr>
        <w:pStyle w:val="Point0"/>
        <w:rPr>
          <w:noProof/>
        </w:rPr>
      </w:pPr>
      <w:r w:rsidRPr="00443218">
        <w:t>(a)</w:t>
      </w:r>
      <w:r w:rsidRPr="00443218">
        <w:tab/>
      </w:r>
      <w:r w:rsidR="00F94588" w:rsidRPr="003D75D4">
        <w:rPr>
          <w:noProof/>
        </w:rPr>
        <w:t xml:space="preserve">to develop, make available and maintain the common IT components and services of the </w:t>
      </w:r>
      <w:r w:rsidR="00743971" w:rsidRPr="00743971">
        <w:rPr>
          <w:noProof/>
        </w:rPr>
        <w:t xml:space="preserve">European Maritime Single Window environment (‘EMSWe’) </w:t>
      </w:r>
      <w:r w:rsidR="00F94588" w:rsidRPr="003D75D4">
        <w:rPr>
          <w:noProof/>
        </w:rPr>
        <w:t xml:space="preserve"> under the responsibility of the Commission;</w:t>
      </w:r>
    </w:p>
    <w:p w14:paraId="7F4939F7" w14:textId="7E00E0C3" w:rsidR="00F94588" w:rsidRPr="003D75D4" w:rsidRDefault="00443218" w:rsidP="00443218">
      <w:pPr>
        <w:pStyle w:val="Point0"/>
        <w:rPr>
          <w:noProof/>
        </w:rPr>
      </w:pPr>
      <w:r w:rsidRPr="00443218">
        <w:t>(b)</w:t>
      </w:r>
      <w:r w:rsidRPr="00443218">
        <w:tab/>
      </w:r>
      <w:r w:rsidR="00F94588" w:rsidRPr="003D75D4">
        <w:rPr>
          <w:noProof/>
        </w:rPr>
        <w:t>to maintain the EMSWe Data Set, the Message Implementation Guide and the templates of the digital spreadsheets;</w:t>
      </w:r>
    </w:p>
    <w:p w14:paraId="3741B0FE" w14:textId="4F2949CB" w:rsidR="00F94588" w:rsidRPr="003D75D4" w:rsidRDefault="00443218" w:rsidP="00443218">
      <w:pPr>
        <w:pStyle w:val="Point0"/>
        <w:rPr>
          <w:noProof/>
        </w:rPr>
      </w:pPr>
      <w:r w:rsidRPr="00443218">
        <w:t>(c)</w:t>
      </w:r>
      <w:r w:rsidRPr="00443218">
        <w:tab/>
      </w:r>
      <w:r w:rsidR="00F94588" w:rsidRPr="003D75D4">
        <w:rPr>
          <w:noProof/>
        </w:rPr>
        <w:t>to provide technical guidance to the Member States for the implementation of the EMSWe.</w:t>
      </w:r>
    </w:p>
    <w:p w14:paraId="6E2FC847" w14:textId="6B8101A7" w:rsidR="00F94588" w:rsidRPr="003D75D4" w:rsidRDefault="00443218" w:rsidP="00443218">
      <w:pPr>
        <w:pStyle w:val="Point0"/>
        <w:rPr>
          <w:noProof/>
        </w:rPr>
      </w:pPr>
      <w:r w:rsidRPr="00443218">
        <w:t>(d)</w:t>
      </w:r>
      <w:r w:rsidRPr="00443218">
        <w:tab/>
      </w:r>
      <w:r w:rsidR="00F94588" w:rsidRPr="003D75D4">
        <w:rPr>
          <w:noProof/>
        </w:rPr>
        <w:t xml:space="preserve"> to facilitate the re-use and the sharing of data exchanged in the EMSWe using SafeSeaNet.</w:t>
      </w:r>
    </w:p>
    <w:p w14:paraId="3A233AFD" w14:textId="77777777" w:rsidR="002C2ABC" w:rsidRDefault="007456EE" w:rsidP="007456EE">
      <w:pPr>
        <w:pStyle w:val="Point0"/>
        <w:ind w:left="0" w:firstLine="0"/>
        <w:rPr>
          <w:bCs/>
          <w:noProof/>
          <w:lang w:val="en-US"/>
        </w:rPr>
      </w:pPr>
      <w:r>
        <w:rPr>
          <w:noProof/>
          <w:lang w:val="en-US"/>
        </w:rPr>
        <w:t>3.</w:t>
      </w:r>
      <w:r>
        <w:rPr>
          <w:noProof/>
          <w:lang w:val="en-US"/>
        </w:rPr>
        <w:tab/>
      </w:r>
      <w:r w:rsidR="00EC3C45" w:rsidRPr="00237BEB">
        <w:rPr>
          <w:noProof/>
          <w:lang w:val="en-US"/>
        </w:rPr>
        <w:t xml:space="preserve">The Agency shall </w:t>
      </w:r>
      <w:r w:rsidR="00727222" w:rsidRPr="00237BEB">
        <w:rPr>
          <w:noProof/>
          <w:lang w:val="en-US"/>
        </w:rPr>
        <w:t>provide technical assistance to</w:t>
      </w:r>
      <w:r w:rsidR="00EC3C45" w:rsidRPr="00237BEB">
        <w:rPr>
          <w:noProof/>
          <w:lang w:val="en-US"/>
        </w:rPr>
        <w:t xml:space="preserve"> the Member States, upon their request</w:t>
      </w:r>
      <w:r w:rsidR="00727222" w:rsidRPr="00237BEB">
        <w:rPr>
          <w:noProof/>
          <w:lang w:val="en-US"/>
        </w:rPr>
        <w:t xml:space="preserve"> and without prejudice to their rights and obligations as flag States</w:t>
      </w:r>
      <w:r w:rsidR="00EC3C45" w:rsidRPr="00237BEB">
        <w:rPr>
          <w:noProof/>
          <w:lang w:val="en-US"/>
        </w:rPr>
        <w:t xml:space="preserve">, </w:t>
      </w:r>
      <w:r w:rsidR="00727222" w:rsidRPr="00237BEB">
        <w:rPr>
          <w:noProof/>
          <w:lang w:val="en-US"/>
        </w:rPr>
        <w:t>in the digitalization of their registries</w:t>
      </w:r>
      <w:r w:rsidR="001E2E04" w:rsidRPr="00237BEB">
        <w:rPr>
          <w:noProof/>
          <w:lang w:val="en-US"/>
        </w:rPr>
        <w:t xml:space="preserve"> and their procedures facilitating the uptake of electronic certificates</w:t>
      </w:r>
      <w:r w:rsidR="00727222" w:rsidRPr="00237BEB">
        <w:rPr>
          <w:noProof/>
          <w:lang w:val="en-US"/>
        </w:rPr>
        <w:t xml:space="preserve">. </w:t>
      </w:r>
    </w:p>
    <w:p w14:paraId="749AC4AA" w14:textId="77777777" w:rsidR="002F67A3" w:rsidRPr="00237BEB" w:rsidRDefault="002F67A3" w:rsidP="007456EE">
      <w:pPr>
        <w:pStyle w:val="Point0"/>
        <w:ind w:left="0" w:firstLine="0"/>
        <w:rPr>
          <w:noProof/>
          <w:lang w:val="en-US"/>
        </w:rPr>
      </w:pPr>
    </w:p>
    <w:p w14:paraId="707795E8" w14:textId="77777777" w:rsidR="00B51623" w:rsidRDefault="00B51623" w:rsidP="008F3E00">
      <w:pPr>
        <w:pStyle w:val="Titrearticle"/>
        <w:spacing w:before="0" w:after="200"/>
        <w:rPr>
          <w:noProof/>
        </w:rPr>
      </w:pPr>
      <w:r>
        <w:rPr>
          <w:noProof/>
        </w:rPr>
        <w:t>Article 1</w:t>
      </w:r>
      <w:r w:rsidR="001A3898">
        <w:rPr>
          <w:noProof/>
        </w:rPr>
        <w:t>0</w:t>
      </w:r>
    </w:p>
    <w:p w14:paraId="36BED1B4" w14:textId="77777777" w:rsidR="00B51623" w:rsidRPr="00B51623" w:rsidRDefault="00B51623" w:rsidP="008F3E00">
      <w:pPr>
        <w:spacing w:before="0" w:after="200"/>
        <w:jc w:val="center"/>
        <w:rPr>
          <w:b/>
          <w:noProof/>
        </w:rPr>
      </w:pPr>
      <w:r w:rsidRPr="00B51623">
        <w:rPr>
          <w:b/>
          <w:bCs/>
          <w:noProof/>
          <w:lang w:val="en-US"/>
        </w:rPr>
        <w:t xml:space="preserve">Visits to Member States and inspections </w:t>
      </w:r>
      <w:r>
        <w:rPr>
          <w:b/>
          <w:noProof/>
        </w:rPr>
        <w:t xml:space="preserve"> </w:t>
      </w:r>
    </w:p>
    <w:p w14:paraId="517FB9EF" w14:textId="77777777" w:rsidR="00B51623" w:rsidRPr="00B51623" w:rsidRDefault="00B51623" w:rsidP="008F3E00">
      <w:pPr>
        <w:pStyle w:val="ListParagraph"/>
        <w:spacing w:before="0" w:after="200"/>
        <w:rPr>
          <w:noProof/>
          <w:lang w:val="en-US"/>
        </w:rPr>
      </w:pPr>
    </w:p>
    <w:p w14:paraId="2C0CF3F8" w14:textId="77777777" w:rsidR="003171D0" w:rsidRPr="003D75D4" w:rsidRDefault="00D028AE" w:rsidP="00D028AE">
      <w:pPr>
        <w:pStyle w:val="Point0"/>
        <w:ind w:left="0" w:firstLine="0"/>
        <w:rPr>
          <w:noProof/>
          <w:lang w:val="en-US"/>
        </w:rPr>
      </w:pPr>
      <w:r>
        <w:rPr>
          <w:noProof/>
          <w:lang w:val="en-US"/>
        </w:rPr>
        <w:t>1.</w:t>
      </w:r>
      <w:r>
        <w:rPr>
          <w:noProof/>
          <w:lang w:val="en-US"/>
        </w:rPr>
        <w:tab/>
      </w:r>
      <w:r w:rsidR="00B51623" w:rsidRPr="003D75D4">
        <w:rPr>
          <w:noProof/>
          <w:lang w:val="en-US"/>
        </w:rPr>
        <w:t xml:space="preserve">In order to assist the Commission in fulfilling its duties under the TFEU, and in particular the assessment of the effective implementation of relevant Union law, the Agency shall carry out visits to Member States in accordance with </w:t>
      </w:r>
      <w:r w:rsidR="00A37FCB" w:rsidRPr="003D75D4">
        <w:rPr>
          <w:noProof/>
          <w:lang w:val="en-US"/>
        </w:rPr>
        <w:t xml:space="preserve">a </w:t>
      </w:r>
      <w:r w:rsidR="00B51623" w:rsidRPr="003D75D4">
        <w:rPr>
          <w:noProof/>
          <w:lang w:val="en-US"/>
        </w:rPr>
        <w:t xml:space="preserve">methodology established by the </w:t>
      </w:r>
      <w:r w:rsidR="00E141A3" w:rsidRPr="003D75D4">
        <w:rPr>
          <w:noProof/>
          <w:lang w:val="en-US"/>
        </w:rPr>
        <w:t xml:space="preserve">Management </w:t>
      </w:r>
      <w:r w:rsidR="00B51623" w:rsidRPr="003D75D4">
        <w:rPr>
          <w:noProof/>
          <w:lang w:val="en-US"/>
        </w:rPr>
        <w:t xml:space="preserve">Board. Such methodology shall take into account an integrated approach by each visit aiming to verify more than one piece of legislation each time pertinent to the function of </w:t>
      </w:r>
      <w:r w:rsidR="00F01C30" w:rsidRPr="003D75D4">
        <w:rPr>
          <w:noProof/>
          <w:lang w:val="en-US"/>
        </w:rPr>
        <w:t xml:space="preserve">flag, port or coastal State of </w:t>
      </w:r>
      <w:r w:rsidR="00B51623" w:rsidRPr="003D75D4">
        <w:rPr>
          <w:noProof/>
          <w:lang w:val="en-US"/>
        </w:rPr>
        <w:t xml:space="preserve">the </w:t>
      </w:r>
      <w:r w:rsidR="00F90D4A">
        <w:rPr>
          <w:noProof/>
          <w:lang w:val="en-US"/>
        </w:rPr>
        <w:t xml:space="preserve">examined </w:t>
      </w:r>
      <w:r w:rsidR="00B51623" w:rsidRPr="003D75D4">
        <w:rPr>
          <w:noProof/>
          <w:lang w:val="en-US"/>
        </w:rPr>
        <w:t>Member State during the visit</w:t>
      </w:r>
      <w:r w:rsidR="00F01C30" w:rsidRPr="003D75D4">
        <w:rPr>
          <w:noProof/>
          <w:lang w:val="en-US"/>
        </w:rPr>
        <w:t>.</w:t>
      </w:r>
    </w:p>
    <w:p w14:paraId="07F84B63" w14:textId="77777777" w:rsidR="00B51623" w:rsidRPr="00B51623" w:rsidRDefault="00D028AE" w:rsidP="00D028AE">
      <w:pPr>
        <w:pStyle w:val="Point0"/>
        <w:ind w:left="0" w:firstLine="0"/>
        <w:rPr>
          <w:noProof/>
          <w:lang w:val="en-US"/>
        </w:rPr>
      </w:pPr>
      <w:r>
        <w:rPr>
          <w:noProof/>
          <w:lang w:val="en-US"/>
        </w:rPr>
        <w:t>2.</w:t>
      </w:r>
      <w:r>
        <w:rPr>
          <w:noProof/>
          <w:lang w:val="en-US"/>
        </w:rPr>
        <w:tab/>
      </w:r>
      <w:r w:rsidR="00B51623" w:rsidRPr="00B51623">
        <w:rPr>
          <w:noProof/>
          <w:lang w:val="en-US"/>
        </w:rPr>
        <w:t>The Agency shall inform the Member State concerned in good time of the planned visit, the names of the authorised officials, and the date on which the visit starts and its expected duration. The Agency officials delegated to carry out such visits shall do so on presentation of a decision in writing from the Executive Director of the Agency specifying the purpose and the aims of their mission.</w:t>
      </w:r>
    </w:p>
    <w:p w14:paraId="5B70C3B8" w14:textId="77777777" w:rsidR="003D75D4" w:rsidRPr="003D75D4" w:rsidRDefault="00D028AE" w:rsidP="00D028AE">
      <w:pPr>
        <w:pStyle w:val="Point0"/>
        <w:ind w:left="0" w:firstLine="0"/>
        <w:rPr>
          <w:noProof/>
        </w:rPr>
      </w:pPr>
      <w:r>
        <w:rPr>
          <w:noProof/>
          <w:lang w:val="en-US"/>
        </w:rPr>
        <w:t>3.</w:t>
      </w:r>
      <w:r>
        <w:rPr>
          <w:noProof/>
          <w:lang w:val="en-US"/>
        </w:rPr>
        <w:tab/>
      </w:r>
      <w:r w:rsidR="00B51623" w:rsidRPr="00B51623">
        <w:rPr>
          <w:noProof/>
          <w:lang w:val="en-US"/>
        </w:rPr>
        <w:t xml:space="preserve">The Agency </w:t>
      </w:r>
      <w:r w:rsidR="00743971">
        <w:rPr>
          <w:noProof/>
          <w:lang w:val="en-US"/>
        </w:rPr>
        <w:t>may</w:t>
      </w:r>
      <w:r w:rsidR="00743971" w:rsidRPr="00B51623">
        <w:rPr>
          <w:noProof/>
          <w:lang w:val="en-US"/>
        </w:rPr>
        <w:t xml:space="preserve"> </w:t>
      </w:r>
      <w:r w:rsidR="00B51623" w:rsidRPr="00B51623">
        <w:rPr>
          <w:noProof/>
          <w:lang w:val="en-US"/>
        </w:rPr>
        <w:t xml:space="preserve">carry out inspections on behalf of the Commission as required by binding legal acts of the Union regarding organisations recognised by the Union in accordance with Regulation (EC) No 391/2009, and </w:t>
      </w:r>
      <w:r w:rsidR="00F90D4A">
        <w:rPr>
          <w:noProof/>
          <w:lang w:val="en-US"/>
        </w:rPr>
        <w:t>as regards</w:t>
      </w:r>
      <w:r w:rsidR="00F90D4A" w:rsidRPr="00B51623">
        <w:rPr>
          <w:noProof/>
          <w:lang w:val="en-US"/>
        </w:rPr>
        <w:t xml:space="preserve"> </w:t>
      </w:r>
      <w:r w:rsidR="00B51623" w:rsidRPr="00B51623">
        <w:rPr>
          <w:noProof/>
          <w:lang w:val="en-US"/>
        </w:rPr>
        <w:t xml:space="preserve">the training and certification of seafarers in third countries in accordance with </w:t>
      </w:r>
      <w:r w:rsidR="00607C76" w:rsidRPr="00607C76">
        <w:rPr>
          <w:noProof/>
          <w:lang w:val="en-US"/>
        </w:rPr>
        <w:t>Directive (EU) 2022/993</w:t>
      </w:r>
      <w:r w:rsidR="00B51623" w:rsidRPr="00B51623">
        <w:rPr>
          <w:noProof/>
          <w:lang w:val="en-US"/>
        </w:rPr>
        <w:t>.</w:t>
      </w:r>
      <w:r w:rsidR="005938E1">
        <w:rPr>
          <w:noProof/>
          <w:lang w:val="en-US"/>
        </w:rPr>
        <w:t xml:space="preserve"> </w:t>
      </w:r>
    </w:p>
    <w:p w14:paraId="101150E0" w14:textId="77777777" w:rsidR="00B51623" w:rsidRPr="005938E1" w:rsidRDefault="00D028AE" w:rsidP="00D028AE">
      <w:pPr>
        <w:pStyle w:val="Point0"/>
        <w:ind w:left="0" w:firstLine="0"/>
        <w:rPr>
          <w:noProof/>
        </w:rPr>
      </w:pPr>
      <w:r>
        <w:rPr>
          <w:noProof/>
          <w:lang w:val="en-US"/>
        </w:rPr>
        <w:t>4.</w:t>
      </w:r>
      <w:r>
        <w:rPr>
          <w:noProof/>
          <w:lang w:val="en-US"/>
        </w:rPr>
        <w:tab/>
      </w:r>
      <w:r w:rsidR="005938E1" w:rsidRPr="003D75D4">
        <w:rPr>
          <w:noProof/>
          <w:lang w:val="en-US"/>
        </w:rPr>
        <w:t>The Agency may also carry out inspections on behalf of the Commission</w:t>
      </w:r>
      <w:r w:rsidR="00E46AD6" w:rsidRPr="003D75D4">
        <w:rPr>
          <w:noProof/>
          <w:lang w:val="en-US"/>
        </w:rPr>
        <w:t xml:space="preserve"> </w:t>
      </w:r>
      <w:r w:rsidR="005938E1" w:rsidRPr="003D75D4">
        <w:rPr>
          <w:noProof/>
          <w:lang w:val="en-US"/>
        </w:rPr>
        <w:t xml:space="preserve">as required by any other binding legal act of the Union if the Commission decides to delegate such a task to the Agency. </w:t>
      </w:r>
    </w:p>
    <w:p w14:paraId="03584B7D" w14:textId="77777777" w:rsidR="00B51623" w:rsidRPr="00F26CC5" w:rsidRDefault="00D028AE" w:rsidP="0006450B">
      <w:pPr>
        <w:pStyle w:val="Point0"/>
        <w:ind w:left="0" w:firstLine="0"/>
        <w:rPr>
          <w:noProof/>
        </w:rPr>
      </w:pPr>
      <w:r>
        <w:rPr>
          <w:noProof/>
          <w:lang w:val="en-US"/>
        </w:rPr>
        <w:t>5.</w:t>
      </w:r>
      <w:r>
        <w:rPr>
          <w:noProof/>
          <w:lang w:val="en-US"/>
        </w:rPr>
        <w:tab/>
      </w:r>
      <w:r w:rsidR="00B51623" w:rsidRPr="00B51623">
        <w:rPr>
          <w:noProof/>
          <w:lang w:val="en-US"/>
        </w:rPr>
        <w:t>At the end of each visit or inspection, the Agency shall draw up a report and send it to the Commission and to the Member State concerned.</w:t>
      </w:r>
      <w:r w:rsidR="00F90D4A" w:rsidRPr="00F90D4A">
        <w:rPr>
          <w:noProof/>
        </w:rPr>
        <w:t xml:space="preserve"> The report would follow the template previously established by the Commission. </w:t>
      </w:r>
    </w:p>
    <w:p w14:paraId="6D54B108" w14:textId="77777777" w:rsidR="00B51623" w:rsidRDefault="00D028AE" w:rsidP="00D028AE">
      <w:pPr>
        <w:pStyle w:val="Point0"/>
        <w:ind w:left="0" w:firstLine="0"/>
        <w:rPr>
          <w:noProof/>
          <w:lang w:val="en-US"/>
        </w:rPr>
      </w:pPr>
      <w:r>
        <w:rPr>
          <w:noProof/>
          <w:lang w:val="en-US"/>
        </w:rPr>
        <w:t>6.</w:t>
      </w:r>
      <w:r>
        <w:rPr>
          <w:noProof/>
          <w:lang w:val="en-US"/>
        </w:rPr>
        <w:tab/>
      </w:r>
      <w:r w:rsidR="00B51623" w:rsidRPr="00B51623">
        <w:rPr>
          <w:noProof/>
          <w:lang w:val="en-US"/>
        </w:rPr>
        <w:t>Where appropriate, and in any case when a cycle of visits or inspections is concluded, the Agency shall analyse reports from that cycle with a view to identifying horizontal findings and general conclusions on the effectiveness and cost-efficiency of the measures in place. The Agency shall present this analysis to the Commission for further discussion with Member States in order to draw any relevant lessons and facilitate the dissemination of good working practices.</w:t>
      </w:r>
    </w:p>
    <w:p w14:paraId="651869B4" w14:textId="77777777" w:rsidR="00B51623" w:rsidRDefault="00B51623" w:rsidP="008F3E00">
      <w:pPr>
        <w:spacing w:before="0" w:after="200"/>
        <w:rPr>
          <w:noProof/>
          <w:lang w:val="en-US"/>
        </w:rPr>
      </w:pPr>
    </w:p>
    <w:p w14:paraId="749C0A82" w14:textId="77777777" w:rsidR="009B5F9E" w:rsidRDefault="009B5F9E" w:rsidP="008F3E00">
      <w:pPr>
        <w:pStyle w:val="Titrearticle"/>
        <w:spacing w:before="0" w:after="200"/>
        <w:rPr>
          <w:noProof/>
        </w:rPr>
      </w:pPr>
      <w:r>
        <w:rPr>
          <w:noProof/>
        </w:rPr>
        <w:t>CHAPTER III</w:t>
      </w:r>
    </w:p>
    <w:p w14:paraId="214C218D" w14:textId="77777777" w:rsidR="009B5F9E" w:rsidRPr="009B5F9E" w:rsidRDefault="009B5F9E" w:rsidP="008F3E00">
      <w:pPr>
        <w:spacing w:before="0" w:after="200"/>
        <w:jc w:val="center"/>
        <w:rPr>
          <w:b/>
          <w:noProof/>
        </w:rPr>
      </w:pPr>
      <w:r w:rsidRPr="009B5F9E">
        <w:rPr>
          <w:b/>
          <w:noProof/>
        </w:rPr>
        <w:t xml:space="preserve">OTHER TASKS OF THE AGENCY </w:t>
      </w:r>
      <w:r w:rsidR="00F90D4A" w:rsidRPr="00F90D4A">
        <w:rPr>
          <w:b/>
          <w:noProof/>
        </w:rPr>
        <w:t>REGARDING INTERNATIONAL RELATIONS AND EUROPEAN COAST GUARD COOPERATION</w:t>
      </w:r>
    </w:p>
    <w:p w14:paraId="00AFEFAD" w14:textId="77777777" w:rsidR="001A3BE3" w:rsidRDefault="001A3BE3" w:rsidP="008F3E00">
      <w:pPr>
        <w:pStyle w:val="Titrearticle"/>
        <w:spacing w:before="0" w:after="200"/>
        <w:rPr>
          <w:noProof/>
        </w:rPr>
      </w:pPr>
      <w:r>
        <w:rPr>
          <w:noProof/>
        </w:rPr>
        <w:t>Article 1</w:t>
      </w:r>
      <w:r w:rsidR="001A3898">
        <w:rPr>
          <w:noProof/>
        </w:rPr>
        <w:t>1</w:t>
      </w:r>
    </w:p>
    <w:p w14:paraId="788A5DF7" w14:textId="77777777" w:rsidR="001A3BE3" w:rsidRPr="00B51623" w:rsidRDefault="001A3BE3" w:rsidP="008F3E00">
      <w:pPr>
        <w:spacing w:before="0" w:after="200"/>
        <w:jc w:val="center"/>
        <w:rPr>
          <w:b/>
          <w:noProof/>
        </w:rPr>
      </w:pPr>
      <w:r>
        <w:rPr>
          <w:b/>
          <w:bCs/>
          <w:noProof/>
          <w:lang w:val="en-US"/>
        </w:rPr>
        <w:t>International relations</w:t>
      </w:r>
      <w:r>
        <w:rPr>
          <w:b/>
          <w:noProof/>
        </w:rPr>
        <w:t xml:space="preserve"> </w:t>
      </w:r>
    </w:p>
    <w:p w14:paraId="6F43CDAE" w14:textId="77777777" w:rsidR="001A3BE3" w:rsidRPr="00017D6D" w:rsidRDefault="001A3BE3" w:rsidP="008F3E00">
      <w:pPr>
        <w:spacing w:before="0" w:after="200"/>
        <w:rPr>
          <w:noProof/>
        </w:rPr>
      </w:pPr>
    </w:p>
    <w:p w14:paraId="173688D2" w14:textId="77777777" w:rsidR="001A3BE3" w:rsidRDefault="00D028AE" w:rsidP="00D028AE">
      <w:pPr>
        <w:pStyle w:val="Point0"/>
        <w:ind w:left="0" w:firstLine="0"/>
        <w:rPr>
          <w:noProof/>
          <w:lang w:val="en-US"/>
        </w:rPr>
      </w:pPr>
      <w:r>
        <w:rPr>
          <w:noProof/>
        </w:rPr>
        <w:t>1.</w:t>
      </w:r>
      <w:r>
        <w:rPr>
          <w:noProof/>
        </w:rPr>
        <w:tab/>
      </w:r>
      <w:r w:rsidR="001A3BE3">
        <w:rPr>
          <w:noProof/>
        </w:rPr>
        <w:t xml:space="preserve">The Agency shall provide </w:t>
      </w:r>
      <w:r w:rsidR="001A3BE3" w:rsidRPr="003D75D4">
        <w:rPr>
          <w:noProof/>
          <w:lang w:val="en-US"/>
        </w:rPr>
        <w:t>technical assistance necessary for the Member States and the Commission, upon their request, to contribute to the relevant work of the technical bodies of the IMO, the International Labour Organisation as far as shipping is concerned, and the Paris Memorandum of Understanding on Port State Control (‘Paris MoU’) and relevant regional organisations to which the Union has acceded, with regard to matters of Union competence.</w:t>
      </w:r>
    </w:p>
    <w:p w14:paraId="222B9677" w14:textId="77777777" w:rsidR="004258A5" w:rsidRPr="00FF4F42" w:rsidRDefault="004258A5" w:rsidP="004258A5">
      <w:pPr>
        <w:spacing w:before="0" w:after="0"/>
        <w:rPr>
          <w:iCs/>
          <w:noProof/>
          <w:szCs w:val="24"/>
          <w:lang w:val="en-US"/>
        </w:rPr>
      </w:pPr>
      <w:r w:rsidRPr="00FF4F42">
        <w:rPr>
          <w:iCs/>
          <w:noProof/>
          <w:lang w:val="en-US"/>
        </w:rPr>
        <w:t>F</w:t>
      </w:r>
      <w:r w:rsidRPr="00FF4F42">
        <w:rPr>
          <w:iCs/>
          <w:noProof/>
        </w:rPr>
        <w:t>or the purpose of carrying out these tasks in an efficient and effective manner, the Executive Director may decide to locate staff in Union delegations in third countries subject to the appropriate agreements with the European External Action Service. That decision requires the prior consent of the Commission and of the Management Board. That decision shall specify the scope of the activities to be carried out by the located staff in a manner that avoids unnecessary costs and duplication of administrative functions of the Agency.</w:t>
      </w:r>
    </w:p>
    <w:p w14:paraId="7D381337" w14:textId="77777777" w:rsidR="001A3BE3" w:rsidRPr="002429CA" w:rsidRDefault="00D028AE" w:rsidP="00D028AE">
      <w:pPr>
        <w:pStyle w:val="Point0"/>
        <w:ind w:left="0" w:firstLine="0"/>
        <w:rPr>
          <w:noProof/>
        </w:rPr>
      </w:pPr>
      <w:r>
        <w:rPr>
          <w:noProof/>
          <w:lang w:val="en-US"/>
        </w:rPr>
        <w:t>2.</w:t>
      </w:r>
      <w:r>
        <w:rPr>
          <w:noProof/>
          <w:lang w:val="en-US"/>
        </w:rPr>
        <w:tab/>
      </w:r>
      <w:r w:rsidR="001A3BE3" w:rsidRPr="00095982">
        <w:rPr>
          <w:noProof/>
          <w:lang w:val="en-US"/>
        </w:rPr>
        <w:t xml:space="preserve">The Agency may, upon the request of the Commission, provide technical assistance, including the organisation of relevant training activities, as regards relevant legal acts of the Union, to States applying for accession to the Union, and, where applicable, to European </w:t>
      </w:r>
      <w:r w:rsidR="001A3BE3">
        <w:rPr>
          <w:noProof/>
          <w:lang w:val="en-US"/>
        </w:rPr>
        <w:t>Neighbourhood partner countries</w:t>
      </w:r>
      <w:r w:rsidR="00762810">
        <w:rPr>
          <w:noProof/>
          <w:lang w:val="en-US"/>
        </w:rPr>
        <w:t xml:space="preserve"> and</w:t>
      </w:r>
      <w:r w:rsidR="001A3BE3">
        <w:rPr>
          <w:noProof/>
          <w:lang w:val="en-US"/>
        </w:rPr>
        <w:t xml:space="preserve"> </w:t>
      </w:r>
      <w:r w:rsidR="001A3BE3" w:rsidRPr="00095982">
        <w:rPr>
          <w:noProof/>
          <w:lang w:val="en-US"/>
        </w:rPr>
        <w:t>to countries taking part in the Paris MoU</w:t>
      </w:r>
      <w:r w:rsidR="001A3BE3">
        <w:rPr>
          <w:noProof/>
          <w:lang w:val="en-US"/>
        </w:rPr>
        <w:t>.</w:t>
      </w:r>
      <w:r w:rsidR="002429CA" w:rsidRPr="002429CA">
        <w:rPr>
          <w:noProof/>
        </w:rPr>
        <w:t xml:space="preserve"> </w:t>
      </w:r>
    </w:p>
    <w:p w14:paraId="6B4629D3" w14:textId="77777777" w:rsidR="001A3BE3" w:rsidRDefault="00D028AE" w:rsidP="00D028AE">
      <w:pPr>
        <w:pStyle w:val="Point0"/>
        <w:ind w:left="0" w:firstLine="0"/>
        <w:rPr>
          <w:noProof/>
          <w:lang w:val="en-US"/>
        </w:rPr>
      </w:pPr>
      <w:r>
        <w:rPr>
          <w:noProof/>
          <w:lang w:val="en-US"/>
        </w:rPr>
        <w:t>3.</w:t>
      </w:r>
      <w:r>
        <w:rPr>
          <w:noProof/>
          <w:lang w:val="en-US"/>
        </w:rPr>
        <w:tab/>
      </w:r>
      <w:r w:rsidR="001A3BE3" w:rsidRPr="00095982">
        <w:rPr>
          <w:noProof/>
          <w:lang w:val="en-US"/>
        </w:rPr>
        <w:t>The Agency may</w:t>
      </w:r>
      <w:r w:rsidR="001A3BE3" w:rsidRPr="009B5F9E">
        <w:rPr>
          <w:noProof/>
          <w:lang w:val="en-US"/>
        </w:rPr>
        <w:t>, upon the request of the Commission or the European External Action Service</w:t>
      </w:r>
      <w:r w:rsidR="001A3BE3">
        <w:rPr>
          <w:noProof/>
          <w:lang w:val="en-US"/>
        </w:rPr>
        <w:t>,</w:t>
      </w:r>
      <w:r w:rsidR="001A3BE3" w:rsidRPr="00095982">
        <w:rPr>
          <w:noProof/>
          <w:lang w:val="en-US"/>
        </w:rPr>
        <w:t xml:space="preserve"> </w:t>
      </w:r>
      <w:r w:rsidR="00303378">
        <w:rPr>
          <w:noProof/>
          <w:lang w:val="en-US"/>
        </w:rPr>
        <w:t xml:space="preserve">or both, </w:t>
      </w:r>
      <w:r w:rsidR="001A3BE3" w:rsidRPr="00095982">
        <w:rPr>
          <w:noProof/>
          <w:lang w:val="en-US"/>
        </w:rPr>
        <w:t>provide assistance in case of pollution caused by ships as well as marine pollution caused by oil and gas installations affecting third countries sharing a regional sea basin with the Union</w:t>
      </w:r>
      <w:r w:rsidR="00303378">
        <w:rPr>
          <w:noProof/>
          <w:lang w:val="en-US"/>
        </w:rPr>
        <w:t>. The Agency shall provide the assistance</w:t>
      </w:r>
      <w:r w:rsidR="001A3BE3" w:rsidRPr="00095982">
        <w:rPr>
          <w:noProof/>
          <w:lang w:val="en-US"/>
        </w:rPr>
        <w:t xml:space="preserve"> in line with the </w:t>
      </w:r>
      <w:r w:rsidR="00303378">
        <w:rPr>
          <w:noProof/>
          <w:lang w:val="en-US"/>
        </w:rPr>
        <w:t>Union</w:t>
      </w:r>
      <w:r w:rsidR="00303378" w:rsidRPr="00095982">
        <w:rPr>
          <w:noProof/>
          <w:lang w:val="en-US"/>
        </w:rPr>
        <w:t xml:space="preserve"> </w:t>
      </w:r>
      <w:r w:rsidR="001A3BE3" w:rsidRPr="00095982">
        <w:rPr>
          <w:noProof/>
          <w:lang w:val="en-US"/>
        </w:rPr>
        <w:t xml:space="preserve">Civil Protection Mechanism established by Decision No 1313/2013/EU, and with the conditions applicable to Member States as referred to in </w:t>
      </w:r>
      <w:r w:rsidR="001A3BE3">
        <w:rPr>
          <w:noProof/>
          <w:lang w:val="en-US"/>
        </w:rPr>
        <w:t xml:space="preserve">Article </w:t>
      </w:r>
      <w:r w:rsidR="00F26CC5">
        <w:rPr>
          <w:noProof/>
          <w:lang w:val="en-US"/>
        </w:rPr>
        <w:t>5 (</w:t>
      </w:r>
      <w:r w:rsidR="001A3BE3">
        <w:rPr>
          <w:noProof/>
          <w:lang w:val="en-US"/>
        </w:rPr>
        <w:t>1</w:t>
      </w:r>
      <w:r w:rsidR="00303378">
        <w:rPr>
          <w:noProof/>
          <w:lang w:val="en-US"/>
        </w:rPr>
        <w:t>)</w:t>
      </w:r>
      <w:r w:rsidR="00303378" w:rsidRPr="00303378">
        <w:rPr>
          <w:noProof/>
        </w:rPr>
        <w:t xml:space="preserve"> of this Regulation applied by analogy to the third countries</w:t>
      </w:r>
      <w:r w:rsidR="001A3BE3" w:rsidRPr="00095982">
        <w:rPr>
          <w:noProof/>
          <w:lang w:val="en-US"/>
        </w:rPr>
        <w:t>. Th</w:t>
      </w:r>
      <w:r w:rsidR="00303378">
        <w:rPr>
          <w:noProof/>
          <w:lang w:val="en-US"/>
        </w:rPr>
        <w:t>o</w:t>
      </w:r>
      <w:r w:rsidR="001A3BE3" w:rsidRPr="00095982">
        <w:rPr>
          <w:noProof/>
          <w:lang w:val="en-US"/>
        </w:rPr>
        <w:t>se tasks shall be coordinated with the existing regional cooperation arrangements related to marine pollution.</w:t>
      </w:r>
    </w:p>
    <w:p w14:paraId="7DBF85CD" w14:textId="77777777" w:rsidR="001A3BE3" w:rsidRPr="002429CA" w:rsidRDefault="00D028AE" w:rsidP="00D028AE">
      <w:pPr>
        <w:pStyle w:val="Point0"/>
        <w:ind w:left="0" w:firstLine="0"/>
        <w:rPr>
          <w:noProof/>
          <w:lang w:val="en-US"/>
        </w:rPr>
      </w:pPr>
      <w:r>
        <w:rPr>
          <w:noProof/>
          <w:lang w:val="en-US"/>
        </w:rPr>
        <w:t>4.</w:t>
      </w:r>
      <w:r>
        <w:rPr>
          <w:noProof/>
          <w:lang w:val="en-US"/>
        </w:rPr>
        <w:tab/>
      </w:r>
      <w:r w:rsidR="00FC2063">
        <w:rPr>
          <w:noProof/>
          <w:lang w:val="en-US"/>
        </w:rPr>
        <w:t>Without prejudice to Article 24, t</w:t>
      </w:r>
      <w:r w:rsidR="001A3BE3" w:rsidRPr="002429CA">
        <w:rPr>
          <w:noProof/>
          <w:lang w:val="en-US"/>
        </w:rPr>
        <w:t>he Agency may provide, upon the request of the Commission, technical assistance to third countries for matt</w:t>
      </w:r>
      <w:r w:rsidR="002429CA" w:rsidRPr="002429CA">
        <w:rPr>
          <w:noProof/>
          <w:lang w:val="en-US"/>
        </w:rPr>
        <w:t>ers falling under its competence.</w:t>
      </w:r>
      <w:r w:rsidR="001A3BE3" w:rsidRPr="002429CA">
        <w:rPr>
          <w:noProof/>
          <w:lang w:val="en-US"/>
        </w:rPr>
        <w:t xml:space="preserve"> </w:t>
      </w:r>
    </w:p>
    <w:p w14:paraId="377CF6F2" w14:textId="77777777" w:rsidR="00303378" w:rsidRPr="00303378" w:rsidRDefault="00D028AE" w:rsidP="00303378">
      <w:pPr>
        <w:pStyle w:val="Point0"/>
        <w:ind w:left="0" w:firstLine="0"/>
        <w:rPr>
          <w:noProof/>
        </w:rPr>
      </w:pPr>
      <w:r>
        <w:rPr>
          <w:noProof/>
          <w:lang w:val="en-US"/>
        </w:rPr>
        <w:t>5.</w:t>
      </w:r>
      <w:r>
        <w:rPr>
          <w:noProof/>
          <w:lang w:val="en-US"/>
        </w:rPr>
        <w:tab/>
      </w:r>
      <w:r w:rsidR="00303378" w:rsidRPr="00303378">
        <w:rPr>
          <w:noProof/>
        </w:rPr>
        <w:t xml:space="preserve">The Agency may enter into administrative arrangements and cooperation with other </w:t>
      </w:r>
      <w:r w:rsidR="007F29D9">
        <w:rPr>
          <w:noProof/>
        </w:rPr>
        <w:t xml:space="preserve">Union </w:t>
      </w:r>
      <w:r w:rsidR="00303378" w:rsidRPr="00303378">
        <w:rPr>
          <w:noProof/>
        </w:rPr>
        <w:t xml:space="preserve">bodies working in the matters falling within the scope of the Agency’s competence following the approval of the Commission. Such arrangements and cooperation shall be subject to the opinion of the Commission and periodical reporting to it. </w:t>
      </w:r>
    </w:p>
    <w:p w14:paraId="501A63ED" w14:textId="77777777" w:rsidR="001A3BE3" w:rsidRDefault="00D028AE" w:rsidP="00D028AE">
      <w:pPr>
        <w:pStyle w:val="Point0"/>
        <w:ind w:left="0" w:firstLine="0"/>
        <w:rPr>
          <w:noProof/>
          <w:lang w:val="en-US"/>
        </w:rPr>
      </w:pPr>
      <w:r>
        <w:rPr>
          <w:noProof/>
          <w:lang w:val="en-US"/>
        </w:rPr>
        <w:t>6.</w:t>
      </w:r>
      <w:r>
        <w:rPr>
          <w:noProof/>
          <w:lang w:val="en-US"/>
        </w:rPr>
        <w:tab/>
      </w:r>
      <w:r w:rsidR="001A3BE3">
        <w:rPr>
          <w:noProof/>
          <w:lang w:val="en-US"/>
        </w:rPr>
        <w:t>The Management Board shall adopt a strategy for international relations of the Agency concerning matters under its competence. That strategy shall</w:t>
      </w:r>
      <w:r w:rsidR="003D6C09" w:rsidRPr="003D6C09">
        <w:rPr>
          <w:noProof/>
          <w:lang w:val="en-US"/>
        </w:rPr>
        <w:t xml:space="preserve"> be in line with the Commission’s political priorities and shall aim at assisting the Commission and the European External Action Service in fulfilling such priorities. It shall</w:t>
      </w:r>
      <w:r w:rsidR="001A3BE3">
        <w:rPr>
          <w:noProof/>
          <w:lang w:val="en-US"/>
        </w:rPr>
        <w:t xml:space="preserve"> be included in the programming document of the Agency, with a specification of associated resources.</w:t>
      </w:r>
    </w:p>
    <w:p w14:paraId="1F7855EA" w14:textId="77777777" w:rsidR="004A0092" w:rsidRDefault="004A0092" w:rsidP="00D028AE">
      <w:pPr>
        <w:pStyle w:val="Point0"/>
        <w:ind w:left="0" w:firstLine="0"/>
        <w:rPr>
          <w:noProof/>
          <w:lang w:val="en-US"/>
        </w:rPr>
      </w:pPr>
    </w:p>
    <w:p w14:paraId="6684AB2D" w14:textId="77777777" w:rsidR="009B5F9E" w:rsidRDefault="001A3898" w:rsidP="008F3E00">
      <w:pPr>
        <w:pStyle w:val="Titrearticle"/>
        <w:spacing w:before="0" w:after="200"/>
        <w:rPr>
          <w:noProof/>
        </w:rPr>
      </w:pPr>
      <w:r>
        <w:rPr>
          <w:noProof/>
        </w:rPr>
        <w:t>Article 12</w:t>
      </w:r>
    </w:p>
    <w:p w14:paraId="0AA7CDE5" w14:textId="77777777" w:rsidR="009B5F9E" w:rsidRDefault="009B5F9E" w:rsidP="008F3E00">
      <w:pPr>
        <w:pStyle w:val="ListParagraph"/>
        <w:spacing w:before="0" w:after="200"/>
        <w:jc w:val="center"/>
        <w:rPr>
          <w:b/>
          <w:noProof/>
        </w:rPr>
      </w:pPr>
      <w:r w:rsidRPr="002C2ABC">
        <w:rPr>
          <w:b/>
          <w:noProof/>
        </w:rPr>
        <w:t>European cooperation on coast guard functions</w:t>
      </w:r>
    </w:p>
    <w:p w14:paraId="629276EC" w14:textId="77777777" w:rsidR="001A3BE3" w:rsidRPr="002C2ABC" w:rsidRDefault="001A3BE3" w:rsidP="008F3E00">
      <w:pPr>
        <w:pStyle w:val="ListParagraph"/>
        <w:spacing w:before="0" w:after="200"/>
        <w:jc w:val="center"/>
        <w:rPr>
          <w:b/>
          <w:noProof/>
        </w:rPr>
      </w:pPr>
    </w:p>
    <w:p w14:paraId="27E9266F" w14:textId="77777777" w:rsidR="009B5F9E" w:rsidRPr="003D75D4" w:rsidRDefault="00D028AE" w:rsidP="00D028AE">
      <w:pPr>
        <w:pStyle w:val="Point0"/>
        <w:ind w:left="0" w:firstLine="0"/>
        <w:rPr>
          <w:noProof/>
          <w:lang w:val="en-US"/>
        </w:rPr>
      </w:pPr>
      <w:r>
        <w:rPr>
          <w:noProof/>
          <w:lang w:val="en-US"/>
        </w:rPr>
        <w:t>1.</w:t>
      </w:r>
      <w:r>
        <w:rPr>
          <w:noProof/>
          <w:lang w:val="en-US"/>
        </w:rPr>
        <w:tab/>
      </w:r>
      <w:r w:rsidR="009B5F9E" w:rsidRPr="003D75D4">
        <w:rPr>
          <w:noProof/>
          <w:lang w:val="en-US"/>
        </w:rPr>
        <w:t xml:space="preserve">The Agency shall, in cooperation with the European Border and Coast Guard Agency, established by </w:t>
      </w:r>
      <w:r w:rsidR="002429CA" w:rsidRPr="003D75D4">
        <w:rPr>
          <w:bCs/>
          <w:noProof/>
        </w:rPr>
        <w:t>Regulation (EU) 2019/1896</w:t>
      </w:r>
      <w:r w:rsidR="009B5F9E" w:rsidRPr="003D75D4">
        <w:rPr>
          <w:noProof/>
          <w:lang w:val="en-US"/>
        </w:rPr>
        <w:t xml:space="preserve">, and the European Fisheries Control Agency, established by </w:t>
      </w:r>
      <w:r w:rsidR="002429CA" w:rsidRPr="002429CA">
        <w:rPr>
          <w:noProof/>
        </w:rPr>
        <w:t>R</w:t>
      </w:r>
      <w:r w:rsidR="002429CA">
        <w:rPr>
          <w:noProof/>
        </w:rPr>
        <w:t>egulation</w:t>
      </w:r>
      <w:r w:rsidR="002429CA" w:rsidRPr="002429CA">
        <w:rPr>
          <w:noProof/>
        </w:rPr>
        <w:t xml:space="preserve"> (EU) 2019/473</w:t>
      </w:r>
      <w:r w:rsidR="009B5F9E" w:rsidRPr="003D75D4">
        <w:rPr>
          <w:noProof/>
          <w:lang w:val="en-US"/>
        </w:rPr>
        <w:t xml:space="preserve">, each within their mandate, support national authorities carrying out coast guard functions at national and Union level and, where appropriate, at international level by: </w:t>
      </w:r>
    </w:p>
    <w:p w14:paraId="36743CFA" w14:textId="6CBEB70B" w:rsidR="009B5F9E" w:rsidRPr="00557FFB" w:rsidRDefault="00443218" w:rsidP="00443218">
      <w:pPr>
        <w:pStyle w:val="Point0"/>
        <w:rPr>
          <w:noProof/>
          <w:lang w:val="en-US"/>
        </w:rPr>
      </w:pPr>
      <w:r w:rsidRPr="00443218">
        <w:t>(a)</w:t>
      </w:r>
      <w:r w:rsidRPr="00443218">
        <w:tab/>
      </w:r>
      <w:r w:rsidR="009B5F9E" w:rsidRPr="00557FFB">
        <w:rPr>
          <w:noProof/>
          <w:lang w:val="en-US"/>
        </w:rPr>
        <w:t>sharing, fusing and analysing information available in ship reporting systems and other information systems hosted by or accessible to those agencies, in accordance with their respective legal bases and without prejudice to the ownership of data by Member States;</w:t>
      </w:r>
    </w:p>
    <w:p w14:paraId="245415B1" w14:textId="6911D900" w:rsidR="009B5F9E" w:rsidRPr="00D028AE" w:rsidRDefault="00443218" w:rsidP="00443218">
      <w:pPr>
        <w:pStyle w:val="Point0"/>
        <w:rPr>
          <w:noProof/>
          <w:lang w:val="en-US"/>
        </w:rPr>
      </w:pPr>
      <w:r w:rsidRPr="00443218">
        <w:t>(b)</w:t>
      </w:r>
      <w:r w:rsidRPr="00443218">
        <w:tab/>
      </w:r>
      <w:r w:rsidR="009B5F9E" w:rsidRPr="00D028AE">
        <w:rPr>
          <w:noProof/>
          <w:lang w:val="en-US"/>
        </w:rPr>
        <w:t xml:space="preserve">providing surveillance and communication services based on state-of-the-art technology, including space-based and ground infrastructure and sensors mounted on any kind of platform; </w:t>
      </w:r>
    </w:p>
    <w:p w14:paraId="48D0FD18" w14:textId="0C63BB37" w:rsidR="009B5F9E" w:rsidRPr="00D028AE" w:rsidRDefault="00443218" w:rsidP="00443218">
      <w:pPr>
        <w:pStyle w:val="Point0"/>
        <w:rPr>
          <w:noProof/>
          <w:lang w:val="en-US"/>
        </w:rPr>
      </w:pPr>
      <w:r w:rsidRPr="00443218">
        <w:t>(c)</w:t>
      </w:r>
      <w:r w:rsidRPr="00443218">
        <w:tab/>
      </w:r>
      <w:r w:rsidR="009B5F9E" w:rsidRPr="00D028AE">
        <w:rPr>
          <w:noProof/>
          <w:lang w:val="en-US"/>
        </w:rPr>
        <w:t xml:space="preserve">building capacity by drawing up guidelines and recommendations and by establishing best practices as well as by providing training and exchange of staff; </w:t>
      </w:r>
    </w:p>
    <w:p w14:paraId="148A5ABD" w14:textId="129C2C7F" w:rsidR="009B5F9E" w:rsidRPr="00D028AE" w:rsidRDefault="00443218" w:rsidP="00443218">
      <w:pPr>
        <w:pStyle w:val="Point0"/>
        <w:rPr>
          <w:noProof/>
          <w:lang w:val="en-US"/>
        </w:rPr>
      </w:pPr>
      <w:r w:rsidRPr="00443218">
        <w:t>(d)</w:t>
      </w:r>
      <w:r w:rsidRPr="00443218">
        <w:tab/>
      </w:r>
      <w:r w:rsidR="009B5F9E" w:rsidRPr="00D028AE">
        <w:rPr>
          <w:noProof/>
          <w:lang w:val="en-US"/>
        </w:rPr>
        <w:t xml:space="preserve">enhancing the exchange of information and cooperation on coast guard functions including by analysing operational challenges and emerging risks in the maritime domain; </w:t>
      </w:r>
    </w:p>
    <w:p w14:paraId="1AC7B00C" w14:textId="01040764" w:rsidR="009B5F9E" w:rsidRPr="00D028AE" w:rsidRDefault="00443218" w:rsidP="00443218">
      <w:pPr>
        <w:pStyle w:val="Point0"/>
        <w:rPr>
          <w:noProof/>
          <w:lang w:val="en-US"/>
        </w:rPr>
      </w:pPr>
      <w:r w:rsidRPr="00443218">
        <w:t>(e)</w:t>
      </w:r>
      <w:r w:rsidRPr="00443218">
        <w:tab/>
      </w:r>
      <w:r w:rsidR="009B5F9E" w:rsidRPr="00D028AE">
        <w:rPr>
          <w:noProof/>
          <w:lang w:val="en-US"/>
        </w:rPr>
        <w:t xml:space="preserve">sharing capacity by planning and implementing multipurpose operations and by sharing assets and other capabilities, to the extent that these activities are coordinated by those agencies and are agreed to by the competent authorities of the Member States concerned. </w:t>
      </w:r>
    </w:p>
    <w:p w14:paraId="79B9765A" w14:textId="77777777" w:rsidR="009B5F9E" w:rsidRPr="009B5F9E" w:rsidRDefault="00D028AE" w:rsidP="00D028AE">
      <w:pPr>
        <w:pStyle w:val="Point0"/>
        <w:ind w:left="0" w:firstLine="0"/>
        <w:rPr>
          <w:noProof/>
          <w:lang w:val="en-US"/>
        </w:rPr>
      </w:pPr>
      <w:r>
        <w:rPr>
          <w:noProof/>
          <w:lang w:val="en-US"/>
        </w:rPr>
        <w:tab/>
      </w:r>
      <w:r w:rsidR="009B5F9E" w:rsidRPr="009B5F9E">
        <w:rPr>
          <w:noProof/>
          <w:lang w:val="en-US"/>
        </w:rPr>
        <w:t xml:space="preserve"> </w:t>
      </w:r>
    </w:p>
    <w:p w14:paraId="5AFE4B29" w14:textId="77777777" w:rsidR="000731A9" w:rsidRPr="000731A9" w:rsidRDefault="00B871D9" w:rsidP="00D028AE">
      <w:pPr>
        <w:pStyle w:val="Point0"/>
        <w:ind w:left="0" w:firstLine="0"/>
        <w:rPr>
          <w:noProof/>
        </w:rPr>
      </w:pPr>
      <w:r>
        <w:rPr>
          <w:noProof/>
          <w:lang w:val="en-US"/>
        </w:rPr>
        <w:t>2</w:t>
      </w:r>
      <w:r w:rsidR="00D028AE">
        <w:rPr>
          <w:noProof/>
          <w:lang w:val="en-US"/>
        </w:rPr>
        <w:t>.</w:t>
      </w:r>
      <w:r w:rsidR="00D028AE">
        <w:rPr>
          <w:noProof/>
          <w:lang w:val="en-US"/>
        </w:rPr>
        <w:tab/>
      </w:r>
      <w:r w:rsidR="000731A9" w:rsidRPr="000731A9">
        <w:rPr>
          <w:noProof/>
        </w:rPr>
        <w:t xml:space="preserve">Without prejudice to the powers of the Management Board of the Agency set out in Article 15, the precise forms of cooperation on coast guard functions between the Agency, the European Border and Coast Guard Agency and the European Fisheries Control Agency shall be determined in a working arrangement, in accordance with their respective mandates and the financial rules applicable to those agencies. Such an arrangement shall be approved by the management Board of the Agency, the Administrative Board of the European Fisheries Control Agency and the management board of the European Border and Coast Guard Agency. </w:t>
      </w:r>
    </w:p>
    <w:p w14:paraId="68965675" w14:textId="77777777" w:rsidR="009B5F9E" w:rsidRPr="009B5F9E" w:rsidRDefault="000731A9" w:rsidP="00D028AE">
      <w:pPr>
        <w:pStyle w:val="Point0"/>
        <w:ind w:left="0" w:firstLine="0"/>
        <w:rPr>
          <w:noProof/>
          <w:lang w:val="en-US"/>
        </w:rPr>
      </w:pPr>
      <w:r>
        <w:rPr>
          <w:noProof/>
          <w:lang w:val="en-US"/>
        </w:rPr>
        <w:t xml:space="preserve">3. </w:t>
      </w:r>
      <w:r w:rsidR="009B5F9E" w:rsidRPr="009B5F9E">
        <w:rPr>
          <w:noProof/>
          <w:lang w:val="en-US"/>
        </w:rPr>
        <w:t xml:space="preserve">The Commission shall, in close cooperation with the Member States, the Agency, the European Border and Coast Guard Agency and the European Fisheries Control Agency, make available a practical handbook on European cooperation on coast guard functions. That handbook shall contain guidelines, recommendations and best practices for the exchange of information. The Commission shall adopt the handbook in the form of a recommendation. </w:t>
      </w:r>
    </w:p>
    <w:p w14:paraId="6A7FBC4A" w14:textId="77777777" w:rsidR="009B5F9E" w:rsidRDefault="000731A9" w:rsidP="007D6ABD">
      <w:pPr>
        <w:pStyle w:val="Point0"/>
        <w:ind w:left="0" w:firstLine="0"/>
        <w:rPr>
          <w:noProof/>
          <w:lang w:val="en-US"/>
        </w:rPr>
      </w:pPr>
      <w:r>
        <w:rPr>
          <w:noProof/>
          <w:lang w:val="en-US"/>
        </w:rPr>
        <w:t>4</w:t>
      </w:r>
      <w:r w:rsidR="00D028AE">
        <w:rPr>
          <w:noProof/>
          <w:lang w:val="en-US"/>
        </w:rPr>
        <w:t>.</w:t>
      </w:r>
      <w:r w:rsidR="00D028AE">
        <w:rPr>
          <w:noProof/>
          <w:lang w:val="en-US"/>
        </w:rPr>
        <w:tab/>
      </w:r>
      <w:r w:rsidR="009B5F9E" w:rsidRPr="009B5F9E">
        <w:rPr>
          <w:noProof/>
          <w:lang w:val="en-US"/>
        </w:rPr>
        <w:t>The tasks set out in this Article shall not be detrimental to the Agency's tasks referred to in Article</w:t>
      </w:r>
      <w:r w:rsidR="009B5F9E">
        <w:rPr>
          <w:noProof/>
          <w:lang w:val="en-US"/>
        </w:rPr>
        <w:t>s</w:t>
      </w:r>
      <w:r w:rsidR="009B5F9E" w:rsidRPr="009B5F9E">
        <w:rPr>
          <w:noProof/>
          <w:lang w:val="en-US"/>
        </w:rPr>
        <w:t xml:space="preserve"> </w:t>
      </w:r>
      <w:r w:rsidR="001A3BE3">
        <w:rPr>
          <w:noProof/>
          <w:lang w:val="en-US"/>
        </w:rPr>
        <w:t>4 to 12</w:t>
      </w:r>
      <w:r w:rsidR="009B5F9E">
        <w:rPr>
          <w:noProof/>
          <w:lang w:val="en-US"/>
        </w:rPr>
        <w:t xml:space="preserve"> </w:t>
      </w:r>
      <w:r w:rsidR="009B5F9E" w:rsidRPr="009B5F9E">
        <w:rPr>
          <w:noProof/>
          <w:lang w:val="en-US"/>
        </w:rPr>
        <w:t>and shall not infringe upon Member States' rights and obligations, in particular as flag States, port States or coastal States.</w:t>
      </w:r>
    </w:p>
    <w:p w14:paraId="41675167" w14:textId="77777777" w:rsidR="001A3BE3" w:rsidRDefault="001A3BE3" w:rsidP="008F3E00">
      <w:pPr>
        <w:pStyle w:val="ListParagraph"/>
        <w:spacing w:before="0" w:after="200"/>
        <w:rPr>
          <w:noProof/>
          <w:lang w:val="en-US"/>
        </w:rPr>
      </w:pPr>
    </w:p>
    <w:p w14:paraId="33AAB330" w14:textId="77777777" w:rsidR="001A3BE3" w:rsidRDefault="001A3898" w:rsidP="008F3E00">
      <w:pPr>
        <w:pStyle w:val="Titrearticle"/>
        <w:spacing w:before="0" w:after="200"/>
        <w:rPr>
          <w:b/>
          <w:bCs/>
          <w:noProof/>
          <w:lang w:val="en-US"/>
        </w:rPr>
      </w:pPr>
      <w:r>
        <w:rPr>
          <w:noProof/>
        </w:rPr>
        <w:t>Article 13</w:t>
      </w:r>
    </w:p>
    <w:p w14:paraId="36A8F8F4" w14:textId="77777777" w:rsidR="00D028AE" w:rsidRDefault="001A3BE3" w:rsidP="00D028AE">
      <w:pPr>
        <w:spacing w:before="0" w:after="200"/>
        <w:jc w:val="center"/>
        <w:rPr>
          <w:b/>
          <w:bCs/>
          <w:noProof/>
          <w:lang w:val="en-US"/>
        </w:rPr>
      </w:pPr>
      <w:r w:rsidRPr="001A3BE3">
        <w:rPr>
          <w:b/>
          <w:bCs/>
          <w:noProof/>
          <w:lang w:val="en-US"/>
        </w:rPr>
        <w:t xml:space="preserve">Communication and dissemination </w:t>
      </w:r>
    </w:p>
    <w:p w14:paraId="0B636B2E" w14:textId="77777777" w:rsidR="001A3BE3" w:rsidRPr="00AF676C" w:rsidRDefault="001A3BE3" w:rsidP="00AF676C">
      <w:pPr>
        <w:spacing w:before="0" w:after="200"/>
        <w:rPr>
          <w:noProof/>
          <w:lang w:val="en-US"/>
        </w:rPr>
      </w:pPr>
      <w:r w:rsidRPr="001A3BE3">
        <w:rPr>
          <w:noProof/>
          <w:lang w:val="en-US"/>
        </w:rPr>
        <w:t>The Agency may engage in communication activities on its own initiative in the fields within its mandate. Communication activities shall not be detrimental to the</w:t>
      </w:r>
      <w:r>
        <w:rPr>
          <w:noProof/>
          <w:lang w:val="en-US"/>
        </w:rPr>
        <w:t xml:space="preserve"> rest of the</w:t>
      </w:r>
      <w:r w:rsidRPr="001A3BE3">
        <w:rPr>
          <w:noProof/>
          <w:lang w:val="en-US"/>
        </w:rPr>
        <w:t xml:space="preserve"> tasks referred to </w:t>
      </w:r>
      <w:r>
        <w:rPr>
          <w:noProof/>
          <w:lang w:val="en-US"/>
        </w:rPr>
        <w:t xml:space="preserve">in the Articles </w:t>
      </w:r>
      <w:r w:rsidR="00303378">
        <w:rPr>
          <w:noProof/>
          <w:lang w:val="en-US"/>
        </w:rPr>
        <w:t xml:space="preserve">4 to 13 </w:t>
      </w:r>
      <w:r w:rsidRPr="001A3BE3">
        <w:rPr>
          <w:noProof/>
          <w:lang w:val="en-US"/>
        </w:rPr>
        <w:t>and shall be carried out in accordance with</w:t>
      </w:r>
      <w:r w:rsidR="00D028AE">
        <w:rPr>
          <w:noProof/>
          <w:lang w:val="en-US"/>
        </w:rPr>
        <w:t xml:space="preserve"> </w:t>
      </w:r>
      <w:r w:rsidR="00AF676C">
        <w:rPr>
          <w:noProof/>
          <w:lang w:val="en-US"/>
        </w:rPr>
        <w:t>relevant communication</w:t>
      </w:r>
      <w:r w:rsidR="00FF4F42">
        <w:rPr>
          <w:noProof/>
          <w:lang w:val="en-US"/>
        </w:rPr>
        <w:t xml:space="preserve"> </w:t>
      </w:r>
      <w:r w:rsidRPr="001A3BE3">
        <w:rPr>
          <w:noProof/>
          <w:lang w:val="en-US"/>
        </w:rPr>
        <w:t>and dissemination plans adopted by the Management Board.</w:t>
      </w:r>
      <w:r>
        <w:rPr>
          <w:noProof/>
          <w:lang w:val="en-US"/>
        </w:rPr>
        <w:t xml:space="preserve"> Those</w:t>
      </w:r>
      <w:r w:rsidRPr="00AF676C">
        <w:rPr>
          <w:noProof/>
          <w:lang w:val="en-US"/>
        </w:rPr>
        <w:t xml:space="preserve"> </w:t>
      </w:r>
      <w:r w:rsidRPr="001A3BE3">
        <w:rPr>
          <w:noProof/>
          <w:lang w:val="en-US"/>
        </w:rPr>
        <w:t>plans, based on an analysis of needs, shall be regularly updated by the Management Board.</w:t>
      </w:r>
    </w:p>
    <w:p w14:paraId="00138294" w14:textId="77777777" w:rsidR="009B5F9E" w:rsidRDefault="009B5F9E" w:rsidP="008F3E00">
      <w:pPr>
        <w:pStyle w:val="ListParagraph"/>
        <w:spacing w:before="0" w:after="200"/>
        <w:ind w:left="1080"/>
        <w:rPr>
          <w:noProof/>
          <w:lang w:val="en-US"/>
        </w:rPr>
      </w:pPr>
    </w:p>
    <w:p w14:paraId="07852A75" w14:textId="77777777" w:rsidR="00B62020" w:rsidRPr="00B62020" w:rsidRDefault="00B62020" w:rsidP="00B62020">
      <w:pPr>
        <w:keepNext/>
        <w:spacing w:before="0" w:after="200"/>
        <w:jc w:val="center"/>
        <w:rPr>
          <w:i/>
          <w:noProof/>
        </w:rPr>
      </w:pPr>
      <w:r w:rsidRPr="00B62020">
        <w:rPr>
          <w:i/>
          <w:noProof/>
        </w:rPr>
        <w:t>CHAPTER IV</w:t>
      </w:r>
    </w:p>
    <w:p w14:paraId="1ABA70F2" w14:textId="77777777" w:rsidR="00B62020" w:rsidRPr="00B62020" w:rsidRDefault="00B62020" w:rsidP="00B62020">
      <w:pPr>
        <w:spacing w:before="0" w:after="200"/>
        <w:jc w:val="center"/>
        <w:rPr>
          <w:b/>
          <w:noProof/>
        </w:rPr>
      </w:pPr>
      <w:r w:rsidRPr="00B62020">
        <w:rPr>
          <w:b/>
          <w:noProof/>
        </w:rPr>
        <w:t xml:space="preserve">ORGANISATION OF THE AGENCY </w:t>
      </w:r>
    </w:p>
    <w:p w14:paraId="7D8BBC03" w14:textId="77777777" w:rsidR="00B62020" w:rsidRPr="00B62020" w:rsidRDefault="00B62020" w:rsidP="00B62020">
      <w:pPr>
        <w:keepNext/>
        <w:spacing w:before="0" w:after="200"/>
        <w:jc w:val="center"/>
        <w:rPr>
          <w:i/>
          <w:noProof/>
        </w:rPr>
      </w:pPr>
      <w:r w:rsidRPr="00B62020">
        <w:rPr>
          <w:i/>
          <w:noProof/>
        </w:rPr>
        <w:t>Article 14</w:t>
      </w:r>
    </w:p>
    <w:p w14:paraId="74B8AD62" w14:textId="77777777" w:rsidR="00B62020" w:rsidRPr="00B62020" w:rsidRDefault="00B62020" w:rsidP="00B62020">
      <w:pPr>
        <w:spacing w:before="0" w:after="200"/>
        <w:jc w:val="center"/>
        <w:rPr>
          <w:b/>
          <w:bCs/>
          <w:noProof/>
          <w:lang w:val="en-US"/>
        </w:rPr>
      </w:pPr>
      <w:r w:rsidRPr="00B62020">
        <w:rPr>
          <w:b/>
          <w:bCs/>
          <w:noProof/>
          <w:lang w:val="en-US"/>
        </w:rPr>
        <w:t xml:space="preserve">Administrative and management structure </w:t>
      </w:r>
    </w:p>
    <w:p w14:paraId="6BE070D3" w14:textId="77777777" w:rsidR="00B62020" w:rsidRPr="00B62020" w:rsidRDefault="00B62020" w:rsidP="003D75D4">
      <w:pPr>
        <w:rPr>
          <w:noProof/>
        </w:rPr>
      </w:pPr>
      <w:r w:rsidRPr="00B62020">
        <w:rPr>
          <w:noProof/>
        </w:rPr>
        <w:t>The Agency's administrative and management structure shall comprise:</w:t>
      </w:r>
    </w:p>
    <w:p w14:paraId="1C5541F8" w14:textId="207D4670" w:rsidR="00B62020" w:rsidRPr="00B62020" w:rsidRDefault="00443218" w:rsidP="00443218">
      <w:pPr>
        <w:pStyle w:val="Point0"/>
        <w:rPr>
          <w:noProof/>
        </w:rPr>
      </w:pPr>
      <w:r w:rsidRPr="00443218">
        <w:t>(a)</w:t>
      </w:r>
      <w:r w:rsidRPr="00443218">
        <w:tab/>
      </w:r>
      <w:r w:rsidR="00B62020" w:rsidRPr="00B62020">
        <w:rPr>
          <w:noProof/>
        </w:rPr>
        <w:t xml:space="preserve">a Management Board, which shall exercise the functions set out in </w:t>
      </w:r>
      <w:r w:rsidR="00B62020" w:rsidRPr="00237BEB">
        <w:rPr>
          <w:noProof/>
        </w:rPr>
        <w:t>Article 16;</w:t>
      </w:r>
      <w:r w:rsidR="00B62020" w:rsidRPr="00B62020">
        <w:rPr>
          <w:noProof/>
        </w:rPr>
        <w:t xml:space="preserve"> </w:t>
      </w:r>
    </w:p>
    <w:p w14:paraId="0DD08F8E" w14:textId="5B63D8B4" w:rsidR="00B62020" w:rsidRPr="00B62020" w:rsidRDefault="00443218" w:rsidP="00443218">
      <w:pPr>
        <w:pStyle w:val="Point0"/>
        <w:rPr>
          <w:noProof/>
        </w:rPr>
      </w:pPr>
      <w:r w:rsidRPr="00443218">
        <w:t>(b)</w:t>
      </w:r>
      <w:r w:rsidRPr="00443218">
        <w:tab/>
      </w:r>
      <w:r w:rsidR="00B62020" w:rsidRPr="00B62020">
        <w:rPr>
          <w:noProof/>
        </w:rPr>
        <w:t xml:space="preserve">an Executive Board, which shall exercise the functions set out in </w:t>
      </w:r>
      <w:r w:rsidR="00B62020" w:rsidRPr="00237BEB">
        <w:rPr>
          <w:noProof/>
        </w:rPr>
        <w:t>Article 21;</w:t>
      </w:r>
    </w:p>
    <w:p w14:paraId="151FE081" w14:textId="02E30C84" w:rsidR="00B62020" w:rsidRPr="00D028AE" w:rsidRDefault="00443218" w:rsidP="00443218">
      <w:pPr>
        <w:pStyle w:val="Point0"/>
        <w:rPr>
          <w:noProof/>
          <w:lang w:val="en-US"/>
        </w:rPr>
      </w:pPr>
      <w:r w:rsidRPr="00443218">
        <w:t>(c)</w:t>
      </w:r>
      <w:r w:rsidRPr="00443218">
        <w:tab/>
      </w:r>
      <w:r w:rsidR="00B62020" w:rsidRPr="00D028AE">
        <w:rPr>
          <w:noProof/>
          <w:lang w:val="en-US"/>
        </w:rPr>
        <w:t>an Executive Director, who shall exercise the duties set out in Article 2</w:t>
      </w:r>
      <w:r w:rsidR="00E35E13">
        <w:rPr>
          <w:noProof/>
          <w:lang w:val="en-US"/>
        </w:rPr>
        <w:t>3</w:t>
      </w:r>
      <w:r w:rsidR="00237BEB" w:rsidRPr="00D028AE">
        <w:rPr>
          <w:noProof/>
          <w:lang w:val="en-US"/>
        </w:rPr>
        <w:t>.</w:t>
      </w:r>
    </w:p>
    <w:p w14:paraId="02F464E5" w14:textId="77777777" w:rsidR="00B62020" w:rsidRPr="00B62020" w:rsidRDefault="00B62020" w:rsidP="00B62020">
      <w:pPr>
        <w:spacing w:before="0" w:after="200"/>
        <w:ind w:left="720"/>
        <w:contextualSpacing/>
        <w:rPr>
          <w:noProof/>
        </w:rPr>
      </w:pPr>
    </w:p>
    <w:p w14:paraId="74CF6939" w14:textId="77777777" w:rsidR="00B62020" w:rsidRPr="00B62020" w:rsidRDefault="00B62020" w:rsidP="00B62020">
      <w:pPr>
        <w:spacing w:before="0" w:after="200"/>
        <w:ind w:left="720"/>
        <w:contextualSpacing/>
        <w:rPr>
          <w:noProof/>
        </w:rPr>
      </w:pPr>
    </w:p>
    <w:p w14:paraId="5404AD37" w14:textId="77777777" w:rsidR="00B62020" w:rsidRPr="00B62020" w:rsidRDefault="00B62020" w:rsidP="00B62020">
      <w:pPr>
        <w:spacing w:before="0" w:after="200"/>
        <w:jc w:val="center"/>
        <w:rPr>
          <w:i/>
          <w:iCs/>
          <w:noProof/>
          <w:lang w:val="en-US"/>
        </w:rPr>
      </w:pPr>
      <w:r w:rsidRPr="00B62020">
        <w:rPr>
          <w:i/>
          <w:iCs/>
          <w:noProof/>
          <w:lang w:val="en-US"/>
        </w:rPr>
        <w:t>Article 15</w:t>
      </w:r>
    </w:p>
    <w:p w14:paraId="5275EAF9" w14:textId="77777777" w:rsidR="00B62020" w:rsidRPr="00B62020" w:rsidRDefault="00B62020" w:rsidP="00B62020">
      <w:pPr>
        <w:spacing w:before="0" w:after="200"/>
        <w:jc w:val="center"/>
        <w:rPr>
          <w:b/>
          <w:bCs/>
          <w:noProof/>
          <w:lang w:val="en-US"/>
        </w:rPr>
      </w:pPr>
      <w:r w:rsidRPr="00B62020">
        <w:rPr>
          <w:b/>
          <w:bCs/>
          <w:noProof/>
          <w:lang w:val="en-US"/>
        </w:rPr>
        <w:t>Composition of the Management Board</w:t>
      </w:r>
    </w:p>
    <w:p w14:paraId="10C4440D" w14:textId="77777777" w:rsidR="00E35E13" w:rsidRDefault="00D028AE" w:rsidP="00E35E13">
      <w:pPr>
        <w:pStyle w:val="Point0"/>
        <w:ind w:left="0" w:firstLine="1"/>
        <w:rPr>
          <w:noProof/>
        </w:rPr>
      </w:pPr>
      <w:r>
        <w:rPr>
          <w:noProof/>
        </w:rPr>
        <w:t>1.</w:t>
      </w:r>
      <w:r>
        <w:rPr>
          <w:noProof/>
        </w:rPr>
        <w:tab/>
      </w:r>
      <w:r w:rsidR="00B62020" w:rsidRPr="00B62020">
        <w:rPr>
          <w:noProof/>
        </w:rPr>
        <w:t xml:space="preserve"> </w:t>
      </w:r>
      <w:r w:rsidR="00E35E13">
        <w:rPr>
          <w:noProof/>
        </w:rPr>
        <w:t>The Management Board shall be composed of one representative of each Member State and four representatives of the Commission, all with voting rights.</w:t>
      </w:r>
    </w:p>
    <w:p w14:paraId="54736849" w14:textId="77777777" w:rsidR="00E35E13" w:rsidRDefault="00E35E13" w:rsidP="00E35E13">
      <w:pPr>
        <w:pStyle w:val="Point0"/>
        <w:ind w:left="0" w:firstLine="0"/>
        <w:rPr>
          <w:noProof/>
        </w:rPr>
      </w:pPr>
      <w:r>
        <w:rPr>
          <w:noProof/>
        </w:rPr>
        <w:t>The Management Board shall also include as well as of four professionals from the sectors most concerned, as referred to in Article 2, appointed by the Commission, without the right to vote.</w:t>
      </w:r>
    </w:p>
    <w:p w14:paraId="6A748FE2" w14:textId="77777777" w:rsidR="00EF4FC2" w:rsidRDefault="00E35E13" w:rsidP="003931C3">
      <w:pPr>
        <w:pStyle w:val="Point0"/>
        <w:ind w:left="0" w:firstLine="0"/>
        <w:rPr>
          <w:noProof/>
        </w:rPr>
      </w:pPr>
      <w:r>
        <w:rPr>
          <w:noProof/>
        </w:rPr>
        <w:t xml:space="preserve">All Management Board members shall be appointed on the basis of their degree of relevant experience and expertise in </w:t>
      </w:r>
      <w:r w:rsidR="00F432EB">
        <w:rPr>
          <w:noProof/>
        </w:rPr>
        <w:t>the areas</w:t>
      </w:r>
      <w:r>
        <w:rPr>
          <w:noProof/>
        </w:rPr>
        <w:t xml:space="preserve"> referred to in Article 2. The Member States and the Commission shall each strive for a balanced representation between men and women on the Management Board. One of the four professionals shall be a representative of the Permanent Cooperation Framework of accident investigation bodies in accordance </w:t>
      </w:r>
      <w:r w:rsidR="00EF4FC2">
        <w:rPr>
          <w:noProof/>
        </w:rPr>
        <w:t xml:space="preserve">with </w:t>
      </w:r>
      <w:r>
        <w:rPr>
          <w:noProof/>
        </w:rPr>
        <w:t xml:space="preserve"> Article 10 of Directive 2009/18/EC.</w:t>
      </w:r>
    </w:p>
    <w:p w14:paraId="14C0C95D" w14:textId="77777777" w:rsidR="00B62020" w:rsidRPr="00B62020" w:rsidRDefault="00D028AE" w:rsidP="003931C3">
      <w:pPr>
        <w:pStyle w:val="Point0"/>
        <w:ind w:left="0" w:firstLine="0"/>
        <w:rPr>
          <w:noProof/>
        </w:rPr>
      </w:pPr>
      <w:r>
        <w:rPr>
          <w:noProof/>
        </w:rPr>
        <w:t>3.</w:t>
      </w:r>
      <w:r>
        <w:rPr>
          <w:noProof/>
        </w:rPr>
        <w:tab/>
      </w:r>
      <w:r w:rsidR="00B62020" w:rsidRPr="00B62020">
        <w:rPr>
          <w:noProof/>
        </w:rPr>
        <w:t>Each Member State and the Commission shall appoint their members of the Management Board as well as an alternate who will represent the member in</w:t>
      </w:r>
      <w:r w:rsidR="00F432EB">
        <w:rPr>
          <w:noProof/>
        </w:rPr>
        <w:t xml:space="preserve"> his or her </w:t>
      </w:r>
      <w:r w:rsidR="00B62020" w:rsidRPr="00B62020">
        <w:rPr>
          <w:noProof/>
        </w:rPr>
        <w:t xml:space="preserve">absence. </w:t>
      </w:r>
    </w:p>
    <w:p w14:paraId="42F9BCB7" w14:textId="77777777" w:rsidR="00B62020" w:rsidRPr="00B62020" w:rsidRDefault="00D028AE" w:rsidP="003931C3">
      <w:pPr>
        <w:pStyle w:val="Point0"/>
        <w:ind w:left="0" w:firstLine="0"/>
        <w:rPr>
          <w:noProof/>
        </w:rPr>
      </w:pPr>
      <w:r>
        <w:rPr>
          <w:noProof/>
        </w:rPr>
        <w:t>4.</w:t>
      </w:r>
      <w:r>
        <w:rPr>
          <w:noProof/>
        </w:rPr>
        <w:tab/>
      </w:r>
      <w:r w:rsidR="00B62020" w:rsidRPr="00B62020">
        <w:rPr>
          <w:noProof/>
        </w:rPr>
        <w:t xml:space="preserve">The duration of the term of office shall be four years. The term of office may be renewed. </w:t>
      </w:r>
    </w:p>
    <w:p w14:paraId="01C9A0B6" w14:textId="77777777" w:rsidR="00B62020" w:rsidRPr="00B62020" w:rsidRDefault="00D028AE" w:rsidP="006B0F7F">
      <w:pPr>
        <w:pStyle w:val="Point0"/>
        <w:ind w:left="0" w:firstLine="0"/>
        <w:rPr>
          <w:noProof/>
        </w:rPr>
      </w:pPr>
      <w:r>
        <w:rPr>
          <w:noProof/>
        </w:rPr>
        <w:t>5.</w:t>
      </w:r>
      <w:r>
        <w:rPr>
          <w:noProof/>
        </w:rPr>
        <w:tab/>
      </w:r>
      <w:r w:rsidR="00B62020" w:rsidRPr="00B62020">
        <w:rPr>
          <w:noProof/>
        </w:rPr>
        <w:t>Each member and alternate shall sign a written statement at the time of taking office declaring that he or she is not in a situation of conflict of interests. Each member and alternate shall update his or her statement in the case of a change of circumstances with regard to any conflict of interests. The Agency</w:t>
      </w:r>
      <w:r w:rsidR="00B62020">
        <w:rPr>
          <w:noProof/>
        </w:rPr>
        <w:t xml:space="preserve"> </w:t>
      </w:r>
      <w:r w:rsidR="00B62020" w:rsidRPr="00B62020">
        <w:rPr>
          <w:noProof/>
        </w:rPr>
        <w:t>shall publish the statements and updates on its website.</w:t>
      </w:r>
    </w:p>
    <w:p w14:paraId="2F270CA2" w14:textId="77777777" w:rsidR="00B62020" w:rsidRDefault="00B62020" w:rsidP="003931C3">
      <w:pPr>
        <w:pStyle w:val="Point0"/>
        <w:ind w:left="0" w:firstLine="0"/>
        <w:rPr>
          <w:noProof/>
        </w:rPr>
      </w:pPr>
    </w:p>
    <w:p w14:paraId="081C6445" w14:textId="77777777" w:rsidR="00F5442E" w:rsidRPr="00B62020" w:rsidRDefault="00F5442E" w:rsidP="003931C3">
      <w:pPr>
        <w:pStyle w:val="Point0"/>
        <w:ind w:left="0" w:firstLine="0"/>
        <w:rPr>
          <w:noProof/>
        </w:rPr>
      </w:pPr>
    </w:p>
    <w:p w14:paraId="443F6523" w14:textId="77777777" w:rsidR="00B62020" w:rsidRPr="00B62020" w:rsidRDefault="00B62020" w:rsidP="00B62020">
      <w:pPr>
        <w:spacing w:before="0" w:after="200"/>
        <w:rPr>
          <w:i/>
          <w:iCs/>
          <w:noProof/>
        </w:rPr>
      </w:pPr>
    </w:p>
    <w:p w14:paraId="4F17C0C9" w14:textId="77777777" w:rsidR="00B62020" w:rsidRPr="00B62020" w:rsidRDefault="00B62020" w:rsidP="00B62020">
      <w:pPr>
        <w:spacing w:before="0" w:after="200"/>
        <w:jc w:val="center"/>
        <w:rPr>
          <w:i/>
          <w:iCs/>
          <w:noProof/>
          <w:lang w:val="en-US"/>
        </w:rPr>
      </w:pPr>
      <w:r w:rsidRPr="00B62020">
        <w:rPr>
          <w:i/>
          <w:iCs/>
          <w:noProof/>
          <w:lang w:val="en-US"/>
        </w:rPr>
        <w:t>Article 16</w:t>
      </w:r>
    </w:p>
    <w:p w14:paraId="5D4BCD63" w14:textId="77777777" w:rsidR="00B62020" w:rsidRPr="00B62020" w:rsidRDefault="00B62020" w:rsidP="00B62020">
      <w:pPr>
        <w:spacing w:before="0" w:after="200"/>
        <w:jc w:val="center"/>
        <w:rPr>
          <w:noProof/>
          <w:lang w:val="en-US"/>
        </w:rPr>
      </w:pPr>
      <w:r w:rsidRPr="00B62020">
        <w:rPr>
          <w:b/>
          <w:iCs/>
          <w:noProof/>
          <w:lang w:val="en-US"/>
        </w:rPr>
        <w:t>Functions of the Management Board</w:t>
      </w:r>
    </w:p>
    <w:p w14:paraId="40133E29" w14:textId="77777777" w:rsidR="00B62020" w:rsidRPr="003D75D4" w:rsidRDefault="006B0F7F" w:rsidP="006B0F7F">
      <w:pPr>
        <w:pStyle w:val="Point0"/>
        <w:rPr>
          <w:noProof/>
          <w:lang w:val="en-US"/>
        </w:rPr>
      </w:pPr>
      <w:r>
        <w:rPr>
          <w:noProof/>
          <w:lang w:val="en-US"/>
        </w:rPr>
        <w:t>1.</w:t>
      </w:r>
      <w:r>
        <w:rPr>
          <w:noProof/>
          <w:lang w:val="en-US"/>
        </w:rPr>
        <w:tab/>
      </w:r>
      <w:r w:rsidR="00B62020" w:rsidRPr="003D75D4">
        <w:rPr>
          <w:noProof/>
          <w:lang w:val="en-US"/>
        </w:rPr>
        <w:t>In order to ensure that the Agency carries out its tasks, the Management Board shall:</w:t>
      </w:r>
    </w:p>
    <w:p w14:paraId="3D4473A7" w14:textId="658D903B" w:rsidR="00B62020" w:rsidRPr="006B0F7F" w:rsidRDefault="00443218" w:rsidP="00443218">
      <w:pPr>
        <w:pStyle w:val="Point0"/>
        <w:rPr>
          <w:noProof/>
          <w:lang w:val="en-US"/>
        </w:rPr>
      </w:pPr>
      <w:r w:rsidRPr="00443218">
        <w:t>(a)</w:t>
      </w:r>
      <w:r w:rsidRPr="00443218">
        <w:tab/>
      </w:r>
      <w:r w:rsidR="00B62020" w:rsidRPr="006B0F7F">
        <w:rPr>
          <w:noProof/>
          <w:lang w:val="en-US"/>
        </w:rPr>
        <w:t>give the general and strategic orientations for the Agency's activities;</w:t>
      </w:r>
    </w:p>
    <w:p w14:paraId="06158F75" w14:textId="37F5A37C" w:rsidR="00B62020" w:rsidRPr="006B0F7F" w:rsidRDefault="00443218" w:rsidP="00443218">
      <w:pPr>
        <w:pStyle w:val="Point0"/>
        <w:rPr>
          <w:noProof/>
          <w:lang w:val="en-US"/>
        </w:rPr>
      </w:pPr>
      <w:r w:rsidRPr="00443218">
        <w:t>(b)</w:t>
      </w:r>
      <w:r w:rsidRPr="00443218">
        <w:tab/>
      </w:r>
      <w:r w:rsidR="00B62020" w:rsidRPr="006B0F7F">
        <w:rPr>
          <w:noProof/>
          <w:lang w:val="en-US"/>
        </w:rPr>
        <w:t xml:space="preserve">adopt each year, by a two-thirds majority of its members with voting rights, after having received the opinion of the Commission and in accordance with Article </w:t>
      </w:r>
      <w:r w:rsidR="00417613" w:rsidRPr="006B0F7F">
        <w:rPr>
          <w:noProof/>
          <w:lang w:val="en-US"/>
        </w:rPr>
        <w:t>17</w:t>
      </w:r>
      <w:r w:rsidR="00B62020" w:rsidRPr="006B0F7F">
        <w:rPr>
          <w:noProof/>
          <w:lang w:val="en-US"/>
        </w:rPr>
        <w:t>, the single programming document of the Agency;</w:t>
      </w:r>
    </w:p>
    <w:p w14:paraId="042D416A" w14:textId="206403E1" w:rsidR="00B62020" w:rsidRPr="006B0F7F" w:rsidRDefault="00443218" w:rsidP="00443218">
      <w:pPr>
        <w:pStyle w:val="Point0"/>
        <w:rPr>
          <w:i/>
          <w:noProof/>
        </w:rPr>
      </w:pPr>
      <w:r w:rsidRPr="00443218">
        <w:t>(c)</w:t>
      </w:r>
      <w:r w:rsidRPr="00443218">
        <w:tab/>
      </w:r>
      <w:r w:rsidR="00B62020" w:rsidRPr="00B62020">
        <w:rPr>
          <w:noProof/>
        </w:rPr>
        <w:t>adopt, by a two-thirds</w:t>
      </w:r>
      <w:r w:rsidR="00192104">
        <w:rPr>
          <w:noProof/>
        </w:rPr>
        <w:t xml:space="preserve"> majority</w:t>
      </w:r>
      <w:r w:rsidR="00B62020" w:rsidRPr="00B62020">
        <w:rPr>
          <w:noProof/>
        </w:rPr>
        <w:t xml:space="preserve"> of </w:t>
      </w:r>
      <w:r w:rsidR="00192104">
        <w:rPr>
          <w:noProof/>
        </w:rPr>
        <w:t xml:space="preserve">its </w:t>
      </w:r>
      <w:r w:rsidR="00B62020" w:rsidRPr="00B62020">
        <w:rPr>
          <w:noProof/>
        </w:rPr>
        <w:t xml:space="preserve">members </w:t>
      </w:r>
      <w:r w:rsidR="00192104">
        <w:rPr>
          <w:noProof/>
        </w:rPr>
        <w:t xml:space="preserve">with </w:t>
      </w:r>
      <w:r w:rsidR="00B62020" w:rsidRPr="00B62020">
        <w:rPr>
          <w:noProof/>
        </w:rPr>
        <w:t>vot</w:t>
      </w:r>
      <w:r w:rsidR="00192104">
        <w:rPr>
          <w:noProof/>
        </w:rPr>
        <w:t>ing rights</w:t>
      </w:r>
      <w:r w:rsidR="00B62020" w:rsidRPr="00B62020">
        <w:rPr>
          <w:noProof/>
        </w:rPr>
        <w:t>, the annual budget and the staff establishment plan of the Agency</w:t>
      </w:r>
      <w:r w:rsidR="00B62020" w:rsidRPr="006B0F7F">
        <w:rPr>
          <w:rFonts w:eastAsia="Times New Roman"/>
          <w:i/>
          <w:noProof/>
          <w:sz w:val="22"/>
        </w:rPr>
        <w:t xml:space="preserve"> </w:t>
      </w:r>
      <w:r w:rsidR="00B62020" w:rsidRPr="00B62020">
        <w:rPr>
          <w:noProof/>
        </w:rPr>
        <w:t xml:space="preserve">and exercise other functions in respect of the Agency's budget pursuant to </w:t>
      </w:r>
      <w:r w:rsidR="00417613" w:rsidRPr="00417613">
        <w:rPr>
          <w:noProof/>
        </w:rPr>
        <w:t xml:space="preserve">Chapter </w:t>
      </w:r>
      <w:r w:rsidR="00B62020" w:rsidRPr="00417613">
        <w:rPr>
          <w:noProof/>
        </w:rPr>
        <w:t>V</w:t>
      </w:r>
      <w:r w:rsidR="00417613" w:rsidRPr="00417613">
        <w:rPr>
          <w:noProof/>
        </w:rPr>
        <w:t>I</w:t>
      </w:r>
      <w:r w:rsidR="00B62020" w:rsidRPr="00417613">
        <w:rPr>
          <w:noProof/>
        </w:rPr>
        <w:t>;</w:t>
      </w:r>
    </w:p>
    <w:p w14:paraId="5733450A" w14:textId="2E3773D8" w:rsidR="00B62020" w:rsidRPr="006B0F7F" w:rsidRDefault="00443218" w:rsidP="00443218">
      <w:pPr>
        <w:pStyle w:val="Point0"/>
        <w:rPr>
          <w:noProof/>
          <w:lang w:val="en-US"/>
        </w:rPr>
      </w:pPr>
      <w:r w:rsidRPr="00443218">
        <w:t>(d)</w:t>
      </w:r>
      <w:r w:rsidRPr="00443218">
        <w:tab/>
      </w:r>
      <w:r w:rsidR="00B62020" w:rsidRPr="006B0F7F">
        <w:rPr>
          <w:noProof/>
          <w:lang w:val="en-US"/>
        </w:rPr>
        <w:t>adopt,</w:t>
      </w:r>
      <w:r w:rsidR="00B62020" w:rsidRPr="006B0F7F">
        <w:rPr>
          <w:noProof/>
          <w:color w:val="000000"/>
          <w:sz w:val="23"/>
          <w:szCs w:val="23"/>
          <w:lang w:val="en-US"/>
        </w:rPr>
        <w:t xml:space="preserve"> </w:t>
      </w:r>
      <w:r w:rsidR="004A0092" w:rsidRPr="004A0092">
        <w:rPr>
          <w:noProof/>
        </w:rPr>
        <w:t>by a two-thirds majority of its members with voting rights</w:t>
      </w:r>
      <w:r w:rsidR="00B62020" w:rsidRPr="006B0F7F">
        <w:rPr>
          <w:noProof/>
          <w:lang w:val="en-US"/>
        </w:rPr>
        <w:t>, the consolidated annual activity report on the Agency’s activities and forward it each year by 1 July to the European Parliament, the Council, the Commission, the Court of Auditors and the Member States. The report shall be made public;</w:t>
      </w:r>
    </w:p>
    <w:p w14:paraId="64EC800D" w14:textId="26733EA8" w:rsidR="00B62020" w:rsidRPr="006B0F7F" w:rsidRDefault="00443218" w:rsidP="00443218">
      <w:pPr>
        <w:pStyle w:val="Point0"/>
        <w:rPr>
          <w:noProof/>
          <w:lang w:val="en-US"/>
        </w:rPr>
      </w:pPr>
      <w:r w:rsidRPr="00443218">
        <w:t>(e)</w:t>
      </w:r>
      <w:r w:rsidRPr="00443218">
        <w:tab/>
      </w:r>
      <w:r w:rsidR="00B62020" w:rsidRPr="006B0F7F">
        <w:rPr>
          <w:noProof/>
          <w:lang w:val="en-US"/>
        </w:rPr>
        <w:t>adopt the financial rules applicable to the Agency in accordance with Article 2</w:t>
      </w:r>
      <w:r w:rsidR="005D7904" w:rsidRPr="006B0F7F">
        <w:rPr>
          <w:noProof/>
          <w:lang w:val="en-US"/>
        </w:rPr>
        <w:t>5</w:t>
      </w:r>
      <w:r w:rsidR="00B62020" w:rsidRPr="006B0F7F">
        <w:rPr>
          <w:noProof/>
          <w:lang w:val="en-US"/>
        </w:rPr>
        <w:t xml:space="preserve">; </w:t>
      </w:r>
    </w:p>
    <w:p w14:paraId="5FF95062" w14:textId="44DB26FB" w:rsidR="00B62020" w:rsidRPr="006B0F7F" w:rsidRDefault="00443218" w:rsidP="00443218">
      <w:pPr>
        <w:pStyle w:val="Point0"/>
        <w:rPr>
          <w:noProof/>
          <w:lang w:val="en-US"/>
        </w:rPr>
      </w:pPr>
      <w:r w:rsidRPr="00443218">
        <w:t>(f)</w:t>
      </w:r>
      <w:r w:rsidRPr="00443218">
        <w:tab/>
      </w:r>
      <w:r w:rsidR="00B62020" w:rsidRPr="006B0F7F">
        <w:rPr>
          <w:noProof/>
          <w:lang w:val="en-US"/>
        </w:rPr>
        <w:t xml:space="preserve">deliver an opinion on the Agency's final accounts ; </w:t>
      </w:r>
    </w:p>
    <w:p w14:paraId="7A8D9B63" w14:textId="5F9A7DDB" w:rsidR="00B62020" w:rsidRPr="006B0F7F" w:rsidRDefault="00443218" w:rsidP="00443218">
      <w:pPr>
        <w:pStyle w:val="Point0"/>
        <w:rPr>
          <w:noProof/>
          <w:lang w:val="en-US"/>
        </w:rPr>
      </w:pPr>
      <w:r w:rsidRPr="00443218">
        <w:t>(g)</w:t>
      </w:r>
      <w:r w:rsidRPr="00443218">
        <w:tab/>
      </w:r>
      <w:r w:rsidR="00B62020" w:rsidRPr="006B0F7F">
        <w:rPr>
          <w:noProof/>
          <w:lang w:val="en-US"/>
        </w:rPr>
        <w:t xml:space="preserve">establish the methodology for the visits to be carried out pursuant to Article </w:t>
      </w:r>
      <w:r w:rsidR="00047EDB" w:rsidRPr="006B0F7F">
        <w:rPr>
          <w:noProof/>
          <w:lang w:val="en-US"/>
        </w:rPr>
        <w:t>10</w:t>
      </w:r>
      <w:r w:rsidR="00B62020" w:rsidRPr="006B0F7F">
        <w:rPr>
          <w:noProof/>
          <w:lang w:val="en-US"/>
        </w:rPr>
        <w:t>. In the event that the Commission expresses, within 15 days from the date of adoption of the methodology, its disagreement, the Management  Board shall re-examine and adopt it, possibly amended, in second reading either with a two- thirds majority, including the Commission representatives, or by unanimity of the representatives of the Member States;</w:t>
      </w:r>
    </w:p>
    <w:p w14:paraId="258F125D" w14:textId="5B156A43" w:rsidR="00B62020" w:rsidRPr="006B0F7F" w:rsidRDefault="00443218" w:rsidP="00443218">
      <w:pPr>
        <w:pStyle w:val="Point0"/>
        <w:rPr>
          <w:noProof/>
          <w:lang w:val="en-US"/>
        </w:rPr>
      </w:pPr>
      <w:r w:rsidRPr="00443218">
        <w:t>(h)</w:t>
      </w:r>
      <w:r w:rsidRPr="00443218">
        <w:tab/>
      </w:r>
      <w:r w:rsidR="00B62020" w:rsidRPr="00B62020">
        <w:rPr>
          <w:noProof/>
        </w:rPr>
        <w:t xml:space="preserve">consider </w:t>
      </w:r>
      <w:r w:rsidR="008F39DC">
        <w:rPr>
          <w:noProof/>
        </w:rPr>
        <w:t xml:space="preserve">and approve </w:t>
      </w:r>
      <w:r w:rsidR="00B62020" w:rsidRPr="00B62020">
        <w:rPr>
          <w:noProof/>
        </w:rPr>
        <w:t xml:space="preserve">administrative arrangements, as referred to in </w:t>
      </w:r>
      <w:r w:rsidR="00B62020" w:rsidRPr="00047EDB">
        <w:rPr>
          <w:noProof/>
        </w:rPr>
        <w:t xml:space="preserve">Article </w:t>
      </w:r>
      <w:r w:rsidR="008F39DC">
        <w:rPr>
          <w:noProof/>
        </w:rPr>
        <w:t xml:space="preserve">11 </w:t>
      </w:r>
      <w:r w:rsidR="00EF4FC2">
        <w:rPr>
          <w:noProof/>
        </w:rPr>
        <w:t>(</w:t>
      </w:r>
      <w:r w:rsidR="008F39DC">
        <w:rPr>
          <w:noProof/>
        </w:rPr>
        <w:t>5</w:t>
      </w:r>
      <w:r w:rsidR="00EF4FC2">
        <w:rPr>
          <w:noProof/>
        </w:rPr>
        <w:t>)</w:t>
      </w:r>
      <w:r w:rsidR="008F39DC">
        <w:rPr>
          <w:noProof/>
        </w:rPr>
        <w:t>;</w:t>
      </w:r>
    </w:p>
    <w:p w14:paraId="7CC034C0" w14:textId="006C701B" w:rsidR="00B62020" w:rsidRPr="00B62020" w:rsidRDefault="00443218" w:rsidP="00443218">
      <w:pPr>
        <w:pStyle w:val="Point0"/>
        <w:rPr>
          <w:noProof/>
        </w:rPr>
      </w:pPr>
      <w:r w:rsidRPr="00443218">
        <w:t>(i)</w:t>
      </w:r>
      <w:r w:rsidRPr="00443218">
        <w:tab/>
      </w:r>
      <w:r w:rsidR="00B62020" w:rsidRPr="00B62020">
        <w:rPr>
          <w:noProof/>
        </w:rPr>
        <w:t>adopt an anti-fraud strategy, proportionate to fraud risks taking into account the costs and benefits of the measures to be implemented;</w:t>
      </w:r>
    </w:p>
    <w:p w14:paraId="74B4A814" w14:textId="17F72C55" w:rsidR="00B62020" w:rsidRPr="00B62020" w:rsidRDefault="00443218" w:rsidP="00443218">
      <w:pPr>
        <w:pStyle w:val="Point0"/>
        <w:rPr>
          <w:noProof/>
        </w:rPr>
      </w:pPr>
      <w:r w:rsidRPr="00443218">
        <w:t>(j)</w:t>
      </w:r>
      <w:r w:rsidRPr="00443218">
        <w:tab/>
      </w:r>
      <w:r w:rsidR="00B62020" w:rsidRPr="00B62020">
        <w:rPr>
          <w:noProof/>
        </w:rPr>
        <w:t>adopt rules for the prevention and management of conflicts of interest in respect of its members and publish annually on its website the declaration of interests of the Management Board members;</w:t>
      </w:r>
    </w:p>
    <w:p w14:paraId="51A0EAB2" w14:textId="33607F0F" w:rsidR="00B62020" w:rsidRPr="00B62020" w:rsidRDefault="00443218" w:rsidP="00443218">
      <w:pPr>
        <w:pStyle w:val="Point0"/>
        <w:rPr>
          <w:noProof/>
        </w:rPr>
      </w:pPr>
      <w:r w:rsidRPr="00443218">
        <w:t>(k)</w:t>
      </w:r>
      <w:r w:rsidRPr="00443218">
        <w:tab/>
      </w:r>
      <w:r w:rsidR="00B62020" w:rsidRPr="00B62020">
        <w:rPr>
          <w:noProof/>
        </w:rPr>
        <w:t xml:space="preserve">adopt and regularly update the communication and dissemination plans referred to in </w:t>
      </w:r>
      <w:r w:rsidR="00C438CB" w:rsidRPr="00C438CB">
        <w:rPr>
          <w:noProof/>
        </w:rPr>
        <w:t>Article 13</w:t>
      </w:r>
      <w:r w:rsidR="00B62020" w:rsidRPr="00B62020">
        <w:rPr>
          <w:noProof/>
        </w:rPr>
        <w:t>, based on an analysis of needs;</w:t>
      </w:r>
    </w:p>
    <w:p w14:paraId="25588A01" w14:textId="12DC9583" w:rsidR="00B62020" w:rsidRPr="00B62020" w:rsidRDefault="00443218" w:rsidP="00443218">
      <w:pPr>
        <w:pStyle w:val="Point0"/>
        <w:rPr>
          <w:noProof/>
        </w:rPr>
      </w:pPr>
      <w:r w:rsidRPr="00443218">
        <w:t>(l)</w:t>
      </w:r>
      <w:r w:rsidRPr="00443218">
        <w:tab/>
      </w:r>
      <w:r w:rsidR="00B62020" w:rsidRPr="00B62020">
        <w:rPr>
          <w:noProof/>
        </w:rPr>
        <w:t>adopt its rules of procedure;</w:t>
      </w:r>
    </w:p>
    <w:p w14:paraId="50B30BF3" w14:textId="2A54D0D7" w:rsidR="00B62020" w:rsidRPr="00B62020" w:rsidRDefault="00443218" w:rsidP="00443218">
      <w:pPr>
        <w:pStyle w:val="Point0"/>
        <w:rPr>
          <w:noProof/>
        </w:rPr>
      </w:pPr>
      <w:r w:rsidRPr="00443218">
        <w:t>(m)</w:t>
      </w:r>
      <w:r w:rsidRPr="00443218">
        <w:tab/>
      </w:r>
      <w:r w:rsidR="00B62020" w:rsidRPr="00B62020">
        <w:rPr>
          <w:noProof/>
        </w:rPr>
        <w:t xml:space="preserve">appoint the members of the Executive Board, by a two-third majority of its members </w:t>
      </w:r>
      <w:r w:rsidR="00EF4FC2">
        <w:rPr>
          <w:noProof/>
        </w:rPr>
        <w:t>with voting rights</w:t>
      </w:r>
      <w:r w:rsidR="00B62020" w:rsidRPr="00B62020">
        <w:rPr>
          <w:noProof/>
        </w:rPr>
        <w:t xml:space="preserve">, in accordance with </w:t>
      </w:r>
      <w:r w:rsidR="00B62020" w:rsidRPr="00C438CB">
        <w:rPr>
          <w:noProof/>
        </w:rPr>
        <w:t>Article 21</w:t>
      </w:r>
      <w:r w:rsidR="00B62020" w:rsidRPr="00B62020">
        <w:rPr>
          <w:noProof/>
        </w:rPr>
        <w:t>;</w:t>
      </w:r>
    </w:p>
    <w:p w14:paraId="7FDE3CF8" w14:textId="02C3BDCB" w:rsidR="00B62020" w:rsidRPr="00C438CB" w:rsidRDefault="00443218" w:rsidP="00443218">
      <w:pPr>
        <w:pStyle w:val="Point0"/>
        <w:rPr>
          <w:noProof/>
        </w:rPr>
      </w:pPr>
      <w:r w:rsidRPr="00443218">
        <w:t>(n)</w:t>
      </w:r>
      <w:r w:rsidRPr="00443218">
        <w:tab/>
      </w:r>
      <w:r w:rsidR="00B62020" w:rsidRPr="00B62020">
        <w:rPr>
          <w:noProof/>
        </w:rPr>
        <w:t xml:space="preserve">adopt a mandate for the tasks of the Executive Board referred to in </w:t>
      </w:r>
      <w:r w:rsidR="00B62020" w:rsidRPr="00C438CB">
        <w:rPr>
          <w:noProof/>
        </w:rPr>
        <w:t>Article 21;</w:t>
      </w:r>
    </w:p>
    <w:p w14:paraId="0BD5F22E" w14:textId="0B16BFAB" w:rsidR="00B62020" w:rsidRDefault="00443218" w:rsidP="00443218">
      <w:pPr>
        <w:pStyle w:val="Point0"/>
        <w:rPr>
          <w:noProof/>
        </w:rPr>
      </w:pPr>
      <w:r w:rsidRPr="00443218">
        <w:t>(o)</w:t>
      </w:r>
      <w:r w:rsidRPr="00443218">
        <w:tab/>
      </w:r>
      <w:r w:rsidR="00B62020" w:rsidRPr="00B62020">
        <w:rPr>
          <w:noProof/>
        </w:rPr>
        <w:t>in accordance with paragraph 2, exercise, with respect to the staff of the Agency, the powers conferred by the Staff Regulations on the Appointing Authority and by the Conditions of Employment of Other Servants on the Authority Empowered to Conclude a Contract of Employment</w:t>
      </w:r>
      <w:r w:rsidR="00B62020" w:rsidRPr="00AD0F94">
        <w:rPr>
          <w:rStyle w:val="FootnoteReference"/>
          <w:noProof/>
        </w:rPr>
        <w:footnoteReference w:id="45"/>
      </w:r>
      <w:r w:rsidR="00B62020" w:rsidRPr="00B62020">
        <w:rPr>
          <w:noProof/>
        </w:rPr>
        <w:t xml:space="preserve"> ; </w:t>
      </w:r>
    </w:p>
    <w:p w14:paraId="29B87A65" w14:textId="54E9094D" w:rsidR="00B62020" w:rsidRPr="00B62020" w:rsidRDefault="00443218" w:rsidP="00443218">
      <w:pPr>
        <w:pStyle w:val="Point0"/>
        <w:rPr>
          <w:noProof/>
        </w:rPr>
      </w:pPr>
      <w:r w:rsidRPr="00443218">
        <w:t>(p)</w:t>
      </w:r>
      <w:r w:rsidRPr="00443218">
        <w:tab/>
      </w:r>
      <w:r w:rsidR="00B62020" w:rsidRPr="00B62020">
        <w:rPr>
          <w:noProof/>
        </w:rPr>
        <w:t>adopt implementing rules for giving effect to the Staff Regulations and the Conditions of Employment of Other Servants in accordance with Article 110</w:t>
      </w:r>
      <w:r w:rsidR="001D6DC6">
        <w:rPr>
          <w:noProof/>
        </w:rPr>
        <w:t xml:space="preserve"> </w:t>
      </w:r>
      <w:r w:rsidR="00F432EB">
        <w:rPr>
          <w:noProof/>
        </w:rPr>
        <w:t>(</w:t>
      </w:r>
      <w:r w:rsidR="001D6DC6">
        <w:rPr>
          <w:noProof/>
        </w:rPr>
        <w:t>2</w:t>
      </w:r>
      <w:r w:rsidR="00F432EB">
        <w:rPr>
          <w:noProof/>
        </w:rPr>
        <w:t>)</w:t>
      </w:r>
      <w:r w:rsidR="00B62020" w:rsidRPr="00B62020">
        <w:rPr>
          <w:noProof/>
        </w:rPr>
        <w:t xml:space="preserve"> of the Staff Regulations;</w:t>
      </w:r>
    </w:p>
    <w:p w14:paraId="253C4A90" w14:textId="4B3BEC67" w:rsidR="00B62020" w:rsidRPr="00B62020" w:rsidRDefault="00443218" w:rsidP="00443218">
      <w:pPr>
        <w:pStyle w:val="Point0"/>
        <w:rPr>
          <w:noProof/>
        </w:rPr>
      </w:pPr>
      <w:r w:rsidRPr="00443218">
        <w:t>(q)</w:t>
      </w:r>
      <w:r w:rsidRPr="00443218">
        <w:tab/>
      </w:r>
      <w:r w:rsidR="00B62020" w:rsidRPr="00B62020">
        <w:rPr>
          <w:noProof/>
        </w:rPr>
        <w:t>appoint,</w:t>
      </w:r>
      <w:r w:rsidR="00B62020">
        <w:rPr>
          <w:noProof/>
        </w:rPr>
        <w:t xml:space="preserve"> </w:t>
      </w:r>
      <w:r w:rsidR="00B62020" w:rsidRPr="00B62020">
        <w:rPr>
          <w:noProof/>
        </w:rPr>
        <w:t xml:space="preserve">provide guidance and monitor the performance of  the Executive Director and where relevant extend </w:t>
      </w:r>
      <w:r w:rsidR="0064567A">
        <w:rPr>
          <w:noProof/>
        </w:rPr>
        <w:t>his</w:t>
      </w:r>
      <w:r w:rsidR="00F432EB">
        <w:rPr>
          <w:noProof/>
        </w:rPr>
        <w:t xml:space="preserve"> or </w:t>
      </w:r>
      <w:r w:rsidR="0064567A">
        <w:rPr>
          <w:noProof/>
        </w:rPr>
        <w:t>her</w:t>
      </w:r>
      <w:r w:rsidR="00B62020" w:rsidRPr="00B62020">
        <w:rPr>
          <w:noProof/>
        </w:rPr>
        <w:t xml:space="preserve"> term of office or remove </w:t>
      </w:r>
      <w:r w:rsidR="0064567A">
        <w:rPr>
          <w:noProof/>
        </w:rPr>
        <w:t>him</w:t>
      </w:r>
      <w:r w:rsidR="00F432EB">
        <w:rPr>
          <w:noProof/>
        </w:rPr>
        <w:t xml:space="preserve"> or </w:t>
      </w:r>
      <w:r w:rsidR="0064567A">
        <w:rPr>
          <w:noProof/>
        </w:rPr>
        <w:t>her</w:t>
      </w:r>
      <w:r w:rsidR="00B62020" w:rsidRPr="00B62020">
        <w:rPr>
          <w:noProof/>
        </w:rPr>
        <w:t xml:space="preserve"> from office in accordance with Article </w:t>
      </w:r>
      <w:r w:rsidR="001D6DC6">
        <w:rPr>
          <w:noProof/>
        </w:rPr>
        <w:t>22</w:t>
      </w:r>
      <w:r w:rsidR="00B62020" w:rsidRPr="00B62020">
        <w:rPr>
          <w:noProof/>
        </w:rPr>
        <w:t>;</w:t>
      </w:r>
    </w:p>
    <w:p w14:paraId="15052FEF" w14:textId="24577BFA" w:rsidR="00B62020" w:rsidRPr="00B62020" w:rsidRDefault="00443218" w:rsidP="00443218">
      <w:pPr>
        <w:pStyle w:val="Point0"/>
        <w:rPr>
          <w:noProof/>
        </w:rPr>
      </w:pPr>
      <w:r w:rsidRPr="00443218">
        <w:t>(r)</w:t>
      </w:r>
      <w:r w:rsidRPr="00443218">
        <w:tab/>
      </w:r>
      <w:r w:rsidR="00B62020" w:rsidRPr="00B62020">
        <w:rPr>
          <w:noProof/>
        </w:rPr>
        <w:t>establish procedures for decision-making by the Executive Director;</w:t>
      </w:r>
    </w:p>
    <w:p w14:paraId="030CB174" w14:textId="57E91856" w:rsidR="00B62020" w:rsidRPr="00B62020" w:rsidRDefault="00443218" w:rsidP="00443218">
      <w:pPr>
        <w:pStyle w:val="Point0"/>
        <w:rPr>
          <w:noProof/>
        </w:rPr>
      </w:pPr>
      <w:r w:rsidRPr="00443218">
        <w:t>(s)</w:t>
      </w:r>
      <w:r w:rsidRPr="00443218">
        <w:tab/>
      </w:r>
      <w:r w:rsidR="00B62020" w:rsidRPr="00B62020">
        <w:rPr>
          <w:noProof/>
        </w:rPr>
        <w:t xml:space="preserve">if appropriate, appoint an Accounting Officer, subject to the Staff Regulations and the Conditions of Employment of </w:t>
      </w:r>
      <w:r w:rsidR="00F432EB">
        <w:rPr>
          <w:noProof/>
        </w:rPr>
        <w:t>O</w:t>
      </w:r>
      <w:r w:rsidR="00B62020" w:rsidRPr="00B62020">
        <w:rPr>
          <w:noProof/>
        </w:rPr>
        <w:t xml:space="preserve">ther </w:t>
      </w:r>
      <w:r w:rsidR="00F432EB">
        <w:rPr>
          <w:noProof/>
        </w:rPr>
        <w:t>S</w:t>
      </w:r>
      <w:r w:rsidR="00B62020" w:rsidRPr="00B62020">
        <w:rPr>
          <w:noProof/>
        </w:rPr>
        <w:t>ervants, who shall be totally independent in the performance of his</w:t>
      </w:r>
      <w:r w:rsidR="00F432EB">
        <w:rPr>
          <w:noProof/>
        </w:rPr>
        <w:t xml:space="preserve"> or </w:t>
      </w:r>
      <w:r w:rsidR="00B62020" w:rsidRPr="00B62020">
        <w:rPr>
          <w:noProof/>
        </w:rPr>
        <w:t xml:space="preserve">her duties; </w:t>
      </w:r>
    </w:p>
    <w:p w14:paraId="19006983" w14:textId="741EAD3E" w:rsidR="00B62020" w:rsidRPr="00B62020" w:rsidRDefault="00443218" w:rsidP="00443218">
      <w:pPr>
        <w:pStyle w:val="Point0"/>
        <w:rPr>
          <w:noProof/>
        </w:rPr>
      </w:pPr>
      <w:r w:rsidRPr="00443218">
        <w:t>(t)</w:t>
      </w:r>
      <w:r w:rsidRPr="00443218">
        <w:tab/>
      </w:r>
      <w:r w:rsidR="00B62020" w:rsidRPr="00B62020">
        <w:rPr>
          <w:noProof/>
        </w:rPr>
        <w:t>ensure adequate follow-up to findings and recommendations stemming from the internal or external audit reports and evaluations, as well as from investigations of the European Anti-fraud Office (OLAF)</w:t>
      </w:r>
      <w:r w:rsidR="00F432EB" w:rsidRPr="00F432EB">
        <w:rPr>
          <w:noProof/>
        </w:rPr>
        <w:t xml:space="preserve"> and the European Public Prosecutor’s Office (EPPO)</w:t>
      </w:r>
      <w:r w:rsidR="00B62020" w:rsidRPr="00B62020">
        <w:rPr>
          <w:noProof/>
        </w:rPr>
        <w:t xml:space="preserve">; </w:t>
      </w:r>
    </w:p>
    <w:p w14:paraId="3FDC8D2D" w14:textId="3FECA264" w:rsidR="00B62020" w:rsidRPr="006B0F7F" w:rsidRDefault="00443218" w:rsidP="00443218">
      <w:pPr>
        <w:pStyle w:val="Point0"/>
        <w:rPr>
          <w:i/>
          <w:noProof/>
        </w:rPr>
      </w:pPr>
      <w:r w:rsidRPr="00443218">
        <w:t>(u)</w:t>
      </w:r>
      <w:r w:rsidRPr="00443218">
        <w:tab/>
      </w:r>
      <w:r w:rsidR="00B62020" w:rsidRPr="00B62020">
        <w:rPr>
          <w:noProof/>
        </w:rPr>
        <w:t>take all decisions on the establishment of the Agency's internal structures, including the set-up of advisory or working groups and, where necessary, their modification</w:t>
      </w:r>
      <w:r w:rsidR="0064567A" w:rsidRPr="0064567A">
        <w:rPr>
          <w:noProof/>
        </w:rPr>
        <w:t>;</w:t>
      </w:r>
    </w:p>
    <w:p w14:paraId="0B20C5E0" w14:textId="12B1894A" w:rsidR="00B62020" w:rsidRPr="009350AF" w:rsidRDefault="00443218" w:rsidP="00443218">
      <w:pPr>
        <w:pStyle w:val="Point0"/>
        <w:rPr>
          <w:noProof/>
          <w:lang w:val="en-US"/>
        </w:rPr>
      </w:pPr>
      <w:r w:rsidRPr="00443218">
        <w:t>(v)</w:t>
      </w:r>
      <w:r w:rsidRPr="00443218">
        <w:tab/>
      </w:r>
      <w:r w:rsidR="00B62020" w:rsidRPr="00B62020">
        <w:rPr>
          <w:noProof/>
        </w:rPr>
        <w:t xml:space="preserve">decide on the services that the Agency may offer against fees and charges and a </w:t>
      </w:r>
      <w:r w:rsidR="00B62020" w:rsidRPr="009350AF">
        <w:rPr>
          <w:noProof/>
          <w:lang w:val="en-US"/>
        </w:rPr>
        <w:t xml:space="preserve">adopt a framework model for the financial apportionment of the fees and charges payable as referred to in </w:t>
      </w:r>
      <w:r w:rsidR="006258AA" w:rsidRPr="009350AF">
        <w:rPr>
          <w:noProof/>
          <w:lang w:val="en-US"/>
        </w:rPr>
        <w:t>Article 2</w:t>
      </w:r>
      <w:r w:rsidR="005D7904" w:rsidRPr="009350AF">
        <w:rPr>
          <w:noProof/>
          <w:lang w:val="en-US"/>
        </w:rPr>
        <w:t>6</w:t>
      </w:r>
      <w:r w:rsidR="00B62020" w:rsidRPr="009350AF">
        <w:rPr>
          <w:noProof/>
          <w:lang w:val="en-US"/>
        </w:rPr>
        <w:t xml:space="preserve">  </w:t>
      </w:r>
      <w:r w:rsidR="00F432EB" w:rsidRPr="009350AF">
        <w:rPr>
          <w:noProof/>
          <w:lang w:val="en-US"/>
        </w:rPr>
        <w:t>(</w:t>
      </w:r>
      <w:r w:rsidR="00B62020" w:rsidRPr="009350AF">
        <w:rPr>
          <w:noProof/>
          <w:lang w:val="en-US"/>
        </w:rPr>
        <w:t>3</w:t>
      </w:r>
      <w:r w:rsidR="00F432EB" w:rsidRPr="009350AF">
        <w:rPr>
          <w:noProof/>
          <w:lang w:val="en-US"/>
        </w:rPr>
        <w:t>)</w:t>
      </w:r>
      <w:r w:rsidR="009350AF">
        <w:rPr>
          <w:noProof/>
          <w:lang w:val="en-US"/>
        </w:rPr>
        <w:t>, point</w:t>
      </w:r>
      <w:r w:rsidR="00B62020" w:rsidRPr="009350AF">
        <w:rPr>
          <w:noProof/>
          <w:lang w:val="en-US"/>
        </w:rPr>
        <w:t xml:space="preserve"> (c). In the event that the Commission expresses, within 15 days from the date of adoption of </w:t>
      </w:r>
      <w:r w:rsidR="009350AF" w:rsidRPr="009350AF">
        <w:rPr>
          <w:noProof/>
          <w:lang w:val="en-US"/>
        </w:rPr>
        <w:t>the Management Board’s decision concerning the services offered against fees or the framework model</w:t>
      </w:r>
      <w:r w:rsidR="00B62020" w:rsidRPr="009350AF">
        <w:rPr>
          <w:noProof/>
          <w:lang w:val="en-US"/>
        </w:rPr>
        <w:t>, its disagreement, the Management Board shall re-examine and adopt it, possibly amended, in second reading either with a two- thirds majority, including the Commission representatives, or by unanimity of the representatives of the Member States;</w:t>
      </w:r>
    </w:p>
    <w:p w14:paraId="0353E3A4" w14:textId="31BBF4F8" w:rsidR="00B62020" w:rsidRPr="006B0F7F" w:rsidRDefault="00443218" w:rsidP="00443218">
      <w:pPr>
        <w:pStyle w:val="Point0"/>
        <w:rPr>
          <w:noProof/>
          <w:lang w:val="en-US"/>
        </w:rPr>
      </w:pPr>
      <w:r w:rsidRPr="00443218">
        <w:t>(w)</w:t>
      </w:r>
      <w:r w:rsidRPr="00443218">
        <w:tab/>
      </w:r>
      <w:r w:rsidR="00B62020" w:rsidRPr="006B0F7F">
        <w:rPr>
          <w:noProof/>
          <w:lang w:val="en-US"/>
        </w:rPr>
        <w:t>adopt an efficiency gains and synergies strategy;</w:t>
      </w:r>
    </w:p>
    <w:p w14:paraId="4450C612" w14:textId="35DB1B88" w:rsidR="00055972" w:rsidRPr="00D77B32" w:rsidRDefault="00443218" w:rsidP="00443218">
      <w:pPr>
        <w:pStyle w:val="Point0"/>
        <w:rPr>
          <w:noProof/>
          <w:lang w:val="en-US"/>
        </w:rPr>
      </w:pPr>
      <w:r w:rsidRPr="00443218">
        <w:t>(x)</w:t>
      </w:r>
      <w:r w:rsidRPr="00443218">
        <w:tab/>
      </w:r>
      <w:r w:rsidR="00B62020" w:rsidRPr="006B0F7F">
        <w:rPr>
          <w:noProof/>
          <w:lang w:val="en-US"/>
        </w:rPr>
        <w:t>adopt a strategy for cooperation with third countries or international organisations</w:t>
      </w:r>
      <w:r w:rsidR="009350AF">
        <w:rPr>
          <w:noProof/>
          <w:lang w:val="en-US"/>
        </w:rPr>
        <w:t xml:space="preserve">, or both, </w:t>
      </w:r>
      <w:r w:rsidR="006258AA" w:rsidRPr="00D77B32">
        <w:rPr>
          <w:noProof/>
          <w:lang w:val="en-US"/>
        </w:rPr>
        <w:t>referred to in Article 11</w:t>
      </w:r>
      <w:r w:rsidR="008F39DC" w:rsidRPr="00D77B32">
        <w:rPr>
          <w:noProof/>
          <w:lang w:val="en-US"/>
        </w:rPr>
        <w:t xml:space="preserve">  </w:t>
      </w:r>
      <w:r w:rsidR="009350AF" w:rsidRPr="00D77B32">
        <w:rPr>
          <w:noProof/>
          <w:lang w:val="en-US"/>
        </w:rPr>
        <w:t>(</w:t>
      </w:r>
      <w:r w:rsidR="008F39DC" w:rsidRPr="00D77B32">
        <w:rPr>
          <w:noProof/>
          <w:lang w:val="en-US"/>
        </w:rPr>
        <w:t>6</w:t>
      </w:r>
      <w:r w:rsidR="009350AF" w:rsidRPr="00D77B32">
        <w:rPr>
          <w:noProof/>
          <w:lang w:val="en-US"/>
        </w:rPr>
        <w:t>)</w:t>
      </w:r>
      <w:r w:rsidR="00D81420" w:rsidRPr="00D77B32">
        <w:rPr>
          <w:noProof/>
          <w:lang w:val="en-US"/>
        </w:rPr>
        <w:t xml:space="preserve">. </w:t>
      </w:r>
      <w:r w:rsidR="00F769EE" w:rsidRPr="00D77B32">
        <w:rPr>
          <w:noProof/>
          <w:lang w:val="en-US"/>
        </w:rPr>
        <w:t xml:space="preserve">In the event that the Commission expresses, within 15 days from the date of adoption of the </w:t>
      </w:r>
      <w:r w:rsidR="003D6C09" w:rsidRPr="00D77B32">
        <w:rPr>
          <w:noProof/>
          <w:lang w:val="en-US"/>
        </w:rPr>
        <w:t>strategy</w:t>
      </w:r>
      <w:r w:rsidR="00F769EE" w:rsidRPr="00D77B32">
        <w:rPr>
          <w:noProof/>
          <w:lang w:val="en-US"/>
        </w:rPr>
        <w:t>, its disagreement, the Management  Board shall re-examine and adopt it, possibly amended, in second reading either with a two- thirds majority, including the Commission representatives, or by unanimity of the representatives of the Member States;</w:t>
      </w:r>
    </w:p>
    <w:p w14:paraId="69CB82EC" w14:textId="4BFFF808" w:rsidR="00055972" w:rsidRPr="00D77B32" w:rsidRDefault="00443218" w:rsidP="00443218">
      <w:pPr>
        <w:pStyle w:val="Point0"/>
        <w:rPr>
          <w:noProof/>
        </w:rPr>
      </w:pPr>
      <w:r w:rsidRPr="00443218">
        <w:t>(y)</w:t>
      </w:r>
      <w:r w:rsidRPr="00443218">
        <w:tab/>
      </w:r>
      <w:r w:rsidR="00055972" w:rsidRPr="00D77B32">
        <w:rPr>
          <w:noProof/>
          <w:lang w:val="en-US"/>
        </w:rPr>
        <w:t>adopt the internal security rules</w:t>
      </w:r>
      <w:r w:rsidR="00DE27F3" w:rsidRPr="00D77B32">
        <w:rPr>
          <w:noProof/>
          <w:lang w:val="en-US"/>
        </w:rPr>
        <w:t xml:space="preserve"> </w:t>
      </w:r>
      <w:r w:rsidR="00055972" w:rsidRPr="00D77B32">
        <w:rPr>
          <w:noProof/>
          <w:lang w:val="en-US"/>
        </w:rPr>
        <w:t>o</w:t>
      </w:r>
      <w:r w:rsidR="00DE27F3" w:rsidRPr="00D77B32">
        <w:rPr>
          <w:noProof/>
          <w:lang w:val="en-US"/>
        </w:rPr>
        <w:t>f</w:t>
      </w:r>
      <w:r w:rsidR="00055972" w:rsidRPr="00D77B32">
        <w:rPr>
          <w:noProof/>
          <w:lang w:val="en-US"/>
        </w:rPr>
        <w:t xml:space="preserve"> the Age</w:t>
      </w:r>
      <w:r w:rsidR="00F8765C" w:rsidRPr="00D77B32">
        <w:rPr>
          <w:noProof/>
          <w:lang w:val="en-US"/>
        </w:rPr>
        <w:t>ncy referred to in Article 41;</w:t>
      </w:r>
    </w:p>
    <w:p w14:paraId="3F6A752C" w14:textId="398204D3" w:rsidR="00F8765C" w:rsidRPr="00D77B32" w:rsidRDefault="00443218" w:rsidP="00443218">
      <w:pPr>
        <w:pStyle w:val="Point0"/>
        <w:rPr>
          <w:noProof/>
        </w:rPr>
      </w:pPr>
      <w:r w:rsidRPr="00443218">
        <w:t>(z)</w:t>
      </w:r>
      <w:r w:rsidRPr="00443218">
        <w:tab/>
      </w:r>
      <w:r w:rsidR="00F8765C" w:rsidRPr="00D77B32">
        <w:rPr>
          <w:noProof/>
        </w:rPr>
        <w:t>appoint the data protection officer of the Agency.</w:t>
      </w:r>
    </w:p>
    <w:p w14:paraId="721DDFDD" w14:textId="77777777" w:rsidR="00B62020" w:rsidRPr="00D77B32" w:rsidRDefault="00B62020" w:rsidP="006B0F7F">
      <w:pPr>
        <w:pStyle w:val="Point0"/>
        <w:rPr>
          <w:noProof/>
        </w:rPr>
      </w:pPr>
    </w:p>
    <w:p w14:paraId="7F221B0A" w14:textId="77777777" w:rsidR="003D75D4" w:rsidRPr="006B0F7F" w:rsidRDefault="006B0F7F" w:rsidP="006B0F7F">
      <w:pPr>
        <w:pStyle w:val="Point0"/>
        <w:ind w:left="0" w:firstLine="0"/>
        <w:rPr>
          <w:noProof/>
          <w:lang w:val="en-US"/>
        </w:rPr>
      </w:pPr>
      <w:r>
        <w:rPr>
          <w:noProof/>
          <w:lang w:val="en-US"/>
        </w:rPr>
        <w:t>2.</w:t>
      </w:r>
      <w:r>
        <w:rPr>
          <w:noProof/>
          <w:lang w:val="en-US"/>
        </w:rPr>
        <w:tab/>
      </w:r>
      <w:r w:rsidR="00B62020" w:rsidRPr="006B0F7F">
        <w:rPr>
          <w:noProof/>
          <w:lang w:val="en-US"/>
        </w:rPr>
        <w:t>The Management Board shall adopt, in accordance with Article 110</w:t>
      </w:r>
      <w:r w:rsidR="002472BF">
        <w:rPr>
          <w:noProof/>
          <w:lang w:val="en-US"/>
        </w:rPr>
        <w:t>(</w:t>
      </w:r>
      <w:r w:rsidR="00DC0670">
        <w:rPr>
          <w:noProof/>
          <w:lang w:val="en-US"/>
        </w:rPr>
        <w:t>2</w:t>
      </w:r>
      <w:r w:rsidR="002472BF">
        <w:rPr>
          <w:noProof/>
          <w:lang w:val="en-US"/>
        </w:rPr>
        <w:t>)</w:t>
      </w:r>
      <w:r w:rsidR="00DC0670">
        <w:rPr>
          <w:noProof/>
          <w:lang w:val="en-US"/>
        </w:rPr>
        <w:t>,</w:t>
      </w:r>
      <w:r w:rsidR="00B62020" w:rsidRPr="006B0F7F">
        <w:rPr>
          <w:noProof/>
          <w:lang w:val="en-US"/>
        </w:rPr>
        <w:t xml:space="preserve"> of the Staff Regulations, a decisi</w:t>
      </w:r>
      <w:r w:rsidR="001D6DC6" w:rsidRPr="006B0F7F">
        <w:rPr>
          <w:noProof/>
          <w:lang w:val="en-US"/>
        </w:rPr>
        <w:t xml:space="preserve">on based on Article 2 </w:t>
      </w:r>
      <w:r w:rsidR="009350AF">
        <w:rPr>
          <w:noProof/>
          <w:lang w:val="en-US"/>
        </w:rPr>
        <w:t>(</w:t>
      </w:r>
      <w:r w:rsidR="00B62020" w:rsidRPr="006B0F7F">
        <w:rPr>
          <w:noProof/>
          <w:lang w:val="en-US"/>
        </w:rPr>
        <w:t>1</w:t>
      </w:r>
      <w:r w:rsidR="009350AF">
        <w:rPr>
          <w:noProof/>
          <w:lang w:val="en-US"/>
        </w:rPr>
        <w:t>)</w:t>
      </w:r>
      <w:r w:rsidR="00B62020" w:rsidRPr="006B0F7F">
        <w:rPr>
          <w:noProof/>
          <w:lang w:val="en-US"/>
        </w:rPr>
        <w:t xml:space="preserve"> of the Staff Regulations and on Article 6 of the Conditions of Employment of Other Servants, delegating relevant appointing authority powers to the Executive Director and defining the conditions under which this delegation of powers can be suspended. The Executive Director shall be authorised to sub-delegate those powers.</w:t>
      </w:r>
    </w:p>
    <w:p w14:paraId="5A745547" w14:textId="77777777" w:rsidR="00B62020" w:rsidRPr="00EC31AF" w:rsidRDefault="00B62020" w:rsidP="006B0F7F">
      <w:pPr>
        <w:pStyle w:val="Point0"/>
        <w:ind w:left="0" w:firstLine="0"/>
        <w:rPr>
          <w:noProof/>
        </w:rPr>
      </w:pPr>
      <w:r w:rsidRPr="00EC31AF">
        <w:rPr>
          <w:noProof/>
        </w:rPr>
        <w:t>Where exceptional circumstances so require, the Management Board may</w:t>
      </w:r>
      <w:r w:rsidR="002A2191">
        <w:rPr>
          <w:noProof/>
        </w:rPr>
        <w:t>,</w:t>
      </w:r>
      <w:r w:rsidRPr="00EC31AF">
        <w:rPr>
          <w:noProof/>
        </w:rPr>
        <w:t xml:space="preserve"> by way of a decision</w:t>
      </w:r>
      <w:r w:rsidR="002A2191">
        <w:rPr>
          <w:noProof/>
        </w:rPr>
        <w:t>,</w:t>
      </w:r>
      <w:r w:rsidRPr="00EC31AF">
        <w:rPr>
          <w:noProof/>
        </w:rPr>
        <w:t xml:space="preserve"> temporarily suspend the delegation of the appointing authority powers to the Executive Director and those sub-delegated by the latter and exercise them itself or delegate them to one of its members or to a staff member other than the Executive Director.  </w:t>
      </w:r>
    </w:p>
    <w:p w14:paraId="3BF86E5E" w14:textId="77777777" w:rsidR="00B62020" w:rsidRPr="00B62020" w:rsidRDefault="00B62020" w:rsidP="006B0F7F">
      <w:pPr>
        <w:pStyle w:val="Point0"/>
        <w:rPr>
          <w:noProof/>
        </w:rPr>
      </w:pPr>
    </w:p>
    <w:p w14:paraId="44AEE35D" w14:textId="77777777" w:rsidR="00B62020" w:rsidRPr="00B62020" w:rsidRDefault="00B62020" w:rsidP="00741DC7">
      <w:pPr>
        <w:pStyle w:val="Point0"/>
        <w:jc w:val="center"/>
        <w:rPr>
          <w:i/>
          <w:iCs/>
          <w:noProof/>
          <w:lang w:val="en-US"/>
        </w:rPr>
      </w:pPr>
      <w:r w:rsidRPr="00B62020">
        <w:rPr>
          <w:i/>
          <w:iCs/>
          <w:noProof/>
          <w:lang w:val="en-US"/>
        </w:rPr>
        <w:t>Article 17</w:t>
      </w:r>
    </w:p>
    <w:p w14:paraId="0455511D" w14:textId="77777777" w:rsidR="00B62020" w:rsidRPr="00B62020" w:rsidRDefault="00B62020" w:rsidP="00741DC7">
      <w:pPr>
        <w:pStyle w:val="Point0"/>
        <w:jc w:val="center"/>
        <w:rPr>
          <w:b/>
          <w:iCs/>
          <w:noProof/>
          <w:lang w:val="en-US"/>
        </w:rPr>
      </w:pPr>
      <w:r w:rsidRPr="00B62020">
        <w:rPr>
          <w:b/>
          <w:iCs/>
          <w:noProof/>
          <w:lang w:val="en-US"/>
        </w:rPr>
        <w:t>Annual and multi-annual programming</w:t>
      </w:r>
    </w:p>
    <w:p w14:paraId="58156F58" w14:textId="77777777" w:rsidR="00B0335A" w:rsidRPr="00B0335A" w:rsidRDefault="006B0F7F" w:rsidP="006B0F7F">
      <w:pPr>
        <w:pStyle w:val="Point0"/>
        <w:ind w:left="0" w:firstLine="0"/>
        <w:rPr>
          <w:noProof/>
        </w:rPr>
      </w:pPr>
      <w:r>
        <w:rPr>
          <w:noProof/>
          <w:lang w:val="en-US"/>
        </w:rPr>
        <w:t>1.</w:t>
      </w:r>
      <w:r>
        <w:rPr>
          <w:noProof/>
          <w:lang w:val="en-US"/>
        </w:rPr>
        <w:tab/>
      </w:r>
      <w:r w:rsidR="00B62020" w:rsidRPr="003D75D4">
        <w:rPr>
          <w:noProof/>
          <w:lang w:val="en-US"/>
        </w:rPr>
        <w:t xml:space="preserve">By 30 November each year the Management Board shall adopt a single programming document containing multi-annual and annual programming, based on a draft put forward by the Executive Director, taking into account the opinion of the Commission. It shall forward it to the European Parliament, the Council and the Commission. </w:t>
      </w:r>
    </w:p>
    <w:p w14:paraId="495D6A72" w14:textId="77777777" w:rsidR="006B0F7F" w:rsidRDefault="00B62020" w:rsidP="006B0F7F">
      <w:pPr>
        <w:pStyle w:val="Point0"/>
        <w:ind w:left="0" w:firstLine="0"/>
        <w:rPr>
          <w:noProof/>
        </w:rPr>
      </w:pPr>
      <w:r w:rsidRPr="00B62020">
        <w:rPr>
          <w:noProof/>
        </w:rPr>
        <w:t xml:space="preserve">In the event that the Commission expresses, within 15 days from the date of adoption of the </w:t>
      </w:r>
      <w:r w:rsidR="009350AF">
        <w:rPr>
          <w:noProof/>
        </w:rPr>
        <w:t>s</w:t>
      </w:r>
      <w:r w:rsidRPr="00B62020">
        <w:rPr>
          <w:noProof/>
        </w:rPr>
        <w:t xml:space="preserve">ingle </w:t>
      </w:r>
      <w:r w:rsidR="009350AF">
        <w:rPr>
          <w:noProof/>
        </w:rPr>
        <w:t>p</w:t>
      </w:r>
      <w:r w:rsidRPr="00B62020">
        <w:rPr>
          <w:noProof/>
        </w:rPr>
        <w:t xml:space="preserve">rogramming </w:t>
      </w:r>
      <w:r w:rsidR="009350AF">
        <w:rPr>
          <w:noProof/>
        </w:rPr>
        <w:t>d</w:t>
      </w:r>
      <w:r w:rsidRPr="00B62020">
        <w:rPr>
          <w:noProof/>
        </w:rPr>
        <w:t xml:space="preserve">ocument, its disagreement with </w:t>
      </w:r>
      <w:r w:rsidR="009350AF">
        <w:rPr>
          <w:noProof/>
        </w:rPr>
        <w:t>the document</w:t>
      </w:r>
      <w:r w:rsidRPr="00B62020">
        <w:rPr>
          <w:noProof/>
        </w:rPr>
        <w:t xml:space="preserve">, the Management Board shall re-examine the </w:t>
      </w:r>
      <w:r w:rsidR="009350AF">
        <w:rPr>
          <w:noProof/>
        </w:rPr>
        <w:t>s</w:t>
      </w:r>
      <w:r w:rsidRPr="00B62020">
        <w:rPr>
          <w:noProof/>
        </w:rPr>
        <w:t xml:space="preserve">ingle </w:t>
      </w:r>
      <w:r w:rsidR="009350AF">
        <w:rPr>
          <w:noProof/>
        </w:rPr>
        <w:t>p</w:t>
      </w:r>
      <w:r w:rsidRPr="00B62020">
        <w:rPr>
          <w:noProof/>
        </w:rPr>
        <w:t xml:space="preserve">rogramming </w:t>
      </w:r>
      <w:r w:rsidR="009350AF">
        <w:rPr>
          <w:noProof/>
        </w:rPr>
        <w:t>d</w:t>
      </w:r>
      <w:r w:rsidRPr="00B62020">
        <w:rPr>
          <w:noProof/>
        </w:rPr>
        <w:t>ocument and adopt it,</w:t>
      </w:r>
      <w:r w:rsidR="006B0F7F">
        <w:rPr>
          <w:noProof/>
        </w:rPr>
        <w:t xml:space="preserve"> </w:t>
      </w:r>
      <w:r w:rsidRPr="00B62020">
        <w:rPr>
          <w:noProof/>
        </w:rPr>
        <w:t>possibly amended, within a period of two months, in second reading either with a two-thirds majority, including the Commission representatives, or by unanimity of the representatives of the Member States.</w:t>
      </w:r>
      <w:r w:rsidR="006B0F7F">
        <w:rPr>
          <w:noProof/>
        </w:rPr>
        <w:t xml:space="preserve"> </w:t>
      </w:r>
    </w:p>
    <w:p w14:paraId="1FC96B56" w14:textId="77777777" w:rsidR="00B62020" w:rsidRPr="006B0F7F" w:rsidRDefault="006B0F7F" w:rsidP="003931C3">
      <w:pPr>
        <w:pStyle w:val="Point0"/>
        <w:ind w:left="0" w:firstLine="0"/>
        <w:rPr>
          <w:noProof/>
        </w:rPr>
      </w:pPr>
      <w:r>
        <w:rPr>
          <w:noProof/>
          <w:lang w:val="en-US"/>
        </w:rPr>
        <w:t>2.</w:t>
      </w:r>
      <w:r>
        <w:rPr>
          <w:noProof/>
          <w:lang w:val="en-US"/>
        </w:rPr>
        <w:tab/>
      </w:r>
      <w:r w:rsidR="00B62020" w:rsidRPr="00B62020">
        <w:rPr>
          <w:noProof/>
          <w:lang w:val="en-US"/>
        </w:rPr>
        <w:t>The single programming document shall become definitive after final adoption of the general budget and if necessary shall be adjusted accordingly.</w:t>
      </w:r>
    </w:p>
    <w:p w14:paraId="0D278681" w14:textId="77777777" w:rsidR="00B62020" w:rsidRPr="00B62020" w:rsidRDefault="006B0F7F" w:rsidP="003931C3">
      <w:pPr>
        <w:pStyle w:val="Point0"/>
        <w:ind w:left="0" w:firstLine="0"/>
        <w:rPr>
          <w:noProof/>
          <w:lang w:val="en-US"/>
        </w:rPr>
      </w:pPr>
      <w:r>
        <w:rPr>
          <w:noProof/>
          <w:lang w:val="en-US"/>
        </w:rPr>
        <w:t>3.</w:t>
      </w:r>
      <w:r>
        <w:rPr>
          <w:noProof/>
          <w:lang w:val="en-US"/>
        </w:rPr>
        <w:tab/>
      </w:r>
      <w:r w:rsidR="00B62020" w:rsidRPr="00B62020">
        <w:rPr>
          <w:noProof/>
          <w:lang w:val="en-US"/>
        </w:rPr>
        <w:t>The annual work programme shall comprise detailed objectives and expected results including performance indicators. It shall also contain a description of the actions to be financed and an indication of the financial and human resources allocated to each action, in accordance with the principles of activity-based budgeting and management. The annual work programme shall be coherent with the multi-annual work programme referred to in paragraph 7. It shall clearly indicate tasks that have been added, changed or deleted in comparison with the previous financial year. Annual or multi- annual programming</w:t>
      </w:r>
      <w:r w:rsidR="009350AF">
        <w:rPr>
          <w:noProof/>
          <w:lang w:val="en-US"/>
        </w:rPr>
        <w:t>, or both,</w:t>
      </w:r>
      <w:r w:rsidR="00B62020" w:rsidRPr="00B62020">
        <w:rPr>
          <w:noProof/>
          <w:lang w:val="en-US"/>
        </w:rPr>
        <w:t xml:space="preserve"> shall include the strategy for relations with third countries or international organisations referred to in </w:t>
      </w:r>
      <w:r w:rsidR="00B62020" w:rsidRPr="006258AA">
        <w:rPr>
          <w:noProof/>
          <w:lang w:val="en-US"/>
        </w:rPr>
        <w:t>Article 1</w:t>
      </w:r>
      <w:r w:rsidR="006258AA">
        <w:rPr>
          <w:noProof/>
          <w:lang w:val="en-US"/>
        </w:rPr>
        <w:t>1</w:t>
      </w:r>
      <w:r w:rsidR="00B62020" w:rsidRPr="00B62020">
        <w:rPr>
          <w:noProof/>
          <w:lang w:val="en-US"/>
        </w:rPr>
        <w:t xml:space="preserve"> and the actions linked to this strategy. </w:t>
      </w:r>
    </w:p>
    <w:p w14:paraId="405FC88C" w14:textId="77777777" w:rsidR="00B62020" w:rsidRPr="00B62020" w:rsidRDefault="006B0F7F" w:rsidP="003931C3">
      <w:pPr>
        <w:pStyle w:val="Point0"/>
        <w:ind w:left="0" w:firstLine="0"/>
        <w:rPr>
          <w:noProof/>
          <w:lang w:val="en-US"/>
        </w:rPr>
      </w:pPr>
      <w:r>
        <w:rPr>
          <w:noProof/>
          <w:lang w:val="en-US"/>
        </w:rPr>
        <w:t>4.</w:t>
      </w:r>
      <w:r>
        <w:rPr>
          <w:noProof/>
          <w:lang w:val="en-US"/>
        </w:rPr>
        <w:tab/>
      </w:r>
      <w:r w:rsidR="00B62020" w:rsidRPr="006258AA">
        <w:rPr>
          <w:noProof/>
          <w:lang w:val="en-US"/>
        </w:rPr>
        <w:t>The Management Board shall amend the adopted annual work programme when a new task is given to the Agency.</w:t>
      </w:r>
      <w:r w:rsidR="00B62020" w:rsidRPr="006258AA">
        <w:rPr>
          <w:rFonts w:ascii="EUAlbertina" w:hAnsi="EUAlbertina" w:cs="EUAlbertina"/>
          <w:noProof/>
          <w:color w:val="000000"/>
          <w:sz w:val="19"/>
          <w:szCs w:val="19"/>
          <w:lang w:val="en-US"/>
        </w:rPr>
        <w:t xml:space="preserve"> </w:t>
      </w:r>
      <w:r w:rsidR="00B62020" w:rsidRPr="006258AA">
        <w:rPr>
          <w:noProof/>
          <w:lang w:val="en-US"/>
        </w:rPr>
        <w:t>The inclusion of such a new task shall be subject to an analysis of the human and budgetary resources implications and may be subject to a decision to postpone other tasks.</w:t>
      </w:r>
    </w:p>
    <w:p w14:paraId="359D79DA" w14:textId="77777777" w:rsidR="00B62020" w:rsidRPr="00061C87" w:rsidRDefault="006B0F7F" w:rsidP="003931C3">
      <w:pPr>
        <w:pStyle w:val="Point0"/>
        <w:ind w:left="0" w:firstLine="0"/>
        <w:rPr>
          <w:noProof/>
          <w:lang w:val="en-US"/>
        </w:rPr>
      </w:pPr>
      <w:r>
        <w:rPr>
          <w:noProof/>
          <w:lang w:val="en-US"/>
        </w:rPr>
        <w:t>5.</w:t>
      </w:r>
      <w:r>
        <w:rPr>
          <w:noProof/>
          <w:lang w:val="en-US"/>
        </w:rPr>
        <w:tab/>
      </w:r>
      <w:r w:rsidR="00B62020" w:rsidRPr="00061C87">
        <w:rPr>
          <w:noProof/>
          <w:lang w:val="en-US"/>
        </w:rPr>
        <w:t>The Management Board shall examine and approve, in the frame</w:t>
      </w:r>
      <w:r w:rsidR="00982913" w:rsidRPr="00061C87">
        <w:rPr>
          <w:noProof/>
          <w:lang w:val="en-US"/>
        </w:rPr>
        <w:t>work of the preparation of the single p</w:t>
      </w:r>
      <w:r w:rsidR="00B62020" w:rsidRPr="00061C87">
        <w:rPr>
          <w:noProof/>
          <w:lang w:val="en-US"/>
        </w:rPr>
        <w:t xml:space="preserve">rogramming </w:t>
      </w:r>
      <w:r w:rsidR="00982913" w:rsidRPr="00061C87">
        <w:rPr>
          <w:noProof/>
          <w:lang w:val="en-US"/>
        </w:rPr>
        <w:t>d</w:t>
      </w:r>
      <w:r w:rsidR="00B62020" w:rsidRPr="00061C87">
        <w:rPr>
          <w:noProof/>
          <w:lang w:val="en-US"/>
        </w:rPr>
        <w:t xml:space="preserve">ocument, </w:t>
      </w:r>
      <w:r w:rsidR="009350AF">
        <w:rPr>
          <w:noProof/>
          <w:lang w:val="en-US"/>
        </w:rPr>
        <w:t>Commission’s</w:t>
      </w:r>
      <w:r w:rsidR="00223CD8">
        <w:rPr>
          <w:noProof/>
          <w:lang w:val="en-US"/>
        </w:rPr>
        <w:t xml:space="preserve"> or Member States’</w:t>
      </w:r>
      <w:r w:rsidR="009350AF">
        <w:rPr>
          <w:noProof/>
          <w:lang w:val="en-US"/>
        </w:rPr>
        <w:t xml:space="preserve"> </w:t>
      </w:r>
      <w:r w:rsidR="00B62020" w:rsidRPr="00061C87">
        <w:rPr>
          <w:noProof/>
          <w:lang w:val="en-US"/>
        </w:rPr>
        <w:t>requests for</w:t>
      </w:r>
      <w:r w:rsidR="008F39DC" w:rsidRPr="00061C87">
        <w:rPr>
          <w:noProof/>
          <w:lang w:val="en-US"/>
        </w:rPr>
        <w:t xml:space="preserve"> technical</w:t>
      </w:r>
      <w:r w:rsidR="00B62020" w:rsidRPr="00061C87">
        <w:rPr>
          <w:noProof/>
          <w:lang w:val="en-US"/>
        </w:rPr>
        <w:t xml:space="preserve"> assistance</w:t>
      </w:r>
      <w:r w:rsidR="008F39DC" w:rsidRPr="00061C87">
        <w:rPr>
          <w:noProof/>
          <w:lang w:val="en-US"/>
        </w:rPr>
        <w:t xml:space="preserve">, as referred to in Article 3 </w:t>
      </w:r>
      <w:r w:rsidR="009350AF">
        <w:rPr>
          <w:noProof/>
          <w:lang w:val="en-US"/>
        </w:rPr>
        <w:t>(</w:t>
      </w:r>
      <w:r w:rsidR="008F39DC" w:rsidRPr="00061C87">
        <w:rPr>
          <w:noProof/>
          <w:lang w:val="en-US"/>
        </w:rPr>
        <w:t>1</w:t>
      </w:r>
      <w:r w:rsidR="009350AF">
        <w:rPr>
          <w:noProof/>
          <w:lang w:val="en-US"/>
        </w:rPr>
        <w:t>),</w:t>
      </w:r>
      <w:r w:rsidR="008F39DC" w:rsidRPr="00061C87">
        <w:rPr>
          <w:noProof/>
          <w:lang w:val="en-US"/>
        </w:rPr>
        <w:t xml:space="preserve"> point (c),</w:t>
      </w:r>
      <w:r w:rsidR="00061C87" w:rsidRPr="00061C87">
        <w:rPr>
          <w:noProof/>
          <w:lang w:val="en-US"/>
        </w:rPr>
        <w:t xml:space="preserve"> </w:t>
      </w:r>
      <w:r w:rsidR="00223CD8" w:rsidRPr="00061C87">
        <w:rPr>
          <w:noProof/>
          <w:lang w:val="en-US"/>
        </w:rPr>
        <w:t xml:space="preserve">Article 3 </w:t>
      </w:r>
      <w:r w:rsidR="00223CD8">
        <w:rPr>
          <w:noProof/>
          <w:lang w:val="en-US"/>
        </w:rPr>
        <w:t>(</w:t>
      </w:r>
      <w:r w:rsidR="00223CD8" w:rsidRPr="00061C87">
        <w:rPr>
          <w:noProof/>
          <w:lang w:val="en-US"/>
        </w:rPr>
        <w:t>2</w:t>
      </w:r>
      <w:r w:rsidR="00223CD8">
        <w:rPr>
          <w:noProof/>
          <w:lang w:val="en-US"/>
        </w:rPr>
        <w:t>),</w:t>
      </w:r>
      <w:r w:rsidR="00223CD8" w:rsidRPr="00061C87">
        <w:rPr>
          <w:noProof/>
          <w:lang w:val="en-US"/>
        </w:rPr>
        <w:t xml:space="preserve"> point (b)</w:t>
      </w:r>
      <w:r w:rsidR="00223CD8">
        <w:rPr>
          <w:noProof/>
          <w:lang w:val="en-US"/>
        </w:rPr>
        <w:t>,</w:t>
      </w:r>
      <w:r w:rsidR="00223CD8" w:rsidRPr="00061C87">
        <w:rPr>
          <w:noProof/>
          <w:lang w:val="en-US"/>
        </w:rPr>
        <w:t xml:space="preserve"> Article </w:t>
      </w:r>
      <w:r w:rsidR="00223CD8">
        <w:rPr>
          <w:noProof/>
          <w:lang w:val="en-US"/>
        </w:rPr>
        <w:t xml:space="preserve">5(5) to (8), </w:t>
      </w:r>
      <w:r w:rsidR="0059480E">
        <w:rPr>
          <w:noProof/>
          <w:lang w:val="en-US"/>
        </w:rPr>
        <w:t>Article 8(6)</w:t>
      </w:r>
      <w:r w:rsidR="00223CD8">
        <w:rPr>
          <w:noProof/>
          <w:lang w:val="en-US"/>
        </w:rPr>
        <w:t xml:space="preserve"> and </w:t>
      </w:r>
      <w:r w:rsidR="0059480E">
        <w:rPr>
          <w:noProof/>
          <w:lang w:val="en-US"/>
        </w:rPr>
        <w:t>(7),</w:t>
      </w:r>
      <w:r w:rsidR="00223CD8">
        <w:rPr>
          <w:noProof/>
          <w:lang w:val="en-US"/>
        </w:rPr>
        <w:t xml:space="preserve"> </w:t>
      </w:r>
      <w:r w:rsidR="00061C87" w:rsidRPr="00061C87">
        <w:rPr>
          <w:noProof/>
          <w:lang w:val="en-US"/>
        </w:rPr>
        <w:t xml:space="preserve">Article </w:t>
      </w:r>
      <w:r w:rsidR="0059480E">
        <w:rPr>
          <w:noProof/>
          <w:lang w:val="en-US"/>
        </w:rPr>
        <w:t>9</w:t>
      </w:r>
      <w:r w:rsidR="00061C87" w:rsidRPr="00061C87">
        <w:rPr>
          <w:noProof/>
          <w:lang w:val="en-US"/>
        </w:rPr>
        <w:t xml:space="preserve"> </w:t>
      </w:r>
      <w:r w:rsidR="00223CD8">
        <w:rPr>
          <w:noProof/>
          <w:lang w:val="en-US"/>
        </w:rPr>
        <w:t>(</w:t>
      </w:r>
      <w:r w:rsidR="0059480E">
        <w:rPr>
          <w:noProof/>
          <w:lang w:val="en-US"/>
        </w:rPr>
        <w:t>3</w:t>
      </w:r>
      <w:r w:rsidR="00223CD8">
        <w:rPr>
          <w:noProof/>
          <w:lang w:val="en-US"/>
        </w:rPr>
        <w:t>)</w:t>
      </w:r>
      <w:r w:rsidR="00061C87" w:rsidRPr="00061C87">
        <w:rPr>
          <w:noProof/>
          <w:lang w:val="en-US"/>
        </w:rPr>
        <w:t xml:space="preserve">, Article 10 </w:t>
      </w:r>
      <w:r w:rsidR="0059480E">
        <w:rPr>
          <w:noProof/>
          <w:lang w:val="en-US"/>
        </w:rPr>
        <w:t>(4)</w:t>
      </w:r>
      <w:r w:rsidR="00780058">
        <w:rPr>
          <w:noProof/>
          <w:lang w:val="en-US"/>
        </w:rPr>
        <w:t xml:space="preserve"> </w:t>
      </w:r>
      <w:r w:rsidR="00061C87" w:rsidRPr="00061C87">
        <w:rPr>
          <w:noProof/>
          <w:lang w:val="en-US"/>
        </w:rPr>
        <w:t xml:space="preserve">and Article 11 </w:t>
      </w:r>
      <w:r w:rsidR="0059480E">
        <w:rPr>
          <w:noProof/>
          <w:lang w:val="en-US"/>
        </w:rPr>
        <w:t>(</w:t>
      </w:r>
      <w:r w:rsidR="00061C87" w:rsidRPr="00061C87">
        <w:rPr>
          <w:noProof/>
          <w:lang w:val="en-US"/>
        </w:rPr>
        <w:t>2</w:t>
      </w:r>
      <w:r w:rsidR="0059480E">
        <w:rPr>
          <w:noProof/>
          <w:lang w:val="en-US"/>
        </w:rPr>
        <w:t>)</w:t>
      </w:r>
      <w:r w:rsidR="00061C87" w:rsidRPr="00061C87">
        <w:rPr>
          <w:noProof/>
          <w:lang w:val="en-US"/>
        </w:rPr>
        <w:t xml:space="preserve"> and </w:t>
      </w:r>
      <w:r w:rsidR="0059480E">
        <w:rPr>
          <w:noProof/>
          <w:lang w:val="en-US"/>
        </w:rPr>
        <w:t>(</w:t>
      </w:r>
      <w:r w:rsidR="00061C87" w:rsidRPr="00061C87">
        <w:rPr>
          <w:noProof/>
          <w:lang w:val="en-US"/>
        </w:rPr>
        <w:t>4</w:t>
      </w:r>
      <w:r w:rsidR="0059480E">
        <w:rPr>
          <w:noProof/>
          <w:lang w:val="en-US"/>
        </w:rPr>
        <w:t>)</w:t>
      </w:r>
      <w:r w:rsidR="00780058">
        <w:rPr>
          <w:noProof/>
          <w:lang w:val="en-US"/>
        </w:rPr>
        <w:t xml:space="preserve">. </w:t>
      </w:r>
      <w:r w:rsidR="00B62020" w:rsidRPr="00061C87">
        <w:rPr>
          <w:noProof/>
          <w:lang w:val="en-US"/>
        </w:rPr>
        <w:t>The approval of such requests shall:</w:t>
      </w:r>
    </w:p>
    <w:p w14:paraId="7558759C" w14:textId="67D034AF" w:rsidR="00B62020" w:rsidRPr="006B0F7F" w:rsidRDefault="00443218" w:rsidP="00443218">
      <w:pPr>
        <w:pStyle w:val="Point0"/>
        <w:rPr>
          <w:noProof/>
          <w:lang w:val="en-US"/>
        </w:rPr>
      </w:pPr>
      <w:r w:rsidRPr="00443218">
        <w:t>(a)</w:t>
      </w:r>
      <w:r w:rsidRPr="00443218">
        <w:tab/>
      </w:r>
      <w:r w:rsidR="00B62020" w:rsidRPr="006B0F7F">
        <w:rPr>
          <w:noProof/>
          <w:lang w:val="en-US"/>
        </w:rPr>
        <w:t>not be detrimental to the other tasks of the Agency;</w:t>
      </w:r>
    </w:p>
    <w:p w14:paraId="5DA4E492" w14:textId="0B697593" w:rsidR="00B62020" w:rsidRPr="006B0F7F" w:rsidRDefault="00443218" w:rsidP="00443218">
      <w:pPr>
        <w:pStyle w:val="Point0"/>
        <w:rPr>
          <w:noProof/>
          <w:lang w:val="en-US"/>
        </w:rPr>
      </w:pPr>
      <w:r w:rsidRPr="00443218">
        <w:t>(b)</w:t>
      </w:r>
      <w:r w:rsidRPr="00443218">
        <w:tab/>
      </w:r>
      <w:r w:rsidR="00B62020" w:rsidRPr="006B0F7F">
        <w:rPr>
          <w:noProof/>
          <w:lang w:val="en-US"/>
        </w:rPr>
        <w:t>shall avoid duplication of efforts;</w:t>
      </w:r>
    </w:p>
    <w:p w14:paraId="19E19B78" w14:textId="7E39D33B" w:rsidR="00B62020" w:rsidRPr="006B0F7F" w:rsidRDefault="00443218" w:rsidP="00443218">
      <w:pPr>
        <w:pStyle w:val="Point0"/>
        <w:rPr>
          <w:noProof/>
          <w:lang w:val="en-US"/>
        </w:rPr>
      </w:pPr>
      <w:r w:rsidRPr="00443218">
        <w:t>(c)</w:t>
      </w:r>
      <w:r w:rsidRPr="00443218">
        <w:tab/>
      </w:r>
      <w:r w:rsidR="00B62020" w:rsidRPr="006B0F7F">
        <w:rPr>
          <w:noProof/>
          <w:lang w:val="en-US"/>
        </w:rPr>
        <w:t xml:space="preserve">shall be  subject to an analysis of the human and budgetary resources implications; and </w:t>
      </w:r>
    </w:p>
    <w:p w14:paraId="7F1609AE" w14:textId="08249376" w:rsidR="00B62020" w:rsidRPr="006B0F7F" w:rsidRDefault="00443218" w:rsidP="00443218">
      <w:pPr>
        <w:pStyle w:val="Point0"/>
        <w:rPr>
          <w:noProof/>
          <w:lang w:val="en-US"/>
        </w:rPr>
      </w:pPr>
      <w:r w:rsidRPr="00443218">
        <w:t>(d)</w:t>
      </w:r>
      <w:r w:rsidRPr="00443218">
        <w:tab/>
      </w:r>
      <w:r w:rsidR="00B62020" w:rsidRPr="006B0F7F">
        <w:rPr>
          <w:noProof/>
          <w:lang w:val="en-US"/>
        </w:rPr>
        <w:t>may be subject to a decision to postpone other tasks.</w:t>
      </w:r>
    </w:p>
    <w:p w14:paraId="0B7E562B" w14:textId="77777777" w:rsidR="00B62020" w:rsidRPr="005F676F" w:rsidRDefault="00203F7F" w:rsidP="003931C3">
      <w:pPr>
        <w:pStyle w:val="Point0"/>
        <w:ind w:left="0" w:firstLine="0"/>
        <w:rPr>
          <w:noProof/>
          <w:lang w:val="en-US"/>
        </w:rPr>
      </w:pPr>
      <w:r>
        <w:rPr>
          <w:noProof/>
          <w:lang w:val="en-US"/>
        </w:rPr>
        <w:t>6</w:t>
      </w:r>
      <w:r w:rsidR="006B0F7F">
        <w:rPr>
          <w:noProof/>
          <w:lang w:val="en-US"/>
        </w:rPr>
        <w:t>.</w:t>
      </w:r>
      <w:r w:rsidR="006B0F7F">
        <w:rPr>
          <w:noProof/>
          <w:lang w:val="en-US"/>
        </w:rPr>
        <w:tab/>
      </w:r>
      <w:r w:rsidR="00B62020" w:rsidRPr="005F676F">
        <w:rPr>
          <w:noProof/>
          <w:lang w:val="en-US"/>
        </w:rPr>
        <w:t xml:space="preserve">Any substantial amendment to the annual work programme shall be adopted by the same procedure as the initial annual work programme. The Management Board may delegate the power to make non-substantial amendments to the annual work programme  to the Executive Director. </w:t>
      </w:r>
    </w:p>
    <w:p w14:paraId="08BC7023" w14:textId="77777777" w:rsidR="00B62020" w:rsidRPr="005F676F" w:rsidRDefault="00203F7F" w:rsidP="003931C3">
      <w:pPr>
        <w:pStyle w:val="Point0"/>
        <w:ind w:left="0" w:firstLine="0"/>
        <w:rPr>
          <w:noProof/>
          <w:lang w:val="en-US"/>
        </w:rPr>
      </w:pPr>
      <w:r>
        <w:rPr>
          <w:noProof/>
          <w:lang w:val="en-US"/>
        </w:rPr>
        <w:t>7</w:t>
      </w:r>
      <w:r w:rsidR="006B0F7F">
        <w:rPr>
          <w:noProof/>
          <w:lang w:val="en-US"/>
        </w:rPr>
        <w:t>.</w:t>
      </w:r>
      <w:r w:rsidR="006B0F7F">
        <w:rPr>
          <w:noProof/>
          <w:lang w:val="en-US"/>
        </w:rPr>
        <w:tab/>
      </w:r>
      <w:r w:rsidR="00B62020" w:rsidRPr="005F676F">
        <w:rPr>
          <w:noProof/>
          <w:lang w:val="en-US"/>
        </w:rPr>
        <w:t xml:space="preserve">The multi-annual work programme shall set out overall strategic programming including objectives, expected results and performance indicators. It shall also set out resource programming including multi-annual budget and staff. </w:t>
      </w:r>
    </w:p>
    <w:p w14:paraId="4026B140" w14:textId="77777777" w:rsidR="00B62020" w:rsidRPr="005F676F" w:rsidRDefault="00203F7F" w:rsidP="003931C3">
      <w:pPr>
        <w:pStyle w:val="Point0"/>
        <w:ind w:left="0" w:firstLine="0"/>
        <w:rPr>
          <w:noProof/>
          <w:lang w:val="en-US"/>
        </w:rPr>
      </w:pPr>
      <w:r>
        <w:rPr>
          <w:noProof/>
          <w:lang w:val="en-US"/>
        </w:rPr>
        <w:t>8</w:t>
      </w:r>
      <w:r w:rsidR="006B0F7F">
        <w:rPr>
          <w:noProof/>
          <w:lang w:val="en-US"/>
        </w:rPr>
        <w:t>.</w:t>
      </w:r>
      <w:r w:rsidR="006B0F7F">
        <w:rPr>
          <w:noProof/>
          <w:lang w:val="en-US"/>
        </w:rPr>
        <w:tab/>
      </w:r>
      <w:r w:rsidR="00B62020" w:rsidRPr="005F676F">
        <w:rPr>
          <w:noProof/>
          <w:lang w:val="en-US"/>
        </w:rPr>
        <w:t>The resource programming shall be updated annually. The strategic programming shall be updated where appropriate, and in particular to address the outcome of</w:t>
      </w:r>
      <w:r w:rsidR="005F676F" w:rsidRPr="005F676F">
        <w:rPr>
          <w:noProof/>
          <w:lang w:val="en-US"/>
        </w:rPr>
        <w:t xml:space="preserve"> the evaluation referred to in A</w:t>
      </w:r>
      <w:r w:rsidR="00B62020" w:rsidRPr="005F676F">
        <w:rPr>
          <w:noProof/>
          <w:lang w:val="en-US"/>
        </w:rPr>
        <w:t>rt</w:t>
      </w:r>
      <w:r w:rsidR="005F676F" w:rsidRPr="005F676F">
        <w:rPr>
          <w:noProof/>
          <w:lang w:val="en-US"/>
        </w:rPr>
        <w:t>icle 4</w:t>
      </w:r>
      <w:r w:rsidR="005D7904">
        <w:rPr>
          <w:noProof/>
          <w:lang w:val="en-US"/>
        </w:rPr>
        <w:t>1</w:t>
      </w:r>
      <w:r w:rsidR="00B62020" w:rsidRPr="005F676F">
        <w:rPr>
          <w:noProof/>
          <w:lang w:val="en-US"/>
        </w:rPr>
        <w:t>.</w:t>
      </w:r>
    </w:p>
    <w:p w14:paraId="276AC97B" w14:textId="77777777" w:rsidR="00B62020" w:rsidRPr="00B62020" w:rsidRDefault="00B62020" w:rsidP="00B62020">
      <w:pPr>
        <w:spacing w:before="0" w:after="200"/>
        <w:jc w:val="center"/>
        <w:rPr>
          <w:i/>
          <w:iCs/>
          <w:noProof/>
          <w:lang w:val="en-US"/>
        </w:rPr>
      </w:pPr>
    </w:p>
    <w:p w14:paraId="46C0365F" w14:textId="77777777" w:rsidR="00B62020" w:rsidRPr="00B62020" w:rsidRDefault="00B62020" w:rsidP="00B62020">
      <w:pPr>
        <w:spacing w:before="0" w:after="200"/>
        <w:jc w:val="center"/>
        <w:rPr>
          <w:i/>
          <w:iCs/>
          <w:noProof/>
          <w:lang w:val="en-US"/>
        </w:rPr>
      </w:pPr>
      <w:r w:rsidRPr="00B62020">
        <w:rPr>
          <w:i/>
          <w:iCs/>
          <w:noProof/>
          <w:lang w:val="en-US"/>
        </w:rPr>
        <w:t>Article 18</w:t>
      </w:r>
    </w:p>
    <w:p w14:paraId="56F2A750" w14:textId="77777777" w:rsidR="00B62020" w:rsidRPr="00B62020" w:rsidRDefault="00B62020" w:rsidP="00B62020">
      <w:pPr>
        <w:spacing w:before="0" w:after="200"/>
        <w:jc w:val="center"/>
        <w:rPr>
          <w:b/>
          <w:bCs/>
          <w:noProof/>
          <w:lang w:val="en-US"/>
        </w:rPr>
      </w:pPr>
      <w:r w:rsidRPr="00B62020">
        <w:rPr>
          <w:b/>
          <w:bCs/>
          <w:noProof/>
          <w:lang w:val="en-US"/>
        </w:rPr>
        <w:t>Chairperson of the Management Board</w:t>
      </w:r>
    </w:p>
    <w:p w14:paraId="360988DF" w14:textId="77777777" w:rsidR="00B62020" w:rsidRPr="00B62020" w:rsidRDefault="00203F7F" w:rsidP="003931C3">
      <w:pPr>
        <w:pStyle w:val="Point0"/>
        <w:ind w:left="0" w:firstLine="0"/>
        <w:rPr>
          <w:noProof/>
        </w:rPr>
      </w:pPr>
      <w:r>
        <w:rPr>
          <w:noProof/>
        </w:rPr>
        <w:t>1.</w:t>
      </w:r>
      <w:r>
        <w:rPr>
          <w:noProof/>
        </w:rPr>
        <w:tab/>
      </w:r>
      <w:r w:rsidR="00B62020" w:rsidRPr="00B62020">
        <w:rPr>
          <w:noProof/>
        </w:rPr>
        <w:t>The Management Board shall elect a Chairperson and a Deputy Chairperson from among its members with voting rights. The Chairperson and the Deputy Chairperson shall be elected by a majority of two thirds of the members of the Management Boards with voting rights.</w:t>
      </w:r>
    </w:p>
    <w:p w14:paraId="26D4A090" w14:textId="77777777" w:rsidR="00203F7F" w:rsidRDefault="00203F7F" w:rsidP="003931C3">
      <w:pPr>
        <w:pStyle w:val="Point0"/>
        <w:spacing w:after="0"/>
        <w:ind w:left="0" w:firstLine="0"/>
        <w:rPr>
          <w:noProof/>
        </w:rPr>
      </w:pPr>
      <w:r>
        <w:rPr>
          <w:noProof/>
        </w:rPr>
        <w:t>2.</w:t>
      </w:r>
      <w:r>
        <w:rPr>
          <w:noProof/>
        </w:rPr>
        <w:tab/>
      </w:r>
      <w:r w:rsidR="00B62020" w:rsidRPr="00B62020">
        <w:rPr>
          <w:noProof/>
        </w:rPr>
        <w:t>The Deputy Chairperson shall automatically take the place of the Chairperson if he</w:t>
      </w:r>
      <w:r w:rsidR="00FB3A0C">
        <w:rPr>
          <w:noProof/>
        </w:rPr>
        <w:t xml:space="preserve"> or </w:t>
      </w:r>
      <w:r w:rsidR="00B62020" w:rsidRPr="00B62020">
        <w:rPr>
          <w:noProof/>
        </w:rPr>
        <w:t>she is prevented from attending to</w:t>
      </w:r>
      <w:r w:rsidR="00FB3A0C">
        <w:rPr>
          <w:noProof/>
        </w:rPr>
        <w:t xml:space="preserve"> Chairperon’s </w:t>
      </w:r>
      <w:r w:rsidR="00B62020" w:rsidRPr="00B62020">
        <w:rPr>
          <w:noProof/>
        </w:rPr>
        <w:t xml:space="preserve"> duties. </w:t>
      </w:r>
    </w:p>
    <w:p w14:paraId="46208E14" w14:textId="77777777" w:rsidR="00B62020" w:rsidRDefault="004A0092" w:rsidP="00203F7F">
      <w:pPr>
        <w:pStyle w:val="Point0"/>
        <w:spacing w:after="0"/>
        <w:ind w:left="0" w:firstLine="0"/>
        <w:rPr>
          <w:noProof/>
        </w:rPr>
      </w:pPr>
      <w:r>
        <w:rPr>
          <w:noProof/>
        </w:rPr>
        <w:t xml:space="preserve">3. </w:t>
      </w:r>
      <w:r w:rsidR="00B62020" w:rsidRPr="00B62020">
        <w:rPr>
          <w:noProof/>
        </w:rPr>
        <w:t>The terms of office of the Chairperson and Deputy Chairperson shall be four years. Their term of office may be renewed once. If, however, their membership of the Management Board ends at any time during their term of office, their term of office shall automatically expire on that date.</w:t>
      </w:r>
    </w:p>
    <w:p w14:paraId="69F75FF8" w14:textId="77777777" w:rsidR="004A0092" w:rsidRPr="00B62020" w:rsidRDefault="004A0092" w:rsidP="00203F7F">
      <w:pPr>
        <w:pStyle w:val="Point0"/>
        <w:spacing w:after="0"/>
        <w:ind w:left="0" w:firstLine="0"/>
        <w:rPr>
          <w:noProof/>
        </w:rPr>
      </w:pPr>
    </w:p>
    <w:p w14:paraId="52298A9A" w14:textId="77777777" w:rsidR="00B62020" w:rsidRPr="00B62020" w:rsidRDefault="00B62020" w:rsidP="00B62020">
      <w:pPr>
        <w:spacing w:before="0" w:after="200"/>
        <w:ind w:left="1080"/>
        <w:contextualSpacing/>
        <w:rPr>
          <w:noProof/>
        </w:rPr>
      </w:pPr>
    </w:p>
    <w:p w14:paraId="1EB72A29" w14:textId="77777777" w:rsidR="00B62020" w:rsidRPr="00B62020" w:rsidRDefault="00B62020" w:rsidP="00B62020">
      <w:pPr>
        <w:spacing w:before="0" w:after="200"/>
        <w:jc w:val="center"/>
        <w:rPr>
          <w:i/>
          <w:iCs/>
          <w:noProof/>
          <w:lang w:val="en-US"/>
        </w:rPr>
      </w:pPr>
      <w:r w:rsidRPr="00B62020">
        <w:rPr>
          <w:i/>
          <w:iCs/>
          <w:noProof/>
          <w:lang w:val="en-US"/>
        </w:rPr>
        <w:t>Article 19</w:t>
      </w:r>
    </w:p>
    <w:p w14:paraId="73D9362A" w14:textId="77777777" w:rsidR="00B62020" w:rsidRPr="00B62020" w:rsidRDefault="00B62020" w:rsidP="00B62020">
      <w:pPr>
        <w:autoSpaceDE w:val="0"/>
        <w:autoSpaceDN w:val="0"/>
        <w:adjustRightInd w:val="0"/>
        <w:spacing w:before="0" w:after="200"/>
        <w:jc w:val="center"/>
        <w:rPr>
          <w:b/>
          <w:bCs/>
          <w:noProof/>
          <w:lang w:val="en-US"/>
        </w:rPr>
      </w:pPr>
      <w:r w:rsidRPr="00B62020">
        <w:rPr>
          <w:b/>
          <w:bCs/>
          <w:noProof/>
          <w:lang w:val="en-US"/>
        </w:rPr>
        <w:t>Meetings of the Management Board</w:t>
      </w:r>
    </w:p>
    <w:p w14:paraId="6EFFF033" w14:textId="77777777" w:rsidR="00B62020" w:rsidRPr="00B62020" w:rsidRDefault="00203F7F" w:rsidP="00203F7F">
      <w:pPr>
        <w:pStyle w:val="Point0"/>
        <w:ind w:left="0" w:firstLine="0"/>
        <w:rPr>
          <w:noProof/>
        </w:rPr>
      </w:pPr>
      <w:r>
        <w:rPr>
          <w:noProof/>
        </w:rPr>
        <w:t>1.</w:t>
      </w:r>
      <w:r>
        <w:rPr>
          <w:noProof/>
        </w:rPr>
        <w:tab/>
      </w:r>
      <w:r w:rsidR="00B62020" w:rsidRPr="00B62020">
        <w:rPr>
          <w:noProof/>
        </w:rPr>
        <w:t xml:space="preserve"> </w:t>
      </w:r>
      <w:r w:rsidR="00B62020" w:rsidRPr="00DE27F3">
        <w:rPr>
          <w:noProof/>
        </w:rPr>
        <w:t xml:space="preserve">Meetings of the Management Board shall be conducted in accordance with its rules of procedure and convened by its </w:t>
      </w:r>
      <w:r w:rsidR="00FB3A0C">
        <w:rPr>
          <w:noProof/>
        </w:rPr>
        <w:t>C</w:t>
      </w:r>
      <w:r w:rsidR="00B62020" w:rsidRPr="00DE27F3">
        <w:rPr>
          <w:noProof/>
        </w:rPr>
        <w:t xml:space="preserve">hairperson. </w:t>
      </w:r>
    </w:p>
    <w:p w14:paraId="6BAED9F9" w14:textId="77777777" w:rsidR="00B62020" w:rsidRPr="00B62020" w:rsidRDefault="00203F7F" w:rsidP="00203F7F">
      <w:pPr>
        <w:pStyle w:val="Point0"/>
        <w:ind w:left="0" w:firstLine="0"/>
        <w:rPr>
          <w:noProof/>
        </w:rPr>
      </w:pPr>
      <w:r>
        <w:rPr>
          <w:noProof/>
        </w:rPr>
        <w:t>2.</w:t>
      </w:r>
      <w:r>
        <w:rPr>
          <w:noProof/>
        </w:rPr>
        <w:tab/>
      </w:r>
      <w:r w:rsidR="00B62020" w:rsidRPr="00B62020">
        <w:rPr>
          <w:noProof/>
        </w:rPr>
        <w:t xml:space="preserve"> The Executive Director of the Agency shall take part in the deliberations</w:t>
      </w:r>
      <w:r w:rsidR="00B62020" w:rsidRPr="00DE27F3">
        <w:rPr>
          <w:noProof/>
        </w:rPr>
        <w:t xml:space="preserve"> except when his or her participation may lead to a conflict of interests, as decided by the </w:t>
      </w:r>
      <w:r w:rsidR="00FB3A0C">
        <w:rPr>
          <w:noProof/>
        </w:rPr>
        <w:t>C</w:t>
      </w:r>
      <w:r w:rsidR="00B62020" w:rsidRPr="00DE27F3">
        <w:rPr>
          <w:noProof/>
        </w:rPr>
        <w:t xml:space="preserve">hairperson, or when the Management Board is to take a </w:t>
      </w:r>
      <w:r w:rsidR="00FB3A0C" w:rsidRPr="00DE27F3">
        <w:rPr>
          <w:noProof/>
        </w:rPr>
        <w:t>decision,</w:t>
      </w:r>
      <w:r w:rsidR="00B62020" w:rsidRPr="00DE27F3">
        <w:rPr>
          <w:noProof/>
        </w:rPr>
        <w:t xml:space="preserve"> in acc</w:t>
      </w:r>
      <w:r w:rsidR="00712532">
        <w:rPr>
          <w:noProof/>
        </w:rPr>
        <w:t>ordance with Article 35</w:t>
      </w:r>
      <w:r w:rsidR="00B62020" w:rsidRPr="00DE27F3">
        <w:rPr>
          <w:noProof/>
        </w:rPr>
        <w:t>.</w:t>
      </w:r>
      <w:r w:rsidR="00B62020" w:rsidRPr="00B62020">
        <w:rPr>
          <w:noProof/>
        </w:rPr>
        <w:t xml:space="preserve"> </w:t>
      </w:r>
    </w:p>
    <w:p w14:paraId="2DED12A1" w14:textId="77777777" w:rsidR="00B62020" w:rsidRPr="00B62020" w:rsidRDefault="00203F7F" w:rsidP="00203F7F">
      <w:pPr>
        <w:pStyle w:val="Point0"/>
        <w:ind w:left="0" w:firstLine="0"/>
        <w:rPr>
          <w:noProof/>
        </w:rPr>
      </w:pPr>
      <w:r>
        <w:rPr>
          <w:noProof/>
        </w:rPr>
        <w:t>3.</w:t>
      </w:r>
      <w:r>
        <w:rPr>
          <w:noProof/>
        </w:rPr>
        <w:tab/>
      </w:r>
      <w:r w:rsidR="00B62020" w:rsidRPr="00B62020">
        <w:rPr>
          <w:noProof/>
        </w:rPr>
        <w:t xml:space="preserve">The Management Board shall hold an ordinary meeting twice a year. In addition, it shall meet on the initiative of the Chairperson or at the request of the Commission or of one-third of the Member States. </w:t>
      </w:r>
    </w:p>
    <w:p w14:paraId="7AF076FD" w14:textId="77777777" w:rsidR="00B62020" w:rsidRPr="00B62020" w:rsidRDefault="00203F7F" w:rsidP="00203F7F">
      <w:pPr>
        <w:pStyle w:val="Point0"/>
        <w:ind w:left="0" w:firstLine="0"/>
        <w:rPr>
          <w:noProof/>
        </w:rPr>
      </w:pPr>
      <w:r>
        <w:rPr>
          <w:noProof/>
        </w:rPr>
        <w:t>4.</w:t>
      </w:r>
      <w:r>
        <w:rPr>
          <w:noProof/>
        </w:rPr>
        <w:tab/>
      </w:r>
      <w:r w:rsidR="00B62020" w:rsidRPr="00DE27F3">
        <w:rPr>
          <w:noProof/>
        </w:rPr>
        <w:t xml:space="preserve">When a matter of confidentiality or a conflict of interest arises, the Management Board may decide to examine specific items on its agenda without the members concerned being present. This </w:t>
      </w:r>
      <w:r w:rsidR="00E3775A">
        <w:rPr>
          <w:noProof/>
        </w:rPr>
        <w:t>shall</w:t>
      </w:r>
      <w:r w:rsidR="00E3775A" w:rsidRPr="00DE27F3">
        <w:rPr>
          <w:noProof/>
        </w:rPr>
        <w:t xml:space="preserve"> </w:t>
      </w:r>
      <w:r w:rsidR="00B62020" w:rsidRPr="00DE27F3">
        <w:rPr>
          <w:noProof/>
        </w:rPr>
        <w:t>not affect the right of the Member States and of the Commission to be represented by an alternate or by any other person. Detailed rules for the application of this provision shall be laid down in the Management Board's rules of procedure.</w:t>
      </w:r>
    </w:p>
    <w:p w14:paraId="7611B334" w14:textId="77777777" w:rsidR="00B62020" w:rsidRPr="00B62020" w:rsidRDefault="00203F7F" w:rsidP="00203F7F">
      <w:pPr>
        <w:pStyle w:val="Point0"/>
        <w:ind w:left="0" w:firstLine="0"/>
        <w:rPr>
          <w:noProof/>
        </w:rPr>
      </w:pPr>
      <w:r>
        <w:rPr>
          <w:noProof/>
        </w:rPr>
        <w:t>5.</w:t>
      </w:r>
      <w:r>
        <w:rPr>
          <w:noProof/>
        </w:rPr>
        <w:tab/>
      </w:r>
      <w:r w:rsidR="00B62020" w:rsidRPr="00B62020">
        <w:rPr>
          <w:noProof/>
        </w:rPr>
        <w:t xml:space="preserve">The Management Board may invite any person whose opinion can be of interest to attend its meetings as an observer. </w:t>
      </w:r>
    </w:p>
    <w:p w14:paraId="2014D64B" w14:textId="77777777" w:rsidR="00B62020" w:rsidRPr="00B62020" w:rsidRDefault="00203F7F" w:rsidP="00203F7F">
      <w:pPr>
        <w:pStyle w:val="Point0"/>
        <w:ind w:left="0" w:firstLine="0"/>
        <w:rPr>
          <w:noProof/>
        </w:rPr>
      </w:pPr>
      <w:r>
        <w:rPr>
          <w:noProof/>
        </w:rPr>
        <w:t>6.</w:t>
      </w:r>
      <w:r>
        <w:rPr>
          <w:noProof/>
        </w:rPr>
        <w:tab/>
      </w:r>
      <w:r w:rsidR="00B62020" w:rsidRPr="00B62020">
        <w:rPr>
          <w:noProof/>
        </w:rPr>
        <w:t xml:space="preserve">The members of the Management Board may, subject to the provisions of its rules of procedure, be assisted by advisers or experts. </w:t>
      </w:r>
    </w:p>
    <w:p w14:paraId="5A6DAD39" w14:textId="77777777" w:rsidR="00B62020" w:rsidRPr="00B62020" w:rsidRDefault="00203F7F" w:rsidP="00203F7F">
      <w:pPr>
        <w:pStyle w:val="Point0"/>
        <w:ind w:left="0" w:firstLine="0"/>
        <w:rPr>
          <w:noProof/>
        </w:rPr>
      </w:pPr>
      <w:r>
        <w:rPr>
          <w:noProof/>
        </w:rPr>
        <w:t>7.</w:t>
      </w:r>
      <w:r>
        <w:rPr>
          <w:noProof/>
        </w:rPr>
        <w:tab/>
      </w:r>
      <w:r w:rsidR="00B62020" w:rsidRPr="00B62020">
        <w:rPr>
          <w:noProof/>
        </w:rPr>
        <w:t>The secretariat for the Management Board shall be provided by the Agency.</w:t>
      </w:r>
    </w:p>
    <w:p w14:paraId="3C9B4377" w14:textId="77777777" w:rsidR="00B62020" w:rsidRPr="00B62020" w:rsidRDefault="00B62020" w:rsidP="00DE27F3">
      <w:pPr>
        <w:spacing w:before="0" w:after="200"/>
        <w:ind w:left="1080"/>
        <w:contextualSpacing/>
        <w:rPr>
          <w:noProof/>
        </w:rPr>
      </w:pPr>
    </w:p>
    <w:p w14:paraId="2B780B51" w14:textId="77777777" w:rsidR="00B62020" w:rsidRPr="00B62020" w:rsidRDefault="00B62020" w:rsidP="00B62020">
      <w:pPr>
        <w:spacing w:before="0" w:after="200"/>
        <w:jc w:val="center"/>
        <w:rPr>
          <w:i/>
          <w:iCs/>
          <w:noProof/>
          <w:lang w:val="en-US"/>
        </w:rPr>
      </w:pPr>
      <w:r w:rsidRPr="00B62020">
        <w:rPr>
          <w:i/>
          <w:iCs/>
          <w:noProof/>
          <w:lang w:val="en-US"/>
        </w:rPr>
        <w:t xml:space="preserve">Article 20 </w:t>
      </w:r>
    </w:p>
    <w:p w14:paraId="3756E929" w14:textId="77777777" w:rsidR="00B62020" w:rsidRPr="00B62020" w:rsidRDefault="00B62020" w:rsidP="00B62020">
      <w:pPr>
        <w:spacing w:before="0" w:after="200"/>
        <w:jc w:val="center"/>
        <w:rPr>
          <w:b/>
          <w:iCs/>
          <w:noProof/>
          <w:lang w:val="en-US"/>
        </w:rPr>
      </w:pPr>
      <w:r w:rsidRPr="00B62020">
        <w:rPr>
          <w:b/>
          <w:iCs/>
          <w:noProof/>
          <w:lang w:val="en-US"/>
        </w:rPr>
        <w:t>Voting rules of the Management Board</w:t>
      </w:r>
    </w:p>
    <w:p w14:paraId="1C3B8F5B" w14:textId="77777777" w:rsidR="00B62020" w:rsidRPr="00564D50" w:rsidRDefault="00203F7F" w:rsidP="00F26CC5">
      <w:pPr>
        <w:pStyle w:val="Point0"/>
        <w:ind w:left="0" w:firstLine="0"/>
        <w:rPr>
          <w:rFonts w:asciiTheme="majorBidi" w:hAnsiTheme="majorBidi"/>
          <w:noProof/>
          <w:lang w:val="en-US"/>
        </w:rPr>
      </w:pPr>
      <w:r>
        <w:rPr>
          <w:noProof/>
          <w:lang w:val="en-US"/>
        </w:rPr>
        <w:t>1.</w:t>
      </w:r>
      <w:r>
        <w:rPr>
          <w:noProof/>
          <w:lang w:val="en-US"/>
        </w:rPr>
        <w:tab/>
      </w:r>
      <w:r w:rsidR="00B62020" w:rsidRPr="00AD0F94">
        <w:rPr>
          <w:noProof/>
          <w:lang w:val="en-US"/>
        </w:rPr>
        <w:t xml:space="preserve">The Management Board shall take its decisions by absolute majority of </w:t>
      </w:r>
      <w:r w:rsidR="00E3775A">
        <w:rPr>
          <w:noProof/>
          <w:lang w:val="en-US"/>
        </w:rPr>
        <w:t>its</w:t>
      </w:r>
      <w:r w:rsidR="00E3775A" w:rsidRPr="00AD0F94">
        <w:rPr>
          <w:noProof/>
          <w:lang w:val="en-US"/>
        </w:rPr>
        <w:t xml:space="preserve"> </w:t>
      </w:r>
      <w:r w:rsidR="00F8765C" w:rsidRPr="00AD0F94">
        <w:rPr>
          <w:noProof/>
          <w:lang w:val="en-US"/>
        </w:rPr>
        <w:t xml:space="preserve">members with </w:t>
      </w:r>
      <w:r w:rsidR="00E3775A">
        <w:rPr>
          <w:noProof/>
          <w:lang w:val="en-US"/>
        </w:rPr>
        <w:t>voting rights</w:t>
      </w:r>
      <w:r w:rsidR="00F8765C" w:rsidRPr="00AD0F94">
        <w:rPr>
          <w:noProof/>
          <w:lang w:val="en-US"/>
        </w:rPr>
        <w:t>, except if provided otherwise in this Regulation.</w:t>
      </w:r>
    </w:p>
    <w:p w14:paraId="45EE3063" w14:textId="4DC90613" w:rsidR="000D7073" w:rsidRPr="000D7073" w:rsidRDefault="00E3775A" w:rsidP="000D7073">
      <w:pPr>
        <w:rPr>
          <w:noProof/>
          <w:lang w:val="en-US"/>
        </w:rPr>
      </w:pPr>
      <w:r>
        <w:rPr>
          <w:noProof/>
          <w:lang w:val="en-US"/>
        </w:rPr>
        <w:t>2</w:t>
      </w:r>
      <w:r w:rsidR="00203F7F">
        <w:rPr>
          <w:noProof/>
          <w:lang w:val="en-US"/>
        </w:rPr>
        <w:t>.</w:t>
      </w:r>
      <w:r w:rsidR="00203F7F">
        <w:rPr>
          <w:noProof/>
          <w:lang w:val="en-US"/>
        </w:rPr>
        <w:tab/>
      </w:r>
      <w:r w:rsidR="000D7073" w:rsidRPr="000D7073">
        <w:rPr>
          <w:noProof/>
          <w:lang w:val="en-US"/>
        </w:rPr>
        <w:t>The decisions referred to in Article 16(1) points (c) to (e) and points (i), (j), (n), (o), (p), (q), (t), (u)  and in Article 16(2) may only be taken if the representatives of the Commission cast a positive vote. For the purposes of taking the decisions referred to in Article 16(1), point (b), the positive vote of the representative of the Commission shall only be required on the elements of the decision not related to the annual and multi-annual working programme of the Agency.</w:t>
      </w:r>
    </w:p>
    <w:p w14:paraId="33F75825" w14:textId="4FAFCEF3" w:rsidR="00B62020" w:rsidRPr="00B62020" w:rsidRDefault="000D7073" w:rsidP="003931C3">
      <w:pPr>
        <w:pStyle w:val="Point0"/>
        <w:ind w:left="0" w:firstLine="0"/>
        <w:rPr>
          <w:noProof/>
          <w:lang w:val="en-US"/>
        </w:rPr>
      </w:pPr>
      <w:r>
        <w:rPr>
          <w:noProof/>
          <w:lang w:val="en-US"/>
        </w:rPr>
        <w:t xml:space="preserve">3. </w:t>
      </w:r>
      <w:r w:rsidR="00B62020" w:rsidRPr="00B62020">
        <w:rPr>
          <w:noProof/>
          <w:lang w:val="en-US"/>
        </w:rPr>
        <w:t>Each member shall have one vote. The Executive Director of the Agency shall not vote.</w:t>
      </w:r>
    </w:p>
    <w:p w14:paraId="32FD6539" w14:textId="04C8C384" w:rsidR="00B62020" w:rsidRPr="00B62020" w:rsidRDefault="000D7073" w:rsidP="003931C3">
      <w:pPr>
        <w:pStyle w:val="Point0"/>
        <w:ind w:left="0" w:firstLine="0"/>
        <w:rPr>
          <w:noProof/>
          <w:lang w:val="en-US"/>
        </w:rPr>
      </w:pPr>
      <w:r>
        <w:rPr>
          <w:noProof/>
          <w:lang w:val="en-US"/>
        </w:rPr>
        <w:t xml:space="preserve">4. </w:t>
      </w:r>
      <w:r w:rsidR="00B62020" w:rsidRPr="00B62020">
        <w:rPr>
          <w:noProof/>
          <w:lang w:val="en-US"/>
        </w:rPr>
        <w:t>In the absence of a member, his</w:t>
      </w:r>
      <w:r w:rsidR="00E3775A">
        <w:rPr>
          <w:noProof/>
          <w:lang w:val="en-US"/>
        </w:rPr>
        <w:t xml:space="preserve"> or </w:t>
      </w:r>
      <w:r w:rsidR="00B62020" w:rsidRPr="00B62020">
        <w:rPr>
          <w:noProof/>
          <w:lang w:val="en-US"/>
        </w:rPr>
        <w:t xml:space="preserve">her alternate shall be entitled to exercise </w:t>
      </w:r>
      <w:r w:rsidR="00E3775A">
        <w:rPr>
          <w:noProof/>
          <w:lang w:val="en-US"/>
        </w:rPr>
        <w:t xml:space="preserve">the member’s </w:t>
      </w:r>
      <w:r w:rsidR="00B62020" w:rsidRPr="00B62020">
        <w:rPr>
          <w:noProof/>
          <w:lang w:val="en-US"/>
        </w:rPr>
        <w:t xml:space="preserve"> right to vote.</w:t>
      </w:r>
    </w:p>
    <w:p w14:paraId="3E21171F" w14:textId="19217438" w:rsidR="00B62020" w:rsidRDefault="000D7073" w:rsidP="003931C3">
      <w:pPr>
        <w:pStyle w:val="Point0"/>
        <w:ind w:left="0" w:firstLine="0"/>
        <w:rPr>
          <w:noProof/>
          <w:lang w:val="en-US"/>
        </w:rPr>
      </w:pPr>
      <w:r>
        <w:rPr>
          <w:noProof/>
          <w:lang w:val="en-US"/>
        </w:rPr>
        <w:t xml:space="preserve">5. </w:t>
      </w:r>
      <w:r w:rsidR="00B62020" w:rsidRPr="00B62020">
        <w:rPr>
          <w:noProof/>
          <w:lang w:val="en-US"/>
        </w:rPr>
        <w:t xml:space="preserve">The rules of procedure shall establish more detailed voting arrangements, </w:t>
      </w:r>
      <w:r w:rsidR="00E3775A">
        <w:rPr>
          <w:noProof/>
          <w:lang w:val="en-US"/>
        </w:rPr>
        <w:t>including</w:t>
      </w:r>
      <w:r w:rsidR="00B62020" w:rsidRPr="00B62020">
        <w:rPr>
          <w:noProof/>
          <w:lang w:val="en-US"/>
        </w:rPr>
        <w:t xml:space="preserve"> the conditions for a member to </w:t>
      </w:r>
      <w:r w:rsidR="00DE27F3">
        <w:rPr>
          <w:noProof/>
          <w:lang w:val="en-US"/>
        </w:rPr>
        <w:t>act on behalf of another member.</w:t>
      </w:r>
    </w:p>
    <w:p w14:paraId="1680CAD1" w14:textId="77777777" w:rsidR="00DE27F3" w:rsidRPr="00B62020" w:rsidRDefault="00DE27F3" w:rsidP="00DE27F3">
      <w:pPr>
        <w:spacing w:before="0" w:after="200"/>
        <w:ind w:left="1080"/>
        <w:contextualSpacing/>
        <w:rPr>
          <w:noProof/>
          <w:lang w:val="en-US"/>
        </w:rPr>
      </w:pPr>
    </w:p>
    <w:p w14:paraId="65F1837F" w14:textId="77777777" w:rsidR="00DE27F3" w:rsidRPr="00B62020" w:rsidRDefault="00B62020" w:rsidP="00DE27F3">
      <w:pPr>
        <w:jc w:val="center"/>
        <w:rPr>
          <w:i/>
          <w:iCs/>
          <w:noProof/>
          <w:lang w:val="en-US"/>
        </w:rPr>
      </w:pPr>
      <w:r w:rsidRPr="00B62020">
        <w:rPr>
          <w:i/>
          <w:iCs/>
          <w:noProof/>
          <w:lang w:val="en-US"/>
        </w:rPr>
        <w:t xml:space="preserve">Article 21 </w:t>
      </w:r>
    </w:p>
    <w:p w14:paraId="7D4E9B97" w14:textId="77777777" w:rsidR="00B62020" w:rsidRPr="00B62020" w:rsidRDefault="00B62020" w:rsidP="00B62020">
      <w:pPr>
        <w:jc w:val="center"/>
        <w:rPr>
          <w:b/>
          <w:iCs/>
          <w:noProof/>
          <w:lang w:val="en-US"/>
        </w:rPr>
      </w:pPr>
      <w:r w:rsidRPr="00B62020">
        <w:rPr>
          <w:b/>
          <w:iCs/>
          <w:noProof/>
          <w:lang w:val="en-US"/>
        </w:rPr>
        <w:t xml:space="preserve">Executive Board </w:t>
      </w:r>
    </w:p>
    <w:p w14:paraId="4BB3E4BE" w14:textId="77777777" w:rsidR="00B62020" w:rsidRPr="00AD0F94" w:rsidRDefault="00203F7F" w:rsidP="00203F7F">
      <w:pPr>
        <w:pStyle w:val="Point0"/>
        <w:ind w:left="0" w:firstLine="0"/>
        <w:rPr>
          <w:noProof/>
          <w:lang w:val="en-US"/>
        </w:rPr>
      </w:pPr>
      <w:r>
        <w:rPr>
          <w:noProof/>
          <w:lang w:val="en-US"/>
        </w:rPr>
        <w:t>1.</w:t>
      </w:r>
      <w:r>
        <w:rPr>
          <w:noProof/>
          <w:lang w:val="en-US"/>
        </w:rPr>
        <w:tab/>
      </w:r>
      <w:r w:rsidR="00B62020" w:rsidRPr="00AD0F94">
        <w:rPr>
          <w:noProof/>
          <w:lang w:val="en-US"/>
        </w:rPr>
        <w:t xml:space="preserve"> The Management Board shall be assisted by an Executive Board. </w:t>
      </w:r>
    </w:p>
    <w:p w14:paraId="4F5B34A6" w14:textId="77777777" w:rsidR="00B62020" w:rsidRPr="00B62020" w:rsidRDefault="00203F7F" w:rsidP="00203F7F">
      <w:pPr>
        <w:pStyle w:val="Point0"/>
        <w:ind w:left="0" w:firstLine="0"/>
        <w:rPr>
          <w:noProof/>
          <w:lang w:val="en-US"/>
        </w:rPr>
      </w:pPr>
      <w:r>
        <w:rPr>
          <w:noProof/>
          <w:lang w:val="en-US"/>
        </w:rPr>
        <w:t>2.</w:t>
      </w:r>
      <w:r>
        <w:rPr>
          <w:noProof/>
          <w:lang w:val="en-US"/>
        </w:rPr>
        <w:tab/>
      </w:r>
      <w:r w:rsidR="00B62020" w:rsidRPr="00B62020">
        <w:rPr>
          <w:noProof/>
          <w:lang w:val="en-US"/>
        </w:rPr>
        <w:t>The Executive Board shall :</w:t>
      </w:r>
    </w:p>
    <w:p w14:paraId="78FFA628" w14:textId="5B4BDB2F" w:rsidR="00E3775A" w:rsidRDefault="00443218" w:rsidP="00443218">
      <w:pPr>
        <w:pStyle w:val="Point0"/>
        <w:rPr>
          <w:noProof/>
          <w:lang w:val="en-US"/>
        </w:rPr>
      </w:pPr>
      <w:r w:rsidRPr="00443218">
        <w:t>(a)</w:t>
      </w:r>
      <w:r w:rsidRPr="00443218">
        <w:tab/>
      </w:r>
      <w:r w:rsidR="00E3775A" w:rsidRPr="00E3775A">
        <w:rPr>
          <w:noProof/>
        </w:rPr>
        <w:t>supervise the implementation of the decisions of the Management Board on administrative and budgetary management;.</w:t>
      </w:r>
    </w:p>
    <w:p w14:paraId="02965548" w14:textId="63A20FFA" w:rsidR="00B62020" w:rsidRPr="003931C3" w:rsidRDefault="00443218" w:rsidP="00443218">
      <w:pPr>
        <w:pStyle w:val="Point0"/>
        <w:rPr>
          <w:noProof/>
          <w:lang w:val="en-US"/>
        </w:rPr>
      </w:pPr>
      <w:r w:rsidRPr="00443218">
        <w:t>(b)</w:t>
      </w:r>
      <w:r w:rsidRPr="00443218">
        <w:tab/>
      </w:r>
      <w:r w:rsidR="00B62020" w:rsidRPr="003931C3">
        <w:rPr>
          <w:noProof/>
          <w:lang w:val="en-US"/>
        </w:rPr>
        <w:t xml:space="preserve">prepare decisions to be adopted by the Management Board; </w:t>
      </w:r>
    </w:p>
    <w:p w14:paraId="5C524B4D" w14:textId="4E99215F" w:rsidR="00B62020" w:rsidRPr="003931C3" w:rsidRDefault="00443218" w:rsidP="00443218">
      <w:pPr>
        <w:pStyle w:val="Point0"/>
        <w:rPr>
          <w:noProof/>
          <w:lang w:val="en-US"/>
        </w:rPr>
      </w:pPr>
      <w:r w:rsidRPr="00443218">
        <w:t>(c)</w:t>
      </w:r>
      <w:r w:rsidRPr="00443218">
        <w:tab/>
      </w:r>
      <w:r w:rsidR="00B62020" w:rsidRPr="003931C3">
        <w:rPr>
          <w:noProof/>
          <w:lang w:val="en-US"/>
        </w:rPr>
        <w:t>ensure, together with the Management Board, adequate follow-up to the findings and recommendations stemming from the internal or external audit reports and evaluations, as well as from investigations of OLAF and of the EPPO;</w:t>
      </w:r>
    </w:p>
    <w:p w14:paraId="5C1F9FE4" w14:textId="77777777" w:rsidR="00B62020" w:rsidRPr="00B62020" w:rsidRDefault="00203F7F" w:rsidP="00203F7F">
      <w:pPr>
        <w:pStyle w:val="Point0"/>
        <w:ind w:left="0" w:firstLine="0"/>
        <w:rPr>
          <w:noProof/>
          <w:lang w:val="en-US"/>
        </w:rPr>
      </w:pPr>
      <w:r>
        <w:rPr>
          <w:noProof/>
          <w:lang w:val="en-US"/>
        </w:rPr>
        <w:t>3.</w:t>
      </w:r>
      <w:r>
        <w:rPr>
          <w:noProof/>
          <w:lang w:val="en-US"/>
        </w:rPr>
        <w:tab/>
      </w:r>
      <w:r w:rsidR="00B62020" w:rsidRPr="00B62020">
        <w:rPr>
          <w:noProof/>
          <w:lang w:val="en-US"/>
        </w:rPr>
        <w:t>When necessary, because of urgency, the Executive Board may take certain provisional decisions on behalf of the Management Board, in particular on administrative management matters, including the suspension of the delegation of the appointing authority powers and budgetary matters.</w:t>
      </w:r>
    </w:p>
    <w:p w14:paraId="4445D348" w14:textId="77777777" w:rsidR="00B62020" w:rsidRPr="00B62020" w:rsidRDefault="00203F7F" w:rsidP="00203F7F">
      <w:pPr>
        <w:pStyle w:val="Point0"/>
        <w:ind w:left="0" w:firstLine="0"/>
        <w:rPr>
          <w:noProof/>
          <w:lang w:val="en-US"/>
        </w:rPr>
      </w:pPr>
      <w:r>
        <w:rPr>
          <w:noProof/>
          <w:lang w:val="en-US"/>
        </w:rPr>
        <w:t>4.</w:t>
      </w:r>
      <w:r>
        <w:rPr>
          <w:noProof/>
          <w:lang w:val="en-US"/>
        </w:rPr>
        <w:tab/>
      </w:r>
      <w:r w:rsidR="00B62020" w:rsidRPr="00B62020">
        <w:rPr>
          <w:noProof/>
          <w:lang w:val="en-US"/>
        </w:rPr>
        <w:t xml:space="preserve">The Executive Board shall be composed of the Chairperson of the Management Board, one representative of the Commission to the Management Board and </w:t>
      </w:r>
      <w:r w:rsidR="004A0092" w:rsidRPr="00B62020">
        <w:rPr>
          <w:noProof/>
          <w:lang w:val="en-US"/>
        </w:rPr>
        <w:t>t</w:t>
      </w:r>
      <w:r w:rsidR="004A0092">
        <w:rPr>
          <w:noProof/>
          <w:lang w:val="en-US"/>
        </w:rPr>
        <w:t>hree</w:t>
      </w:r>
      <w:r w:rsidR="004A0092" w:rsidRPr="00B62020">
        <w:rPr>
          <w:noProof/>
          <w:lang w:val="en-US"/>
        </w:rPr>
        <w:t xml:space="preserve"> </w:t>
      </w:r>
      <w:r w:rsidR="00B62020" w:rsidRPr="00B62020">
        <w:rPr>
          <w:noProof/>
          <w:lang w:val="en-US"/>
        </w:rPr>
        <w:t xml:space="preserve">other members appointed by the Management Board from among its members with the right to vote. The Chairperson of the Management Board shall also be the Chairperson of the Executive Board. The Executive Director shall take part in the meetings of the Executive Board, but shall not have the right to vote. </w:t>
      </w:r>
    </w:p>
    <w:p w14:paraId="45C748BF" w14:textId="77777777" w:rsidR="00B62020" w:rsidRPr="00B62020" w:rsidRDefault="00203F7F" w:rsidP="00203F7F">
      <w:pPr>
        <w:pStyle w:val="Point0"/>
        <w:ind w:left="0" w:firstLine="0"/>
        <w:rPr>
          <w:noProof/>
          <w:lang w:val="en-US"/>
        </w:rPr>
      </w:pPr>
      <w:r>
        <w:rPr>
          <w:noProof/>
          <w:lang w:val="en-US"/>
        </w:rPr>
        <w:t>5.</w:t>
      </w:r>
      <w:r>
        <w:rPr>
          <w:noProof/>
          <w:lang w:val="en-US"/>
        </w:rPr>
        <w:tab/>
      </w:r>
      <w:r w:rsidR="00B62020" w:rsidRPr="00B62020">
        <w:rPr>
          <w:noProof/>
          <w:lang w:val="en-US"/>
        </w:rPr>
        <w:t>The term of office of members of the Executive Board shall be four years</w:t>
      </w:r>
      <w:r w:rsidR="00C721D0">
        <w:rPr>
          <w:noProof/>
          <w:lang w:val="en-US"/>
        </w:rPr>
        <w:t xml:space="preserve"> with the possibility to be renewed</w:t>
      </w:r>
      <w:r w:rsidR="00B62020" w:rsidRPr="00B62020">
        <w:rPr>
          <w:noProof/>
          <w:lang w:val="en-US"/>
        </w:rPr>
        <w:t>. The term of office of members of the Executive Board shall end when their membership of the Management Board ends.</w:t>
      </w:r>
    </w:p>
    <w:p w14:paraId="093EAE31" w14:textId="77777777" w:rsidR="00B62020" w:rsidRPr="00B62020" w:rsidRDefault="00203F7F" w:rsidP="00203F7F">
      <w:pPr>
        <w:pStyle w:val="Point0"/>
        <w:ind w:left="0" w:firstLine="0"/>
        <w:rPr>
          <w:noProof/>
          <w:lang w:val="en-US"/>
        </w:rPr>
      </w:pPr>
      <w:r>
        <w:rPr>
          <w:noProof/>
          <w:lang w:val="en-US"/>
        </w:rPr>
        <w:t>6.</w:t>
      </w:r>
      <w:r>
        <w:rPr>
          <w:noProof/>
          <w:lang w:val="en-US"/>
        </w:rPr>
        <w:tab/>
      </w:r>
      <w:r w:rsidR="00B62020" w:rsidRPr="00B62020">
        <w:rPr>
          <w:noProof/>
          <w:lang w:val="en-US"/>
        </w:rPr>
        <w:t>The Executive Board shall hold at least one ordinary meeting every three months. In addition, it shall meet on the initiative of its Chairperson or at the request of its members.</w:t>
      </w:r>
    </w:p>
    <w:p w14:paraId="44AD495E" w14:textId="77777777" w:rsidR="00B62020" w:rsidRPr="00B62020" w:rsidRDefault="00203F7F" w:rsidP="00203F7F">
      <w:pPr>
        <w:pStyle w:val="Point0"/>
        <w:ind w:left="0" w:firstLine="0"/>
        <w:rPr>
          <w:noProof/>
          <w:lang w:val="en-US"/>
        </w:rPr>
      </w:pPr>
      <w:r>
        <w:rPr>
          <w:noProof/>
          <w:lang w:val="en-US"/>
        </w:rPr>
        <w:t>7.</w:t>
      </w:r>
      <w:r>
        <w:rPr>
          <w:noProof/>
          <w:lang w:val="en-US"/>
        </w:rPr>
        <w:tab/>
      </w:r>
      <w:r w:rsidR="00B62020" w:rsidRPr="00B62020">
        <w:rPr>
          <w:noProof/>
          <w:lang w:val="en-US"/>
        </w:rPr>
        <w:t>The Management Board shall lay down the rules of procedure of the Executive Board.</w:t>
      </w:r>
    </w:p>
    <w:p w14:paraId="46E4847F" w14:textId="77777777" w:rsidR="00B62020" w:rsidRPr="00B62020" w:rsidRDefault="00B62020" w:rsidP="00B62020">
      <w:pPr>
        <w:jc w:val="center"/>
        <w:rPr>
          <w:b/>
          <w:iCs/>
          <w:noProof/>
        </w:rPr>
      </w:pPr>
    </w:p>
    <w:p w14:paraId="47BBE4D0" w14:textId="77777777" w:rsidR="00B62020" w:rsidRPr="00982913" w:rsidRDefault="00982913" w:rsidP="00982913">
      <w:pPr>
        <w:keepNext/>
        <w:spacing w:before="0" w:after="200"/>
        <w:jc w:val="center"/>
        <w:rPr>
          <w:i/>
          <w:noProof/>
        </w:rPr>
      </w:pPr>
      <w:r w:rsidRPr="00982913">
        <w:rPr>
          <w:i/>
          <w:noProof/>
        </w:rPr>
        <w:t>CHAPTER V</w:t>
      </w:r>
    </w:p>
    <w:p w14:paraId="0E45CFE4" w14:textId="77777777" w:rsidR="00B62020" w:rsidRPr="00B62020" w:rsidRDefault="00B62020" w:rsidP="00B62020">
      <w:pPr>
        <w:keepLines/>
        <w:spacing w:after="200"/>
        <w:jc w:val="center"/>
        <w:rPr>
          <w:rFonts w:eastAsia="Calibri"/>
          <w:b/>
          <w:noProof/>
        </w:rPr>
      </w:pPr>
      <w:r w:rsidRPr="00B62020">
        <w:rPr>
          <w:rFonts w:eastAsia="Calibri"/>
          <w:b/>
          <w:noProof/>
        </w:rPr>
        <w:t>EXECUTIVE DIRECTOR</w:t>
      </w:r>
    </w:p>
    <w:p w14:paraId="27450684" w14:textId="77777777" w:rsidR="00B62020" w:rsidRPr="00B62020" w:rsidRDefault="00B62020" w:rsidP="00B62020">
      <w:pPr>
        <w:jc w:val="center"/>
        <w:rPr>
          <w:i/>
          <w:iCs/>
          <w:noProof/>
          <w:lang w:val="en-US"/>
        </w:rPr>
      </w:pPr>
      <w:r w:rsidRPr="00B62020">
        <w:rPr>
          <w:i/>
          <w:iCs/>
          <w:noProof/>
          <w:lang w:val="en-US"/>
        </w:rPr>
        <w:t xml:space="preserve">Article </w:t>
      </w:r>
      <w:r w:rsidR="00982913">
        <w:rPr>
          <w:i/>
          <w:iCs/>
          <w:noProof/>
          <w:lang w:val="en-US"/>
        </w:rPr>
        <w:t>22</w:t>
      </w:r>
      <w:r w:rsidRPr="00B62020">
        <w:rPr>
          <w:i/>
          <w:iCs/>
          <w:noProof/>
          <w:lang w:val="en-US"/>
        </w:rPr>
        <w:t xml:space="preserve"> </w:t>
      </w:r>
    </w:p>
    <w:p w14:paraId="1E17C1A2" w14:textId="77777777" w:rsidR="00B62020" w:rsidRPr="00B62020" w:rsidRDefault="00B62020" w:rsidP="00B62020">
      <w:pPr>
        <w:jc w:val="center"/>
        <w:rPr>
          <w:b/>
          <w:bCs/>
          <w:noProof/>
          <w:lang w:val="en-US"/>
        </w:rPr>
      </w:pPr>
      <w:r w:rsidRPr="00B62020">
        <w:rPr>
          <w:b/>
          <w:bCs/>
          <w:noProof/>
          <w:lang w:val="en-US"/>
        </w:rPr>
        <w:t xml:space="preserve">Appointment, extension of the term of office and removal from office </w:t>
      </w:r>
    </w:p>
    <w:p w14:paraId="106C28DD" w14:textId="77777777" w:rsidR="00B62020" w:rsidRPr="00B62020" w:rsidRDefault="00B62020" w:rsidP="00B62020">
      <w:pPr>
        <w:keepLines/>
        <w:spacing w:before="0" w:after="200"/>
        <w:jc w:val="center"/>
        <w:rPr>
          <w:rFonts w:eastAsia="Calibri"/>
          <w:b/>
          <w:noProof/>
          <w:color w:val="0000FF"/>
          <w:szCs w:val="24"/>
        </w:rPr>
      </w:pPr>
    </w:p>
    <w:p w14:paraId="206864ED" w14:textId="77777777" w:rsidR="00AD0F94" w:rsidRDefault="00203F7F" w:rsidP="00203F7F">
      <w:pPr>
        <w:pStyle w:val="Point0"/>
        <w:ind w:left="0" w:firstLine="0"/>
        <w:rPr>
          <w:noProof/>
          <w:lang w:val="en-US"/>
        </w:rPr>
      </w:pPr>
      <w:r>
        <w:rPr>
          <w:noProof/>
          <w:lang w:val="en-US"/>
        </w:rPr>
        <w:t>1.</w:t>
      </w:r>
      <w:r>
        <w:rPr>
          <w:noProof/>
          <w:lang w:val="en-US"/>
        </w:rPr>
        <w:tab/>
      </w:r>
      <w:r w:rsidR="00B62020" w:rsidRPr="00AD0F94">
        <w:rPr>
          <w:noProof/>
          <w:lang w:val="en-US"/>
        </w:rPr>
        <w:t xml:space="preserve">The Executive Director shall be appointed by the Management Board on the basis of merit and skills from a list of candidates proposed by the Commission following an open and transparent selection procedure which shall respect the principle of gender balance. </w:t>
      </w:r>
    </w:p>
    <w:p w14:paraId="5FF4AC3E" w14:textId="77777777" w:rsidR="00B62020" w:rsidRPr="00AD0F94" w:rsidRDefault="00203F7F" w:rsidP="00203F7F">
      <w:pPr>
        <w:pStyle w:val="Point0"/>
        <w:ind w:left="0" w:firstLine="0"/>
        <w:rPr>
          <w:noProof/>
          <w:lang w:val="en-US"/>
        </w:rPr>
      </w:pPr>
      <w:r>
        <w:rPr>
          <w:noProof/>
          <w:lang w:val="en-US"/>
        </w:rPr>
        <w:t>2.</w:t>
      </w:r>
      <w:r>
        <w:rPr>
          <w:noProof/>
          <w:lang w:val="en-US"/>
        </w:rPr>
        <w:tab/>
      </w:r>
      <w:r w:rsidR="00B62020" w:rsidRPr="00AD0F94">
        <w:rPr>
          <w:noProof/>
          <w:lang w:val="en-US"/>
        </w:rPr>
        <w:t>For the purpose of concluding the contract of the Executive Director, the Agency shall be represented by the Chairperson of the Management Board.</w:t>
      </w:r>
    </w:p>
    <w:p w14:paraId="48809FB0" w14:textId="77777777" w:rsidR="004604B3" w:rsidRPr="004604B3" w:rsidRDefault="00203F7F" w:rsidP="00203F7F">
      <w:pPr>
        <w:pStyle w:val="Point0"/>
        <w:ind w:left="0" w:firstLine="0"/>
        <w:rPr>
          <w:noProof/>
          <w:lang w:val="en-US"/>
        </w:rPr>
      </w:pPr>
      <w:r>
        <w:rPr>
          <w:noProof/>
          <w:lang w:val="en-US"/>
        </w:rPr>
        <w:t>3.</w:t>
      </w:r>
      <w:r>
        <w:rPr>
          <w:noProof/>
          <w:lang w:val="en-US"/>
        </w:rPr>
        <w:tab/>
      </w:r>
      <w:r w:rsidR="00B62020" w:rsidRPr="004604B3">
        <w:rPr>
          <w:noProof/>
          <w:lang w:val="en-US"/>
        </w:rPr>
        <w:t>The term of office of the Executive Director shall be five years. In due time before the end of that period, the Commission shall undertake an assessment that takes into account an evaluation of the Executive Director's performance and the Agency's future tasks and challenges.</w:t>
      </w:r>
    </w:p>
    <w:p w14:paraId="097B02A0" w14:textId="77777777" w:rsidR="00B62020" w:rsidRPr="004604B3" w:rsidRDefault="00203F7F" w:rsidP="00203F7F">
      <w:pPr>
        <w:pStyle w:val="Point0"/>
        <w:ind w:left="0" w:firstLine="0"/>
        <w:rPr>
          <w:noProof/>
          <w:lang w:val="en-US"/>
        </w:rPr>
      </w:pPr>
      <w:r>
        <w:rPr>
          <w:noProof/>
          <w:lang w:val="en-US"/>
        </w:rPr>
        <w:t>4.</w:t>
      </w:r>
      <w:r>
        <w:rPr>
          <w:noProof/>
          <w:lang w:val="en-US"/>
        </w:rPr>
        <w:tab/>
      </w:r>
      <w:r w:rsidR="00B62020" w:rsidRPr="004604B3">
        <w:rPr>
          <w:noProof/>
          <w:lang w:val="en-US"/>
        </w:rPr>
        <w:t>The Management Board, acting on a proposal from the Commission, taking into account the assessment referred to in paragraph 3</w:t>
      </w:r>
      <w:r w:rsidR="008F4D55">
        <w:rPr>
          <w:noProof/>
          <w:lang w:val="en-US"/>
        </w:rPr>
        <w:t>,</w:t>
      </w:r>
      <w:r w:rsidR="00B62020" w:rsidRPr="004604B3">
        <w:rPr>
          <w:noProof/>
          <w:lang w:val="en-US"/>
        </w:rPr>
        <w:t xml:space="preserve"> may extend once the term of office of the Executive Director</w:t>
      </w:r>
      <w:r w:rsidR="0076582E">
        <w:rPr>
          <w:noProof/>
          <w:lang w:val="en-US"/>
        </w:rPr>
        <w:t>,</w:t>
      </w:r>
      <w:r w:rsidR="00B62020" w:rsidRPr="004604B3">
        <w:rPr>
          <w:noProof/>
          <w:lang w:val="en-US"/>
        </w:rPr>
        <w:t xml:space="preserve"> for not more than five years</w:t>
      </w:r>
      <w:r w:rsidR="00CD638A">
        <w:rPr>
          <w:noProof/>
          <w:lang w:val="en-US"/>
        </w:rPr>
        <w:t>.</w:t>
      </w:r>
      <w:r w:rsidR="00B62020" w:rsidRPr="004604B3">
        <w:rPr>
          <w:noProof/>
          <w:lang w:val="en-US"/>
        </w:rPr>
        <w:t xml:space="preserve"> </w:t>
      </w:r>
    </w:p>
    <w:p w14:paraId="4F2065E0" w14:textId="77777777" w:rsidR="00B62020" w:rsidRPr="004604B3" w:rsidRDefault="00203F7F" w:rsidP="00203F7F">
      <w:pPr>
        <w:pStyle w:val="Point0"/>
        <w:ind w:left="0" w:firstLine="0"/>
        <w:rPr>
          <w:noProof/>
          <w:lang w:val="en-US"/>
        </w:rPr>
      </w:pPr>
      <w:r>
        <w:rPr>
          <w:noProof/>
          <w:lang w:val="en-US"/>
        </w:rPr>
        <w:t>5.</w:t>
      </w:r>
      <w:r>
        <w:rPr>
          <w:noProof/>
          <w:lang w:val="en-US"/>
        </w:rPr>
        <w:tab/>
      </w:r>
      <w:r w:rsidR="00B62020" w:rsidRPr="004604B3">
        <w:rPr>
          <w:noProof/>
          <w:lang w:val="en-US"/>
        </w:rPr>
        <w:t xml:space="preserve">An Executive Director whose term of office has been extended may not participate in another selection procedure for the same post. </w:t>
      </w:r>
    </w:p>
    <w:p w14:paraId="28F13398" w14:textId="77777777" w:rsidR="003D6C09" w:rsidRDefault="00203F7F" w:rsidP="00203F7F">
      <w:pPr>
        <w:pStyle w:val="Point0"/>
        <w:ind w:left="0" w:firstLine="0"/>
        <w:rPr>
          <w:noProof/>
          <w:lang w:val="en-US"/>
        </w:rPr>
      </w:pPr>
      <w:r>
        <w:rPr>
          <w:noProof/>
          <w:lang w:val="en-US"/>
        </w:rPr>
        <w:t>6.</w:t>
      </w:r>
      <w:r>
        <w:rPr>
          <w:noProof/>
          <w:lang w:val="en-US"/>
        </w:rPr>
        <w:tab/>
      </w:r>
      <w:r w:rsidR="00B62020" w:rsidRPr="004604B3">
        <w:rPr>
          <w:noProof/>
          <w:lang w:val="en-US"/>
        </w:rPr>
        <w:t>The Executive Director may be removed from office only upon a decision of the Management Board acting on a proposal from the Commission.</w:t>
      </w:r>
    </w:p>
    <w:p w14:paraId="4855134D" w14:textId="77777777" w:rsidR="003D6C09" w:rsidRPr="004604B3" w:rsidRDefault="00203F7F" w:rsidP="00203F7F">
      <w:pPr>
        <w:pStyle w:val="Point0"/>
        <w:ind w:left="0" w:firstLine="0"/>
        <w:rPr>
          <w:noProof/>
          <w:lang w:val="en-US"/>
        </w:rPr>
      </w:pPr>
      <w:r>
        <w:rPr>
          <w:noProof/>
          <w:lang w:val="en-US"/>
        </w:rPr>
        <w:t>7.</w:t>
      </w:r>
      <w:r>
        <w:rPr>
          <w:noProof/>
          <w:lang w:val="en-US"/>
        </w:rPr>
        <w:tab/>
      </w:r>
      <w:r w:rsidR="003D6C09" w:rsidRPr="003D6C09">
        <w:rPr>
          <w:noProof/>
          <w:lang w:val="en-US"/>
        </w:rPr>
        <w:t xml:space="preserve"> </w:t>
      </w:r>
      <w:r w:rsidR="003D6C09" w:rsidRPr="004604B3">
        <w:rPr>
          <w:noProof/>
          <w:lang w:val="en-US"/>
        </w:rPr>
        <w:t>The Executive Director shall be engaged as a temporary agent of the Agency under Article 2(a) of the Conditions of Employment of Other servants.</w:t>
      </w:r>
    </w:p>
    <w:p w14:paraId="02D25CF3" w14:textId="77777777" w:rsidR="00B62020" w:rsidRPr="004604B3" w:rsidRDefault="00B62020" w:rsidP="003D6C09">
      <w:pPr>
        <w:spacing w:before="0" w:after="200"/>
        <w:ind w:left="1080"/>
        <w:contextualSpacing/>
        <w:rPr>
          <w:noProof/>
          <w:lang w:val="en-US"/>
        </w:rPr>
      </w:pPr>
    </w:p>
    <w:p w14:paraId="5B447FF0" w14:textId="77777777" w:rsidR="00B62020" w:rsidRPr="00B62020" w:rsidRDefault="00B62020" w:rsidP="00B62020">
      <w:pPr>
        <w:jc w:val="center"/>
        <w:rPr>
          <w:i/>
          <w:iCs/>
          <w:noProof/>
          <w:lang w:val="en-US"/>
        </w:rPr>
      </w:pPr>
    </w:p>
    <w:p w14:paraId="6DECF3BA" w14:textId="77777777" w:rsidR="00B62020" w:rsidRPr="00B62020" w:rsidRDefault="00B62020" w:rsidP="00B62020">
      <w:pPr>
        <w:jc w:val="center"/>
        <w:rPr>
          <w:i/>
          <w:iCs/>
          <w:noProof/>
          <w:lang w:val="en-US"/>
        </w:rPr>
      </w:pPr>
      <w:r w:rsidRPr="00B62020">
        <w:rPr>
          <w:i/>
          <w:iCs/>
          <w:noProof/>
          <w:lang w:val="en-US"/>
        </w:rPr>
        <w:t>Article 2</w:t>
      </w:r>
      <w:r w:rsidR="00B32673">
        <w:rPr>
          <w:i/>
          <w:iCs/>
          <w:noProof/>
          <w:lang w:val="en-US"/>
        </w:rPr>
        <w:t>3</w:t>
      </w:r>
      <w:r w:rsidRPr="00B62020">
        <w:rPr>
          <w:i/>
          <w:iCs/>
          <w:noProof/>
          <w:lang w:val="en-US"/>
        </w:rPr>
        <w:t xml:space="preserve"> </w:t>
      </w:r>
    </w:p>
    <w:p w14:paraId="364F19BC" w14:textId="77777777" w:rsidR="00B62020" w:rsidRPr="00B62020" w:rsidRDefault="00B62020" w:rsidP="00B62020">
      <w:pPr>
        <w:ind w:left="1440" w:firstLine="720"/>
        <w:rPr>
          <w:b/>
          <w:iCs/>
          <w:noProof/>
          <w:lang w:val="en-US"/>
        </w:rPr>
      </w:pPr>
      <w:r w:rsidRPr="00B62020">
        <w:rPr>
          <w:b/>
          <w:iCs/>
          <w:noProof/>
          <w:lang w:val="en-US"/>
        </w:rPr>
        <w:t>Tasks and responsibilities of the Executive Director</w:t>
      </w:r>
    </w:p>
    <w:p w14:paraId="139B222F" w14:textId="77777777" w:rsidR="00B62020" w:rsidRPr="00AD0F94" w:rsidRDefault="00203F7F" w:rsidP="003931C3">
      <w:pPr>
        <w:pStyle w:val="Point0"/>
        <w:ind w:left="0" w:firstLine="0"/>
        <w:rPr>
          <w:noProof/>
          <w:lang w:val="en-US"/>
        </w:rPr>
      </w:pPr>
      <w:r>
        <w:rPr>
          <w:noProof/>
          <w:lang w:val="en-US"/>
        </w:rPr>
        <w:t>1.</w:t>
      </w:r>
      <w:r>
        <w:rPr>
          <w:noProof/>
          <w:lang w:val="en-US"/>
        </w:rPr>
        <w:tab/>
      </w:r>
      <w:r w:rsidR="00B62020" w:rsidRPr="00AD0F94">
        <w:rPr>
          <w:noProof/>
          <w:lang w:val="en-US"/>
        </w:rPr>
        <w:t>The Executive Director shall manage the Agency in accordance with the decisions of the Management Board</w:t>
      </w:r>
      <w:r w:rsidR="002E4D1A">
        <w:rPr>
          <w:noProof/>
          <w:lang w:val="en-US"/>
        </w:rPr>
        <w:t xml:space="preserve"> and shall be accountable to the Management Board</w:t>
      </w:r>
      <w:r w:rsidR="00B62020" w:rsidRPr="00AD0F94">
        <w:rPr>
          <w:noProof/>
          <w:lang w:val="en-US"/>
        </w:rPr>
        <w:t>.</w:t>
      </w:r>
    </w:p>
    <w:p w14:paraId="417B133B" w14:textId="77777777" w:rsidR="00B62020" w:rsidRPr="00B62020" w:rsidRDefault="00203F7F" w:rsidP="003931C3">
      <w:pPr>
        <w:pStyle w:val="Point0"/>
        <w:ind w:left="0" w:firstLine="0"/>
        <w:rPr>
          <w:noProof/>
          <w:lang w:val="en-US"/>
        </w:rPr>
      </w:pPr>
      <w:r>
        <w:rPr>
          <w:noProof/>
          <w:lang w:val="en-US"/>
        </w:rPr>
        <w:t>2.</w:t>
      </w:r>
      <w:r>
        <w:rPr>
          <w:noProof/>
          <w:lang w:val="en-US"/>
        </w:rPr>
        <w:tab/>
      </w:r>
      <w:r w:rsidR="00B62020" w:rsidRPr="00B62020">
        <w:rPr>
          <w:noProof/>
          <w:lang w:val="en-US"/>
        </w:rPr>
        <w:t>Without prejudice to the powers of the Commission, the Management Board, and the Executive Board, the Executive Director shall be independent in the performance of the duties and shall neither seek nor take instructions from any government nor from any other body.</w:t>
      </w:r>
    </w:p>
    <w:p w14:paraId="299D9414" w14:textId="77777777" w:rsidR="00B62020" w:rsidRPr="00B62020" w:rsidRDefault="00203F7F" w:rsidP="003931C3">
      <w:pPr>
        <w:pStyle w:val="Point0"/>
        <w:ind w:left="0" w:firstLine="0"/>
        <w:rPr>
          <w:noProof/>
          <w:lang w:val="en-US"/>
        </w:rPr>
      </w:pPr>
      <w:r>
        <w:rPr>
          <w:noProof/>
          <w:lang w:val="en-US"/>
        </w:rPr>
        <w:t>3.</w:t>
      </w:r>
      <w:r>
        <w:rPr>
          <w:noProof/>
          <w:lang w:val="en-US"/>
        </w:rPr>
        <w:tab/>
      </w:r>
      <w:r w:rsidR="00B62020" w:rsidRPr="00B62020">
        <w:rPr>
          <w:noProof/>
          <w:lang w:val="en-US"/>
        </w:rPr>
        <w:t>The Executive Director shall report to the European Parliament on the performance of his/her duties when invited to do so. The Council may invite the Executive Director to report on the performance of his/her duties.</w:t>
      </w:r>
    </w:p>
    <w:p w14:paraId="1D468E59" w14:textId="77777777" w:rsidR="00B62020" w:rsidRPr="00B62020" w:rsidRDefault="00203F7F" w:rsidP="003931C3">
      <w:pPr>
        <w:pStyle w:val="Point0"/>
        <w:ind w:left="0" w:firstLine="0"/>
        <w:rPr>
          <w:noProof/>
          <w:lang w:val="en-US"/>
        </w:rPr>
      </w:pPr>
      <w:r>
        <w:rPr>
          <w:noProof/>
          <w:lang w:val="en-US"/>
        </w:rPr>
        <w:t>4.</w:t>
      </w:r>
      <w:r>
        <w:rPr>
          <w:noProof/>
          <w:lang w:val="en-US"/>
        </w:rPr>
        <w:tab/>
      </w:r>
      <w:r w:rsidR="00B62020" w:rsidRPr="00B62020">
        <w:rPr>
          <w:noProof/>
          <w:lang w:val="en-US"/>
        </w:rPr>
        <w:t xml:space="preserve">The Executive Director shall be the legal representative of the Agency. </w:t>
      </w:r>
    </w:p>
    <w:p w14:paraId="36CF9FF5" w14:textId="77777777" w:rsidR="00B62020" w:rsidRPr="004604B3" w:rsidRDefault="00203F7F" w:rsidP="003931C3">
      <w:pPr>
        <w:pStyle w:val="Point0"/>
        <w:ind w:left="0" w:firstLine="0"/>
        <w:rPr>
          <w:noProof/>
          <w:lang w:val="en-US"/>
        </w:rPr>
      </w:pPr>
      <w:r>
        <w:rPr>
          <w:noProof/>
          <w:lang w:val="en-US"/>
        </w:rPr>
        <w:t>5.</w:t>
      </w:r>
      <w:r>
        <w:rPr>
          <w:noProof/>
          <w:lang w:val="en-US"/>
        </w:rPr>
        <w:tab/>
      </w:r>
      <w:r w:rsidR="00B62020" w:rsidRPr="00B62020">
        <w:rPr>
          <w:noProof/>
          <w:lang w:val="en-US"/>
        </w:rPr>
        <w:t>The Executive Director shall be responsible for the implementation of the tasks assigned to the Agency by this Regulation. In particular, the Executive Director shall:</w:t>
      </w:r>
    </w:p>
    <w:p w14:paraId="5638599D" w14:textId="300518E7" w:rsidR="00B62020" w:rsidRPr="006746C6" w:rsidRDefault="00443218" w:rsidP="00443218">
      <w:pPr>
        <w:pStyle w:val="Point0"/>
        <w:rPr>
          <w:noProof/>
          <w:lang w:val="en-IE"/>
        </w:rPr>
      </w:pPr>
      <w:r w:rsidRPr="00443218">
        <w:t>(a)</w:t>
      </w:r>
      <w:r w:rsidRPr="00443218">
        <w:tab/>
      </w:r>
      <w:r w:rsidR="00B62020" w:rsidRPr="006746C6">
        <w:rPr>
          <w:noProof/>
          <w:lang w:val="en-IE"/>
        </w:rPr>
        <w:t>ensure the sustainable and efficient  day-to-day  administration of the Agency;</w:t>
      </w:r>
    </w:p>
    <w:p w14:paraId="4AD2AD2F" w14:textId="73521BE5" w:rsidR="00B62020" w:rsidRPr="006746C6" w:rsidRDefault="00443218" w:rsidP="00443218">
      <w:pPr>
        <w:pStyle w:val="Point0"/>
        <w:rPr>
          <w:noProof/>
          <w:lang w:val="en-IE"/>
        </w:rPr>
      </w:pPr>
      <w:r w:rsidRPr="00443218">
        <w:t>(b)</w:t>
      </w:r>
      <w:r w:rsidRPr="00443218">
        <w:tab/>
      </w:r>
      <w:r w:rsidR="00B62020" w:rsidRPr="006746C6">
        <w:rPr>
          <w:noProof/>
          <w:lang w:val="en-IE"/>
        </w:rPr>
        <w:t xml:space="preserve">organise, direct and supervise the operations and the staff of the Agency within the limits of the </w:t>
      </w:r>
      <w:r w:rsidR="002E4D1A">
        <w:rPr>
          <w:noProof/>
          <w:lang w:val="en-IE"/>
        </w:rPr>
        <w:t>decisions of</w:t>
      </w:r>
      <w:r w:rsidR="00B62020" w:rsidRPr="006746C6">
        <w:rPr>
          <w:noProof/>
          <w:lang w:val="en-IE"/>
        </w:rPr>
        <w:t xml:space="preserve"> the Management  Board;</w:t>
      </w:r>
    </w:p>
    <w:p w14:paraId="0F4AB30D" w14:textId="6CF7A3C1" w:rsidR="00B62020" w:rsidRPr="00B62020" w:rsidRDefault="00443218" w:rsidP="00443218">
      <w:pPr>
        <w:pStyle w:val="Point0"/>
        <w:rPr>
          <w:noProof/>
        </w:rPr>
      </w:pPr>
      <w:r w:rsidRPr="00443218">
        <w:t>(c)</w:t>
      </w:r>
      <w:r w:rsidRPr="00443218">
        <w:tab/>
      </w:r>
      <w:r w:rsidR="00B62020" w:rsidRPr="00B62020">
        <w:rPr>
          <w:noProof/>
        </w:rPr>
        <w:t>prepare and implement the decisions adopted by the Management Board.</w:t>
      </w:r>
    </w:p>
    <w:p w14:paraId="3FC3BE6F" w14:textId="1E31863D" w:rsidR="00B62020" w:rsidRPr="00B62020" w:rsidRDefault="00443218" w:rsidP="00443218">
      <w:pPr>
        <w:pStyle w:val="Point0"/>
        <w:rPr>
          <w:noProof/>
        </w:rPr>
      </w:pPr>
      <w:r w:rsidRPr="00443218">
        <w:t>(d)</w:t>
      </w:r>
      <w:r w:rsidRPr="00443218">
        <w:tab/>
      </w:r>
      <w:r w:rsidR="00B62020" w:rsidRPr="00B62020">
        <w:rPr>
          <w:noProof/>
        </w:rPr>
        <w:t xml:space="preserve">prepare draft financial rules applicable to the Agency for adoption by the </w:t>
      </w:r>
      <w:r w:rsidR="00B62020" w:rsidRPr="006746C6">
        <w:rPr>
          <w:noProof/>
          <w:lang w:val="en-IE"/>
        </w:rPr>
        <w:t>Management Board</w:t>
      </w:r>
      <w:r w:rsidR="00B62020" w:rsidRPr="00B62020">
        <w:rPr>
          <w:noProof/>
        </w:rPr>
        <w:t>;</w:t>
      </w:r>
    </w:p>
    <w:p w14:paraId="536D7174" w14:textId="1F691AB0" w:rsidR="00B62020" w:rsidRPr="00EC32AB" w:rsidRDefault="00443218" w:rsidP="00443218">
      <w:pPr>
        <w:pStyle w:val="Point0"/>
        <w:rPr>
          <w:noProof/>
        </w:rPr>
      </w:pPr>
      <w:r w:rsidRPr="00443218">
        <w:t>(e)</w:t>
      </w:r>
      <w:r w:rsidRPr="00443218">
        <w:tab/>
      </w:r>
      <w:r w:rsidR="00B62020" w:rsidRPr="00B62020">
        <w:rPr>
          <w:noProof/>
        </w:rPr>
        <w:t xml:space="preserve">draw up estimates of the Agency's revenue and expenditure, in accordance with </w:t>
      </w:r>
      <w:r w:rsidR="00B62020" w:rsidRPr="00EC32AB">
        <w:rPr>
          <w:noProof/>
        </w:rPr>
        <w:t>Article 2</w:t>
      </w:r>
      <w:r w:rsidR="00EC32AB" w:rsidRPr="00EC32AB">
        <w:rPr>
          <w:noProof/>
        </w:rPr>
        <w:t>7</w:t>
      </w:r>
      <w:r w:rsidR="00B62020" w:rsidRPr="00EC32AB">
        <w:rPr>
          <w:noProof/>
        </w:rPr>
        <w:t xml:space="preserve">, and implementing the budget in accordance with </w:t>
      </w:r>
      <w:r w:rsidR="00284671" w:rsidRPr="00EC32AB">
        <w:rPr>
          <w:noProof/>
        </w:rPr>
        <w:t xml:space="preserve">Article </w:t>
      </w:r>
      <w:r w:rsidR="00EC32AB" w:rsidRPr="00EC32AB">
        <w:rPr>
          <w:noProof/>
        </w:rPr>
        <w:t>28</w:t>
      </w:r>
      <w:r w:rsidR="00B62020" w:rsidRPr="00EC32AB">
        <w:rPr>
          <w:noProof/>
        </w:rPr>
        <w:t>.</w:t>
      </w:r>
    </w:p>
    <w:p w14:paraId="28A653C5" w14:textId="51C576BD" w:rsidR="00B62020" w:rsidRPr="00B62020" w:rsidRDefault="00443218" w:rsidP="00443218">
      <w:pPr>
        <w:pStyle w:val="Point0"/>
        <w:rPr>
          <w:noProof/>
        </w:rPr>
      </w:pPr>
      <w:r w:rsidRPr="00443218">
        <w:t>(f)</w:t>
      </w:r>
      <w:r w:rsidRPr="00443218">
        <w:tab/>
      </w:r>
      <w:r w:rsidR="00B62020" w:rsidRPr="00B62020">
        <w:rPr>
          <w:noProof/>
        </w:rPr>
        <w:t xml:space="preserve">prepare the draft single programming document and submit it for adoption to the Management Board after consulting the Commission at least four weeks before the relevant </w:t>
      </w:r>
      <w:r w:rsidR="002E4D1A">
        <w:rPr>
          <w:noProof/>
        </w:rPr>
        <w:t xml:space="preserve">Management </w:t>
      </w:r>
      <w:r w:rsidR="00B62020" w:rsidRPr="00B62020">
        <w:rPr>
          <w:noProof/>
        </w:rPr>
        <w:t>Board meeting;</w:t>
      </w:r>
    </w:p>
    <w:p w14:paraId="0FE8843C" w14:textId="5A859582" w:rsidR="00B62020" w:rsidRPr="00B62020" w:rsidRDefault="00443218" w:rsidP="00443218">
      <w:pPr>
        <w:pStyle w:val="Point0"/>
        <w:rPr>
          <w:noProof/>
        </w:rPr>
      </w:pPr>
      <w:r w:rsidRPr="00443218">
        <w:t>(g)</w:t>
      </w:r>
      <w:r w:rsidRPr="00443218">
        <w:tab/>
      </w:r>
      <w:r w:rsidR="00B62020" w:rsidRPr="00B62020">
        <w:rPr>
          <w:noProof/>
        </w:rPr>
        <w:t xml:space="preserve">implement the single programming document, assessing progress compared to the relevant indicators and report to the Management Board on its implementation; </w:t>
      </w:r>
    </w:p>
    <w:p w14:paraId="6625B934" w14:textId="102E47CF" w:rsidR="00B62020" w:rsidRPr="00B62020" w:rsidRDefault="00443218" w:rsidP="00443218">
      <w:pPr>
        <w:pStyle w:val="Point0"/>
        <w:rPr>
          <w:noProof/>
        </w:rPr>
      </w:pPr>
      <w:r w:rsidRPr="00443218">
        <w:t>(h)</w:t>
      </w:r>
      <w:r w:rsidRPr="00443218">
        <w:tab/>
      </w:r>
      <w:r w:rsidR="00B62020" w:rsidRPr="00B62020">
        <w:rPr>
          <w:noProof/>
        </w:rPr>
        <w:t>prepare</w:t>
      </w:r>
      <w:r w:rsidR="00735529">
        <w:rPr>
          <w:noProof/>
        </w:rPr>
        <w:t xml:space="preserve"> </w:t>
      </w:r>
      <w:r w:rsidR="00B62020" w:rsidRPr="00B62020">
        <w:rPr>
          <w:noProof/>
        </w:rPr>
        <w:t>the Agency’s consolidated annual activity report and present it to the Management Board for assessment and adoption;</w:t>
      </w:r>
    </w:p>
    <w:p w14:paraId="503EDDB3" w14:textId="59DD0C50" w:rsidR="00B62020" w:rsidRPr="00B62020" w:rsidRDefault="00443218" w:rsidP="00443218">
      <w:pPr>
        <w:pStyle w:val="Point0"/>
        <w:rPr>
          <w:noProof/>
        </w:rPr>
      </w:pPr>
      <w:r w:rsidRPr="00443218">
        <w:t>(i)</w:t>
      </w:r>
      <w:r w:rsidRPr="00443218">
        <w:tab/>
      </w:r>
      <w:r w:rsidR="00B62020" w:rsidRPr="00B62020">
        <w:rPr>
          <w:noProof/>
        </w:rPr>
        <w:t xml:space="preserve">respond to any requests for assistance in accordance with </w:t>
      </w:r>
      <w:r w:rsidR="00D57DF3" w:rsidRPr="00D57DF3">
        <w:rPr>
          <w:noProof/>
        </w:rPr>
        <w:t xml:space="preserve">Article 17  </w:t>
      </w:r>
      <w:r w:rsidR="002E4D1A">
        <w:rPr>
          <w:noProof/>
        </w:rPr>
        <w:t>(</w:t>
      </w:r>
      <w:r w:rsidR="00D57DF3" w:rsidRPr="00D57DF3">
        <w:rPr>
          <w:noProof/>
        </w:rPr>
        <w:t>5</w:t>
      </w:r>
      <w:r w:rsidR="002E4D1A">
        <w:rPr>
          <w:noProof/>
        </w:rPr>
        <w:t>)</w:t>
      </w:r>
      <w:r w:rsidR="00C40B33">
        <w:rPr>
          <w:noProof/>
        </w:rPr>
        <w:t>;</w:t>
      </w:r>
    </w:p>
    <w:p w14:paraId="16CC05C1" w14:textId="3BBCED01" w:rsidR="00B62020" w:rsidRPr="00B62020" w:rsidRDefault="00443218" w:rsidP="00443218">
      <w:pPr>
        <w:pStyle w:val="Point0"/>
        <w:rPr>
          <w:noProof/>
        </w:rPr>
      </w:pPr>
      <w:r w:rsidRPr="00443218">
        <w:t>(j)</w:t>
      </w:r>
      <w:r w:rsidRPr="00443218">
        <w:tab/>
      </w:r>
      <w:r w:rsidR="00B62020" w:rsidRPr="00B62020">
        <w:rPr>
          <w:noProof/>
        </w:rPr>
        <w:t xml:space="preserve">decide to carry out the visits and inspections provided for in </w:t>
      </w:r>
      <w:r w:rsidR="00B62020" w:rsidRPr="00D57DF3">
        <w:rPr>
          <w:noProof/>
        </w:rPr>
        <w:t xml:space="preserve">Article </w:t>
      </w:r>
      <w:r w:rsidR="00D57DF3">
        <w:rPr>
          <w:noProof/>
        </w:rPr>
        <w:t>10</w:t>
      </w:r>
      <w:r w:rsidR="00B62020" w:rsidRPr="00B62020">
        <w:rPr>
          <w:noProof/>
        </w:rPr>
        <w:t xml:space="preserve">, after consultation of the Commission and following the methodology for visits established by the Management Board in accordance with </w:t>
      </w:r>
      <w:r w:rsidR="00264400" w:rsidRPr="00264400">
        <w:rPr>
          <w:noProof/>
        </w:rPr>
        <w:t xml:space="preserve">Article 16 </w:t>
      </w:r>
      <w:r w:rsidR="002E4D1A">
        <w:rPr>
          <w:noProof/>
        </w:rPr>
        <w:t>(</w:t>
      </w:r>
      <w:r w:rsidR="00264400" w:rsidRPr="00264400">
        <w:rPr>
          <w:noProof/>
        </w:rPr>
        <w:t>1</w:t>
      </w:r>
      <w:r w:rsidR="002E4D1A">
        <w:rPr>
          <w:noProof/>
        </w:rPr>
        <w:t>)</w:t>
      </w:r>
      <w:r w:rsidR="00264400" w:rsidRPr="00264400">
        <w:rPr>
          <w:noProof/>
        </w:rPr>
        <w:t xml:space="preserve"> </w:t>
      </w:r>
      <w:r w:rsidR="00631221">
        <w:rPr>
          <w:noProof/>
        </w:rPr>
        <w:t xml:space="preserve">point </w:t>
      </w:r>
      <w:r w:rsidR="00264400" w:rsidRPr="00264400">
        <w:rPr>
          <w:noProof/>
        </w:rPr>
        <w:t>(g)</w:t>
      </w:r>
      <w:r w:rsidR="00B62020" w:rsidRPr="00264400">
        <w:rPr>
          <w:noProof/>
        </w:rPr>
        <w:t>;</w:t>
      </w:r>
    </w:p>
    <w:p w14:paraId="2C057BE8" w14:textId="747B5D73" w:rsidR="00B62020" w:rsidRPr="00B62020" w:rsidRDefault="00443218" w:rsidP="00443218">
      <w:pPr>
        <w:pStyle w:val="Point0"/>
        <w:rPr>
          <w:noProof/>
        </w:rPr>
      </w:pPr>
      <w:r w:rsidRPr="00443218">
        <w:t>(k)</w:t>
      </w:r>
      <w:r w:rsidRPr="00443218">
        <w:tab/>
      </w:r>
      <w:r w:rsidR="00B62020" w:rsidRPr="00B62020">
        <w:rPr>
          <w:noProof/>
        </w:rPr>
        <w:t>decide to enter into administrative arrangements with other</w:t>
      </w:r>
      <w:r w:rsidR="00FC2063">
        <w:rPr>
          <w:noProof/>
        </w:rPr>
        <w:t xml:space="preserve"> Union</w:t>
      </w:r>
      <w:r w:rsidR="00B62020" w:rsidRPr="00B62020">
        <w:rPr>
          <w:noProof/>
        </w:rPr>
        <w:t xml:space="preserve"> bodies working in the Agency's fields of activities provided that the draft arrangement has been submitted for consultation to the Commission </w:t>
      </w:r>
      <w:r w:rsidR="00B32673">
        <w:rPr>
          <w:noProof/>
        </w:rPr>
        <w:t xml:space="preserve">first </w:t>
      </w:r>
      <w:r w:rsidR="00B62020" w:rsidRPr="00B62020">
        <w:rPr>
          <w:noProof/>
        </w:rPr>
        <w:t xml:space="preserve">and the Management Board </w:t>
      </w:r>
      <w:r w:rsidR="007F29D9">
        <w:rPr>
          <w:noProof/>
        </w:rPr>
        <w:t>in accordance with</w:t>
      </w:r>
      <w:r w:rsidR="00B62020" w:rsidRPr="00B62020">
        <w:rPr>
          <w:noProof/>
        </w:rPr>
        <w:t xml:space="preserve"> </w:t>
      </w:r>
      <w:r w:rsidR="00264400" w:rsidRPr="00264400">
        <w:rPr>
          <w:noProof/>
        </w:rPr>
        <w:t>Article 11</w:t>
      </w:r>
      <w:r w:rsidR="00B62020" w:rsidRPr="00264400">
        <w:rPr>
          <w:noProof/>
        </w:rPr>
        <w:t xml:space="preserve"> </w:t>
      </w:r>
      <w:r w:rsidR="002E4D1A">
        <w:rPr>
          <w:noProof/>
        </w:rPr>
        <w:t>(</w:t>
      </w:r>
      <w:r w:rsidR="00B62020" w:rsidRPr="00264400">
        <w:rPr>
          <w:noProof/>
        </w:rPr>
        <w:t>5</w:t>
      </w:r>
      <w:r w:rsidR="002E4D1A">
        <w:rPr>
          <w:noProof/>
        </w:rPr>
        <w:t>)</w:t>
      </w:r>
      <w:r w:rsidR="00B62020" w:rsidRPr="00B62020">
        <w:rPr>
          <w:noProof/>
        </w:rPr>
        <w:t xml:space="preserve"> and provided that the Management Board </w:t>
      </w:r>
      <w:r w:rsidR="007F29D9">
        <w:rPr>
          <w:noProof/>
        </w:rPr>
        <w:t>has</w:t>
      </w:r>
      <w:r w:rsidR="007F29D9" w:rsidRPr="00B62020">
        <w:rPr>
          <w:noProof/>
        </w:rPr>
        <w:t xml:space="preserve"> </w:t>
      </w:r>
      <w:r w:rsidR="00B62020" w:rsidRPr="00B62020">
        <w:rPr>
          <w:noProof/>
        </w:rPr>
        <w:t>not object</w:t>
      </w:r>
      <w:r w:rsidR="007F29D9">
        <w:rPr>
          <w:noProof/>
        </w:rPr>
        <w:t>ed</w:t>
      </w:r>
      <w:r w:rsidR="00B62020" w:rsidRPr="00B62020">
        <w:rPr>
          <w:noProof/>
        </w:rPr>
        <w:t xml:space="preserve"> within four weeks;</w:t>
      </w:r>
    </w:p>
    <w:p w14:paraId="696F2EFF" w14:textId="16CDE949" w:rsidR="00B62020" w:rsidRPr="00B62020" w:rsidRDefault="00443218" w:rsidP="00443218">
      <w:pPr>
        <w:pStyle w:val="Point0"/>
        <w:rPr>
          <w:noProof/>
        </w:rPr>
      </w:pPr>
      <w:r w:rsidRPr="00443218">
        <w:t>(l)</w:t>
      </w:r>
      <w:r w:rsidRPr="00443218">
        <w:tab/>
      </w:r>
      <w:r w:rsidR="00B62020" w:rsidRPr="00B62020">
        <w:rPr>
          <w:noProof/>
        </w:rPr>
        <w:t xml:space="preserve">take all necessary steps, including the adoption of internal administrative instructions and the publication of notices, to ensure the functioning of the Agency in accordance with the provisions of this Regulation; </w:t>
      </w:r>
    </w:p>
    <w:p w14:paraId="696AE3EC" w14:textId="47FED8BF" w:rsidR="00B62020" w:rsidRPr="00B62020" w:rsidRDefault="00443218" w:rsidP="00443218">
      <w:pPr>
        <w:pStyle w:val="Point0"/>
        <w:rPr>
          <w:noProof/>
        </w:rPr>
      </w:pPr>
      <w:r w:rsidRPr="00443218">
        <w:t>(m)</w:t>
      </w:r>
      <w:r w:rsidRPr="00443218">
        <w:tab/>
      </w:r>
      <w:r w:rsidR="00B62020" w:rsidRPr="00B62020">
        <w:rPr>
          <w:noProof/>
        </w:rPr>
        <w:t xml:space="preserve">organise an effective monitoring system in order to be able to compare the Agency's achievements with its objectives and tasks as laid down in this Regulation. To </w:t>
      </w:r>
      <w:r w:rsidR="007F29D9">
        <w:rPr>
          <w:noProof/>
        </w:rPr>
        <w:t>that</w:t>
      </w:r>
      <w:r w:rsidR="00FC2063">
        <w:rPr>
          <w:noProof/>
        </w:rPr>
        <w:t xml:space="preserve"> end</w:t>
      </w:r>
      <w:r w:rsidR="00B62020" w:rsidRPr="00B62020">
        <w:rPr>
          <w:noProof/>
        </w:rPr>
        <w:t>, he</w:t>
      </w:r>
      <w:r w:rsidR="007F29D9">
        <w:rPr>
          <w:noProof/>
        </w:rPr>
        <w:t xml:space="preserve"> or </w:t>
      </w:r>
      <w:r w:rsidR="00B62020" w:rsidRPr="00B62020">
        <w:rPr>
          <w:noProof/>
        </w:rPr>
        <w:t>she shall establish, in agreement with the Commission and the Management Board, tailored performance indicators allowing for an effective assessment of the results achieved. He</w:t>
      </w:r>
      <w:r w:rsidR="00FC2063">
        <w:rPr>
          <w:noProof/>
        </w:rPr>
        <w:t xml:space="preserve"> or </w:t>
      </w:r>
      <w:r w:rsidR="00B62020" w:rsidRPr="00B62020">
        <w:rPr>
          <w:noProof/>
        </w:rPr>
        <w:t>she shall ensure that the Agency's organisational structure be regularly adapted to the evolving needs within the available financial and human resources. In this regard, he</w:t>
      </w:r>
      <w:r w:rsidR="00FC2063">
        <w:rPr>
          <w:noProof/>
        </w:rPr>
        <w:t xml:space="preserve"> or</w:t>
      </w:r>
      <w:r w:rsidR="00B62020" w:rsidRPr="00B62020">
        <w:rPr>
          <w:noProof/>
        </w:rPr>
        <w:t>she shall establish regular evaluation procedures that meet recognised professional standards;</w:t>
      </w:r>
    </w:p>
    <w:p w14:paraId="44B6B52B" w14:textId="74E31DE5" w:rsidR="00B62020" w:rsidRPr="006746C6" w:rsidRDefault="00443218" w:rsidP="00443218">
      <w:pPr>
        <w:pStyle w:val="Point0"/>
        <w:rPr>
          <w:noProof/>
          <w:lang w:val="en-IE"/>
        </w:rPr>
      </w:pPr>
      <w:r w:rsidRPr="00443218">
        <w:t>(n)</w:t>
      </w:r>
      <w:r w:rsidRPr="00443218">
        <w:tab/>
      </w:r>
      <w:r w:rsidR="00B62020" w:rsidRPr="006746C6">
        <w:rPr>
          <w:noProof/>
          <w:lang w:val="en-IE"/>
        </w:rPr>
        <w:t>establish and ensure the functioning of an effective and efficient internal control system and report any significant change to it to the Management Board;</w:t>
      </w:r>
    </w:p>
    <w:p w14:paraId="305103B2" w14:textId="711605A2" w:rsidR="00B32673" w:rsidRPr="006746C6" w:rsidRDefault="00443218" w:rsidP="00443218">
      <w:pPr>
        <w:pStyle w:val="Point0"/>
        <w:rPr>
          <w:noProof/>
          <w:lang w:val="en-IE"/>
        </w:rPr>
      </w:pPr>
      <w:r w:rsidRPr="00443218">
        <w:t>(o)</w:t>
      </w:r>
      <w:r w:rsidRPr="00443218">
        <w:tab/>
      </w:r>
      <w:r w:rsidR="00B62020" w:rsidRPr="006746C6">
        <w:rPr>
          <w:noProof/>
          <w:lang w:val="en-IE"/>
        </w:rPr>
        <w:t>ensure the carrying out of risk assessments and risk management for the Agency;</w:t>
      </w:r>
    </w:p>
    <w:p w14:paraId="2F078BAC" w14:textId="138504CE" w:rsidR="00B62020" w:rsidRPr="00B62020" w:rsidRDefault="00443218" w:rsidP="00443218">
      <w:pPr>
        <w:pStyle w:val="Point0"/>
        <w:rPr>
          <w:noProof/>
        </w:rPr>
      </w:pPr>
      <w:r w:rsidRPr="00443218">
        <w:t>(p)</w:t>
      </w:r>
      <w:r w:rsidRPr="00443218">
        <w:tab/>
      </w:r>
      <w:r w:rsidR="00B62020" w:rsidRPr="00B62020">
        <w:rPr>
          <w:noProof/>
        </w:rPr>
        <w:t xml:space="preserve">prepare a follow-up action plan in relation to the conclusions of internal or external audit reports and evaluations, as well as investigations by OLAF and EPPO, as referred to in </w:t>
      </w:r>
      <w:r w:rsidR="00B62020" w:rsidRPr="00264400">
        <w:rPr>
          <w:noProof/>
        </w:rPr>
        <w:t xml:space="preserve">Article </w:t>
      </w:r>
      <w:r w:rsidR="00EC32AB">
        <w:rPr>
          <w:noProof/>
        </w:rPr>
        <w:t>38</w:t>
      </w:r>
      <w:r w:rsidR="00B62020" w:rsidRPr="00B62020">
        <w:rPr>
          <w:noProof/>
        </w:rPr>
        <w:t>, and report on progress twice a year to the Commission and regularly to the Management Board;</w:t>
      </w:r>
    </w:p>
    <w:p w14:paraId="4F860E50" w14:textId="48AF98C8" w:rsidR="00B62020" w:rsidRPr="00B62020" w:rsidRDefault="00443218" w:rsidP="00443218">
      <w:pPr>
        <w:pStyle w:val="Point0"/>
        <w:rPr>
          <w:noProof/>
        </w:rPr>
      </w:pPr>
      <w:r w:rsidRPr="00443218">
        <w:t>(q)</w:t>
      </w:r>
      <w:r w:rsidRPr="00443218">
        <w:tab/>
      </w:r>
      <w:r w:rsidR="00B62020" w:rsidRPr="00B62020">
        <w:rPr>
          <w:noProof/>
        </w:rPr>
        <w:t>protect the financial interests of the Union by applying preventive measures against fraud, corruption and any other illegal activities, without prejudicing the investigative competence of OLAF and EPPO, by effective checks and, if irregularities are detected, by recovering amounts wrongly paid and, where appropriate, by imposing effective, proportionate and dissuasive administrative, including financial penalties;</w:t>
      </w:r>
    </w:p>
    <w:p w14:paraId="64E0022E" w14:textId="28CFD874" w:rsidR="00B62020" w:rsidRPr="00B32673" w:rsidRDefault="00443218" w:rsidP="00443218">
      <w:pPr>
        <w:pStyle w:val="Point0"/>
        <w:rPr>
          <w:noProof/>
        </w:rPr>
      </w:pPr>
      <w:r w:rsidRPr="00443218">
        <w:t>(r)</w:t>
      </w:r>
      <w:r w:rsidRPr="00443218">
        <w:tab/>
      </w:r>
      <w:r w:rsidR="00B62020" w:rsidRPr="006746C6">
        <w:rPr>
          <w:rFonts w:eastAsia="Times New Roman"/>
          <w:noProof/>
          <w:lang w:eastAsia="en-GB"/>
        </w:rPr>
        <w:t>prepare an anti-fraud strategy</w:t>
      </w:r>
      <w:r w:rsidR="00B62020" w:rsidRPr="006746C6">
        <w:rPr>
          <w:noProof/>
          <w:color w:val="0070C0"/>
        </w:rPr>
        <w:t xml:space="preserve">, </w:t>
      </w:r>
      <w:r w:rsidR="00B62020" w:rsidRPr="00B32673">
        <w:rPr>
          <w:noProof/>
        </w:rPr>
        <w:t>an efficiency gains and synergies strategy, a strategy for cooperation with third countries or international organisations</w:t>
      </w:r>
      <w:r w:rsidR="00FC2063">
        <w:rPr>
          <w:noProof/>
        </w:rPr>
        <w:t xml:space="preserve">, or both, </w:t>
      </w:r>
      <w:r w:rsidR="00B62020" w:rsidRPr="00B32673">
        <w:rPr>
          <w:noProof/>
        </w:rPr>
        <w:t xml:space="preserve"> and a strategy for the organisational management and internal control systems, for the Agency and present it to the Management Board for approval;</w:t>
      </w:r>
    </w:p>
    <w:p w14:paraId="00C086DE" w14:textId="4CCB2824" w:rsidR="00B62020" w:rsidRPr="00B32673" w:rsidRDefault="00443218" w:rsidP="00443218">
      <w:pPr>
        <w:pStyle w:val="Point0"/>
        <w:rPr>
          <w:noProof/>
        </w:rPr>
      </w:pPr>
      <w:r w:rsidRPr="00443218">
        <w:t>(s)</w:t>
      </w:r>
      <w:r w:rsidRPr="00443218">
        <w:tab/>
      </w:r>
      <w:r w:rsidR="00B62020" w:rsidRPr="00B32673">
        <w:rPr>
          <w:noProof/>
        </w:rPr>
        <w:t xml:space="preserve">promote diversity and ensure gender balance as regards the recruitment of the Agency’s staff; </w:t>
      </w:r>
    </w:p>
    <w:p w14:paraId="75029231" w14:textId="4A9838E3" w:rsidR="00B62020" w:rsidRPr="00B32673" w:rsidRDefault="00443218" w:rsidP="00443218">
      <w:pPr>
        <w:pStyle w:val="Point0"/>
        <w:rPr>
          <w:noProof/>
        </w:rPr>
      </w:pPr>
      <w:r w:rsidRPr="00443218">
        <w:t>(t)</w:t>
      </w:r>
      <w:r w:rsidRPr="00443218">
        <w:tab/>
      </w:r>
      <w:r w:rsidR="00B62020" w:rsidRPr="00B32673">
        <w:rPr>
          <w:noProof/>
        </w:rPr>
        <w:t xml:space="preserve">recruit staff on the broadest possible geographical basis; </w:t>
      </w:r>
    </w:p>
    <w:p w14:paraId="7EAF4DB2" w14:textId="41E007CE" w:rsidR="00B62020" w:rsidRPr="006746C6" w:rsidRDefault="00443218" w:rsidP="00443218">
      <w:pPr>
        <w:pStyle w:val="Point0"/>
        <w:rPr>
          <w:noProof/>
          <w:lang w:val="en-IE"/>
        </w:rPr>
      </w:pPr>
      <w:r w:rsidRPr="00443218">
        <w:t>(u)</w:t>
      </w:r>
      <w:r w:rsidRPr="00443218">
        <w:tab/>
      </w:r>
      <w:r w:rsidR="00B62020" w:rsidRPr="00B62020">
        <w:rPr>
          <w:noProof/>
        </w:rPr>
        <w:t>design and</w:t>
      </w:r>
      <w:r w:rsidR="008F4D55">
        <w:rPr>
          <w:noProof/>
        </w:rPr>
        <w:t xml:space="preserve"> </w:t>
      </w:r>
      <w:r w:rsidR="00B62020" w:rsidRPr="006746C6">
        <w:rPr>
          <w:noProof/>
          <w:lang w:val="en-IE"/>
        </w:rPr>
        <w:t>implement a communication policy for the Agency;</w:t>
      </w:r>
    </w:p>
    <w:p w14:paraId="2644A0A0" w14:textId="7FFA56C7" w:rsidR="00B62020" w:rsidRPr="006746C6" w:rsidRDefault="00443218" w:rsidP="00443218">
      <w:pPr>
        <w:pStyle w:val="Point0"/>
        <w:rPr>
          <w:noProof/>
          <w:lang w:val="en-IE"/>
        </w:rPr>
      </w:pPr>
      <w:r w:rsidRPr="00443218">
        <w:t>(v)</w:t>
      </w:r>
      <w:r w:rsidRPr="00443218">
        <w:tab/>
      </w:r>
      <w:r w:rsidR="00B62020" w:rsidRPr="006746C6">
        <w:rPr>
          <w:noProof/>
          <w:lang w:val="en-IE"/>
        </w:rPr>
        <w:t>perform any other tasks entrusted or delegated to him or her by the Management Board or as may be required by this Regulation;</w:t>
      </w:r>
    </w:p>
    <w:p w14:paraId="31D2D073" w14:textId="77777777" w:rsidR="00B62020" w:rsidRPr="00B62020" w:rsidRDefault="00B62020" w:rsidP="00B62020">
      <w:pPr>
        <w:ind w:left="720"/>
        <w:contextualSpacing/>
        <w:rPr>
          <w:noProof/>
        </w:rPr>
      </w:pPr>
    </w:p>
    <w:p w14:paraId="7F9399B3" w14:textId="77777777" w:rsidR="00B62020" w:rsidRPr="00B32673" w:rsidRDefault="00CD638A" w:rsidP="00B32673">
      <w:pPr>
        <w:jc w:val="center"/>
        <w:rPr>
          <w:i/>
          <w:iCs/>
          <w:noProof/>
          <w:lang w:val="en-US"/>
        </w:rPr>
      </w:pPr>
      <w:r>
        <w:rPr>
          <w:i/>
          <w:iCs/>
          <w:noProof/>
          <w:lang w:val="en-US"/>
        </w:rPr>
        <w:t>Article 24</w:t>
      </w:r>
      <w:r w:rsidR="00B62020" w:rsidRPr="00B32673">
        <w:rPr>
          <w:i/>
          <w:iCs/>
          <w:noProof/>
          <w:lang w:val="en-US"/>
        </w:rPr>
        <w:t xml:space="preserve"> </w:t>
      </w:r>
    </w:p>
    <w:p w14:paraId="5C7C64A2" w14:textId="77777777" w:rsidR="00B62020" w:rsidRPr="00B62020" w:rsidRDefault="00B62020" w:rsidP="00872126">
      <w:pPr>
        <w:keepNext/>
        <w:spacing w:before="38"/>
        <w:ind w:left="851" w:right="748" w:hanging="851"/>
        <w:jc w:val="center"/>
        <w:outlineLvl w:val="1"/>
        <w:rPr>
          <w:rFonts w:ascii="Calibri" w:eastAsia="Calibri" w:hAnsi="Calibri" w:cs="Calibri"/>
          <w:b/>
          <w:noProof/>
          <w:sz w:val="20"/>
          <w:szCs w:val="20"/>
          <w:lang w:val="en-US"/>
        </w:rPr>
      </w:pPr>
      <w:r w:rsidRPr="00B62020">
        <w:rPr>
          <w:rFonts w:eastAsiaTheme="majorEastAsia"/>
          <w:b/>
          <w:bCs/>
          <w:noProof/>
          <w:szCs w:val="26"/>
        </w:rPr>
        <w:t>Participation</w:t>
      </w:r>
      <w:r w:rsidRPr="00B62020">
        <w:rPr>
          <w:rFonts w:eastAsiaTheme="majorEastAsia"/>
          <w:b/>
          <w:bCs/>
          <w:noProof/>
          <w:spacing w:val="-11"/>
          <w:szCs w:val="26"/>
        </w:rPr>
        <w:t xml:space="preserve"> </w:t>
      </w:r>
      <w:r w:rsidRPr="00B62020">
        <w:rPr>
          <w:rFonts w:eastAsiaTheme="majorEastAsia"/>
          <w:b/>
          <w:bCs/>
          <w:noProof/>
          <w:szCs w:val="26"/>
        </w:rPr>
        <w:t>of</w:t>
      </w:r>
      <w:r w:rsidRPr="00B62020">
        <w:rPr>
          <w:rFonts w:eastAsiaTheme="majorEastAsia"/>
          <w:b/>
          <w:bCs/>
          <w:noProof/>
          <w:spacing w:val="-11"/>
          <w:szCs w:val="26"/>
        </w:rPr>
        <w:t xml:space="preserve"> </w:t>
      </w:r>
      <w:r w:rsidRPr="00B62020">
        <w:rPr>
          <w:rFonts w:eastAsiaTheme="majorEastAsia"/>
          <w:b/>
          <w:bCs/>
          <w:noProof/>
          <w:szCs w:val="26"/>
        </w:rPr>
        <w:t>third</w:t>
      </w:r>
      <w:r w:rsidRPr="00B62020">
        <w:rPr>
          <w:rFonts w:eastAsiaTheme="majorEastAsia"/>
          <w:b/>
          <w:bCs/>
          <w:noProof/>
          <w:spacing w:val="-13"/>
          <w:szCs w:val="26"/>
        </w:rPr>
        <w:t xml:space="preserve"> </w:t>
      </w:r>
      <w:r w:rsidRPr="00B62020">
        <w:rPr>
          <w:rFonts w:eastAsiaTheme="majorEastAsia"/>
          <w:b/>
          <w:bCs/>
          <w:noProof/>
          <w:szCs w:val="26"/>
        </w:rPr>
        <w:t>countries</w:t>
      </w:r>
    </w:p>
    <w:p w14:paraId="2B2D7764" w14:textId="77777777" w:rsidR="00B62020" w:rsidRPr="00AD0F94" w:rsidRDefault="006746C6" w:rsidP="003931C3">
      <w:pPr>
        <w:pStyle w:val="Point0"/>
        <w:ind w:left="0" w:firstLine="0"/>
        <w:rPr>
          <w:noProof/>
          <w:lang w:val="en-IE"/>
        </w:rPr>
      </w:pPr>
      <w:r>
        <w:rPr>
          <w:noProof/>
          <w:lang w:val="en-IE"/>
        </w:rPr>
        <w:t>1.</w:t>
      </w:r>
      <w:r>
        <w:rPr>
          <w:noProof/>
          <w:lang w:val="en-IE"/>
        </w:rPr>
        <w:tab/>
      </w:r>
      <w:r w:rsidR="00B62020" w:rsidRPr="00AD0F94">
        <w:rPr>
          <w:noProof/>
          <w:lang w:val="en-IE"/>
        </w:rPr>
        <w:t xml:space="preserve">The Agency shall be open to the participation of third countries, which have entered into agreements with the Union, whereby they have adopted and are applying the </w:t>
      </w:r>
      <w:r w:rsidR="003D6C09" w:rsidRPr="00AD0F94">
        <w:rPr>
          <w:noProof/>
          <w:lang w:val="en-IE"/>
        </w:rPr>
        <w:t xml:space="preserve">Union </w:t>
      </w:r>
      <w:r w:rsidR="00B62020" w:rsidRPr="00AD0F94">
        <w:rPr>
          <w:noProof/>
          <w:lang w:val="en-IE"/>
        </w:rPr>
        <w:t>law in the field of maritime safety, maritime security, prevention of pollution and response to pollution caused by ships.</w:t>
      </w:r>
    </w:p>
    <w:p w14:paraId="0A49F752" w14:textId="77777777" w:rsidR="00FC2063" w:rsidRPr="00FC2063" w:rsidRDefault="006746C6" w:rsidP="00FC2063">
      <w:pPr>
        <w:pStyle w:val="Point0"/>
        <w:rPr>
          <w:noProof/>
        </w:rPr>
      </w:pPr>
      <w:r>
        <w:rPr>
          <w:noProof/>
          <w:lang w:val="en-IE"/>
        </w:rPr>
        <w:t>2.</w:t>
      </w:r>
      <w:r>
        <w:rPr>
          <w:noProof/>
          <w:lang w:val="en-IE"/>
        </w:rPr>
        <w:tab/>
      </w:r>
      <w:r w:rsidR="00FC2063" w:rsidRPr="00FC2063">
        <w:rPr>
          <w:noProof/>
        </w:rPr>
        <w:t>Under the relevant provisions of those agreements, arrangements specifying the nature and the extent of the detailed rules for the participation by those countries in the work of the Agency including provisions on financial contributions and staff shall be concluded by the Agency following the opinion of the Commission .</w:t>
      </w:r>
    </w:p>
    <w:p w14:paraId="52A1BCE9" w14:textId="77777777" w:rsidR="00FC2063" w:rsidRPr="00F26CC5" w:rsidRDefault="00FC2063" w:rsidP="003931C3">
      <w:pPr>
        <w:pStyle w:val="Point0"/>
        <w:ind w:left="0" w:firstLine="0"/>
        <w:rPr>
          <w:noProof/>
        </w:rPr>
      </w:pPr>
    </w:p>
    <w:p w14:paraId="21D9125C" w14:textId="77777777" w:rsidR="00B62020" w:rsidRPr="00B32673" w:rsidRDefault="00B62020" w:rsidP="00B32673">
      <w:pPr>
        <w:pStyle w:val="ListParagraph"/>
        <w:spacing w:after="200"/>
        <w:rPr>
          <w:noProof/>
          <w:lang w:val="en-IE"/>
        </w:rPr>
      </w:pPr>
    </w:p>
    <w:p w14:paraId="1FA2137D" w14:textId="77777777" w:rsidR="00B62020" w:rsidRPr="00B62020" w:rsidRDefault="00B62020" w:rsidP="00B62020">
      <w:pPr>
        <w:ind w:left="1080"/>
        <w:contextualSpacing/>
        <w:rPr>
          <w:noProof/>
          <w:lang w:val="en-US"/>
        </w:rPr>
      </w:pPr>
    </w:p>
    <w:p w14:paraId="27D26180" w14:textId="77777777" w:rsidR="00B62020" w:rsidRPr="00B62020" w:rsidRDefault="00B62020" w:rsidP="00B62020">
      <w:pPr>
        <w:keepNext/>
        <w:spacing w:before="0" w:after="200"/>
        <w:jc w:val="center"/>
        <w:rPr>
          <w:i/>
          <w:noProof/>
          <w:lang w:val="fr-BE"/>
        </w:rPr>
      </w:pPr>
      <w:r w:rsidRPr="00B62020">
        <w:rPr>
          <w:i/>
          <w:noProof/>
          <w:lang w:val="fr-BE"/>
        </w:rPr>
        <w:t>CHAPTER V</w:t>
      </w:r>
      <w:r w:rsidR="00B32673">
        <w:rPr>
          <w:i/>
          <w:noProof/>
          <w:lang w:val="fr-BE"/>
        </w:rPr>
        <w:t>I</w:t>
      </w:r>
    </w:p>
    <w:p w14:paraId="4CF34317" w14:textId="77777777" w:rsidR="00B62020" w:rsidRPr="00B62020" w:rsidRDefault="00B62020" w:rsidP="00B62020">
      <w:pPr>
        <w:spacing w:before="0" w:after="200"/>
        <w:jc w:val="center"/>
        <w:rPr>
          <w:b/>
          <w:noProof/>
          <w:lang w:val="fr-BE"/>
        </w:rPr>
      </w:pPr>
      <w:r w:rsidRPr="00B62020">
        <w:rPr>
          <w:b/>
          <w:noProof/>
          <w:lang w:val="fr-BE"/>
        </w:rPr>
        <w:t>FINANCIAL PROVISIONS</w:t>
      </w:r>
    </w:p>
    <w:p w14:paraId="2B61B029" w14:textId="77777777" w:rsidR="00B62020" w:rsidRPr="00B62020" w:rsidRDefault="00CD638A" w:rsidP="00B62020">
      <w:pPr>
        <w:jc w:val="center"/>
        <w:rPr>
          <w:i/>
          <w:iCs/>
          <w:noProof/>
          <w:lang w:val="fr-BE"/>
        </w:rPr>
      </w:pPr>
      <w:r>
        <w:rPr>
          <w:i/>
          <w:iCs/>
          <w:noProof/>
          <w:lang w:val="fr-BE"/>
        </w:rPr>
        <w:t>Article 25</w:t>
      </w:r>
    </w:p>
    <w:p w14:paraId="5DAFD076" w14:textId="77777777" w:rsidR="00B62020" w:rsidRPr="00B62020" w:rsidRDefault="00B62020" w:rsidP="00B62020">
      <w:pPr>
        <w:spacing w:before="0" w:after="200"/>
        <w:jc w:val="center"/>
        <w:rPr>
          <w:b/>
          <w:iCs/>
          <w:noProof/>
          <w:lang w:val="en-US"/>
        </w:rPr>
      </w:pPr>
      <w:r w:rsidRPr="00B62020">
        <w:rPr>
          <w:b/>
          <w:iCs/>
          <w:noProof/>
          <w:lang w:val="en-US"/>
        </w:rPr>
        <w:t>Financial rules</w:t>
      </w:r>
    </w:p>
    <w:p w14:paraId="3CDD2838" w14:textId="77777777" w:rsidR="006D0E59" w:rsidRPr="006D0E59" w:rsidRDefault="006D0E59" w:rsidP="006D0E59">
      <w:pPr>
        <w:spacing w:before="0" w:after="200"/>
        <w:rPr>
          <w:noProof/>
        </w:rPr>
      </w:pPr>
      <w:r w:rsidRPr="006D0E59">
        <w:rPr>
          <w:noProof/>
        </w:rPr>
        <w:t>The financial rules applicable to the Agency shall be adopted by the Management Board after consulting the Commission. The financial rules shall not depart from Commission Delegated Regulation (EU) 2019/715 unless such a departure is specifically required for the Agency's operation and the Commission has given its prior consent.</w:t>
      </w:r>
    </w:p>
    <w:p w14:paraId="0B5CAEA9" w14:textId="77777777" w:rsidR="006D0E59" w:rsidRPr="00F26CC5" w:rsidRDefault="006D0E59" w:rsidP="00B62020">
      <w:pPr>
        <w:spacing w:before="0" w:after="200"/>
        <w:rPr>
          <w:noProof/>
        </w:rPr>
      </w:pPr>
    </w:p>
    <w:p w14:paraId="7DA5335A" w14:textId="77777777" w:rsidR="00B62020" w:rsidRPr="006746C6" w:rsidRDefault="004E0BAB" w:rsidP="00B62020">
      <w:pPr>
        <w:jc w:val="center"/>
        <w:rPr>
          <w:i/>
          <w:iCs/>
          <w:noProof/>
          <w:lang w:val="en-IE"/>
        </w:rPr>
      </w:pPr>
      <w:r w:rsidRPr="006746C6">
        <w:rPr>
          <w:i/>
          <w:iCs/>
          <w:noProof/>
          <w:lang w:val="en-IE"/>
        </w:rPr>
        <w:t>Article 26</w:t>
      </w:r>
    </w:p>
    <w:p w14:paraId="45AFF91C" w14:textId="77777777" w:rsidR="00B62020" w:rsidRPr="00B62020" w:rsidRDefault="00B62020" w:rsidP="00B62020">
      <w:pPr>
        <w:jc w:val="center"/>
        <w:rPr>
          <w:b/>
          <w:iCs/>
          <w:noProof/>
          <w:lang w:val="en-US"/>
        </w:rPr>
      </w:pPr>
      <w:r w:rsidRPr="00B62020">
        <w:rPr>
          <w:b/>
          <w:iCs/>
          <w:noProof/>
          <w:lang w:val="en-US"/>
        </w:rPr>
        <w:t>Budget</w:t>
      </w:r>
    </w:p>
    <w:p w14:paraId="0AF472EE" w14:textId="77777777" w:rsidR="00B62020" w:rsidRPr="00AD0F94" w:rsidRDefault="006746C6" w:rsidP="003931C3">
      <w:pPr>
        <w:pStyle w:val="Point0"/>
        <w:ind w:left="0" w:firstLine="0"/>
        <w:rPr>
          <w:noProof/>
          <w:lang w:val="en-IE"/>
        </w:rPr>
      </w:pPr>
      <w:r>
        <w:rPr>
          <w:noProof/>
          <w:lang w:val="en-IE"/>
        </w:rPr>
        <w:t>1.</w:t>
      </w:r>
      <w:r>
        <w:rPr>
          <w:noProof/>
          <w:lang w:val="en-IE"/>
        </w:rPr>
        <w:tab/>
      </w:r>
      <w:r w:rsidR="00B62020" w:rsidRPr="00AD0F94">
        <w:rPr>
          <w:noProof/>
          <w:lang w:val="en-IE"/>
        </w:rPr>
        <w:t>Estimates of all revenue and expenditure for the Agency shall be prepared each financial year, corresponding to the calendar year, and shall be shown in the Agency's budget.</w:t>
      </w:r>
    </w:p>
    <w:p w14:paraId="5EE9BA13" w14:textId="77777777" w:rsidR="00B62020" w:rsidRPr="00B32673" w:rsidRDefault="006746C6" w:rsidP="003931C3">
      <w:pPr>
        <w:pStyle w:val="Point0"/>
        <w:ind w:left="0" w:firstLine="0"/>
        <w:rPr>
          <w:noProof/>
          <w:lang w:val="en-IE"/>
        </w:rPr>
      </w:pPr>
      <w:r>
        <w:rPr>
          <w:noProof/>
          <w:lang w:val="en-IE"/>
        </w:rPr>
        <w:t>2.</w:t>
      </w:r>
      <w:r>
        <w:rPr>
          <w:noProof/>
          <w:lang w:val="en-IE"/>
        </w:rPr>
        <w:tab/>
      </w:r>
      <w:r w:rsidR="00B62020" w:rsidRPr="00B32673">
        <w:rPr>
          <w:noProof/>
          <w:lang w:val="en-IE"/>
        </w:rPr>
        <w:t>The Agency's budget shall be balanced in terms of revenue and of expenditure.</w:t>
      </w:r>
    </w:p>
    <w:p w14:paraId="47944BC9" w14:textId="77777777" w:rsidR="00B62020" w:rsidRPr="00B32673" w:rsidRDefault="006746C6" w:rsidP="003931C3">
      <w:pPr>
        <w:pStyle w:val="Point0"/>
        <w:ind w:left="0" w:firstLine="0"/>
        <w:rPr>
          <w:noProof/>
          <w:lang w:val="en-IE"/>
        </w:rPr>
      </w:pPr>
      <w:r>
        <w:rPr>
          <w:noProof/>
          <w:lang w:val="en-IE"/>
        </w:rPr>
        <w:t>3.</w:t>
      </w:r>
      <w:r>
        <w:rPr>
          <w:noProof/>
          <w:lang w:val="en-IE"/>
        </w:rPr>
        <w:tab/>
      </w:r>
      <w:r w:rsidR="00B62020" w:rsidRPr="00B32673">
        <w:rPr>
          <w:noProof/>
          <w:lang w:val="en-IE"/>
        </w:rPr>
        <w:t>Without prejudice to other resources, the Agency's revenue shall comprise:</w:t>
      </w:r>
    </w:p>
    <w:p w14:paraId="1F2C328A" w14:textId="75A6182C" w:rsidR="00B62020" w:rsidRPr="006746C6" w:rsidRDefault="00443218" w:rsidP="00443218">
      <w:pPr>
        <w:pStyle w:val="Point0"/>
        <w:rPr>
          <w:noProof/>
          <w:lang w:val="en-IE"/>
        </w:rPr>
      </w:pPr>
      <w:r w:rsidRPr="00443218">
        <w:t>(a)</w:t>
      </w:r>
      <w:r w:rsidRPr="00443218">
        <w:tab/>
      </w:r>
      <w:r w:rsidR="00B62020" w:rsidRPr="006746C6">
        <w:rPr>
          <w:noProof/>
          <w:lang w:val="en-IE"/>
        </w:rPr>
        <w:t>a contribution from the Union entered in the general budget of the European Union and grants from Union bodies;</w:t>
      </w:r>
    </w:p>
    <w:p w14:paraId="7D9BADC6" w14:textId="74016C56" w:rsidR="00B62020" w:rsidRPr="00B32673" w:rsidRDefault="00443218" w:rsidP="00443218">
      <w:pPr>
        <w:pStyle w:val="Point0"/>
        <w:rPr>
          <w:noProof/>
          <w:lang w:val="en-IE"/>
        </w:rPr>
      </w:pPr>
      <w:r w:rsidRPr="00443218">
        <w:t>(b)</w:t>
      </w:r>
      <w:r w:rsidRPr="00443218">
        <w:tab/>
      </w:r>
      <w:r w:rsidR="00B62020" w:rsidRPr="00B32673">
        <w:rPr>
          <w:noProof/>
          <w:lang w:val="en-IE"/>
        </w:rPr>
        <w:t xml:space="preserve">possible contributions from any third country which participates in the work of the Agency in accordance with </w:t>
      </w:r>
      <w:r w:rsidR="005D7904">
        <w:rPr>
          <w:noProof/>
          <w:lang w:val="en-IE"/>
        </w:rPr>
        <w:t>Article 24</w:t>
      </w:r>
      <w:r w:rsidR="00B62020" w:rsidRPr="00B32673">
        <w:rPr>
          <w:noProof/>
          <w:lang w:val="en-IE"/>
        </w:rPr>
        <w:t xml:space="preserve">; </w:t>
      </w:r>
    </w:p>
    <w:p w14:paraId="5866765F" w14:textId="2CFFFFB4" w:rsidR="00B62020" w:rsidRPr="00B32673" w:rsidRDefault="00443218" w:rsidP="00443218">
      <w:pPr>
        <w:pStyle w:val="Point0"/>
        <w:rPr>
          <w:noProof/>
          <w:lang w:val="en-IE"/>
        </w:rPr>
      </w:pPr>
      <w:r w:rsidRPr="00443218">
        <w:t>(c)</w:t>
      </w:r>
      <w:r w:rsidRPr="00443218">
        <w:tab/>
      </w:r>
      <w:r w:rsidR="00B62020" w:rsidRPr="00B32673">
        <w:rPr>
          <w:noProof/>
          <w:lang w:val="en-IE"/>
        </w:rPr>
        <w:t xml:space="preserve">any fees and charges for </w:t>
      </w:r>
      <w:r w:rsidR="00D97799">
        <w:rPr>
          <w:noProof/>
          <w:lang w:val="en-IE"/>
        </w:rPr>
        <w:t xml:space="preserve">infrastructure, </w:t>
      </w:r>
      <w:r w:rsidR="00B62020" w:rsidRPr="00B32673">
        <w:rPr>
          <w:noProof/>
          <w:lang w:val="en-IE"/>
        </w:rPr>
        <w:t xml:space="preserve">publications, training or any other services falling under the scope of this Regulation provided by the Agency </w:t>
      </w:r>
      <w:r w:rsidR="006D0E59">
        <w:rPr>
          <w:noProof/>
          <w:lang w:val="en-IE"/>
        </w:rPr>
        <w:t xml:space="preserve">in accordance with the implementing acts adopted pursuant to </w:t>
      </w:r>
      <w:r w:rsidR="00B62020" w:rsidRPr="00B32673">
        <w:rPr>
          <w:noProof/>
          <w:lang w:val="en-IE"/>
        </w:rPr>
        <w:t xml:space="preserve"> </w:t>
      </w:r>
      <w:r w:rsidR="007423D3" w:rsidRPr="007423D3">
        <w:rPr>
          <w:noProof/>
          <w:lang w:val="en-IE"/>
        </w:rPr>
        <w:t>Article 3</w:t>
      </w:r>
      <w:r w:rsidR="000F0004">
        <w:rPr>
          <w:noProof/>
          <w:lang w:val="en-IE"/>
        </w:rPr>
        <w:t>3</w:t>
      </w:r>
      <w:r w:rsidR="00B62020" w:rsidRPr="00B32673">
        <w:rPr>
          <w:noProof/>
          <w:lang w:val="en-IE"/>
        </w:rPr>
        <w:t>;</w:t>
      </w:r>
    </w:p>
    <w:p w14:paraId="6DD7F4A6" w14:textId="5ADB6008" w:rsidR="00B62020" w:rsidRPr="00B32673" w:rsidRDefault="00443218" w:rsidP="00443218">
      <w:pPr>
        <w:pStyle w:val="Point0"/>
        <w:rPr>
          <w:noProof/>
          <w:lang w:val="en-IE"/>
        </w:rPr>
      </w:pPr>
      <w:r w:rsidRPr="00443218">
        <w:t>(d)</w:t>
      </w:r>
      <w:r w:rsidRPr="00443218">
        <w:tab/>
      </w:r>
      <w:r w:rsidR="00B62020" w:rsidRPr="00B32673">
        <w:rPr>
          <w:noProof/>
          <w:lang w:val="en-IE"/>
        </w:rPr>
        <w:t xml:space="preserve">any voluntary financial contribution from Member States, third countries or other entities, provided such contribution is transparent, is clearly identified in the budget and does not compromise the independence and impartiality of the Agency. </w:t>
      </w:r>
    </w:p>
    <w:p w14:paraId="10D171DA" w14:textId="77777777" w:rsidR="00B62020" w:rsidRPr="00B32673" w:rsidRDefault="006746C6" w:rsidP="003931C3">
      <w:pPr>
        <w:pStyle w:val="Point0"/>
        <w:ind w:left="0" w:firstLine="0"/>
        <w:rPr>
          <w:noProof/>
          <w:lang w:val="en-IE"/>
        </w:rPr>
      </w:pPr>
      <w:r>
        <w:rPr>
          <w:noProof/>
          <w:lang w:val="en-IE"/>
        </w:rPr>
        <w:t>4.</w:t>
      </w:r>
      <w:r>
        <w:rPr>
          <w:noProof/>
          <w:lang w:val="en-IE"/>
        </w:rPr>
        <w:tab/>
      </w:r>
      <w:r w:rsidR="00B62020" w:rsidRPr="00B32673">
        <w:rPr>
          <w:noProof/>
          <w:lang w:val="en-IE"/>
        </w:rPr>
        <w:t>The expenditure of the Agency shall include staff remuneration, administrative and infrastructure expenses and operating costs.</w:t>
      </w:r>
    </w:p>
    <w:p w14:paraId="4E098140" w14:textId="77777777" w:rsidR="00B62020" w:rsidRPr="00B32673" w:rsidRDefault="00B62020" w:rsidP="00B32673">
      <w:pPr>
        <w:pStyle w:val="ListParagraph"/>
        <w:spacing w:after="200"/>
        <w:ind w:left="1080"/>
        <w:rPr>
          <w:noProof/>
          <w:lang w:val="en-IE"/>
        </w:rPr>
      </w:pPr>
    </w:p>
    <w:p w14:paraId="5DB051E9" w14:textId="77777777" w:rsidR="00B62020" w:rsidRPr="00B62020" w:rsidRDefault="004E0BAB" w:rsidP="00B62020">
      <w:pPr>
        <w:jc w:val="center"/>
        <w:rPr>
          <w:i/>
          <w:iCs/>
          <w:noProof/>
          <w:lang w:val="en-US"/>
        </w:rPr>
      </w:pPr>
      <w:r>
        <w:rPr>
          <w:i/>
          <w:iCs/>
          <w:noProof/>
          <w:lang w:val="en-US"/>
        </w:rPr>
        <w:t>Article 27</w:t>
      </w:r>
    </w:p>
    <w:p w14:paraId="5043336E" w14:textId="77777777" w:rsidR="00B62020" w:rsidRPr="00B62020" w:rsidRDefault="00B62020" w:rsidP="00B62020">
      <w:pPr>
        <w:spacing w:before="0" w:after="200"/>
        <w:jc w:val="center"/>
        <w:rPr>
          <w:b/>
          <w:iCs/>
          <w:noProof/>
          <w:lang w:val="en-US"/>
        </w:rPr>
      </w:pPr>
      <w:r w:rsidRPr="00B62020">
        <w:rPr>
          <w:rFonts w:eastAsia="Times New Roman"/>
          <w:b/>
          <w:i/>
          <w:noProof/>
          <w:sz w:val="22"/>
          <w:lang w:eastAsia="en-GB"/>
        </w:rPr>
        <w:t xml:space="preserve"> </w:t>
      </w:r>
      <w:r w:rsidRPr="00B62020">
        <w:rPr>
          <w:b/>
          <w:iCs/>
          <w:noProof/>
          <w:lang w:val="en-US"/>
        </w:rPr>
        <w:t>Establishment of the budget</w:t>
      </w:r>
    </w:p>
    <w:p w14:paraId="3D18F05B" w14:textId="77777777" w:rsidR="00B62020" w:rsidRPr="00AD0F94" w:rsidRDefault="006746C6" w:rsidP="006746C6">
      <w:pPr>
        <w:pStyle w:val="Point0"/>
        <w:ind w:left="0" w:firstLine="0"/>
        <w:rPr>
          <w:noProof/>
          <w:lang w:val="en-US"/>
        </w:rPr>
      </w:pPr>
      <w:r>
        <w:rPr>
          <w:noProof/>
          <w:lang w:val="en-US"/>
        </w:rPr>
        <w:t>1.</w:t>
      </w:r>
      <w:r>
        <w:rPr>
          <w:noProof/>
          <w:lang w:val="en-US"/>
        </w:rPr>
        <w:tab/>
      </w:r>
      <w:r w:rsidR="00B62020" w:rsidRPr="00AD0F94">
        <w:rPr>
          <w:noProof/>
          <w:lang w:val="en-US"/>
        </w:rPr>
        <w:t>Each year, the Executive Director shall draw up a draft statement of estimates of the Agency's revenue and expenditure for the following financial year, including the establishment plan, and send it to the Management Board.</w:t>
      </w:r>
    </w:p>
    <w:p w14:paraId="00C9B465" w14:textId="77777777" w:rsidR="00B62020" w:rsidRPr="00B62020" w:rsidRDefault="006746C6" w:rsidP="006746C6">
      <w:pPr>
        <w:pStyle w:val="Point0"/>
        <w:ind w:left="0" w:firstLine="0"/>
        <w:rPr>
          <w:noProof/>
          <w:lang w:val="en-US"/>
        </w:rPr>
      </w:pPr>
      <w:r>
        <w:rPr>
          <w:noProof/>
          <w:lang w:val="en-US"/>
        </w:rPr>
        <w:t>2.</w:t>
      </w:r>
      <w:r>
        <w:rPr>
          <w:noProof/>
          <w:lang w:val="en-US"/>
        </w:rPr>
        <w:tab/>
      </w:r>
      <w:r w:rsidR="00B62020" w:rsidRPr="00B62020">
        <w:rPr>
          <w:noProof/>
          <w:lang w:val="en-US"/>
        </w:rPr>
        <w:t>The Management Board shall, on the basis of that draft, adopt a provisional draft estimate of the Agency's revenue and expenditure for the following financial year.</w:t>
      </w:r>
    </w:p>
    <w:p w14:paraId="551A384B" w14:textId="77777777" w:rsidR="00B62020" w:rsidRPr="00B62020" w:rsidRDefault="006746C6" w:rsidP="006746C6">
      <w:pPr>
        <w:pStyle w:val="Point0"/>
        <w:ind w:left="0" w:firstLine="0"/>
        <w:rPr>
          <w:noProof/>
          <w:lang w:val="en-US"/>
        </w:rPr>
      </w:pPr>
      <w:r>
        <w:rPr>
          <w:noProof/>
          <w:lang w:val="en-US"/>
        </w:rPr>
        <w:t>3.</w:t>
      </w:r>
      <w:r>
        <w:rPr>
          <w:noProof/>
          <w:lang w:val="en-US"/>
        </w:rPr>
        <w:tab/>
      </w:r>
      <w:r w:rsidR="00B62020" w:rsidRPr="00B62020">
        <w:rPr>
          <w:noProof/>
          <w:lang w:val="en-US"/>
        </w:rPr>
        <w:t>The provisional draft estimate of the Agency's revenue and expenditure shall be sent to the Commission by 31 January each year. The Management Board shall send the final draft estimate to the Commission by 31 March</w:t>
      </w:r>
      <w:r w:rsidR="006D0E59">
        <w:rPr>
          <w:noProof/>
          <w:lang w:val="en-US"/>
        </w:rPr>
        <w:t xml:space="preserve"> of that year</w:t>
      </w:r>
      <w:r w:rsidR="00B62020" w:rsidRPr="00B62020">
        <w:rPr>
          <w:noProof/>
          <w:lang w:val="en-US"/>
        </w:rPr>
        <w:t>.</w:t>
      </w:r>
    </w:p>
    <w:p w14:paraId="69EE7886" w14:textId="77777777" w:rsidR="00B62020" w:rsidRPr="00B62020" w:rsidRDefault="006746C6" w:rsidP="006746C6">
      <w:pPr>
        <w:pStyle w:val="Point0"/>
        <w:ind w:left="0" w:firstLine="0"/>
        <w:rPr>
          <w:noProof/>
          <w:lang w:val="en-US"/>
        </w:rPr>
      </w:pPr>
      <w:r>
        <w:rPr>
          <w:noProof/>
          <w:lang w:val="en-US"/>
        </w:rPr>
        <w:t>4.</w:t>
      </w:r>
      <w:r>
        <w:rPr>
          <w:noProof/>
          <w:lang w:val="en-US"/>
        </w:rPr>
        <w:tab/>
      </w:r>
      <w:r w:rsidR="00B62020" w:rsidRPr="00B62020">
        <w:rPr>
          <w:noProof/>
          <w:lang w:val="en-US"/>
        </w:rPr>
        <w:t>The Commission shall send the statement of estimates to the budgetary authority together with the draft general budget of the European Union.</w:t>
      </w:r>
    </w:p>
    <w:p w14:paraId="7C92ABD4" w14:textId="77777777" w:rsidR="00B62020" w:rsidRPr="00B62020" w:rsidRDefault="006746C6" w:rsidP="006746C6">
      <w:pPr>
        <w:pStyle w:val="Point0"/>
        <w:ind w:left="0" w:firstLine="0"/>
        <w:rPr>
          <w:noProof/>
          <w:lang w:val="en-US"/>
        </w:rPr>
      </w:pPr>
      <w:r>
        <w:rPr>
          <w:noProof/>
          <w:lang w:val="en-US"/>
        </w:rPr>
        <w:t>5.</w:t>
      </w:r>
      <w:r>
        <w:rPr>
          <w:noProof/>
          <w:lang w:val="en-US"/>
        </w:rPr>
        <w:tab/>
      </w:r>
      <w:r w:rsidR="00B62020" w:rsidRPr="00B62020">
        <w:rPr>
          <w:noProof/>
          <w:lang w:val="en-US"/>
        </w:rPr>
        <w:t xml:space="preserve">On the basis of the statement of estimates, the Commission shall enter in the draft general budget of the European Union the estimates it considers necessary for the establishment plan and the amount of the subsidy to be charged to the general budget, which it shall place before the budgetary authority in accordance with Articles 313 and 314 of the </w:t>
      </w:r>
      <w:r w:rsidR="006D0E59" w:rsidRPr="00B62020">
        <w:rPr>
          <w:noProof/>
          <w:lang w:val="en-US"/>
        </w:rPr>
        <w:t>T</w:t>
      </w:r>
      <w:r w:rsidR="006D0E59">
        <w:rPr>
          <w:noProof/>
          <w:lang w:val="en-US"/>
        </w:rPr>
        <w:t>FEU</w:t>
      </w:r>
      <w:r w:rsidR="00B62020" w:rsidRPr="00B62020">
        <w:rPr>
          <w:noProof/>
          <w:lang w:val="en-US"/>
        </w:rPr>
        <w:t>.</w:t>
      </w:r>
    </w:p>
    <w:p w14:paraId="21D6ED96" w14:textId="77777777" w:rsidR="00B62020" w:rsidRPr="00B62020" w:rsidRDefault="006746C6" w:rsidP="006746C6">
      <w:pPr>
        <w:pStyle w:val="Point0"/>
        <w:ind w:left="0" w:firstLine="0"/>
        <w:rPr>
          <w:noProof/>
          <w:lang w:val="en-US"/>
        </w:rPr>
      </w:pPr>
      <w:r>
        <w:rPr>
          <w:noProof/>
          <w:lang w:val="en-US"/>
        </w:rPr>
        <w:t>6.</w:t>
      </w:r>
      <w:r>
        <w:rPr>
          <w:noProof/>
          <w:lang w:val="en-US"/>
        </w:rPr>
        <w:tab/>
      </w:r>
      <w:r w:rsidR="00B62020" w:rsidRPr="00B62020">
        <w:rPr>
          <w:noProof/>
          <w:lang w:val="en-US"/>
        </w:rPr>
        <w:t>The budgetary authority shall authorize the appropriations for the contribution to the Agency.</w:t>
      </w:r>
    </w:p>
    <w:p w14:paraId="4D6559D9" w14:textId="77777777" w:rsidR="00B62020" w:rsidRPr="00B62020" w:rsidRDefault="006746C6" w:rsidP="006746C6">
      <w:pPr>
        <w:pStyle w:val="Point0"/>
        <w:ind w:left="0" w:firstLine="0"/>
        <w:rPr>
          <w:noProof/>
          <w:lang w:val="en-US"/>
        </w:rPr>
      </w:pPr>
      <w:r>
        <w:rPr>
          <w:noProof/>
          <w:lang w:val="en-US"/>
        </w:rPr>
        <w:t>7.</w:t>
      </w:r>
      <w:r>
        <w:rPr>
          <w:noProof/>
          <w:lang w:val="en-US"/>
        </w:rPr>
        <w:tab/>
      </w:r>
      <w:r w:rsidR="00B62020" w:rsidRPr="00B62020">
        <w:rPr>
          <w:noProof/>
          <w:lang w:val="en-US"/>
        </w:rPr>
        <w:t>The budgetary authority shall adopt the Agency's establishment plan.</w:t>
      </w:r>
    </w:p>
    <w:p w14:paraId="4434C92D" w14:textId="77777777" w:rsidR="00B62020" w:rsidRPr="00B62020" w:rsidRDefault="006746C6" w:rsidP="006746C6">
      <w:pPr>
        <w:pStyle w:val="Point0"/>
        <w:ind w:left="0" w:firstLine="0"/>
        <w:rPr>
          <w:noProof/>
          <w:lang w:val="en-US"/>
        </w:rPr>
      </w:pPr>
      <w:r>
        <w:rPr>
          <w:noProof/>
          <w:lang w:val="en-US"/>
        </w:rPr>
        <w:t>8.</w:t>
      </w:r>
      <w:r>
        <w:rPr>
          <w:noProof/>
          <w:lang w:val="en-US"/>
        </w:rPr>
        <w:tab/>
      </w:r>
      <w:r w:rsidR="00B62020" w:rsidRPr="00B62020">
        <w:rPr>
          <w:noProof/>
          <w:lang w:val="en-US"/>
        </w:rPr>
        <w:t>The Agency's budget shall be adopted by the Management Board. It shall become final following final adoption of the general budget of the European Union. Where necessary, it shall be adjusted accordingly.</w:t>
      </w:r>
    </w:p>
    <w:p w14:paraId="38169A0A" w14:textId="77777777" w:rsidR="00B62020" w:rsidRPr="00B32673" w:rsidRDefault="006746C6" w:rsidP="006746C6">
      <w:pPr>
        <w:pStyle w:val="Point0"/>
        <w:ind w:left="0" w:firstLine="0"/>
        <w:rPr>
          <w:noProof/>
          <w:lang w:val="en-US"/>
        </w:rPr>
      </w:pPr>
      <w:r>
        <w:rPr>
          <w:noProof/>
          <w:lang w:val="en-US"/>
        </w:rPr>
        <w:t>9.</w:t>
      </w:r>
      <w:r>
        <w:rPr>
          <w:noProof/>
          <w:lang w:val="en-US"/>
        </w:rPr>
        <w:tab/>
      </w:r>
      <w:r w:rsidR="00B62020" w:rsidRPr="00B32673">
        <w:rPr>
          <w:noProof/>
          <w:lang w:val="en-US"/>
        </w:rPr>
        <w:t xml:space="preserve">For any building project likely to have significant implications for the budget </w:t>
      </w:r>
      <w:r w:rsidR="00B32673">
        <w:rPr>
          <w:noProof/>
          <w:lang w:val="en-US"/>
        </w:rPr>
        <w:t xml:space="preserve">of </w:t>
      </w:r>
      <w:r w:rsidR="00B62020" w:rsidRPr="00B32673">
        <w:rPr>
          <w:noProof/>
          <w:lang w:val="en-US"/>
        </w:rPr>
        <w:t>the Agency the provisions of Delegated Regulation (EU) No 715/2019 shall apply.</w:t>
      </w:r>
    </w:p>
    <w:p w14:paraId="5620518A" w14:textId="77777777" w:rsidR="00B62020" w:rsidRPr="00B62020" w:rsidRDefault="00B62020" w:rsidP="00B62020">
      <w:pPr>
        <w:spacing w:before="0" w:after="200"/>
        <w:jc w:val="center"/>
        <w:rPr>
          <w:rFonts w:eastAsia="Times New Roman"/>
          <w:b/>
          <w:i/>
          <w:noProof/>
          <w:sz w:val="22"/>
          <w:lang w:eastAsia="en-GB"/>
        </w:rPr>
      </w:pPr>
    </w:p>
    <w:p w14:paraId="30E50828" w14:textId="77777777" w:rsidR="00B62020" w:rsidRPr="00B62020" w:rsidRDefault="00B32673" w:rsidP="00B62020">
      <w:pPr>
        <w:jc w:val="center"/>
        <w:rPr>
          <w:i/>
          <w:iCs/>
          <w:noProof/>
          <w:lang w:val="en-US"/>
        </w:rPr>
      </w:pPr>
      <w:r>
        <w:rPr>
          <w:i/>
          <w:iCs/>
          <w:noProof/>
          <w:lang w:val="en-US"/>
        </w:rPr>
        <w:t xml:space="preserve">Article </w:t>
      </w:r>
      <w:r w:rsidR="004E0BAB">
        <w:rPr>
          <w:i/>
          <w:iCs/>
          <w:noProof/>
          <w:lang w:val="en-US"/>
        </w:rPr>
        <w:t>28</w:t>
      </w:r>
    </w:p>
    <w:p w14:paraId="5D76A505" w14:textId="77777777" w:rsidR="00B62020" w:rsidRPr="00B62020" w:rsidRDefault="00B62020" w:rsidP="00B62020">
      <w:pPr>
        <w:spacing w:before="0" w:after="200"/>
        <w:jc w:val="center"/>
        <w:rPr>
          <w:b/>
          <w:iCs/>
          <w:noProof/>
          <w:lang w:val="en-US"/>
        </w:rPr>
      </w:pPr>
      <w:r w:rsidRPr="00B62020">
        <w:rPr>
          <w:b/>
          <w:iCs/>
          <w:noProof/>
          <w:lang w:val="en-US"/>
        </w:rPr>
        <w:t>Implementation of the budget</w:t>
      </w:r>
    </w:p>
    <w:p w14:paraId="2BA59D64" w14:textId="77777777" w:rsidR="00B62020" w:rsidRPr="00AD0F94" w:rsidRDefault="006746C6" w:rsidP="003931C3">
      <w:pPr>
        <w:pStyle w:val="Point0"/>
        <w:ind w:left="0" w:firstLine="0"/>
        <w:rPr>
          <w:noProof/>
          <w:lang w:val="en-US"/>
        </w:rPr>
      </w:pPr>
      <w:r>
        <w:rPr>
          <w:noProof/>
          <w:lang w:val="en-US"/>
        </w:rPr>
        <w:t>1.</w:t>
      </w:r>
      <w:r>
        <w:rPr>
          <w:noProof/>
          <w:lang w:val="en-US"/>
        </w:rPr>
        <w:tab/>
      </w:r>
      <w:r w:rsidR="00B62020" w:rsidRPr="00AD0F94">
        <w:rPr>
          <w:noProof/>
          <w:lang w:val="en-US"/>
        </w:rPr>
        <w:t>The Executive Director shall implement the Agency's budget.</w:t>
      </w:r>
    </w:p>
    <w:p w14:paraId="0B93C060" w14:textId="77777777" w:rsidR="00B62020" w:rsidRPr="00B62020" w:rsidRDefault="006746C6" w:rsidP="003931C3">
      <w:pPr>
        <w:pStyle w:val="Point0"/>
        <w:ind w:left="0" w:firstLine="0"/>
        <w:rPr>
          <w:noProof/>
          <w:lang w:val="en-US"/>
        </w:rPr>
      </w:pPr>
      <w:r>
        <w:rPr>
          <w:noProof/>
          <w:lang w:val="en-US"/>
        </w:rPr>
        <w:t>2.</w:t>
      </w:r>
      <w:r>
        <w:rPr>
          <w:noProof/>
          <w:lang w:val="en-US"/>
        </w:rPr>
        <w:tab/>
      </w:r>
      <w:r w:rsidR="00B62020" w:rsidRPr="00B62020">
        <w:rPr>
          <w:noProof/>
          <w:lang w:val="en-US"/>
        </w:rPr>
        <w:t>Each year the Executive Director shall send to the budgetary authority all information relevant to the findings of evaluation procedures.</w:t>
      </w:r>
    </w:p>
    <w:p w14:paraId="3E47DB72" w14:textId="77777777" w:rsidR="00B62020" w:rsidRPr="00B62020" w:rsidRDefault="00B62020" w:rsidP="00B62020">
      <w:pPr>
        <w:spacing w:before="0" w:after="200"/>
        <w:rPr>
          <w:rFonts w:eastAsia="Times New Roman"/>
          <w:i/>
          <w:noProof/>
          <w:sz w:val="22"/>
          <w:lang w:eastAsia="en-GB"/>
        </w:rPr>
      </w:pPr>
    </w:p>
    <w:p w14:paraId="65BA8392" w14:textId="77777777" w:rsidR="00B62020" w:rsidRPr="00B62020" w:rsidRDefault="00F90B7E" w:rsidP="00B62020">
      <w:pPr>
        <w:jc w:val="center"/>
        <w:rPr>
          <w:i/>
          <w:iCs/>
          <w:noProof/>
          <w:lang w:val="en-US"/>
        </w:rPr>
      </w:pPr>
      <w:r>
        <w:rPr>
          <w:i/>
          <w:iCs/>
          <w:noProof/>
          <w:lang w:val="en-US"/>
        </w:rPr>
        <w:t xml:space="preserve">Article </w:t>
      </w:r>
      <w:r w:rsidR="004E0BAB">
        <w:rPr>
          <w:i/>
          <w:iCs/>
          <w:noProof/>
          <w:lang w:val="en-US"/>
        </w:rPr>
        <w:t>29</w:t>
      </w:r>
    </w:p>
    <w:p w14:paraId="3F566C1A" w14:textId="77777777" w:rsidR="00B62020" w:rsidRPr="00B62020" w:rsidRDefault="00B62020" w:rsidP="00B62020">
      <w:pPr>
        <w:spacing w:before="0" w:after="200"/>
        <w:jc w:val="center"/>
        <w:rPr>
          <w:b/>
          <w:iCs/>
          <w:noProof/>
          <w:lang w:val="en-US"/>
        </w:rPr>
      </w:pPr>
      <w:r w:rsidRPr="00B62020">
        <w:rPr>
          <w:b/>
          <w:iCs/>
          <w:noProof/>
          <w:lang w:val="en-US"/>
        </w:rPr>
        <w:t>Presentation of accounts and discharge</w:t>
      </w:r>
    </w:p>
    <w:p w14:paraId="717E0925" w14:textId="77777777" w:rsidR="00B62020" w:rsidRPr="00AD0F94" w:rsidRDefault="006746C6" w:rsidP="003931C3">
      <w:pPr>
        <w:pStyle w:val="Point0"/>
        <w:ind w:left="0" w:firstLine="0"/>
        <w:rPr>
          <w:noProof/>
          <w:lang w:val="en-US"/>
        </w:rPr>
      </w:pPr>
      <w:r>
        <w:rPr>
          <w:noProof/>
          <w:lang w:val="en-US"/>
        </w:rPr>
        <w:t>1.</w:t>
      </w:r>
      <w:r>
        <w:rPr>
          <w:noProof/>
          <w:lang w:val="en-US"/>
        </w:rPr>
        <w:tab/>
      </w:r>
      <w:r w:rsidR="00B62020" w:rsidRPr="00AD0F94">
        <w:rPr>
          <w:noProof/>
          <w:lang w:val="en-US"/>
        </w:rPr>
        <w:t>By 1 March of the following financial year, the Agency's accounting officer shall send the provisional accounts to the Commission's</w:t>
      </w:r>
      <w:r w:rsidR="006D0E59">
        <w:rPr>
          <w:noProof/>
          <w:lang w:val="en-US"/>
        </w:rPr>
        <w:t xml:space="preserve"> a</w:t>
      </w:r>
      <w:r w:rsidR="006D0E59" w:rsidRPr="00AD0F94">
        <w:rPr>
          <w:noProof/>
          <w:lang w:val="en-US"/>
        </w:rPr>
        <w:t xml:space="preserve">ccounting </w:t>
      </w:r>
      <w:r w:rsidR="006D0E59">
        <w:rPr>
          <w:noProof/>
          <w:lang w:val="en-US"/>
        </w:rPr>
        <w:t>o</w:t>
      </w:r>
      <w:r w:rsidR="00B62020" w:rsidRPr="00AD0F94">
        <w:rPr>
          <w:noProof/>
          <w:lang w:val="en-US"/>
        </w:rPr>
        <w:t xml:space="preserve">fficer and to the Court of Auditors </w:t>
      </w:r>
    </w:p>
    <w:p w14:paraId="0B31B945" w14:textId="77777777" w:rsidR="00B62020" w:rsidRPr="00B62020" w:rsidRDefault="006746C6" w:rsidP="003931C3">
      <w:pPr>
        <w:pStyle w:val="Point0"/>
        <w:ind w:left="0" w:firstLine="0"/>
        <w:rPr>
          <w:noProof/>
          <w:lang w:val="en-US"/>
        </w:rPr>
      </w:pPr>
      <w:r>
        <w:rPr>
          <w:noProof/>
          <w:lang w:val="en-US"/>
        </w:rPr>
        <w:t>2.</w:t>
      </w:r>
      <w:r>
        <w:rPr>
          <w:noProof/>
          <w:lang w:val="en-US"/>
        </w:rPr>
        <w:tab/>
      </w:r>
      <w:r w:rsidR="00B62020" w:rsidRPr="00B62020">
        <w:rPr>
          <w:noProof/>
          <w:lang w:val="en-US"/>
        </w:rPr>
        <w:t>By 31 March of the following financial year, the Agency shall send the report on the budgetary and financial management to the European Parliament, the Council and the Court of Auditors.</w:t>
      </w:r>
    </w:p>
    <w:p w14:paraId="0D9D440B" w14:textId="77777777" w:rsidR="00B62020" w:rsidRPr="00B62020" w:rsidRDefault="006746C6" w:rsidP="003931C3">
      <w:pPr>
        <w:pStyle w:val="Point0"/>
        <w:ind w:left="0" w:firstLine="0"/>
        <w:rPr>
          <w:noProof/>
          <w:lang w:val="en-US"/>
        </w:rPr>
      </w:pPr>
      <w:r>
        <w:rPr>
          <w:noProof/>
          <w:lang w:val="en-US"/>
        </w:rPr>
        <w:t>3.</w:t>
      </w:r>
      <w:r>
        <w:rPr>
          <w:noProof/>
          <w:lang w:val="en-US"/>
        </w:rPr>
        <w:tab/>
      </w:r>
      <w:r w:rsidR="00B62020" w:rsidRPr="00B62020">
        <w:rPr>
          <w:noProof/>
          <w:lang w:val="en-US"/>
        </w:rPr>
        <w:t>By 31 March of the following financial year, the Commission's accounting officer shall send the Agency's provisional accounts, consolidated with the Commission's accounts, to the Court of Auditors.</w:t>
      </w:r>
    </w:p>
    <w:p w14:paraId="65480168" w14:textId="77777777" w:rsidR="00B62020" w:rsidRPr="00B62020" w:rsidRDefault="006746C6" w:rsidP="003931C3">
      <w:pPr>
        <w:pStyle w:val="Point0"/>
        <w:ind w:left="0" w:firstLine="0"/>
        <w:rPr>
          <w:noProof/>
          <w:lang w:val="en-US"/>
        </w:rPr>
      </w:pPr>
      <w:r>
        <w:rPr>
          <w:noProof/>
          <w:lang w:val="en-US"/>
        </w:rPr>
        <w:t>4.</w:t>
      </w:r>
      <w:r>
        <w:rPr>
          <w:noProof/>
          <w:lang w:val="en-US"/>
        </w:rPr>
        <w:tab/>
      </w:r>
      <w:r w:rsidR="00B62020" w:rsidRPr="00B62020">
        <w:rPr>
          <w:noProof/>
          <w:lang w:val="en-US"/>
        </w:rPr>
        <w:t xml:space="preserve">On receipt of the Court of Auditors' observations on the Agency's provisional accounts pursuant to Article 246 of </w:t>
      </w:r>
      <w:r w:rsidR="006D0E59">
        <w:rPr>
          <w:noProof/>
          <w:lang w:val="en-US"/>
        </w:rPr>
        <w:t xml:space="preserve">the </w:t>
      </w:r>
      <w:r w:rsidR="00B62020" w:rsidRPr="00B62020">
        <w:rPr>
          <w:noProof/>
          <w:lang w:val="en-US"/>
        </w:rPr>
        <w:t>Financial Regulation, the Executive Director shall draw up the Agency's final accounts under his</w:t>
      </w:r>
      <w:r w:rsidR="006D0E59">
        <w:rPr>
          <w:noProof/>
          <w:lang w:val="en-US"/>
        </w:rPr>
        <w:t xml:space="preserve"> or </w:t>
      </w:r>
      <w:r w:rsidR="00B62020" w:rsidRPr="00B62020">
        <w:rPr>
          <w:noProof/>
          <w:lang w:val="en-US"/>
        </w:rPr>
        <w:t>her own responsibility and submit them to the Management Board for an opinion.</w:t>
      </w:r>
    </w:p>
    <w:p w14:paraId="166AE174" w14:textId="77777777" w:rsidR="00B62020" w:rsidRPr="00B62020" w:rsidRDefault="006746C6" w:rsidP="003931C3">
      <w:pPr>
        <w:pStyle w:val="Point0"/>
        <w:ind w:left="0" w:firstLine="0"/>
        <w:rPr>
          <w:noProof/>
          <w:lang w:val="en-US"/>
        </w:rPr>
      </w:pPr>
      <w:r>
        <w:rPr>
          <w:noProof/>
          <w:lang w:val="en-US"/>
        </w:rPr>
        <w:t>5.</w:t>
      </w:r>
      <w:r>
        <w:rPr>
          <w:noProof/>
          <w:lang w:val="en-US"/>
        </w:rPr>
        <w:tab/>
      </w:r>
      <w:r w:rsidR="00B62020" w:rsidRPr="00B62020">
        <w:rPr>
          <w:noProof/>
          <w:lang w:val="en-US"/>
        </w:rPr>
        <w:t>The Management Board shall deliver an opinion on the Agency's final accounts.</w:t>
      </w:r>
    </w:p>
    <w:p w14:paraId="1D57DD7C" w14:textId="77777777" w:rsidR="00B62020" w:rsidRPr="00B62020" w:rsidRDefault="006746C6" w:rsidP="003931C3">
      <w:pPr>
        <w:pStyle w:val="Point0"/>
        <w:ind w:left="0" w:firstLine="0"/>
        <w:rPr>
          <w:noProof/>
          <w:lang w:val="en-US"/>
        </w:rPr>
      </w:pPr>
      <w:r>
        <w:rPr>
          <w:noProof/>
          <w:lang w:val="en-US"/>
        </w:rPr>
        <w:t>6.</w:t>
      </w:r>
      <w:r>
        <w:rPr>
          <w:noProof/>
          <w:lang w:val="en-US"/>
        </w:rPr>
        <w:tab/>
      </w:r>
      <w:r w:rsidR="00B62020" w:rsidRPr="00B62020">
        <w:rPr>
          <w:noProof/>
          <w:lang w:val="en-US"/>
        </w:rPr>
        <w:t xml:space="preserve">The  accounting officer shall, by 1 July </w:t>
      </w:r>
      <w:r w:rsidR="006D0E59">
        <w:rPr>
          <w:noProof/>
          <w:lang w:val="en-US"/>
        </w:rPr>
        <w:t xml:space="preserve">of the </w:t>
      </w:r>
      <w:r w:rsidR="00B62020" w:rsidRPr="00B62020">
        <w:rPr>
          <w:noProof/>
          <w:lang w:val="en-US"/>
        </w:rPr>
        <w:t>following financial year, send the final accounts to the European Parliament, the Council, the Commission and the Court of Auditors, together with the Management Board's opinion.</w:t>
      </w:r>
    </w:p>
    <w:p w14:paraId="4ED89651" w14:textId="77777777" w:rsidR="00B62020" w:rsidRPr="00B62020" w:rsidRDefault="006746C6" w:rsidP="003931C3">
      <w:pPr>
        <w:pStyle w:val="Point0"/>
        <w:ind w:left="0" w:firstLine="0"/>
        <w:rPr>
          <w:noProof/>
          <w:lang w:val="en-US"/>
        </w:rPr>
      </w:pPr>
      <w:r>
        <w:rPr>
          <w:noProof/>
          <w:lang w:val="en-US"/>
        </w:rPr>
        <w:t>7.</w:t>
      </w:r>
      <w:r>
        <w:rPr>
          <w:noProof/>
          <w:lang w:val="en-US"/>
        </w:rPr>
        <w:tab/>
      </w:r>
      <w:r w:rsidR="00B62020" w:rsidRPr="00B62020">
        <w:rPr>
          <w:noProof/>
          <w:lang w:val="en-US"/>
        </w:rPr>
        <w:t>The final accounts shall be published in the Official Journal of the European Union by 15 November of the following</w:t>
      </w:r>
      <w:r w:rsidR="006D0E59">
        <w:rPr>
          <w:noProof/>
          <w:lang w:val="en-US"/>
        </w:rPr>
        <w:t xml:space="preserve"> financial</w:t>
      </w:r>
      <w:r w:rsidR="00B62020" w:rsidRPr="00B62020">
        <w:rPr>
          <w:noProof/>
          <w:lang w:val="en-US"/>
        </w:rPr>
        <w:t xml:space="preserve"> year.</w:t>
      </w:r>
    </w:p>
    <w:p w14:paraId="660B8B13" w14:textId="77777777" w:rsidR="00B62020" w:rsidRPr="00B62020" w:rsidRDefault="006746C6" w:rsidP="003931C3">
      <w:pPr>
        <w:pStyle w:val="Point0"/>
        <w:ind w:left="0" w:firstLine="0"/>
        <w:rPr>
          <w:noProof/>
          <w:lang w:val="en-US"/>
        </w:rPr>
      </w:pPr>
      <w:r>
        <w:rPr>
          <w:noProof/>
          <w:lang w:val="en-US"/>
        </w:rPr>
        <w:t>8.</w:t>
      </w:r>
      <w:r>
        <w:rPr>
          <w:noProof/>
          <w:lang w:val="en-US"/>
        </w:rPr>
        <w:tab/>
      </w:r>
      <w:r w:rsidR="00B62020" w:rsidRPr="00B62020">
        <w:rPr>
          <w:noProof/>
          <w:lang w:val="en-US"/>
        </w:rPr>
        <w:t>The Executive Director shall send the Court of Auditors a reply to its observations by 30 September. The Executive Director shall also send th</w:t>
      </w:r>
      <w:r w:rsidR="006D0E59">
        <w:rPr>
          <w:noProof/>
          <w:lang w:val="en-US"/>
        </w:rPr>
        <w:t>at</w:t>
      </w:r>
      <w:r w:rsidR="00B62020" w:rsidRPr="00B62020">
        <w:rPr>
          <w:noProof/>
          <w:lang w:val="en-US"/>
        </w:rPr>
        <w:t xml:space="preserve"> reply to the Management Board.</w:t>
      </w:r>
    </w:p>
    <w:p w14:paraId="63E33616" w14:textId="77777777" w:rsidR="00B62020" w:rsidRPr="00B62020" w:rsidRDefault="006746C6" w:rsidP="006746C6">
      <w:pPr>
        <w:pStyle w:val="Point0"/>
        <w:ind w:left="0" w:firstLine="0"/>
        <w:rPr>
          <w:noProof/>
          <w:lang w:val="en-US"/>
        </w:rPr>
      </w:pPr>
      <w:r>
        <w:rPr>
          <w:noProof/>
          <w:lang w:val="en-US"/>
        </w:rPr>
        <w:t>9.</w:t>
      </w:r>
      <w:r>
        <w:rPr>
          <w:noProof/>
          <w:lang w:val="en-US"/>
        </w:rPr>
        <w:tab/>
      </w:r>
      <w:r w:rsidR="00B62020" w:rsidRPr="00B62020">
        <w:rPr>
          <w:noProof/>
          <w:lang w:val="en-US"/>
        </w:rPr>
        <w:t xml:space="preserve">The Executive Director shall submit to the European Parliament, at the latter's request, any information required for the smooth application of the discharge procedure for the financial year in question, in accordance with Article 261(3) of </w:t>
      </w:r>
      <w:r w:rsidR="006D0E59">
        <w:rPr>
          <w:noProof/>
          <w:lang w:val="en-US"/>
        </w:rPr>
        <w:t xml:space="preserve">the </w:t>
      </w:r>
      <w:r w:rsidR="00B62020" w:rsidRPr="00B62020">
        <w:rPr>
          <w:noProof/>
          <w:lang w:val="en-US"/>
        </w:rPr>
        <w:t>Financial Regulation.</w:t>
      </w:r>
    </w:p>
    <w:p w14:paraId="1E9ED032" w14:textId="77777777" w:rsidR="00B62020" w:rsidRPr="00B62020" w:rsidRDefault="006746C6" w:rsidP="003931C3">
      <w:pPr>
        <w:pStyle w:val="Point0"/>
        <w:ind w:left="0" w:firstLine="0"/>
        <w:rPr>
          <w:noProof/>
          <w:lang w:val="en-US"/>
        </w:rPr>
      </w:pPr>
      <w:r>
        <w:rPr>
          <w:noProof/>
          <w:lang w:val="en-US"/>
        </w:rPr>
        <w:t>10.</w:t>
      </w:r>
      <w:r>
        <w:rPr>
          <w:noProof/>
          <w:lang w:val="en-US"/>
        </w:rPr>
        <w:tab/>
      </w:r>
      <w:r w:rsidR="00B62020" w:rsidRPr="00B62020">
        <w:rPr>
          <w:noProof/>
          <w:lang w:val="en-US"/>
        </w:rPr>
        <w:t>On a recommendation from the Council acting by a qualified majority, the European Parliament shall, before 15 May of year N + 2, give a discharge to the Executive Director in respect of the implementation of the budget for year N.</w:t>
      </w:r>
    </w:p>
    <w:p w14:paraId="4DA5DEB6" w14:textId="77777777" w:rsidR="00B62020" w:rsidRPr="00B62020" w:rsidRDefault="00B62020" w:rsidP="00B62020">
      <w:pPr>
        <w:spacing w:before="0" w:after="200"/>
        <w:jc w:val="left"/>
        <w:rPr>
          <w:rFonts w:eastAsia="Times New Roman"/>
          <w:i/>
          <w:noProof/>
          <w:sz w:val="22"/>
          <w:lang w:eastAsia="en-GB"/>
        </w:rPr>
      </w:pPr>
    </w:p>
    <w:p w14:paraId="6F5DD012" w14:textId="77777777" w:rsidR="00B62020" w:rsidRPr="00B62020" w:rsidRDefault="00B62020" w:rsidP="00B62020">
      <w:pPr>
        <w:spacing w:before="0" w:after="200"/>
        <w:jc w:val="left"/>
        <w:rPr>
          <w:rFonts w:eastAsia="Times New Roman"/>
          <w:i/>
          <w:noProof/>
          <w:sz w:val="22"/>
          <w:lang w:eastAsia="en-GB"/>
        </w:rPr>
      </w:pPr>
    </w:p>
    <w:p w14:paraId="7D042837" w14:textId="77777777" w:rsidR="00B62020" w:rsidRPr="00B62020" w:rsidRDefault="00B62020" w:rsidP="00B62020">
      <w:pPr>
        <w:keepNext/>
        <w:spacing w:before="0" w:after="200"/>
        <w:jc w:val="center"/>
        <w:rPr>
          <w:i/>
          <w:noProof/>
          <w:lang w:val="en-US"/>
        </w:rPr>
      </w:pPr>
      <w:r w:rsidRPr="00B62020">
        <w:rPr>
          <w:i/>
          <w:noProof/>
          <w:lang w:val="en-US"/>
        </w:rPr>
        <w:t>CHAPTER VI</w:t>
      </w:r>
      <w:r w:rsidR="00F90B7E">
        <w:rPr>
          <w:i/>
          <w:noProof/>
          <w:lang w:val="en-US"/>
        </w:rPr>
        <w:t>I</w:t>
      </w:r>
    </w:p>
    <w:p w14:paraId="2387B28E" w14:textId="77777777" w:rsidR="00B62020" w:rsidRPr="00B62020" w:rsidRDefault="00B62020" w:rsidP="00B62020">
      <w:pPr>
        <w:spacing w:before="0" w:after="200"/>
        <w:jc w:val="center"/>
        <w:rPr>
          <w:b/>
          <w:noProof/>
          <w:lang w:val="en-US"/>
        </w:rPr>
      </w:pPr>
      <w:r w:rsidRPr="00B62020">
        <w:rPr>
          <w:b/>
          <w:noProof/>
          <w:lang w:val="en-US"/>
        </w:rPr>
        <w:t>STAFF</w:t>
      </w:r>
    </w:p>
    <w:p w14:paraId="27D9ACB5" w14:textId="77777777" w:rsidR="00B62020" w:rsidRPr="00B62020" w:rsidRDefault="00B62020" w:rsidP="00B62020">
      <w:pPr>
        <w:spacing w:before="0" w:after="200"/>
        <w:jc w:val="left"/>
        <w:rPr>
          <w:rFonts w:eastAsia="Times New Roman"/>
          <w:i/>
          <w:noProof/>
          <w:sz w:val="22"/>
          <w:lang w:eastAsia="en-GB"/>
        </w:rPr>
      </w:pPr>
    </w:p>
    <w:p w14:paraId="64C35B4B" w14:textId="77777777" w:rsidR="00B62020" w:rsidRPr="00B62020" w:rsidRDefault="00F90B7E" w:rsidP="00B62020">
      <w:pPr>
        <w:jc w:val="center"/>
        <w:rPr>
          <w:i/>
          <w:iCs/>
          <w:noProof/>
          <w:lang w:val="en-US"/>
        </w:rPr>
      </w:pPr>
      <w:r>
        <w:rPr>
          <w:i/>
          <w:iCs/>
          <w:noProof/>
          <w:lang w:val="en-US"/>
        </w:rPr>
        <w:t>Article 3</w:t>
      </w:r>
      <w:r w:rsidR="004E0BAB">
        <w:rPr>
          <w:i/>
          <w:iCs/>
          <w:noProof/>
          <w:lang w:val="en-US"/>
        </w:rPr>
        <w:t>0</w:t>
      </w:r>
    </w:p>
    <w:p w14:paraId="35922749" w14:textId="77777777" w:rsidR="00B62020" w:rsidRPr="00B62020" w:rsidRDefault="00B62020" w:rsidP="00B62020">
      <w:pPr>
        <w:spacing w:before="0" w:after="200"/>
        <w:jc w:val="center"/>
        <w:rPr>
          <w:b/>
          <w:iCs/>
          <w:noProof/>
          <w:lang w:val="en-US"/>
        </w:rPr>
      </w:pPr>
      <w:r w:rsidRPr="00B62020">
        <w:rPr>
          <w:b/>
          <w:iCs/>
          <w:noProof/>
          <w:lang w:val="en-US"/>
        </w:rPr>
        <w:t>General provision</w:t>
      </w:r>
    </w:p>
    <w:p w14:paraId="42F9E998" w14:textId="77777777" w:rsidR="00B62020" w:rsidRPr="00B62020" w:rsidRDefault="00B62020" w:rsidP="00B62020">
      <w:pPr>
        <w:spacing w:before="0" w:after="200"/>
        <w:rPr>
          <w:rFonts w:eastAsia="Calibri"/>
          <w:noProof/>
          <w:szCs w:val="24"/>
        </w:rPr>
      </w:pPr>
      <w:r w:rsidRPr="00B62020">
        <w:rPr>
          <w:rFonts w:eastAsia="Calibri"/>
          <w:noProof/>
          <w:szCs w:val="24"/>
        </w:rPr>
        <w:t xml:space="preserve">The Staff Regulations and the Conditions of Employment of Other Servants and the rules adopted by agreement between the institutions of the Union for giving effect to those Staff Regulations and the Conditions of Employment of Other Servants shall apply to the staff of the Agency. </w:t>
      </w:r>
    </w:p>
    <w:p w14:paraId="08835067" w14:textId="77777777" w:rsidR="00B62020" w:rsidRPr="00F90B7E" w:rsidRDefault="00B62020" w:rsidP="00F90B7E">
      <w:pPr>
        <w:spacing w:before="0" w:after="200"/>
        <w:jc w:val="center"/>
        <w:rPr>
          <w:b/>
          <w:noProof/>
          <w:szCs w:val="24"/>
        </w:rPr>
      </w:pPr>
      <w:r w:rsidRPr="00B62020">
        <w:rPr>
          <w:b/>
          <w:noProof/>
          <w:szCs w:val="24"/>
        </w:rPr>
        <w:t xml:space="preserve"> </w:t>
      </w:r>
    </w:p>
    <w:p w14:paraId="30B02D46" w14:textId="77777777" w:rsidR="00B62020" w:rsidRPr="00B62020" w:rsidRDefault="00B62020" w:rsidP="00B62020">
      <w:pPr>
        <w:jc w:val="center"/>
        <w:rPr>
          <w:i/>
          <w:iCs/>
          <w:noProof/>
          <w:lang w:val="en-US"/>
        </w:rPr>
      </w:pPr>
      <w:r w:rsidRPr="00B62020">
        <w:rPr>
          <w:i/>
          <w:iCs/>
          <w:noProof/>
          <w:lang w:val="en-US"/>
        </w:rPr>
        <w:t>Article 3</w:t>
      </w:r>
      <w:r w:rsidR="004E0BAB">
        <w:rPr>
          <w:i/>
          <w:iCs/>
          <w:noProof/>
          <w:lang w:val="en-US"/>
        </w:rPr>
        <w:t>1</w:t>
      </w:r>
    </w:p>
    <w:p w14:paraId="71C5B68F" w14:textId="77777777" w:rsidR="00B62020" w:rsidRPr="00B62020" w:rsidRDefault="00B62020" w:rsidP="00B62020">
      <w:pPr>
        <w:autoSpaceDE w:val="0"/>
        <w:autoSpaceDN w:val="0"/>
        <w:adjustRightInd w:val="0"/>
        <w:spacing w:before="200" w:after="200"/>
        <w:jc w:val="center"/>
        <w:rPr>
          <w:b/>
          <w:iCs/>
          <w:noProof/>
          <w:lang w:val="en-US"/>
        </w:rPr>
      </w:pPr>
      <w:r w:rsidRPr="00B62020">
        <w:rPr>
          <w:b/>
          <w:iCs/>
          <w:noProof/>
          <w:lang w:val="en-US"/>
        </w:rPr>
        <w:t>Seconded national experts and other staff</w:t>
      </w:r>
    </w:p>
    <w:p w14:paraId="48F98DE0" w14:textId="77777777" w:rsidR="00B62020" w:rsidRPr="00A60F87" w:rsidRDefault="006746C6" w:rsidP="003931C3">
      <w:pPr>
        <w:pStyle w:val="Point0"/>
        <w:ind w:left="0" w:firstLine="0"/>
        <w:rPr>
          <w:noProof/>
        </w:rPr>
      </w:pPr>
      <w:r>
        <w:rPr>
          <w:noProof/>
        </w:rPr>
        <w:t>1.</w:t>
      </w:r>
      <w:r>
        <w:rPr>
          <w:noProof/>
        </w:rPr>
        <w:tab/>
      </w:r>
      <w:r w:rsidR="00B62020" w:rsidRPr="00A60F87">
        <w:rPr>
          <w:noProof/>
        </w:rPr>
        <w:t xml:space="preserve">The Agency may make use of </w:t>
      </w:r>
      <w:r w:rsidR="006D0E59">
        <w:rPr>
          <w:noProof/>
        </w:rPr>
        <w:t>s</w:t>
      </w:r>
      <w:r w:rsidR="00B62020" w:rsidRPr="00A60F87">
        <w:rPr>
          <w:noProof/>
        </w:rPr>
        <w:t xml:space="preserve">econded national experts or other staff not employed by the Agency. </w:t>
      </w:r>
    </w:p>
    <w:p w14:paraId="28C4A304" w14:textId="77777777" w:rsidR="00B62020" w:rsidRPr="00A60F87" w:rsidRDefault="006746C6" w:rsidP="003931C3">
      <w:pPr>
        <w:pStyle w:val="Point0"/>
        <w:ind w:left="0" w:firstLine="0"/>
        <w:rPr>
          <w:noProof/>
        </w:rPr>
      </w:pPr>
      <w:r>
        <w:rPr>
          <w:noProof/>
        </w:rPr>
        <w:t>2.</w:t>
      </w:r>
      <w:r>
        <w:rPr>
          <w:noProof/>
        </w:rPr>
        <w:tab/>
      </w:r>
      <w:r w:rsidR="00B62020" w:rsidRPr="00A60F87">
        <w:rPr>
          <w:noProof/>
        </w:rPr>
        <w:t xml:space="preserve">The Management Board shall adopt a decision laying down rules on the secondment of national experts to the Agency. </w:t>
      </w:r>
    </w:p>
    <w:p w14:paraId="1AAEA5B9" w14:textId="77777777" w:rsidR="00B62020" w:rsidRPr="00B62020" w:rsidRDefault="00B62020" w:rsidP="00B62020">
      <w:pPr>
        <w:spacing w:before="0" w:after="200"/>
        <w:jc w:val="center"/>
        <w:rPr>
          <w:rFonts w:eastAsia="Times New Roman"/>
          <w:b/>
          <w:i/>
          <w:noProof/>
          <w:sz w:val="22"/>
          <w:lang w:eastAsia="en-GB"/>
        </w:rPr>
      </w:pPr>
    </w:p>
    <w:p w14:paraId="391878CF" w14:textId="77777777" w:rsidR="00B62020" w:rsidRPr="00B62020" w:rsidRDefault="00B62020" w:rsidP="00B62020">
      <w:pPr>
        <w:spacing w:before="0" w:after="200"/>
        <w:jc w:val="center"/>
        <w:rPr>
          <w:i/>
          <w:noProof/>
          <w:lang w:val="en-US"/>
        </w:rPr>
      </w:pPr>
      <w:r w:rsidRPr="00B62020">
        <w:rPr>
          <w:i/>
          <w:noProof/>
          <w:lang w:val="en-US"/>
        </w:rPr>
        <w:t>CHAPTER VI</w:t>
      </w:r>
      <w:r w:rsidR="00872126">
        <w:rPr>
          <w:i/>
          <w:noProof/>
          <w:lang w:val="en-US"/>
        </w:rPr>
        <w:t>II</w:t>
      </w:r>
    </w:p>
    <w:p w14:paraId="7ADF656D" w14:textId="77777777" w:rsidR="00B62020" w:rsidRPr="00B62020" w:rsidRDefault="00B62020" w:rsidP="00B62020">
      <w:pPr>
        <w:spacing w:before="0" w:after="200"/>
        <w:jc w:val="center"/>
        <w:rPr>
          <w:rFonts w:eastAsia="Times New Roman"/>
          <w:b/>
          <w:noProof/>
          <w:sz w:val="22"/>
          <w:lang w:eastAsia="en-GB"/>
        </w:rPr>
      </w:pPr>
      <w:r w:rsidRPr="00B62020">
        <w:rPr>
          <w:rFonts w:eastAsia="Times New Roman"/>
          <w:b/>
          <w:noProof/>
          <w:sz w:val="22"/>
          <w:lang w:eastAsia="en-GB"/>
        </w:rPr>
        <w:t>GENERAL AND FINAL PROVISIONS</w:t>
      </w:r>
    </w:p>
    <w:p w14:paraId="67430AB2" w14:textId="77777777" w:rsidR="00B62020" w:rsidRPr="00B62020" w:rsidRDefault="004E0BAB" w:rsidP="00B62020">
      <w:pPr>
        <w:keepNext/>
        <w:spacing w:before="0" w:after="200"/>
        <w:jc w:val="center"/>
        <w:rPr>
          <w:i/>
          <w:noProof/>
        </w:rPr>
      </w:pPr>
      <w:r>
        <w:rPr>
          <w:i/>
          <w:noProof/>
        </w:rPr>
        <w:t>Article 32</w:t>
      </w:r>
    </w:p>
    <w:p w14:paraId="11FE317F" w14:textId="77777777" w:rsidR="00B62020" w:rsidRPr="00B62020" w:rsidRDefault="00B62020" w:rsidP="00B62020">
      <w:pPr>
        <w:spacing w:before="0" w:after="200"/>
        <w:jc w:val="center"/>
        <w:rPr>
          <w:b/>
          <w:noProof/>
        </w:rPr>
      </w:pPr>
      <w:r w:rsidRPr="00B62020">
        <w:rPr>
          <w:b/>
          <w:noProof/>
        </w:rPr>
        <w:t xml:space="preserve">Legal status </w:t>
      </w:r>
      <w:r w:rsidR="006D0E59">
        <w:rPr>
          <w:b/>
          <w:noProof/>
        </w:rPr>
        <w:t>and seat</w:t>
      </w:r>
    </w:p>
    <w:p w14:paraId="5FBD9F04" w14:textId="77777777" w:rsidR="00B62020" w:rsidRPr="00B62020" w:rsidRDefault="006746C6" w:rsidP="003931C3">
      <w:pPr>
        <w:pStyle w:val="Point0"/>
        <w:ind w:left="0" w:firstLine="0"/>
        <w:rPr>
          <w:noProof/>
        </w:rPr>
      </w:pPr>
      <w:r>
        <w:rPr>
          <w:noProof/>
        </w:rPr>
        <w:t>1.</w:t>
      </w:r>
      <w:r>
        <w:rPr>
          <w:noProof/>
        </w:rPr>
        <w:tab/>
      </w:r>
      <w:r w:rsidR="00B62020" w:rsidRPr="00B62020">
        <w:rPr>
          <w:noProof/>
        </w:rPr>
        <w:t>The Agency shall be a body</w:t>
      </w:r>
      <w:r w:rsidR="006D0E59" w:rsidRPr="00B62020">
        <w:rPr>
          <w:noProof/>
        </w:rPr>
        <w:t xml:space="preserve"> </w:t>
      </w:r>
      <w:r w:rsidR="006D0E59">
        <w:rPr>
          <w:noProof/>
        </w:rPr>
        <w:t xml:space="preserve">of the </w:t>
      </w:r>
      <w:r w:rsidR="006D0E59" w:rsidRPr="00B62020">
        <w:rPr>
          <w:noProof/>
        </w:rPr>
        <w:t>Union</w:t>
      </w:r>
      <w:r w:rsidR="00B62020" w:rsidRPr="00B62020">
        <w:rPr>
          <w:noProof/>
        </w:rPr>
        <w:t xml:space="preserve"> </w:t>
      </w:r>
      <w:r w:rsidR="006D0E59">
        <w:rPr>
          <w:noProof/>
        </w:rPr>
        <w:t>and shall have</w:t>
      </w:r>
      <w:r w:rsidR="006D0E59" w:rsidRPr="00B62020">
        <w:rPr>
          <w:noProof/>
        </w:rPr>
        <w:t xml:space="preserve"> </w:t>
      </w:r>
      <w:r w:rsidR="00B62020" w:rsidRPr="00B62020">
        <w:rPr>
          <w:noProof/>
        </w:rPr>
        <w:t>legal personality.</w:t>
      </w:r>
    </w:p>
    <w:p w14:paraId="088A3A0B" w14:textId="77777777" w:rsidR="00B62020" w:rsidRPr="00B62020" w:rsidRDefault="006746C6" w:rsidP="003931C3">
      <w:pPr>
        <w:pStyle w:val="Point0"/>
        <w:ind w:left="0" w:firstLine="0"/>
        <w:rPr>
          <w:noProof/>
        </w:rPr>
      </w:pPr>
      <w:r>
        <w:rPr>
          <w:noProof/>
        </w:rPr>
        <w:t>2.</w:t>
      </w:r>
      <w:r>
        <w:rPr>
          <w:noProof/>
        </w:rPr>
        <w:tab/>
      </w:r>
      <w:r w:rsidR="00B62020" w:rsidRPr="00B62020">
        <w:rPr>
          <w:noProof/>
        </w:rPr>
        <w:t>In each of the Member States, the Agency shall enjoy the most extensive legal capacity accorded to legal persons under their laws. It may in particular, acquire and dispose of movable and immovable property and be a party to legal proceedings.</w:t>
      </w:r>
    </w:p>
    <w:p w14:paraId="39E16674" w14:textId="77777777" w:rsidR="006D0E59" w:rsidRDefault="006746C6" w:rsidP="003931C3">
      <w:pPr>
        <w:pStyle w:val="Point0"/>
        <w:ind w:left="0" w:firstLine="0"/>
        <w:rPr>
          <w:noProof/>
          <w:lang w:val="en-US"/>
        </w:rPr>
      </w:pPr>
      <w:r>
        <w:rPr>
          <w:noProof/>
        </w:rPr>
        <w:t>3.</w:t>
      </w:r>
      <w:r>
        <w:rPr>
          <w:noProof/>
        </w:rPr>
        <w:tab/>
      </w:r>
      <w:r w:rsidR="006D0E59" w:rsidRPr="00B62020">
        <w:rPr>
          <w:noProof/>
          <w:lang w:val="en-US"/>
        </w:rPr>
        <w:t>The Agency shall be represented by its Executive Director.</w:t>
      </w:r>
    </w:p>
    <w:p w14:paraId="17243B4C" w14:textId="77777777" w:rsidR="00B62020" w:rsidRPr="00B62020" w:rsidRDefault="006D0E59" w:rsidP="00631221">
      <w:pPr>
        <w:pStyle w:val="Point0"/>
        <w:ind w:left="851" w:hanging="851"/>
        <w:rPr>
          <w:noProof/>
        </w:rPr>
      </w:pPr>
      <w:r>
        <w:rPr>
          <w:noProof/>
          <w:lang w:val="en-US"/>
        </w:rPr>
        <w:t xml:space="preserve">4. </w:t>
      </w:r>
      <w:r w:rsidR="00B62020" w:rsidRPr="00B62020">
        <w:rPr>
          <w:noProof/>
        </w:rPr>
        <w:t>The seat of the Agency shall be in Lisbon, the Republic of Portugal.</w:t>
      </w:r>
    </w:p>
    <w:p w14:paraId="64038D34" w14:textId="77777777" w:rsidR="00B62020" w:rsidRPr="00B62020" w:rsidRDefault="006D0E59" w:rsidP="003931C3">
      <w:pPr>
        <w:pStyle w:val="Point0"/>
        <w:ind w:left="0" w:firstLine="0"/>
        <w:rPr>
          <w:noProof/>
          <w:lang w:val="en-US"/>
        </w:rPr>
      </w:pPr>
      <w:r>
        <w:rPr>
          <w:noProof/>
          <w:lang w:val="en-US"/>
        </w:rPr>
        <w:t>5</w:t>
      </w:r>
      <w:r w:rsidR="006746C6">
        <w:rPr>
          <w:noProof/>
          <w:lang w:val="en-US"/>
        </w:rPr>
        <w:t>.</w:t>
      </w:r>
      <w:r w:rsidR="006746C6">
        <w:rPr>
          <w:noProof/>
          <w:lang w:val="en-US"/>
        </w:rPr>
        <w:tab/>
      </w:r>
      <w:r w:rsidR="00B62020" w:rsidRPr="00B62020">
        <w:rPr>
          <w:noProof/>
          <w:lang w:val="en-US"/>
        </w:rPr>
        <w:t xml:space="preserve">At the request of the Commission, the Management Board may decide, with the agreement of and in cooperation with the Member States concerned and with due regard to budgetary implications, including any contribution the Member States concerned may provide, to establish regional </w:t>
      </w:r>
      <w:r w:rsidR="00FD1CBF" w:rsidRPr="00B62020">
        <w:rPr>
          <w:noProof/>
          <w:lang w:val="en-US"/>
        </w:rPr>
        <w:t>centers</w:t>
      </w:r>
      <w:r w:rsidR="00B62020" w:rsidRPr="00B62020">
        <w:rPr>
          <w:noProof/>
          <w:lang w:val="en-US"/>
        </w:rPr>
        <w:t xml:space="preserve"> necessary in order to carry out, in the most efficient and effective way, some of the Agency’s tasks. When taking such a decision, the Management Board shall define the precise scope of activities of the regional centre while avoiding unnecessary financial costs and enhancing cooperation with existing regional and national networks.</w:t>
      </w:r>
    </w:p>
    <w:p w14:paraId="774CDF60" w14:textId="77777777" w:rsidR="00B62020" w:rsidRPr="00B62020" w:rsidRDefault="00B62020" w:rsidP="00B62020">
      <w:pPr>
        <w:keepNext/>
        <w:spacing w:before="0" w:after="200"/>
        <w:jc w:val="center"/>
        <w:rPr>
          <w:i/>
          <w:noProof/>
        </w:rPr>
      </w:pPr>
    </w:p>
    <w:p w14:paraId="5B225DC2" w14:textId="77777777" w:rsidR="00B62020" w:rsidRPr="00B62020" w:rsidRDefault="004E0BAB" w:rsidP="00B62020">
      <w:pPr>
        <w:keepNext/>
        <w:spacing w:before="0" w:after="200"/>
        <w:jc w:val="center"/>
        <w:rPr>
          <w:b/>
          <w:i/>
          <w:noProof/>
        </w:rPr>
      </w:pPr>
      <w:r>
        <w:rPr>
          <w:i/>
          <w:noProof/>
        </w:rPr>
        <w:t>Article 33</w:t>
      </w:r>
    </w:p>
    <w:p w14:paraId="5073CD4B" w14:textId="77777777" w:rsidR="00B62020" w:rsidRPr="00B62020" w:rsidRDefault="00B62020" w:rsidP="00B62020">
      <w:pPr>
        <w:spacing w:before="0" w:after="200"/>
        <w:jc w:val="center"/>
        <w:rPr>
          <w:b/>
          <w:noProof/>
        </w:rPr>
      </w:pPr>
      <w:r w:rsidRPr="00B62020">
        <w:rPr>
          <w:b/>
          <w:noProof/>
        </w:rPr>
        <w:t>Implementing acts relating to fees and charges</w:t>
      </w:r>
    </w:p>
    <w:p w14:paraId="05978CB8" w14:textId="77777777" w:rsidR="00B62020" w:rsidRPr="00AD0F94" w:rsidRDefault="006746C6" w:rsidP="00A219D4">
      <w:pPr>
        <w:pStyle w:val="Point0"/>
        <w:ind w:left="0" w:firstLine="0"/>
        <w:rPr>
          <w:noProof/>
          <w:lang w:val="en-US"/>
        </w:rPr>
      </w:pPr>
      <w:r>
        <w:rPr>
          <w:noProof/>
          <w:lang w:val="en-US"/>
        </w:rPr>
        <w:t>1.</w:t>
      </w:r>
      <w:r>
        <w:rPr>
          <w:noProof/>
          <w:lang w:val="en-US"/>
        </w:rPr>
        <w:tab/>
      </w:r>
      <w:r w:rsidR="00B62020" w:rsidRPr="00AD0F94">
        <w:rPr>
          <w:noProof/>
          <w:lang w:val="en-US"/>
        </w:rPr>
        <w:t xml:space="preserve">The Commission shall adopt, </w:t>
      </w:r>
      <w:r w:rsidR="006D0E59">
        <w:rPr>
          <w:noProof/>
          <w:lang w:val="en-US"/>
        </w:rPr>
        <w:t>in accordance with</w:t>
      </w:r>
      <w:r w:rsidR="00B62020" w:rsidRPr="00AD0F94">
        <w:rPr>
          <w:noProof/>
          <w:lang w:val="en-US"/>
        </w:rPr>
        <w:t xml:space="preserve"> the principles set out in paragraphs 2</w:t>
      </w:r>
      <w:r w:rsidR="006D0E59">
        <w:rPr>
          <w:noProof/>
          <w:lang w:val="en-US"/>
        </w:rPr>
        <w:t>,</w:t>
      </w:r>
      <w:r w:rsidR="00F26CC5">
        <w:rPr>
          <w:noProof/>
          <w:lang w:val="en-US"/>
        </w:rPr>
        <w:t xml:space="preserve"> </w:t>
      </w:r>
      <w:r w:rsidR="00B62020" w:rsidRPr="00AD0F94">
        <w:rPr>
          <w:noProof/>
          <w:lang w:val="en-US"/>
        </w:rPr>
        <w:t>3</w:t>
      </w:r>
      <w:r w:rsidR="006D0E59">
        <w:rPr>
          <w:noProof/>
          <w:lang w:val="en-US"/>
        </w:rPr>
        <w:t xml:space="preserve"> and 4</w:t>
      </w:r>
      <w:r w:rsidR="00B62020" w:rsidRPr="00AD0F94">
        <w:rPr>
          <w:noProof/>
          <w:lang w:val="en-US"/>
        </w:rPr>
        <w:t xml:space="preserve"> implementing acts specifying: </w:t>
      </w:r>
    </w:p>
    <w:p w14:paraId="21FE137C" w14:textId="67DE6BD3" w:rsidR="00B62020" w:rsidRPr="00AD0F94" w:rsidRDefault="00443218" w:rsidP="00443218">
      <w:pPr>
        <w:pStyle w:val="Point0"/>
        <w:rPr>
          <w:noProof/>
        </w:rPr>
      </w:pPr>
      <w:r w:rsidRPr="00443218">
        <w:t>(a)</w:t>
      </w:r>
      <w:r w:rsidRPr="00443218">
        <w:tab/>
      </w:r>
      <w:r w:rsidR="00B62020" w:rsidRPr="00AD0F94">
        <w:rPr>
          <w:noProof/>
        </w:rPr>
        <w:t xml:space="preserve">the fees and charges payable to the Agency, in particular in application of Article </w:t>
      </w:r>
      <w:r w:rsidR="00A60F87" w:rsidRPr="00AD0F94">
        <w:rPr>
          <w:noProof/>
        </w:rPr>
        <w:t>26</w:t>
      </w:r>
      <w:r w:rsidR="006620A9" w:rsidRPr="00AD0F94">
        <w:rPr>
          <w:noProof/>
        </w:rPr>
        <w:t xml:space="preserve"> </w:t>
      </w:r>
      <w:r w:rsidR="006D0E59">
        <w:rPr>
          <w:noProof/>
        </w:rPr>
        <w:t>(</w:t>
      </w:r>
      <w:r w:rsidR="00B62020" w:rsidRPr="00AD0F94">
        <w:rPr>
          <w:noProof/>
        </w:rPr>
        <w:t>3</w:t>
      </w:r>
      <w:r w:rsidR="006D0E59">
        <w:rPr>
          <w:noProof/>
        </w:rPr>
        <w:t>)</w:t>
      </w:r>
      <w:r w:rsidR="006620A9" w:rsidRPr="00AD0F94">
        <w:rPr>
          <w:noProof/>
        </w:rPr>
        <w:t xml:space="preserve"> point</w:t>
      </w:r>
      <w:r w:rsidR="00B62020" w:rsidRPr="00AD0F94">
        <w:rPr>
          <w:noProof/>
        </w:rPr>
        <w:t xml:space="preserve"> (c); and </w:t>
      </w:r>
    </w:p>
    <w:p w14:paraId="2B3E4F12" w14:textId="70723169" w:rsidR="00B62020" w:rsidRPr="00AD0F94" w:rsidRDefault="00443218" w:rsidP="00443218">
      <w:pPr>
        <w:pStyle w:val="Point0"/>
        <w:rPr>
          <w:noProof/>
        </w:rPr>
      </w:pPr>
      <w:r w:rsidRPr="00443218">
        <w:t>(b)</w:t>
      </w:r>
      <w:r w:rsidRPr="00443218">
        <w:tab/>
      </w:r>
      <w:r w:rsidR="00B62020" w:rsidRPr="00AD0F94">
        <w:rPr>
          <w:noProof/>
        </w:rPr>
        <w:t xml:space="preserve">the conditions of payment. </w:t>
      </w:r>
    </w:p>
    <w:p w14:paraId="106C22E9" w14:textId="77777777" w:rsidR="00B62020" w:rsidRPr="00B62020" w:rsidRDefault="00B62020" w:rsidP="00B62020">
      <w:pPr>
        <w:spacing w:before="0" w:after="200"/>
        <w:ind w:left="1080"/>
        <w:contextualSpacing/>
        <w:rPr>
          <w:noProof/>
          <w:lang w:val="en-US"/>
        </w:rPr>
      </w:pPr>
    </w:p>
    <w:p w14:paraId="1F83EF0E" w14:textId="77777777" w:rsidR="00B62020" w:rsidRPr="00B62020" w:rsidRDefault="00B62020" w:rsidP="00A219D4">
      <w:pPr>
        <w:spacing w:before="0" w:after="200"/>
        <w:contextualSpacing/>
        <w:rPr>
          <w:noProof/>
          <w:lang w:val="en-US"/>
        </w:rPr>
      </w:pPr>
      <w:r w:rsidRPr="00B62020">
        <w:rPr>
          <w:noProof/>
          <w:lang w:val="en-US"/>
        </w:rPr>
        <w:t xml:space="preserve">Those implementing acts shall be adopted in accordance with the examination procedure referred to in </w:t>
      </w:r>
      <w:r w:rsidRPr="006620A9">
        <w:rPr>
          <w:noProof/>
          <w:lang w:val="en-US"/>
        </w:rPr>
        <w:t>Article 3</w:t>
      </w:r>
      <w:r w:rsidR="00A60F87">
        <w:rPr>
          <w:noProof/>
          <w:lang w:val="en-US"/>
        </w:rPr>
        <w:t>4</w:t>
      </w:r>
      <w:r w:rsidR="006620A9" w:rsidRPr="006620A9">
        <w:rPr>
          <w:noProof/>
          <w:lang w:val="en-US"/>
        </w:rPr>
        <w:t xml:space="preserve"> </w:t>
      </w:r>
      <w:r w:rsidR="006D0E59">
        <w:rPr>
          <w:noProof/>
          <w:lang w:val="en-US"/>
        </w:rPr>
        <w:t>(</w:t>
      </w:r>
      <w:r w:rsidR="00872126" w:rsidRPr="006620A9">
        <w:rPr>
          <w:noProof/>
          <w:lang w:val="en-US"/>
        </w:rPr>
        <w:t>2</w:t>
      </w:r>
      <w:r w:rsidR="006D0E59">
        <w:rPr>
          <w:noProof/>
          <w:lang w:val="en-US"/>
        </w:rPr>
        <w:t>)</w:t>
      </w:r>
      <w:r w:rsidRPr="006620A9">
        <w:rPr>
          <w:noProof/>
          <w:lang w:val="en-US"/>
        </w:rPr>
        <w:t>.</w:t>
      </w:r>
      <w:r w:rsidRPr="00B62020">
        <w:rPr>
          <w:noProof/>
          <w:lang w:val="en-US"/>
        </w:rPr>
        <w:t xml:space="preserve"> </w:t>
      </w:r>
    </w:p>
    <w:p w14:paraId="2376BE96" w14:textId="77777777" w:rsidR="00B62020" w:rsidRPr="00B62020" w:rsidRDefault="00B62020" w:rsidP="00B62020">
      <w:pPr>
        <w:spacing w:before="0" w:after="200"/>
        <w:ind w:left="1080"/>
        <w:contextualSpacing/>
        <w:rPr>
          <w:noProof/>
          <w:lang w:val="en-US"/>
        </w:rPr>
      </w:pPr>
    </w:p>
    <w:p w14:paraId="1D7A3372" w14:textId="77777777" w:rsidR="00B62020" w:rsidRPr="00B62020" w:rsidRDefault="006746C6" w:rsidP="003931C3">
      <w:pPr>
        <w:pStyle w:val="Point0"/>
        <w:ind w:left="0" w:firstLine="0"/>
        <w:rPr>
          <w:noProof/>
          <w:lang w:val="en-US"/>
        </w:rPr>
      </w:pPr>
      <w:r>
        <w:rPr>
          <w:noProof/>
          <w:lang w:val="en-US"/>
        </w:rPr>
        <w:t>2.</w:t>
      </w:r>
      <w:r>
        <w:rPr>
          <w:noProof/>
          <w:lang w:val="en-US"/>
        </w:rPr>
        <w:tab/>
      </w:r>
      <w:r w:rsidR="00B62020" w:rsidRPr="00B62020">
        <w:rPr>
          <w:noProof/>
          <w:lang w:val="en-US"/>
        </w:rPr>
        <w:t>Fees and charges shall be levied for possible services provided by the Agency</w:t>
      </w:r>
      <w:r w:rsidR="00872126">
        <w:rPr>
          <w:noProof/>
          <w:lang w:val="en-US"/>
        </w:rPr>
        <w:t>, in particular</w:t>
      </w:r>
      <w:r w:rsidR="00B62020" w:rsidRPr="00B62020">
        <w:rPr>
          <w:noProof/>
          <w:lang w:val="en-US"/>
        </w:rPr>
        <w:t xml:space="preserve"> to third countries and the industry for tasks falling under its competencies. </w:t>
      </w:r>
    </w:p>
    <w:p w14:paraId="741463AB" w14:textId="77777777" w:rsidR="00B62020" w:rsidRPr="00B62020" w:rsidRDefault="006746C6" w:rsidP="00A219D4">
      <w:pPr>
        <w:pStyle w:val="Point0"/>
        <w:ind w:left="0" w:firstLine="0"/>
        <w:rPr>
          <w:noProof/>
          <w:lang w:val="en-US"/>
        </w:rPr>
      </w:pPr>
      <w:r>
        <w:rPr>
          <w:noProof/>
          <w:lang w:val="en-US"/>
        </w:rPr>
        <w:t>3.</w:t>
      </w:r>
      <w:r>
        <w:rPr>
          <w:noProof/>
          <w:lang w:val="en-US"/>
        </w:rPr>
        <w:tab/>
      </w:r>
      <w:r w:rsidR="00B62020" w:rsidRPr="00B62020">
        <w:rPr>
          <w:noProof/>
          <w:lang w:val="en-US"/>
        </w:rPr>
        <w:t xml:space="preserve">All fees and charges shall be expressed, and payable, in </w:t>
      </w:r>
      <w:r w:rsidR="006D16BB" w:rsidRPr="00B62020">
        <w:rPr>
          <w:noProof/>
          <w:lang w:val="en-US"/>
        </w:rPr>
        <w:t>euro. Fees</w:t>
      </w:r>
      <w:r w:rsidR="00B62020" w:rsidRPr="00B62020">
        <w:rPr>
          <w:noProof/>
          <w:lang w:val="en-US"/>
        </w:rPr>
        <w:t xml:space="preserve"> and charges shall be set in a transparent, fair and uniform manner. The specific needs of small and medium-sized enterprises, including the possibility of splitting payments into several instalments and phases, shall be taken into account, as appropriate.</w:t>
      </w:r>
      <w:r w:rsidR="00A219D4">
        <w:rPr>
          <w:noProof/>
          <w:lang w:val="en-US"/>
        </w:rPr>
        <w:t xml:space="preserve"> </w:t>
      </w:r>
      <w:r w:rsidR="00B62020" w:rsidRPr="00B62020">
        <w:rPr>
          <w:noProof/>
          <w:lang w:val="en-US"/>
        </w:rPr>
        <w:t>The apportionment of the fees shall be clearly identified in the accounts. Reasonable deadlines shall be set for the payment of fees and charges</w:t>
      </w:r>
      <w:r w:rsidR="00BD1C8F">
        <w:rPr>
          <w:noProof/>
          <w:lang w:val="en-US"/>
        </w:rPr>
        <w:t>.</w:t>
      </w:r>
      <w:r w:rsidR="00B62020" w:rsidRPr="00B62020">
        <w:rPr>
          <w:noProof/>
          <w:lang w:val="en-US"/>
        </w:rPr>
        <w:t xml:space="preserve"> </w:t>
      </w:r>
    </w:p>
    <w:p w14:paraId="4D408D5C" w14:textId="77777777" w:rsidR="00B62020" w:rsidRPr="00B62020" w:rsidRDefault="00A219D4" w:rsidP="00A219D4">
      <w:pPr>
        <w:pStyle w:val="Point0"/>
        <w:ind w:left="0" w:firstLine="0"/>
        <w:rPr>
          <w:noProof/>
          <w:lang w:val="en-US"/>
        </w:rPr>
      </w:pPr>
      <w:r>
        <w:rPr>
          <w:noProof/>
          <w:lang w:val="en-US"/>
        </w:rPr>
        <w:t>4</w:t>
      </w:r>
      <w:r w:rsidR="006746C6">
        <w:rPr>
          <w:noProof/>
          <w:lang w:val="en-US"/>
        </w:rPr>
        <w:t>.</w:t>
      </w:r>
      <w:r w:rsidR="006746C6">
        <w:rPr>
          <w:noProof/>
          <w:lang w:val="en-US"/>
        </w:rPr>
        <w:tab/>
      </w:r>
      <w:r w:rsidR="00B62020" w:rsidRPr="00B62020">
        <w:rPr>
          <w:noProof/>
          <w:lang w:val="en-US"/>
        </w:rPr>
        <w:t>The amount of the fees and charges shall be fixed at such a level as to ensure that the revenue in respect thereof is sufficient to cover the full cost of the services provided. All expenditure of the Agency attributed to staff involved in the activities referred to in paragraph 2, including the employer's pro-rata contribution to the pension scheme, shall in particular be reflected in that cost. Should a significant imbalance resulting from the provision of the services covered by fees and charges become recurrent, the level of those fees and charges shall be revised. Those fees and charges shall be assigned revenues for the Agency.</w:t>
      </w:r>
    </w:p>
    <w:p w14:paraId="407BCE2D" w14:textId="77777777" w:rsidR="00872126" w:rsidRDefault="00872126" w:rsidP="00B62020">
      <w:pPr>
        <w:spacing w:before="0" w:after="200"/>
        <w:jc w:val="center"/>
        <w:rPr>
          <w:i/>
          <w:iCs/>
          <w:noProof/>
          <w:lang w:val="en-US"/>
        </w:rPr>
      </w:pPr>
    </w:p>
    <w:p w14:paraId="68A16053" w14:textId="77777777" w:rsidR="00B62020" w:rsidRPr="00B62020" w:rsidRDefault="004E0BAB" w:rsidP="00B62020">
      <w:pPr>
        <w:spacing w:before="0" w:after="200"/>
        <w:jc w:val="center"/>
        <w:rPr>
          <w:i/>
          <w:iCs/>
          <w:noProof/>
          <w:lang w:val="en-US"/>
        </w:rPr>
      </w:pPr>
      <w:r>
        <w:rPr>
          <w:i/>
          <w:iCs/>
          <w:noProof/>
          <w:lang w:val="en-US"/>
        </w:rPr>
        <w:t>Article 34</w:t>
      </w:r>
    </w:p>
    <w:p w14:paraId="11F9310A" w14:textId="77777777" w:rsidR="00B62020" w:rsidRPr="00B62020" w:rsidRDefault="00B62020" w:rsidP="00B62020">
      <w:pPr>
        <w:spacing w:before="0" w:after="200"/>
        <w:jc w:val="center"/>
        <w:rPr>
          <w:b/>
          <w:bCs/>
          <w:noProof/>
          <w:lang w:val="en-US"/>
        </w:rPr>
      </w:pPr>
      <w:r w:rsidRPr="00B62020">
        <w:rPr>
          <w:b/>
          <w:bCs/>
          <w:noProof/>
          <w:lang w:val="en-US"/>
        </w:rPr>
        <w:t>Committee procedure</w:t>
      </w:r>
    </w:p>
    <w:p w14:paraId="1FDAFACA" w14:textId="77777777" w:rsidR="00B62020" w:rsidRPr="00B62020" w:rsidRDefault="00A219D4" w:rsidP="003931C3">
      <w:pPr>
        <w:pStyle w:val="Point0"/>
        <w:ind w:left="0" w:firstLine="0"/>
        <w:rPr>
          <w:noProof/>
        </w:rPr>
      </w:pPr>
      <w:r>
        <w:rPr>
          <w:noProof/>
        </w:rPr>
        <w:t>1.</w:t>
      </w:r>
      <w:r>
        <w:rPr>
          <w:noProof/>
        </w:rPr>
        <w:tab/>
      </w:r>
      <w:r w:rsidR="00B62020" w:rsidRPr="00B62020">
        <w:rPr>
          <w:noProof/>
        </w:rPr>
        <w:t xml:space="preserve">The Commission shall be assisted by the Committee on Safe Seas and the Prevention of Pollution from Ships (COSS) established by Regulation (EC) No 2099/2002 of the European Parliament and of the </w:t>
      </w:r>
      <w:r w:rsidR="00BD1C8F" w:rsidRPr="00BD1C8F">
        <w:rPr>
          <w:noProof/>
        </w:rPr>
        <w:t>Council</w:t>
      </w:r>
      <w:r w:rsidR="00BD1C8F" w:rsidRPr="00841708">
        <w:rPr>
          <w:rStyle w:val="FootnoteReference"/>
          <w:noProof/>
        </w:rPr>
        <w:footnoteReference w:id="46"/>
      </w:r>
      <w:r w:rsidR="00B62020" w:rsidRPr="00B62020">
        <w:rPr>
          <w:noProof/>
        </w:rPr>
        <w:t>. That committee shall be a committee within the meaning of Regulation (EU) No 182/2011.</w:t>
      </w:r>
    </w:p>
    <w:p w14:paraId="2ED3ED07" w14:textId="77777777" w:rsidR="00B62020" w:rsidRPr="00B62020" w:rsidRDefault="00A219D4" w:rsidP="003931C3">
      <w:pPr>
        <w:pStyle w:val="Point0"/>
        <w:ind w:left="0" w:firstLine="0"/>
        <w:rPr>
          <w:noProof/>
          <w:lang w:val="en-US"/>
        </w:rPr>
      </w:pPr>
      <w:r>
        <w:rPr>
          <w:noProof/>
        </w:rPr>
        <w:t>2.</w:t>
      </w:r>
      <w:r>
        <w:rPr>
          <w:noProof/>
        </w:rPr>
        <w:tab/>
      </w:r>
      <w:r w:rsidR="00B62020" w:rsidRPr="00B62020">
        <w:rPr>
          <w:noProof/>
        </w:rPr>
        <w:t xml:space="preserve">Where reference is made to this paragraph, Article 5 of Regulation (EU) No 182/2011 shall apply. </w:t>
      </w:r>
    </w:p>
    <w:p w14:paraId="1338F0A0" w14:textId="77777777" w:rsidR="00B62020" w:rsidRPr="00B62020" w:rsidRDefault="00B62020" w:rsidP="00B62020">
      <w:pPr>
        <w:spacing w:before="0" w:after="200"/>
        <w:rPr>
          <w:rFonts w:eastAsia="Times New Roman"/>
          <w:b/>
          <w:i/>
          <w:noProof/>
          <w:sz w:val="22"/>
          <w:lang w:eastAsia="en-GB"/>
        </w:rPr>
      </w:pPr>
    </w:p>
    <w:p w14:paraId="0A73DDC1" w14:textId="77777777" w:rsidR="00B62020" w:rsidRPr="00B62020" w:rsidRDefault="004E0BAB" w:rsidP="00B62020">
      <w:pPr>
        <w:keepNext/>
        <w:spacing w:before="0" w:after="200"/>
        <w:jc w:val="center"/>
        <w:rPr>
          <w:i/>
          <w:noProof/>
        </w:rPr>
      </w:pPr>
      <w:r>
        <w:rPr>
          <w:i/>
          <w:noProof/>
        </w:rPr>
        <w:t>Article 35</w:t>
      </w:r>
    </w:p>
    <w:p w14:paraId="1A0EEE5C" w14:textId="77777777" w:rsidR="00B62020" w:rsidRPr="00B62020" w:rsidRDefault="00B62020" w:rsidP="00B62020">
      <w:pPr>
        <w:spacing w:before="0" w:after="200"/>
        <w:jc w:val="center"/>
        <w:rPr>
          <w:b/>
          <w:noProof/>
        </w:rPr>
      </w:pPr>
      <w:r w:rsidRPr="00B62020">
        <w:rPr>
          <w:b/>
          <w:noProof/>
        </w:rPr>
        <w:t>Privileges and immunities</w:t>
      </w:r>
    </w:p>
    <w:p w14:paraId="49DB1092" w14:textId="77777777" w:rsidR="00B62020" w:rsidRPr="00B62020" w:rsidRDefault="00B62020" w:rsidP="00B62020">
      <w:pPr>
        <w:spacing w:before="0" w:after="200"/>
        <w:rPr>
          <w:noProof/>
          <w:lang w:val="en-US"/>
        </w:rPr>
      </w:pPr>
      <w:r w:rsidRPr="00B62020">
        <w:rPr>
          <w:noProof/>
          <w:lang w:val="en-US"/>
        </w:rPr>
        <w:t>The Protocol on the Privileges and Immunities of the European Union shall apply to the Agency and its staff.</w:t>
      </w:r>
    </w:p>
    <w:p w14:paraId="74178003" w14:textId="77777777" w:rsidR="00B62020" w:rsidRPr="00B62020" w:rsidRDefault="00B62020" w:rsidP="00B62020">
      <w:pPr>
        <w:spacing w:before="0" w:after="200"/>
        <w:jc w:val="center"/>
        <w:rPr>
          <w:rFonts w:eastAsia="Times New Roman"/>
          <w:b/>
          <w:i/>
          <w:noProof/>
          <w:sz w:val="22"/>
          <w:lang w:eastAsia="en-GB"/>
        </w:rPr>
      </w:pPr>
    </w:p>
    <w:p w14:paraId="4496DE2A" w14:textId="77777777" w:rsidR="00B62020" w:rsidRPr="00B62020" w:rsidRDefault="004E0BAB" w:rsidP="00B62020">
      <w:pPr>
        <w:keepNext/>
        <w:spacing w:before="0" w:after="200"/>
        <w:jc w:val="center"/>
        <w:rPr>
          <w:i/>
          <w:noProof/>
        </w:rPr>
      </w:pPr>
      <w:r>
        <w:rPr>
          <w:i/>
          <w:noProof/>
        </w:rPr>
        <w:t>Article 36</w:t>
      </w:r>
    </w:p>
    <w:p w14:paraId="6AD5BA76" w14:textId="77777777" w:rsidR="00B62020" w:rsidRPr="00B62020" w:rsidRDefault="00B62020" w:rsidP="00B62020">
      <w:pPr>
        <w:spacing w:before="0" w:after="200"/>
        <w:jc w:val="center"/>
        <w:rPr>
          <w:b/>
          <w:noProof/>
        </w:rPr>
      </w:pPr>
      <w:r w:rsidRPr="00B62020">
        <w:rPr>
          <w:b/>
          <w:noProof/>
        </w:rPr>
        <w:t>Language arrangements</w:t>
      </w:r>
    </w:p>
    <w:p w14:paraId="245F2C77" w14:textId="77777777" w:rsidR="00B62020" w:rsidRPr="00AD0F94" w:rsidRDefault="00A219D4" w:rsidP="003931C3">
      <w:pPr>
        <w:pStyle w:val="Point0"/>
        <w:ind w:left="0" w:firstLine="0"/>
        <w:rPr>
          <w:noProof/>
          <w:lang w:val="en-US"/>
        </w:rPr>
      </w:pPr>
      <w:r>
        <w:rPr>
          <w:noProof/>
          <w:lang w:val="en-US"/>
        </w:rPr>
        <w:t>1.</w:t>
      </w:r>
      <w:r>
        <w:rPr>
          <w:noProof/>
          <w:lang w:val="en-US"/>
        </w:rPr>
        <w:tab/>
      </w:r>
      <w:r w:rsidR="00B62020" w:rsidRPr="00AD0F94">
        <w:rPr>
          <w:noProof/>
          <w:lang w:val="en-US"/>
        </w:rPr>
        <w:t xml:space="preserve">The provisions laid down in </w:t>
      </w:r>
      <w:r w:rsidR="00BD1C8F">
        <w:rPr>
          <w:noProof/>
          <w:lang w:val="en-US"/>
        </w:rPr>
        <w:t xml:space="preserve">Council </w:t>
      </w:r>
      <w:r w:rsidR="00B62020" w:rsidRPr="00AD0F94">
        <w:rPr>
          <w:noProof/>
          <w:lang w:val="en-US"/>
        </w:rPr>
        <w:t>Regulation No 1</w:t>
      </w:r>
      <w:r w:rsidR="00B62020" w:rsidRPr="00AD0F94">
        <w:rPr>
          <w:rStyle w:val="FootnoteReference"/>
          <w:noProof/>
        </w:rPr>
        <w:footnoteReference w:id="47"/>
      </w:r>
      <w:r w:rsidR="00B62020" w:rsidRPr="00B62020">
        <w:rPr>
          <w:noProof/>
        </w:rPr>
        <w:t xml:space="preserve"> </w:t>
      </w:r>
      <w:r w:rsidR="00B62020" w:rsidRPr="00AD0F94">
        <w:rPr>
          <w:noProof/>
          <w:lang w:val="en-US"/>
        </w:rPr>
        <w:t>shall apply to the Agency.</w:t>
      </w:r>
    </w:p>
    <w:p w14:paraId="7239A4C6" w14:textId="77777777" w:rsidR="00B62020" w:rsidRPr="00B62020" w:rsidRDefault="00A219D4" w:rsidP="003931C3">
      <w:pPr>
        <w:pStyle w:val="Point0"/>
        <w:ind w:left="0" w:firstLine="0"/>
        <w:rPr>
          <w:noProof/>
          <w:lang w:val="en-US"/>
        </w:rPr>
      </w:pPr>
      <w:r>
        <w:rPr>
          <w:noProof/>
          <w:lang w:val="en-US"/>
        </w:rPr>
        <w:t>2.</w:t>
      </w:r>
      <w:r>
        <w:rPr>
          <w:noProof/>
          <w:lang w:val="en-US"/>
        </w:rPr>
        <w:tab/>
      </w:r>
      <w:r w:rsidR="00B62020" w:rsidRPr="00B62020">
        <w:rPr>
          <w:noProof/>
          <w:lang w:val="en-US"/>
        </w:rPr>
        <w:t xml:space="preserve">The translation services required for the functioning of the Agency shall be provided by the Translation Centre of the </w:t>
      </w:r>
      <w:r w:rsidR="00BD1C8F">
        <w:rPr>
          <w:noProof/>
          <w:lang w:val="en-US"/>
        </w:rPr>
        <w:t>B</w:t>
      </w:r>
      <w:r w:rsidR="00B62020" w:rsidRPr="00B62020">
        <w:rPr>
          <w:noProof/>
          <w:lang w:val="en-US"/>
        </w:rPr>
        <w:t>odies of the European Union.</w:t>
      </w:r>
    </w:p>
    <w:p w14:paraId="28732E13" w14:textId="77777777" w:rsidR="00B62020" w:rsidRPr="00B62020" w:rsidRDefault="00B62020" w:rsidP="00B62020">
      <w:pPr>
        <w:spacing w:before="0" w:after="200"/>
        <w:jc w:val="center"/>
        <w:rPr>
          <w:rFonts w:eastAsia="Times New Roman"/>
          <w:b/>
          <w:i/>
          <w:noProof/>
          <w:sz w:val="22"/>
          <w:lang w:eastAsia="en-GB"/>
        </w:rPr>
      </w:pPr>
    </w:p>
    <w:p w14:paraId="65BB6957" w14:textId="77777777" w:rsidR="00B62020" w:rsidRPr="00A219D4" w:rsidRDefault="004E0BAB" w:rsidP="00B62020">
      <w:pPr>
        <w:keepNext/>
        <w:spacing w:before="0" w:after="200"/>
        <w:jc w:val="center"/>
        <w:rPr>
          <w:i/>
          <w:noProof/>
          <w:lang w:val="en-IE"/>
        </w:rPr>
      </w:pPr>
      <w:r w:rsidRPr="00A219D4">
        <w:rPr>
          <w:i/>
          <w:noProof/>
          <w:lang w:val="en-IE"/>
        </w:rPr>
        <w:t>Article 37</w:t>
      </w:r>
    </w:p>
    <w:p w14:paraId="61C511A9" w14:textId="77777777" w:rsidR="00B62020" w:rsidRPr="00A219D4" w:rsidRDefault="00B62020" w:rsidP="00B62020">
      <w:pPr>
        <w:spacing w:before="0" w:after="200"/>
        <w:jc w:val="center"/>
        <w:rPr>
          <w:b/>
          <w:noProof/>
          <w:lang w:val="en-IE"/>
        </w:rPr>
      </w:pPr>
      <w:r w:rsidRPr="00A219D4">
        <w:rPr>
          <w:b/>
          <w:noProof/>
          <w:lang w:val="en-IE"/>
        </w:rPr>
        <w:t>Transparency</w:t>
      </w:r>
    </w:p>
    <w:p w14:paraId="60435F2D" w14:textId="77777777" w:rsidR="00B62020" w:rsidRPr="00AD0F94" w:rsidRDefault="00A219D4" w:rsidP="003931C3">
      <w:pPr>
        <w:pStyle w:val="Point0"/>
        <w:ind w:left="0" w:firstLine="0"/>
        <w:rPr>
          <w:noProof/>
          <w:lang w:val="en-US"/>
        </w:rPr>
      </w:pPr>
      <w:r>
        <w:rPr>
          <w:noProof/>
          <w:lang w:val="en-US"/>
        </w:rPr>
        <w:t>1.</w:t>
      </w:r>
      <w:r>
        <w:rPr>
          <w:noProof/>
          <w:lang w:val="en-US"/>
        </w:rPr>
        <w:tab/>
      </w:r>
      <w:r w:rsidR="00B62020" w:rsidRPr="00AD0F94">
        <w:rPr>
          <w:noProof/>
          <w:lang w:val="en-US"/>
        </w:rPr>
        <w:t>Regulation (EC) No 1049/2001</w:t>
      </w:r>
      <w:r w:rsidR="00BD1C8F" w:rsidRPr="00F26CC5">
        <w:rPr>
          <w:noProof/>
        </w:rPr>
        <w:t xml:space="preserve"> </w:t>
      </w:r>
      <w:r w:rsidR="00BD1C8F" w:rsidRPr="00BD1C8F">
        <w:rPr>
          <w:noProof/>
        </w:rPr>
        <w:t>of the European Parliament and of the Council</w:t>
      </w:r>
      <w:r w:rsidR="00BD1C8F" w:rsidRPr="00841708">
        <w:rPr>
          <w:rStyle w:val="FootnoteReference"/>
          <w:noProof/>
        </w:rPr>
        <w:footnoteReference w:id="48"/>
      </w:r>
      <w:r w:rsidR="00BD1C8F" w:rsidRPr="00BD1C8F">
        <w:rPr>
          <w:noProof/>
        </w:rPr>
        <w:t xml:space="preserve"> </w:t>
      </w:r>
      <w:r w:rsidR="00B62020" w:rsidRPr="00AD0F94">
        <w:rPr>
          <w:noProof/>
          <w:lang w:val="en-US"/>
        </w:rPr>
        <w:t xml:space="preserve"> shall apply to documents held by the Agency.</w:t>
      </w:r>
    </w:p>
    <w:p w14:paraId="13A738F0" w14:textId="77777777" w:rsidR="00B62020" w:rsidRPr="00B62020" w:rsidRDefault="00A219D4" w:rsidP="003931C3">
      <w:pPr>
        <w:pStyle w:val="Point0"/>
        <w:ind w:left="0" w:firstLine="0"/>
        <w:rPr>
          <w:noProof/>
          <w:lang w:val="en-US"/>
        </w:rPr>
      </w:pPr>
      <w:r>
        <w:rPr>
          <w:noProof/>
          <w:lang w:val="en-US"/>
        </w:rPr>
        <w:t>2.</w:t>
      </w:r>
      <w:r>
        <w:rPr>
          <w:noProof/>
          <w:lang w:val="en-US"/>
        </w:rPr>
        <w:tab/>
      </w:r>
      <w:r w:rsidR="00B62020" w:rsidRPr="00B62020">
        <w:rPr>
          <w:noProof/>
          <w:lang w:val="en-US"/>
        </w:rPr>
        <w:t>The Management Board shall, within six months of the date of its first meeting, adopt the detailed rules for applying Regulation (EC) No 1049/2001.</w:t>
      </w:r>
    </w:p>
    <w:p w14:paraId="113FFEC5" w14:textId="77777777" w:rsidR="00B62020" w:rsidRPr="00B62020" w:rsidRDefault="00A219D4" w:rsidP="003931C3">
      <w:pPr>
        <w:pStyle w:val="Point0"/>
        <w:ind w:left="0" w:firstLine="0"/>
        <w:rPr>
          <w:noProof/>
          <w:lang w:val="en-US"/>
        </w:rPr>
      </w:pPr>
      <w:r>
        <w:rPr>
          <w:noProof/>
          <w:lang w:val="en-US"/>
        </w:rPr>
        <w:t>3.</w:t>
      </w:r>
      <w:r>
        <w:rPr>
          <w:noProof/>
          <w:lang w:val="en-US"/>
        </w:rPr>
        <w:tab/>
      </w:r>
      <w:r w:rsidR="00B62020" w:rsidRPr="00B62020">
        <w:rPr>
          <w:noProof/>
          <w:lang w:val="en-US"/>
        </w:rPr>
        <w:t xml:space="preserve">Decisions taken by the Agency under Article 8 of Regulation (EC) No 1049/2001 may form the subject of a complaint to the Ombudsman or of an action before the Court of Justice of the European Union, under the conditions laid down in Articles 228 and 263 of the </w:t>
      </w:r>
      <w:r w:rsidR="00BD1C8F" w:rsidRPr="00B62020">
        <w:rPr>
          <w:noProof/>
          <w:lang w:val="en-US"/>
        </w:rPr>
        <w:t>T</w:t>
      </w:r>
      <w:r w:rsidR="00BD1C8F">
        <w:rPr>
          <w:noProof/>
          <w:lang w:val="en-US"/>
        </w:rPr>
        <w:t>FEU</w:t>
      </w:r>
      <w:r w:rsidR="00BD1C8F" w:rsidRPr="00B62020">
        <w:rPr>
          <w:noProof/>
          <w:lang w:val="en-US"/>
        </w:rPr>
        <w:t xml:space="preserve"> </w:t>
      </w:r>
      <w:r w:rsidR="00B62020" w:rsidRPr="00B62020">
        <w:rPr>
          <w:noProof/>
          <w:lang w:val="en-US"/>
        </w:rPr>
        <w:t>respectively.</w:t>
      </w:r>
    </w:p>
    <w:p w14:paraId="5F1D8C27" w14:textId="77777777" w:rsidR="00B62020" w:rsidRPr="00B62020" w:rsidRDefault="00A219D4" w:rsidP="003931C3">
      <w:pPr>
        <w:pStyle w:val="Point0"/>
        <w:ind w:left="0" w:firstLine="0"/>
        <w:rPr>
          <w:rFonts w:eastAsia="Times New Roman"/>
          <w:noProof/>
          <w:sz w:val="22"/>
          <w:lang w:eastAsia="en-GB"/>
        </w:rPr>
      </w:pPr>
      <w:r>
        <w:rPr>
          <w:noProof/>
          <w:lang w:val="en-US"/>
        </w:rPr>
        <w:t>4.</w:t>
      </w:r>
      <w:r>
        <w:rPr>
          <w:noProof/>
          <w:lang w:val="en-US"/>
        </w:rPr>
        <w:tab/>
      </w:r>
      <w:r w:rsidR="00B62020" w:rsidRPr="00B62020">
        <w:rPr>
          <w:noProof/>
          <w:lang w:val="en-US"/>
        </w:rPr>
        <w:t xml:space="preserve">The processing of personal data by the Agency shall be subject to </w:t>
      </w:r>
      <w:r w:rsidR="00B62020" w:rsidRPr="00B62020">
        <w:rPr>
          <w:noProof/>
        </w:rPr>
        <w:t xml:space="preserve">Regulation (EU) 2018/1725 of the European Parliament and of the </w:t>
      </w:r>
      <w:r w:rsidR="00BD1C8F" w:rsidRPr="00BD1C8F">
        <w:rPr>
          <w:noProof/>
        </w:rPr>
        <w:t>Council</w:t>
      </w:r>
      <w:r w:rsidR="00BD1C8F" w:rsidRPr="00841708">
        <w:rPr>
          <w:rStyle w:val="FootnoteReference"/>
          <w:noProof/>
        </w:rPr>
        <w:footnoteReference w:id="49"/>
      </w:r>
      <w:r w:rsidR="00B62020" w:rsidRPr="00B62020">
        <w:rPr>
          <w:noProof/>
        </w:rPr>
        <w:t>.</w:t>
      </w:r>
    </w:p>
    <w:p w14:paraId="0B96A40A" w14:textId="77777777" w:rsidR="00B62020" w:rsidRPr="00B62020" w:rsidRDefault="00B62020" w:rsidP="00B62020">
      <w:pPr>
        <w:spacing w:before="0" w:after="200"/>
        <w:ind w:left="-72"/>
        <w:rPr>
          <w:rFonts w:eastAsia="Times New Roman"/>
          <w:noProof/>
          <w:sz w:val="22"/>
          <w:lang w:eastAsia="en-GB"/>
        </w:rPr>
      </w:pPr>
    </w:p>
    <w:p w14:paraId="2D1FCE61" w14:textId="77777777" w:rsidR="00B62020" w:rsidRPr="00A219D4" w:rsidRDefault="004E0BAB" w:rsidP="00B62020">
      <w:pPr>
        <w:keepNext/>
        <w:spacing w:before="0" w:after="200"/>
        <w:jc w:val="center"/>
        <w:rPr>
          <w:i/>
          <w:noProof/>
          <w:lang w:val="en-IE"/>
        </w:rPr>
      </w:pPr>
      <w:r w:rsidRPr="00A219D4">
        <w:rPr>
          <w:i/>
          <w:noProof/>
          <w:lang w:val="en-IE"/>
        </w:rPr>
        <w:t>Article 38</w:t>
      </w:r>
    </w:p>
    <w:p w14:paraId="383D224D" w14:textId="77777777" w:rsidR="00B62020" w:rsidRPr="00A219D4" w:rsidRDefault="00B62020" w:rsidP="00B62020">
      <w:pPr>
        <w:keepNext/>
        <w:spacing w:before="0" w:after="200"/>
        <w:jc w:val="center"/>
        <w:rPr>
          <w:b/>
          <w:noProof/>
          <w:lang w:val="en-IE"/>
        </w:rPr>
      </w:pPr>
      <w:r w:rsidRPr="00A219D4">
        <w:rPr>
          <w:i/>
          <w:noProof/>
          <w:lang w:val="en-IE"/>
        </w:rPr>
        <w:t xml:space="preserve"> </w:t>
      </w:r>
      <w:r w:rsidRPr="00A219D4">
        <w:rPr>
          <w:b/>
          <w:noProof/>
          <w:lang w:val="en-IE"/>
        </w:rPr>
        <w:t>Combating fraud</w:t>
      </w:r>
    </w:p>
    <w:p w14:paraId="1C59AD41" w14:textId="77777777" w:rsidR="00B62020" w:rsidRPr="00B62020" w:rsidRDefault="00A219D4" w:rsidP="003931C3">
      <w:pPr>
        <w:pStyle w:val="Point0"/>
        <w:ind w:left="0" w:firstLine="0"/>
        <w:rPr>
          <w:noProof/>
        </w:rPr>
      </w:pPr>
      <w:r>
        <w:rPr>
          <w:noProof/>
        </w:rPr>
        <w:t>1.</w:t>
      </w:r>
      <w:r>
        <w:rPr>
          <w:noProof/>
        </w:rPr>
        <w:tab/>
      </w:r>
      <w:r w:rsidR="00B62020" w:rsidRPr="00B62020">
        <w:rPr>
          <w:noProof/>
        </w:rPr>
        <w:t>In order to facilitate combating fraud, corruption and other unlawful activities under Regulation (EU, Euratom) No 883/2013 the Agency shall adopt appropriate provisions applicable to all employees of the Agency.</w:t>
      </w:r>
    </w:p>
    <w:p w14:paraId="375862D1" w14:textId="77777777" w:rsidR="00B62020" w:rsidRPr="00B62020" w:rsidRDefault="00A219D4" w:rsidP="003931C3">
      <w:pPr>
        <w:pStyle w:val="Point0"/>
        <w:ind w:left="0" w:firstLine="0"/>
        <w:rPr>
          <w:noProof/>
        </w:rPr>
      </w:pPr>
      <w:r>
        <w:rPr>
          <w:noProof/>
        </w:rPr>
        <w:t>2.</w:t>
      </w:r>
      <w:r>
        <w:rPr>
          <w:noProof/>
        </w:rPr>
        <w:tab/>
      </w:r>
      <w:r w:rsidR="00B62020" w:rsidRPr="00B62020">
        <w:rPr>
          <w:noProof/>
        </w:rPr>
        <w:t>The European Court of Auditors shall have the power of audit, on the basis of documents and on the spot, over all grant beneficiaries, contractors and subcontractors who have received Union funds from the Agency.</w:t>
      </w:r>
    </w:p>
    <w:p w14:paraId="54D3BB59" w14:textId="77777777" w:rsidR="00B62020" w:rsidRPr="00B62020" w:rsidRDefault="00A219D4" w:rsidP="003931C3">
      <w:pPr>
        <w:pStyle w:val="Point0"/>
        <w:ind w:left="0" w:firstLine="0"/>
        <w:rPr>
          <w:noProof/>
        </w:rPr>
      </w:pPr>
      <w:r>
        <w:rPr>
          <w:noProof/>
        </w:rPr>
        <w:t>3.</w:t>
      </w:r>
      <w:r>
        <w:rPr>
          <w:noProof/>
        </w:rPr>
        <w:tab/>
      </w:r>
      <w:r w:rsidR="00B62020" w:rsidRPr="00B62020">
        <w:rPr>
          <w:noProof/>
        </w:rPr>
        <w:t>OLAF may carry out investigations, including on-the-spot checks and inspections with a view to establishing whether there has been fraud, corruption or any other illegal activity affecting the financial interests of the Union in connection with a grant or a contract funded by the Agency, in accordance with the provisions and procedures laid down in Regulation (EU, Euratom) No 883/2013.</w:t>
      </w:r>
    </w:p>
    <w:p w14:paraId="59C733DA" w14:textId="77777777" w:rsidR="00B62020" w:rsidRPr="00B62020" w:rsidRDefault="00A219D4" w:rsidP="003931C3">
      <w:pPr>
        <w:pStyle w:val="Point0"/>
        <w:ind w:left="0" w:firstLine="0"/>
        <w:rPr>
          <w:noProof/>
        </w:rPr>
      </w:pPr>
      <w:r>
        <w:rPr>
          <w:noProof/>
        </w:rPr>
        <w:t>4.</w:t>
      </w:r>
      <w:r>
        <w:rPr>
          <w:noProof/>
        </w:rPr>
        <w:tab/>
      </w:r>
      <w:r w:rsidR="00B62020" w:rsidRPr="00B62020">
        <w:rPr>
          <w:noProof/>
        </w:rPr>
        <w:t>Without prejudice to paragraphs 1, 2 and 3, cooperation agreements with third countries and international organisations, contracts, grant agreements and grant decisions of the Agency shall contain provisions expressly empowering the European Court of Auditors OLAF and EPPO to conduct such audits and investigations, according to their respective competences.</w:t>
      </w:r>
    </w:p>
    <w:p w14:paraId="4A1D08F6" w14:textId="77777777" w:rsidR="00B62020" w:rsidRPr="00B62020" w:rsidRDefault="004E0BAB" w:rsidP="00B62020">
      <w:pPr>
        <w:spacing w:before="0" w:after="200"/>
        <w:jc w:val="center"/>
        <w:rPr>
          <w:rFonts w:eastAsia="Times New Roman"/>
          <w:b/>
          <w:noProof/>
          <w:color w:val="0000FF"/>
          <w:sz w:val="22"/>
          <w:lang w:eastAsia="en-GB"/>
        </w:rPr>
      </w:pPr>
      <w:r>
        <w:rPr>
          <w:i/>
          <w:noProof/>
          <w:lang w:val="en-US"/>
        </w:rPr>
        <w:t>Article 39</w:t>
      </w:r>
    </w:p>
    <w:p w14:paraId="56EDAC3E" w14:textId="77777777" w:rsidR="00B62020" w:rsidRPr="00B62020" w:rsidRDefault="00B62020" w:rsidP="00B62020">
      <w:pPr>
        <w:spacing w:before="0" w:after="200"/>
        <w:jc w:val="center"/>
        <w:rPr>
          <w:rFonts w:eastAsia="Times New Roman"/>
          <w:b/>
          <w:noProof/>
          <w:color w:val="0000FF"/>
          <w:sz w:val="22"/>
          <w:lang w:eastAsia="en-GB"/>
        </w:rPr>
      </w:pPr>
      <w:r w:rsidRPr="00B62020">
        <w:rPr>
          <w:rFonts w:eastAsia="Times New Roman"/>
          <w:b/>
          <w:noProof/>
          <w:color w:val="0000FF"/>
          <w:sz w:val="22"/>
          <w:lang w:eastAsia="en-GB"/>
        </w:rPr>
        <w:t xml:space="preserve"> </w:t>
      </w:r>
      <w:r w:rsidRPr="00B62020">
        <w:rPr>
          <w:b/>
          <w:noProof/>
          <w:lang w:val="en-US"/>
        </w:rPr>
        <w:t>Security rules on the protection of classified and sensitive non-classified information</w:t>
      </w:r>
    </w:p>
    <w:p w14:paraId="76F5AF6C" w14:textId="77777777" w:rsidR="00B62020" w:rsidRPr="00B62020" w:rsidRDefault="00B62020" w:rsidP="00B62020">
      <w:pPr>
        <w:spacing w:before="0" w:after="0"/>
        <w:jc w:val="left"/>
        <w:rPr>
          <w:rFonts w:ascii="Calibri" w:eastAsia="Calibri" w:hAnsi="Calibri"/>
          <w:noProof/>
          <w:color w:val="0000FF"/>
          <w:sz w:val="22"/>
        </w:rPr>
      </w:pPr>
    </w:p>
    <w:p w14:paraId="4A57A776" w14:textId="77777777" w:rsidR="00B62020" w:rsidRPr="00B62020" w:rsidRDefault="00B62020" w:rsidP="00B62020">
      <w:pPr>
        <w:spacing w:before="0" w:after="0"/>
        <w:rPr>
          <w:noProof/>
        </w:rPr>
      </w:pPr>
      <w:r w:rsidRPr="00B62020">
        <w:rPr>
          <w:noProof/>
        </w:rPr>
        <w:t>The Agency shall adopt own security rules equivalent to the Commission's security rules for protecting European Union Classified Information (EUCI) and sensitive non-classified information, as set out in the Commission Decisions (EU, Euratom) 2015/443</w:t>
      </w:r>
      <w:r w:rsidRPr="00AD0F94">
        <w:rPr>
          <w:rStyle w:val="FootnoteReference"/>
          <w:noProof/>
        </w:rPr>
        <w:footnoteReference w:id="50"/>
      </w:r>
      <w:r w:rsidRPr="00B62020">
        <w:rPr>
          <w:noProof/>
        </w:rPr>
        <w:t xml:space="preserve"> and 2015/444</w:t>
      </w:r>
      <w:r w:rsidRPr="00AD0F94">
        <w:rPr>
          <w:rStyle w:val="FootnoteReference"/>
          <w:noProof/>
        </w:rPr>
        <w:footnoteReference w:id="51"/>
      </w:r>
      <w:r w:rsidRPr="00B62020">
        <w:rPr>
          <w:noProof/>
        </w:rPr>
        <w:t>. The security rules of the Agency shall</w:t>
      </w:r>
      <w:r w:rsidR="00BD1C8F">
        <w:rPr>
          <w:noProof/>
        </w:rPr>
        <w:t>include</w:t>
      </w:r>
      <w:r w:rsidRPr="00B62020">
        <w:rPr>
          <w:noProof/>
        </w:rPr>
        <w:t xml:space="preserve"> provisions for the exchange, processing and storage of such information.</w:t>
      </w:r>
    </w:p>
    <w:p w14:paraId="1FC042FE" w14:textId="77777777" w:rsidR="00B62020" w:rsidRPr="00B62020" w:rsidRDefault="00B62020" w:rsidP="00B62020">
      <w:pPr>
        <w:spacing w:before="0" w:after="200"/>
        <w:rPr>
          <w:rFonts w:eastAsia="Calibri"/>
          <w:noProof/>
          <w:color w:val="0000FF"/>
          <w:sz w:val="22"/>
        </w:rPr>
      </w:pPr>
    </w:p>
    <w:p w14:paraId="2DD6DE0B" w14:textId="77777777" w:rsidR="00B62020" w:rsidRPr="00B62020" w:rsidRDefault="00B62020" w:rsidP="00B62020">
      <w:pPr>
        <w:spacing w:before="0" w:after="200"/>
        <w:rPr>
          <w:rFonts w:eastAsia="Times New Roman"/>
          <w:noProof/>
          <w:sz w:val="22"/>
          <w:lang w:eastAsia="en-GB"/>
        </w:rPr>
      </w:pPr>
    </w:p>
    <w:p w14:paraId="271128AF" w14:textId="77777777" w:rsidR="00B62020" w:rsidRPr="00A219D4" w:rsidRDefault="004E0BAB" w:rsidP="00B62020">
      <w:pPr>
        <w:spacing w:before="0" w:after="200"/>
        <w:jc w:val="center"/>
        <w:rPr>
          <w:i/>
          <w:noProof/>
          <w:lang w:val="en-IE"/>
        </w:rPr>
      </w:pPr>
      <w:r w:rsidRPr="00A219D4">
        <w:rPr>
          <w:i/>
          <w:noProof/>
          <w:lang w:val="en-IE"/>
        </w:rPr>
        <w:t>Article 40</w:t>
      </w:r>
    </w:p>
    <w:p w14:paraId="58528F80" w14:textId="77777777" w:rsidR="00B62020" w:rsidRPr="00B62020" w:rsidRDefault="00B62020" w:rsidP="00B62020">
      <w:pPr>
        <w:spacing w:before="0" w:after="200"/>
        <w:jc w:val="center"/>
        <w:rPr>
          <w:b/>
          <w:noProof/>
          <w:lang w:val="en-US"/>
        </w:rPr>
      </w:pPr>
      <w:r w:rsidRPr="00B62020">
        <w:rPr>
          <w:b/>
          <w:noProof/>
          <w:lang w:val="en-US"/>
        </w:rPr>
        <w:t>Liability</w:t>
      </w:r>
    </w:p>
    <w:p w14:paraId="7257F7BD" w14:textId="77777777" w:rsidR="00B62020" w:rsidRPr="00B62020" w:rsidRDefault="00A219D4" w:rsidP="003931C3">
      <w:pPr>
        <w:pStyle w:val="Point0"/>
        <w:ind w:left="0" w:firstLine="0"/>
        <w:rPr>
          <w:noProof/>
        </w:rPr>
      </w:pPr>
      <w:r>
        <w:rPr>
          <w:noProof/>
        </w:rPr>
        <w:t>1.</w:t>
      </w:r>
      <w:r>
        <w:rPr>
          <w:noProof/>
        </w:rPr>
        <w:tab/>
      </w:r>
      <w:r w:rsidR="00B62020" w:rsidRPr="00B62020">
        <w:rPr>
          <w:noProof/>
        </w:rPr>
        <w:t>The Agency's contractual liability shall be governed by the law applicable to the contract in question.</w:t>
      </w:r>
    </w:p>
    <w:p w14:paraId="33C8107C" w14:textId="77777777" w:rsidR="00B62020" w:rsidRPr="00B62020" w:rsidRDefault="00A219D4" w:rsidP="003931C3">
      <w:pPr>
        <w:pStyle w:val="Point0"/>
        <w:ind w:left="0" w:firstLine="0"/>
        <w:rPr>
          <w:noProof/>
        </w:rPr>
      </w:pPr>
      <w:r>
        <w:rPr>
          <w:noProof/>
        </w:rPr>
        <w:t>2.</w:t>
      </w:r>
      <w:r>
        <w:rPr>
          <w:noProof/>
        </w:rPr>
        <w:tab/>
      </w:r>
      <w:r w:rsidR="00B62020" w:rsidRPr="00B62020">
        <w:rPr>
          <w:noProof/>
        </w:rPr>
        <w:t>The Court of Justice of the European Union shall have jurisdiction to give judgment pursuant to any arbitration clause contained in a contract concluded by the Agency.</w:t>
      </w:r>
    </w:p>
    <w:p w14:paraId="1D2D4495" w14:textId="77777777" w:rsidR="00B62020" w:rsidRPr="00B62020" w:rsidRDefault="00A219D4" w:rsidP="003931C3">
      <w:pPr>
        <w:pStyle w:val="Point0"/>
        <w:ind w:left="0" w:firstLine="0"/>
        <w:rPr>
          <w:noProof/>
        </w:rPr>
      </w:pPr>
      <w:r>
        <w:rPr>
          <w:noProof/>
        </w:rPr>
        <w:t>3.</w:t>
      </w:r>
      <w:r>
        <w:rPr>
          <w:noProof/>
        </w:rPr>
        <w:tab/>
      </w:r>
      <w:r w:rsidR="00B62020" w:rsidRPr="00B62020">
        <w:rPr>
          <w:noProof/>
        </w:rPr>
        <w:t>In the case of non-contractual liability, the Agency shall, in accordance with the general principles common to the laws of the Member States, make good any damage caused by its departments or by its staff in the performance of their duties.</w:t>
      </w:r>
    </w:p>
    <w:p w14:paraId="6CACD24E" w14:textId="77777777" w:rsidR="00B62020" w:rsidRPr="00B62020" w:rsidRDefault="00A219D4" w:rsidP="003931C3">
      <w:pPr>
        <w:pStyle w:val="Point0"/>
        <w:ind w:left="0" w:firstLine="0"/>
        <w:rPr>
          <w:noProof/>
        </w:rPr>
      </w:pPr>
      <w:r>
        <w:rPr>
          <w:noProof/>
        </w:rPr>
        <w:t>4.</w:t>
      </w:r>
      <w:r>
        <w:rPr>
          <w:noProof/>
        </w:rPr>
        <w:tab/>
      </w:r>
      <w:r w:rsidR="00B62020" w:rsidRPr="00B62020">
        <w:rPr>
          <w:noProof/>
        </w:rPr>
        <w:t>The Court of Justice of the European Union shall have jurisdiction in disputes over compensation for damages referred to in paragraph 3.</w:t>
      </w:r>
    </w:p>
    <w:p w14:paraId="3D0CF3CC" w14:textId="77777777" w:rsidR="00B62020" w:rsidRPr="00B62020" w:rsidRDefault="00A219D4" w:rsidP="003931C3">
      <w:pPr>
        <w:pStyle w:val="Point0"/>
        <w:ind w:left="0" w:firstLine="0"/>
        <w:rPr>
          <w:noProof/>
        </w:rPr>
      </w:pPr>
      <w:r>
        <w:rPr>
          <w:noProof/>
        </w:rPr>
        <w:t>5.</w:t>
      </w:r>
      <w:r>
        <w:rPr>
          <w:noProof/>
        </w:rPr>
        <w:tab/>
      </w:r>
      <w:r w:rsidR="00B62020" w:rsidRPr="00B62020">
        <w:rPr>
          <w:noProof/>
        </w:rPr>
        <w:t>The personal liability of its staff towards the Agency shall be governed by the provisions laid down in the Staff Regulations or Conditions of Employment applicable to them.</w:t>
      </w:r>
    </w:p>
    <w:p w14:paraId="34F19D85" w14:textId="77777777" w:rsidR="00B62020" w:rsidRPr="00B62020" w:rsidRDefault="00B62020" w:rsidP="00B62020">
      <w:pPr>
        <w:spacing w:before="0" w:after="200"/>
        <w:jc w:val="left"/>
        <w:rPr>
          <w:rFonts w:eastAsia="Times New Roman"/>
          <w:b/>
          <w:noProof/>
          <w:color w:val="0000FF"/>
          <w:sz w:val="22"/>
          <w:lang w:eastAsia="en-GB"/>
        </w:rPr>
      </w:pPr>
    </w:p>
    <w:p w14:paraId="3434CAF0" w14:textId="77777777" w:rsidR="00B62020" w:rsidRPr="00AD45F9" w:rsidRDefault="004E0BAB" w:rsidP="00B62020">
      <w:pPr>
        <w:spacing w:before="0" w:after="200"/>
        <w:jc w:val="center"/>
        <w:rPr>
          <w:i/>
          <w:noProof/>
          <w:lang w:val="en-IE"/>
        </w:rPr>
      </w:pPr>
      <w:r w:rsidRPr="00AD45F9">
        <w:rPr>
          <w:i/>
          <w:noProof/>
          <w:lang w:val="en-IE"/>
        </w:rPr>
        <w:t>Article 41</w:t>
      </w:r>
    </w:p>
    <w:p w14:paraId="685A27EF" w14:textId="77777777" w:rsidR="00B62020" w:rsidRPr="00B62020" w:rsidRDefault="00B62020" w:rsidP="00B62020">
      <w:pPr>
        <w:spacing w:before="0" w:after="200"/>
        <w:jc w:val="center"/>
        <w:rPr>
          <w:b/>
          <w:noProof/>
          <w:lang w:val="en-US"/>
        </w:rPr>
      </w:pPr>
      <w:r w:rsidRPr="00B62020">
        <w:rPr>
          <w:b/>
          <w:noProof/>
          <w:lang w:val="en-US"/>
        </w:rPr>
        <w:t>Evaluation and review</w:t>
      </w:r>
    </w:p>
    <w:p w14:paraId="65BAF85A" w14:textId="77777777" w:rsidR="00B62020" w:rsidRPr="00B62020" w:rsidRDefault="00AD45F9" w:rsidP="003931C3">
      <w:pPr>
        <w:pStyle w:val="Point0"/>
        <w:ind w:left="0" w:firstLine="0"/>
        <w:rPr>
          <w:noProof/>
        </w:rPr>
      </w:pPr>
      <w:r>
        <w:rPr>
          <w:noProof/>
        </w:rPr>
        <w:t>1.</w:t>
      </w:r>
      <w:r>
        <w:rPr>
          <w:noProof/>
        </w:rPr>
        <w:tab/>
      </w:r>
      <w:r w:rsidR="00B62020" w:rsidRPr="00B62020">
        <w:rPr>
          <w:noProof/>
        </w:rPr>
        <w:t xml:space="preserve">No later than 5 years after the [date of entry into force], and every 5 years thereafter, the Commission shall conduct an evaluation to assess particularly the impact, effectiveness and efficiency of the Agency and its working practices. The evaluation shall, in particular, address the possible need to modify the mandate of the Agency, and the financial implications of any such modification. </w:t>
      </w:r>
    </w:p>
    <w:p w14:paraId="50D6908D" w14:textId="77777777" w:rsidR="00B62020" w:rsidRPr="00B62020" w:rsidRDefault="00AD45F9" w:rsidP="003931C3">
      <w:pPr>
        <w:pStyle w:val="Point0"/>
        <w:ind w:left="0" w:firstLine="0"/>
        <w:rPr>
          <w:noProof/>
        </w:rPr>
      </w:pPr>
      <w:r>
        <w:rPr>
          <w:noProof/>
        </w:rPr>
        <w:t>2.</w:t>
      </w:r>
      <w:r>
        <w:rPr>
          <w:noProof/>
        </w:rPr>
        <w:tab/>
      </w:r>
      <w:r w:rsidR="00B62020" w:rsidRPr="00B62020">
        <w:rPr>
          <w:noProof/>
        </w:rPr>
        <w:t>The Commission shall forward the evaluation report together with its conclusions on the report, to the European Parliament, the Council and the Management Board. The findings of the evaluation shall be made public.</w:t>
      </w:r>
    </w:p>
    <w:p w14:paraId="527454BA" w14:textId="77777777" w:rsidR="00B62020" w:rsidRPr="00B62020" w:rsidRDefault="00AD45F9" w:rsidP="003931C3">
      <w:pPr>
        <w:pStyle w:val="Point0"/>
        <w:ind w:left="0" w:firstLine="0"/>
        <w:rPr>
          <w:noProof/>
        </w:rPr>
      </w:pPr>
      <w:r>
        <w:rPr>
          <w:noProof/>
        </w:rPr>
        <w:t>3.</w:t>
      </w:r>
      <w:r>
        <w:rPr>
          <w:noProof/>
        </w:rPr>
        <w:tab/>
      </w:r>
      <w:r w:rsidR="00B62020" w:rsidRPr="00B62020">
        <w:rPr>
          <w:noProof/>
        </w:rPr>
        <w:t>On the occasion of every second evaluation, there shall also be an assessment of the results achieved by the Agency having regard to its objectives, mandate and tasks. If the Commission considers that the continuation of the Agency is no longer justified with regard to its assigned objectives, mandate and tasks, it may propose that this Regulation be amended accordingly or repealed.</w:t>
      </w:r>
    </w:p>
    <w:p w14:paraId="53E345CD" w14:textId="77777777" w:rsidR="00B62020" w:rsidRPr="00B62020" w:rsidRDefault="00B62020" w:rsidP="00B62020">
      <w:pPr>
        <w:spacing w:before="0" w:after="200"/>
        <w:jc w:val="left"/>
        <w:rPr>
          <w:rFonts w:eastAsia="Times New Roman"/>
          <w:b/>
          <w:noProof/>
          <w:sz w:val="22"/>
          <w:lang w:eastAsia="en-GB"/>
        </w:rPr>
      </w:pPr>
    </w:p>
    <w:p w14:paraId="50F9A855" w14:textId="77777777" w:rsidR="00B62020" w:rsidRPr="00B62020" w:rsidRDefault="004E0BAB" w:rsidP="00B62020">
      <w:pPr>
        <w:spacing w:before="0" w:after="200"/>
        <w:jc w:val="center"/>
        <w:rPr>
          <w:i/>
          <w:noProof/>
          <w:lang w:val="en-US"/>
        </w:rPr>
      </w:pPr>
      <w:r>
        <w:rPr>
          <w:i/>
          <w:noProof/>
          <w:lang w:val="en-US"/>
        </w:rPr>
        <w:t>Article 42</w:t>
      </w:r>
    </w:p>
    <w:p w14:paraId="14BB9D13" w14:textId="77777777" w:rsidR="00B62020" w:rsidRPr="00B62020" w:rsidRDefault="00B62020" w:rsidP="00B62020">
      <w:pPr>
        <w:spacing w:before="0" w:after="200"/>
        <w:jc w:val="center"/>
        <w:rPr>
          <w:b/>
          <w:noProof/>
          <w:lang w:val="en-US"/>
        </w:rPr>
      </w:pPr>
      <w:r w:rsidRPr="00B62020">
        <w:rPr>
          <w:b/>
          <w:noProof/>
          <w:lang w:val="en-US"/>
        </w:rPr>
        <w:t>Administrative inquiries</w:t>
      </w:r>
      <w:r w:rsidR="00BD1C8F" w:rsidRPr="00BD1C8F">
        <w:rPr>
          <w:b/>
          <w:noProof/>
        </w:rPr>
        <w:t xml:space="preserve"> of the European Ombudsman</w:t>
      </w:r>
    </w:p>
    <w:p w14:paraId="7C858D5B" w14:textId="77777777" w:rsidR="00B62020" w:rsidRDefault="00B62020" w:rsidP="00B62020">
      <w:pPr>
        <w:spacing w:before="0" w:after="200"/>
        <w:rPr>
          <w:noProof/>
        </w:rPr>
      </w:pPr>
      <w:r w:rsidRPr="00B62020">
        <w:rPr>
          <w:noProof/>
        </w:rPr>
        <w:t xml:space="preserve">The activities of the Agency shall be subject to the inquiries of the European Ombudsman in accordance with Article 228 of the </w:t>
      </w:r>
      <w:r w:rsidR="00BD1C8F" w:rsidRPr="00B62020">
        <w:rPr>
          <w:noProof/>
        </w:rPr>
        <w:t>T</w:t>
      </w:r>
      <w:r w:rsidR="00BD1C8F">
        <w:rPr>
          <w:noProof/>
        </w:rPr>
        <w:t>FEU</w:t>
      </w:r>
      <w:r w:rsidRPr="00B62020">
        <w:rPr>
          <w:noProof/>
        </w:rPr>
        <w:t>.</w:t>
      </w:r>
    </w:p>
    <w:p w14:paraId="2A8CE9C0" w14:textId="77777777" w:rsidR="00FD09A7" w:rsidRDefault="00FD09A7" w:rsidP="00FD09A7">
      <w:pPr>
        <w:spacing w:before="0" w:after="200"/>
        <w:rPr>
          <w:i/>
          <w:noProof/>
          <w:lang w:val="en-US"/>
        </w:rPr>
      </w:pPr>
    </w:p>
    <w:p w14:paraId="7AF030CE" w14:textId="77777777" w:rsidR="00FD09A7" w:rsidRDefault="004E0BAB" w:rsidP="00FD09A7">
      <w:pPr>
        <w:spacing w:before="0" w:after="200"/>
        <w:jc w:val="center"/>
        <w:rPr>
          <w:i/>
          <w:noProof/>
          <w:lang w:val="en-US"/>
        </w:rPr>
      </w:pPr>
      <w:r>
        <w:rPr>
          <w:i/>
          <w:noProof/>
          <w:lang w:val="en-US"/>
        </w:rPr>
        <w:t>Article 43</w:t>
      </w:r>
    </w:p>
    <w:p w14:paraId="6B8D48AB" w14:textId="77777777" w:rsidR="00084B35" w:rsidRPr="00084B35" w:rsidRDefault="00084B35" w:rsidP="00FD09A7">
      <w:pPr>
        <w:spacing w:before="0" w:after="200"/>
        <w:jc w:val="center"/>
        <w:rPr>
          <w:b/>
          <w:noProof/>
          <w:lang w:val="en-US"/>
        </w:rPr>
      </w:pPr>
      <w:r w:rsidRPr="00084B35">
        <w:rPr>
          <w:b/>
          <w:noProof/>
          <w:lang w:val="en-US"/>
        </w:rPr>
        <w:t>Transitional provisions</w:t>
      </w:r>
    </w:p>
    <w:p w14:paraId="2629AF73" w14:textId="77777777" w:rsidR="009E3807" w:rsidRDefault="009E3807" w:rsidP="003931C3">
      <w:pPr>
        <w:pStyle w:val="Point0"/>
        <w:ind w:left="0" w:firstLine="0"/>
        <w:rPr>
          <w:noProof/>
        </w:rPr>
      </w:pPr>
    </w:p>
    <w:p w14:paraId="283C94D6" w14:textId="77777777" w:rsidR="00084B35" w:rsidRPr="00B10E87" w:rsidRDefault="0004743A" w:rsidP="003931C3">
      <w:pPr>
        <w:pStyle w:val="Point0"/>
        <w:ind w:left="0" w:firstLine="0"/>
        <w:rPr>
          <w:noProof/>
        </w:rPr>
      </w:pPr>
      <w:r>
        <w:rPr>
          <w:noProof/>
        </w:rPr>
        <w:t>1</w:t>
      </w:r>
      <w:r w:rsidR="00AD45F9">
        <w:rPr>
          <w:noProof/>
        </w:rPr>
        <w:t>.</w:t>
      </w:r>
      <w:r w:rsidR="00AD45F9">
        <w:rPr>
          <w:noProof/>
        </w:rPr>
        <w:tab/>
      </w:r>
      <w:r w:rsidR="00084B35">
        <w:rPr>
          <w:noProof/>
        </w:rPr>
        <w:t xml:space="preserve">By way of derogation from </w:t>
      </w:r>
      <w:r w:rsidR="00B10E87" w:rsidRPr="00B10E87">
        <w:rPr>
          <w:noProof/>
        </w:rPr>
        <w:t>Article 15</w:t>
      </w:r>
      <w:r w:rsidR="00BD1C8F">
        <w:rPr>
          <w:noProof/>
        </w:rPr>
        <w:t xml:space="preserve"> of this Regulation</w:t>
      </w:r>
      <w:r w:rsidR="00084B35" w:rsidRPr="00B10E87">
        <w:rPr>
          <w:noProof/>
        </w:rPr>
        <w:t xml:space="preserve">, </w:t>
      </w:r>
      <w:r w:rsidR="00084B35" w:rsidRPr="00084B35">
        <w:rPr>
          <w:noProof/>
        </w:rPr>
        <w:t>the me</w:t>
      </w:r>
      <w:r w:rsidR="00084B35">
        <w:rPr>
          <w:noProof/>
        </w:rPr>
        <w:t xml:space="preserve">mbers of the Administrative Board appointed under </w:t>
      </w:r>
      <w:r w:rsidR="00084B35" w:rsidRPr="00084B35">
        <w:rPr>
          <w:noProof/>
        </w:rPr>
        <w:t xml:space="preserve">Regulation (EC) No 1406/2002  </w:t>
      </w:r>
      <w:r w:rsidR="00084B35">
        <w:rPr>
          <w:noProof/>
        </w:rPr>
        <w:t xml:space="preserve"> before [date of entry into force] shall remain in office as members of the Management Board until the expiry date of their term of office, without prejudice to the right of each Member State to appoint a new representative.</w:t>
      </w:r>
    </w:p>
    <w:p w14:paraId="3726A937" w14:textId="77777777" w:rsidR="00D61B7A" w:rsidRDefault="0004743A" w:rsidP="00D61B7A">
      <w:pPr>
        <w:pStyle w:val="Point0"/>
        <w:ind w:left="0" w:firstLine="0"/>
        <w:rPr>
          <w:noProof/>
          <w:lang w:val="en-US"/>
        </w:rPr>
      </w:pPr>
      <w:r>
        <w:rPr>
          <w:noProof/>
          <w:lang w:val="en-US"/>
        </w:rPr>
        <w:t>2</w:t>
      </w:r>
      <w:r w:rsidR="00AD45F9">
        <w:rPr>
          <w:noProof/>
          <w:lang w:val="en-US"/>
        </w:rPr>
        <w:t>.</w:t>
      </w:r>
      <w:r w:rsidR="00AD45F9">
        <w:rPr>
          <w:noProof/>
          <w:lang w:val="en-US"/>
        </w:rPr>
        <w:tab/>
      </w:r>
      <w:r w:rsidR="00C31D1B" w:rsidRPr="00564D50">
        <w:rPr>
          <w:noProof/>
        </w:rPr>
        <w:t xml:space="preserve">The Executive Director of </w:t>
      </w:r>
      <w:r w:rsidR="00BD1C8F">
        <w:rPr>
          <w:noProof/>
        </w:rPr>
        <w:t>the Agency</w:t>
      </w:r>
      <w:r w:rsidR="00BD1C8F" w:rsidRPr="00564D50">
        <w:rPr>
          <w:noProof/>
        </w:rPr>
        <w:t xml:space="preserve"> </w:t>
      </w:r>
      <w:r w:rsidR="00C31D1B" w:rsidRPr="00564D50">
        <w:rPr>
          <w:noProof/>
        </w:rPr>
        <w:t xml:space="preserve">appointed on the basis of Article 16 of Regulation (EU) No 1406/2002 shall </w:t>
      </w:r>
      <w:r w:rsidR="00C31D1B">
        <w:rPr>
          <w:noProof/>
        </w:rPr>
        <w:t xml:space="preserve">remain </w:t>
      </w:r>
      <w:r w:rsidR="00C31D1B" w:rsidRPr="00564D50">
        <w:rPr>
          <w:noProof/>
        </w:rPr>
        <w:t xml:space="preserve">assigned to the </w:t>
      </w:r>
      <w:r w:rsidR="00C31D1B">
        <w:rPr>
          <w:noProof/>
        </w:rPr>
        <w:t xml:space="preserve">post </w:t>
      </w:r>
      <w:r w:rsidR="00C31D1B" w:rsidRPr="00564D50">
        <w:rPr>
          <w:noProof/>
        </w:rPr>
        <w:t>of the Executive Director</w:t>
      </w:r>
      <w:r w:rsidR="00C31D1B">
        <w:rPr>
          <w:noProof/>
        </w:rPr>
        <w:t xml:space="preserve"> with the tasks and responsibilities </w:t>
      </w:r>
      <w:r w:rsidR="00C31D1B" w:rsidRPr="00564D50">
        <w:rPr>
          <w:noProof/>
        </w:rPr>
        <w:t xml:space="preserve">provided for in Article 23 of this Regulation. </w:t>
      </w:r>
      <w:r w:rsidR="00C31D1B">
        <w:rPr>
          <w:noProof/>
        </w:rPr>
        <w:t>If a decision extending the mandate</w:t>
      </w:r>
      <w:r w:rsidR="00C31D1B" w:rsidRPr="00564D50">
        <w:rPr>
          <w:noProof/>
        </w:rPr>
        <w:t xml:space="preserve"> of the Executive Director in </w:t>
      </w:r>
      <w:r w:rsidR="00C31D1B">
        <w:rPr>
          <w:noProof/>
        </w:rPr>
        <w:t>accordance with</w:t>
      </w:r>
      <w:r w:rsidR="00C31D1B" w:rsidRPr="00564D50">
        <w:rPr>
          <w:noProof/>
        </w:rPr>
        <w:t xml:space="preserve"> Article </w:t>
      </w:r>
      <w:r w:rsidR="00C31D1B">
        <w:rPr>
          <w:noProof/>
        </w:rPr>
        <w:t xml:space="preserve">16(2) of </w:t>
      </w:r>
      <w:r w:rsidR="00C31D1B" w:rsidRPr="00564D50">
        <w:rPr>
          <w:noProof/>
        </w:rPr>
        <w:t xml:space="preserve">Regulation </w:t>
      </w:r>
      <w:r w:rsidR="00C31D1B">
        <w:rPr>
          <w:noProof/>
        </w:rPr>
        <w:t>(EU) No 1406/2002 is adopted prior</w:t>
      </w:r>
      <w:r w:rsidR="00C31D1B" w:rsidRPr="00564D50">
        <w:rPr>
          <w:noProof/>
        </w:rPr>
        <w:t xml:space="preserve"> to the entry into force of </w:t>
      </w:r>
      <w:r w:rsidR="00C31D1B">
        <w:rPr>
          <w:noProof/>
        </w:rPr>
        <w:t>this</w:t>
      </w:r>
      <w:r w:rsidR="00C31D1B" w:rsidRPr="00564D50">
        <w:rPr>
          <w:noProof/>
        </w:rPr>
        <w:t xml:space="preserve"> Regulation</w:t>
      </w:r>
      <w:r w:rsidR="00C31D1B">
        <w:rPr>
          <w:noProof/>
        </w:rPr>
        <w:t>, the duration of the extended mandate shall be for 5 years.</w:t>
      </w:r>
      <w:r w:rsidR="00C31D1B">
        <w:rPr>
          <w:noProof/>
          <w:color w:val="221E1F"/>
          <w:sz w:val="19"/>
          <w:szCs w:val="19"/>
        </w:rPr>
        <w:t xml:space="preserve"> </w:t>
      </w:r>
      <w:r w:rsidR="00C31D1B">
        <w:rPr>
          <w:noProof/>
        </w:rPr>
        <w:t xml:space="preserve">The other conditions of </w:t>
      </w:r>
      <w:r>
        <w:rPr>
          <w:noProof/>
        </w:rPr>
        <w:t>h</w:t>
      </w:r>
      <w:r w:rsidR="00C31D1B">
        <w:rPr>
          <w:noProof/>
        </w:rPr>
        <w:t>er contract shall remain unchanged.</w:t>
      </w:r>
    </w:p>
    <w:p w14:paraId="613663CB" w14:textId="77777777" w:rsidR="00BD1C8F" w:rsidRPr="00BD1C8F" w:rsidRDefault="00AD45F9" w:rsidP="00BD1C8F">
      <w:pPr>
        <w:pStyle w:val="Point0"/>
        <w:ind w:left="0" w:firstLine="0"/>
        <w:rPr>
          <w:noProof/>
        </w:rPr>
      </w:pPr>
      <w:r>
        <w:rPr>
          <w:noProof/>
        </w:rPr>
        <w:t>4.</w:t>
      </w:r>
      <w:r w:rsidR="00BD1C8F" w:rsidRPr="00BD1C8F">
        <w:rPr>
          <w:noProof/>
        </w:rPr>
        <w:t>The entry into force of this Regulation is without prejudice to</w:t>
      </w:r>
      <w:r w:rsidR="00BD1C8F">
        <w:rPr>
          <w:noProof/>
        </w:rPr>
        <w:t xml:space="preserve"> </w:t>
      </w:r>
      <w:r w:rsidR="00BD1C8F" w:rsidRPr="00BD1C8F">
        <w:rPr>
          <w:noProof/>
        </w:rPr>
        <w:t>all employment contracts in force on [date of entry into force].</w:t>
      </w:r>
    </w:p>
    <w:p w14:paraId="7E9F4127" w14:textId="77777777" w:rsidR="00084B35" w:rsidRDefault="00084B35" w:rsidP="00D61B7A">
      <w:pPr>
        <w:pStyle w:val="Point0"/>
        <w:ind w:left="0" w:firstLine="0"/>
        <w:rPr>
          <w:noProof/>
        </w:rPr>
      </w:pPr>
      <w:r>
        <w:rPr>
          <w:noProof/>
        </w:rPr>
        <w:t>.</w:t>
      </w:r>
    </w:p>
    <w:p w14:paraId="3E937047" w14:textId="77777777" w:rsidR="00084B35" w:rsidRPr="00084B35" w:rsidRDefault="00084B35" w:rsidP="00084B35">
      <w:pPr>
        <w:pStyle w:val="Text1"/>
        <w:ind w:left="360"/>
        <w:rPr>
          <w:noProof/>
        </w:rPr>
      </w:pPr>
    </w:p>
    <w:p w14:paraId="3947180E" w14:textId="77777777" w:rsidR="00084B35" w:rsidRDefault="00084B35" w:rsidP="00084B35">
      <w:pPr>
        <w:spacing w:before="0" w:after="200"/>
        <w:jc w:val="center"/>
        <w:rPr>
          <w:i/>
          <w:noProof/>
          <w:lang w:val="en-US"/>
        </w:rPr>
      </w:pPr>
      <w:r>
        <w:rPr>
          <w:i/>
          <w:noProof/>
          <w:lang w:val="en-US"/>
        </w:rPr>
        <w:t>Article 4</w:t>
      </w:r>
      <w:r w:rsidR="004E0BAB">
        <w:rPr>
          <w:i/>
          <w:noProof/>
          <w:lang w:val="en-US"/>
        </w:rPr>
        <w:t>4</w:t>
      </w:r>
    </w:p>
    <w:p w14:paraId="777296C4" w14:textId="77777777" w:rsidR="00084B35" w:rsidRPr="00084B35" w:rsidRDefault="00084B35" w:rsidP="00084B35">
      <w:pPr>
        <w:spacing w:before="0" w:after="200"/>
        <w:jc w:val="center"/>
        <w:rPr>
          <w:b/>
          <w:noProof/>
          <w:lang w:val="en-US"/>
        </w:rPr>
      </w:pPr>
      <w:r>
        <w:rPr>
          <w:b/>
          <w:noProof/>
          <w:lang w:val="en-US"/>
        </w:rPr>
        <w:t>Repeal</w:t>
      </w:r>
    </w:p>
    <w:p w14:paraId="020EDA90" w14:textId="77777777" w:rsidR="009E3807" w:rsidRDefault="00084B35" w:rsidP="00FD09A7">
      <w:pPr>
        <w:keepLines/>
        <w:spacing w:before="0" w:after="200"/>
        <w:jc w:val="left"/>
        <w:rPr>
          <w:noProof/>
        </w:rPr>
      </w:pPr>
      <w:r w:rsidRPr="00084B35">
        <w:rPr>
          <w:noProof/>
        </w:rPr>
        <w:t>Regulation (EC) No 1406/</w:t>
      </w:r>
      <w:r w:rsidR="002F7F5B" w:rsidRPr="00084B35">
        <w:rPr>
          <w:noProof/>
        </w:rPr>
        <w:t>2002 is</w:t>
      </w:r>
      <w:r>
        <w:rPr>
          <w:noProof/>
        </w:rPr>
        <w:t xml:space="preserve"> repealed.</w:t>
      </w:r>
    </w:p>
    <w:p w14:paraId="0EE37572" w14:textId="77777777" w:rsidR="00387DFA" w:rsidRDefault="00387DFA" w:rsidP="00387DFA">
      <w:pPr>
        <w:pStyle w:val="CM3"/>
        <w:spacing w:before="60" w:after="60"/>
        <w:rPr>
          <w:noProof/>
          <w:color w:val="000000"/>
        </w:rPr>
      </w:pPr>
    </w:p>
    <w:p w14:paraId="471D538F" w14:textId="77777777" w:rsidR="00387DFA" w:rsidRDefault="00387DFA" w:rsidP="00387DFA">
      <w:pPr>
        <w:pStyle w:val="Titrearticle"/>
        <w:rPr>
          <w:noProof/>
          <w:lang w:val="en-US"/>
        </w:rPr>
      </w:pPr>
      <w:r w:rsidRPr="00B16FD3">
        <w:rPr>
          <w:noProof/>
          <w:lang w:val="en-US"/>
        </w:rPr>
        <w:t xml:space="preserve">Article </w:t>
      </w:r>
      <w:r w:rsidR="00B16FD3" w:rsidRPr="00B16FD3">
        <w:rPr>
          <w:noProof/>
          <w:lang w:val="en-US"/>
        </w:rPr>
        <w:t>4</w:t>
      </w:r>
      <w:r w:rsidR="004E0BAB">
        <w:rPr>
          <w:noProof/>
          <w:lang w:val="en-US"/>
        </w:rPr>
        <w:t>5</w:t>
      </w:r>
    </w:p>
    <w:p w14:paraId="4B1B67D2" w14:textId="77777777" w:rsidR="005F2DA8" w:rsidRPr="005F2DA8" w:rsidRDefault="005F2DA8" w:rsidP="005F2DA8">
      <w:pPr>
        <w:jc w:val="center"/>
        <w:rPr>
          <w:noProof/>
          <w:lang w:val="en-US"/>
        </w:rPr>
      </w:pPr>
      <w:r>
        <w:rPr>
          <w:b/>
          <w:noProof/>
          <w:lang w:val="en-US"/>
        </w:rPr>
        <w:t>Entry into force</w:t>
      </w:r>
    </w:p>
    <w:p w14:paraId="756AB914" w14:textId="77777777" w:rsidR="00387DFA" w:rsidRPr="00F96E01" w:rsidRDefault="00387DFA" w:rsidP="00387DFA">
      <w:pPr>
        <w:rPr>
          <w:noProof/>
        </w:rPr>
      </w:pPr>
      <w:r w:rsidRPr="00F96E01">
        <w:rPr>
          <w:noProof/>
        </w:rPr>
        <w:t xml:space="preserve">This Regulation shall enter into force on </w:t>
      </w:r>
      <w:r w:rsidR="00FD09A7" w:rsidRPr="00F96E01">
        <w:rPr>
          <w:noProof/>
        </w:rPr>
        <w:t>the</w:t>
      </w:r>
      <w:r w:rsidR="002F7F5B">
        <w:rPr>
          <w:noProof/>
        </w:rPr>
        <w:t xml:space="preserve"> twentieth </w:t>
      </w:r>
      <w:r w:rsidR="00FD09A7" w:rsidRPr="00F96E01">
        <w:rPr>
          <w:noProof/>
        </w:rPr>
        <w:t>day</w:t>
      </w:r>
      <w:r w:rsidRPr="00F96E01">
        <w:rPr>
          <w:noProof/>
        </w:rPr>
        <w:t xml:space="preserve"> following that of its publication in the </w:t>
      </w:r>
      <w:r w:rsidRPr="00F96E01">
        <w:rPr>
          <w:i/>
          <w:noProof/>
        </w:rPr>
        <w:t>Official Journal of the European Union</w:t>
      </w:r>
      <w:r w:rsidRPr="00F96E01">
        <w:rPr>
          <w:noProof/>
        </w:rPr>
        <w:t>.</w:t>
      </w:r>
    </w:p>
    <w:p w14:paraId="1A4B33A5" w14:textId="77777777" w:rsidR="00387DFA" w:rsidRPr="00F96E01" w:rsidRDefault="00387DFA" w:rsidP="004B45FA">
      <w:pPr>
        <w:pStyle w:val="Applicationdirecte"/>
        <w:keepNext/>
        <w:keepLines/>
        <w:rPr>
          <w:noProof/>
        </w:rPr>
      </w:pPr>
      <w:r w:rsidRPr="00F96E01">
        <w:rPr>
          <w:noProof/>
        </w:rPr>
        <w:t>This Regulation shall be binding in its entirety and directly applicable in all Member States.</w:t>
      </w:r>
    </w:p>
    <w:p w14:paraId="520912B0" w14:textId="39E1CA5D" w:rsidR="00387DFA" w:rsidRDefault="00B90128" w:rsidP="004B45FA">
      <w:pPr>
        <w:pStyle w:val="Fait"/>
        <w:rPr>
          <w:noProof/>
        </w:rPr>
      </w:pPr>
      <w:r w:rsidRPr="00B90128">
        <w:t>Done at Brussels,</w:t>
      </w:r>
    </w:p>
    <w:p w14:paraId="411ECA4C" w14:textId="77777777" w:rsidR="00387DFA" w:rsidRDefault="00387DFA" w:rsidP="004B45FA">
      <w:pPr>
        <w:pStyle w:val="Institutionquisigne"/>
        <w:rPr>
          <w:noProof/>
        </w:rPr>
      </w:pPr>
      <w:r w:rsidRPr="00053218">
        <w:rPr>
          <w:noProof/>
        </w:rPr>
        <w:t>For the European Parliament</w:t>
      </w:r>
      <w:r w:rsidRPr="00053218">
        <w:rPr>
          <w:noProof/>
        </w:rPr>
        <w:tab/>
        <w:t>For the Council</w:t>
      </w:r>
    </w:p>
    <w:p w14:paraId="55438FB6" w14:textId="77777777" w:rsidR="00DA6FD4" w:rsidRDefault="00387DFA" w:rsidP="00600499">
      <w:pPr>
        <w:pStyle w:val="Personnequisigne"/>
        <w:rPr>
          <w:noProof/>
        </w:rPr>
      </w:pPr>
      <w:r w:rsidRPr="00053218">
        <w:rPr>
          <w:noProof/>
        </w:rPr>
        <w:t>The President</w:t>
      </w:r>
      <w:r w:rsidRPr="00053218">
        <w:rPr>
          <w:noProof/>
        </w:rPr>
        <w:tab/>
        <w:t>The President</w:t>
      </w:r>
    </w:p>
    <w:p w14:paraId="1BED2B9C" w14:textId="77777777" w:rsidR="00600499" w:rsidRPr="00DA6FD4" w:rsidRDefault="00DA6FD4" w:rsidP="00DA6FD4">
      <w:pPr>
        <w:spacing w:before="0" w:after="200" w:line="276" w:lineRule="auto"/>
        <w:jc w:val="left"/>
        <w:rPr>
          <w:i/>
          <w:noProof/>
        </w:rPr>
      </w:pPr>
      <w:r>
        <w:rPr>
          <w:noProof/>
        </w:rPr>
        <w:br w:type="page"/>
      </w:r>
    </w:p>
    <w:p w14:paraId="74AEC820" w14:textId="77777777" w:rsidR="00600499" w:rsidRPr="003758C2" w:rsidRDefault="00600499" w:rsidP="009B6717">
      <w:pPr>
        <w:pStyle w:val="Fichefinanciretitre"/>
        <w:rPr>
          <w:noProof/>
        </w:rPr>
      </w:pPr>
      <w:r>
        <w:rPr>
          <w:noProof/>
        </w:rPr>
        <w:br/>
      </w:r>
      <w:r>
        <w:rPr>
          <w:noProof/>
        </w:rPr>
        <w:br/>
      </w:r>
      <w:r w:rsidRPr="003758C2">
        <w:rPr>
          <w:noProof/>
        </w:rPr>
        <w:t>LEGISLATIVE FINANCIAL STATEMENT 'AGENCIES'</w:t>
      </w:r>
    </w:p>
    <w:p w14:paraId="70406643" w14:textId="77777777" w:rsidR="00600499" w:rsidRDefault="00600499" w:rsidP="00600499">
      <w:pPr>
        <w:pStyle w:val="ManualHeading1"/>
        <w:rPr>
          <w:bCs/>
          <w:noProof/>
          <w:szCs w:val="24"/>
        </w:rPr>
      </w:pPr>
      <w:bookmarkStart w:id="4" w:name="_Toc514938659"/>
      <w:bookmarkStart w:id="5" w:name="_Toc520485418"/>
      <w:r w:rsidRPr="006D222F">
        <w:rPr>
          <w:noProof/>
        </w:rPr>
        <w:t>1.</w:t>
      </w:r>
      <w:r w:rsidRPr="006D222F">
        <w:rPr>
          <w:noProof/>
        </w:rPr>
        <w:tab/>
      </w:r>
      <w:r>
        <w:rPr>
          <w:noProof/>
        </w:rPr>
        <w:t>FRAMEWORK OF THE PROPOSAL/INITIATIVE</w:t>
      </w:r>
      <w:bookmarkEnd w:id="4"/>
      <w:bookmarkEnd w:id="5"/>
      <w:r>
        <w:rPr>
          <w:noProof/>
        </w:rPr>
        <w:t xml:space="preserve"> </w:t>
      </w:r>
    </w:p>
    <w:p w14:paraId="71A0153E" w14:textId="77777777" w:rsidR="00600499" w:rsidRPr="00046BCE" w:rsidRDefault="00600499" w:rsidP="00600499">
      <w:pPr>
        <w:pStyle w:val="ManualHeading2"/>
        <w:rPr>
          <w:bCs/>
          <w:noProof/>
          <w:szCs w:val="24"/>
        </w:rPr>
      </w:pPr>
      <w:bookmarkStart w:id="6" w:name="_Toc514938660"/>
      <w:bookmarkStart w:id="7" w:name="_Toc520485419"/>
      <w:r w:rsidRPr="00046BCE">
        <w:rPr>
          <w:noProof/>
        </w:rPr>
        <w:t>1.1.</w:t>
      </w:r>
      <w:r w:rsidRPr="00046BCE">
        <w:rPr>
          <w:noProof/>
        </w:rPr>
        <w:tab/>
        <w:t>Title of the proposal/initiative</w:t>
      </w:r>
      <w:bookmarkEnd w:id="6"/>
      <w:bookmarkEnd w:id="7"/>
    </w:p>
    <w:p w14:paraId="255BE3EF" w14:textId="77777777" w:rsidR="00600499" w:rsidRPr="00046BCE" w:rsidRDefault="00600499" w:rsidP="00600499">
      <w:pPr>
        <w:pStyle w:val="Text1"/>
        <w:pBdr>
          <w:top w:val="single" w:sz="4" w:space="1" w:color="auto"/>
          <w:left w:val="single" w:sz="4" w:space="4" w:color="auto"/>
          <w:bottom w:val="single" w:sz="4" w:space="1" w:color="auto"/>
          <w:right w:val="single" w:sz="4" w:space="4" w:color="auto"/>
        </w:pBdr>
        <w:rPr>
          <w:noProof/>
          <w:color w:val="0000FF"/>
        </w:rPr>
      </w:pPr>
      <w:r w:rsidRPr="00046BCE">
        <w:rPr>
          <w:noProof/>
        </w:rPr>
        <w:t>Proposal for a Regulation of the European Parliament and of the Council on the European Maritime  Safety Agency and repealing Regulation (EC) No 1406/2002</w:t>
      </w:r>
      <w:r w:rsidRPr="00046BCE">
        <w:rPr>
          <w:noProof/>
          <w:color w:val="0000FF"/>
        </w:rPr>
        <w:t xml:space="preserve"> </w:t>
      </w:r>
    </w:p>
    <w:p w14:paraId="51441DC4" w14:textId="77777777" w:rsidR="00600499" w:rsidRPr="00046BCE" w:rsidRDefault="00600499" w:rsidP="00600499">
      <w:pPr>
        <w:pStyle w:val="ManualHeading2"/>
        <w:rPr>
          <w:bCs/>
          <w:noProof/>
          <w:szCs w:val="24"/>
        </w:rPr>
      </w:pPr>
      <w:bookmarkStart w:id="8" w:name="_Toc514938661"/>
      <w:bookmarkStart w:id="9" w:name="_Toc520485420"/>
      <w:r w:rsidRPr="00046BCE">
        <w:rPr>
          <w:noProof/>
        </w:rPr>
        <w:t>1.2.</w:t>
      </w:r>
      <w:r w:rsidRPr="00046BCE">
        <w:rPr>
          <w:noProof/>
        </w:rPr>
        <w:tab/>
        <w:t>Policy area(s) concerned</w:t>
      </w:r>
      <w:bookmarkEnd w:id="8"/>
      <w:bookmarkEnd w:id="9"/>
    </w:p>
    <w:p w14:paraId="3D36CF28" w14:textId="77777777" w:rsidR="00600499" w:rsidRPr="00046BCE" w:rsidRDefault="00600499" w:rsidP="00600499">
      <w:pPr>
        <w:pStyle w:val="Text1"/>
        <w:pBdr>
          <w:top w:val="single" w:sz="4" w:space="1" w:color="auto"/>
          <w:left w:val="single" w:sz="4" w:space="4" w:color="auto"/>
          <w:bottom w:val="single" w:sz="4" w:space="1" w:color="auto"/>
          <w:right w:val="single" w:sz="4" w:space="4" w:color="auto"/>
        </w:pBdr>
        <w:rPr>
          <w:noProof/>
        </w:rPr>
      </w:pPr>
      <w:r w:rsidRPr="00046BCE">
        <w:rPr>
          <w:noProof/>
        </w:rPr>
        <w:t>Mobility and Transport – Maritime Safety</w:t>
      </w:r>
    </w:p>
    <w:p w14:paraId="7AB5FB08" w14:textId="77777777" w:rsidR="00600499" w:rsidRPr="00046BCE" w:rsidRDefault="00600499" w:rsidP="00600499">
      <w:pPr>
        <w:pStyle w:val="ManualHeading2"/>
        <w:rPr>
          <w:bCs/>
          <w:noProof/>
          <w:szCs w:val="24"/>
        </w:rPr>
      </w:pPr>
      <w:bookmarkStart w:id="10" w:name="_Toc514938662"/>
      <w:bookmarkStart w:id="11" w:name="_Toc520485421"/>
      <w:r w:rsidRPr="00046BCE">
        <w:rPr>
          <w:noProof/>
        </w:rPr>
        <w:t>1.3.</w:t>
      </w:r>
      <w:r w:rsidRPr="00046BCE">
        <w:rPr>
          <w:noProof/>
        </w:rPr>
        <w:tab/>
        <w:t>The proposal relates to</w:t>
      </w:r>
      <w:bookmarkEnd w:id="10"/>
      <w:bookmarkEnd w:id="11"/>
      <w:r w:rsidRPr="00046BCE">
        <w:rPr>
          <w:noProof/>
        </w:rPr>
        <w:t xml:space="preserve"> </w:t>
      </w:r>
    </w:p>
    <w:p w14:paraId="326C6961" w14:textId="77777777" w:rsidR="00600499" w:rsidRPr="00046BCE" w:rsidRDefault="00600499" w:rsidP="00600499">
      <w:pPr>
        <w:pStyle w:val="Text1"/>
        <w:rPr>
          <w:b/>
          <w:noProof/>
        </w:rPr>
      </w:pPr>
      <w:r w:rsidRPr="00046BCE">
        <w:rPr>
          <w:noProof/>
        </w:rPr>
        <w:sym w:font="Wingdings" w:char="F0A8"/>
      </w:r>
      <w:r w:rsidRPr="00046BCE">
        <w:rPr>
          <w:b/>
          <w:i/>
          <w:noProof/>
        </w:rPr>
        <w:t xml:space="preserve"> </w:t>
      </w:r>
      <w:r w:rsidRPr="00046BCE">
        <w:rPr>
          <w:b/>
          <w:noProof/>
        </w:rPr>
        <w:t xml:space="preserve">a new action </w:t>
      </w:r>
    </w:p>
    <w:p w14:paraId="0413714E" w14:textId="77777777" w:rsidR="00600499" w:rsidRPr="00046BCE" w:rsidRDefault="00600499" w:rsidP="00600499">
      <w:pPr>
        <w:pStyle w:val="Text1"/>
        <w:rPr>
          <w:noProof/>
          <w:sz w:val="22"/>
        </w:rPr>
      </w:pPr>
      <w:r w:rsidRPr="00046BCE">
        <w:rPr>
          <w:noProof/>
        </w:rPr>
        <w:sym w:font="Wingdings" w:char="F0A8"/>
      </w:r>
      <w:r w:rsidRPr="00046BCE">
        <w:rPr>
          <w:i/>
          <w:noProof/>
        </w:rPr>
        <w:t xml:space="preserve"> </w:t>
      </w:r>
      <w:r w:rsidRPr="00046BCE">
        <w:rPr>
          <w:b/>
          <w:noProof/>
        </w:rPr>
        <w:t>a new action following a pilot project/preparatory action</w:t>
      </w:r>
      <w:r w:rsidRPr="00046BCE">
        <w:rPr>
          <w:rStyle w:val="FootnoteReference"/>
          <w:b/>
          <w:noProof/>
        </w:rPr>
        <w:footnoteReference w:id="52"/>
      </w:r>
      <w:r w:rsidRPr="00046BCE">
        <w:rPr>
          <w:noProof/>
          <w:sz w:val="22"/>
        </w:rPr>
        <w:t xml:space="preserve"> </w:t>
      </w:r>
    </w:p>
    <w:p w14:paraId="78EE6040" w14:textId="77777777" w:rsidR="00600499" w:rsidRPr="00046BCE" w:rsidRDefault="00600499" w:rsidP="00600499">
      <w:pPr>
        <w:pStyle w:val="Text1"/>
        <w:rPr>
          <w:noProof/>
        </w:rPr>
      </w:pPr>
      <w:r w:rsidRPr="00046BCE">
        <w:rPr>
          <w:noProof/>
        </w:rPr>
        <w:sym w:font="Wingdings" w:char="F0FE"/>
      </w:r>
      <w:r w:rsidRPr="00046BCE">
        <w:rPr>
          <w:i/>
          <w:noProof/>
        </w:rPr>
        <w:t xml:space="preserve"> </w:t>
      </w:r>
      <w:r w:rsidRPr="00046BCE">
        <w:rPr>
          <w:b/>
          <w:noProof/>
        </w:rPr>
        <w:t>the extension of an existing action</w:t>
      </w:r>
      <w:r w:rsidRPr="00046BCE">
        <w:rPr>
          <w:noProof/>
        </w:rPr>
        <w:t xml:space="preserve"> </w:t>
      </w:r>
    </w:p>
    <w:p w14:paraId="6BEF69D0" w14:textId="77777777" w:rsidR="00600499" w:rsidRPr="00046BCE" w:rsidRDefault="00600499" w:rsidP="00600499">
      <w:pPr>
        <w:pStyle w:val="Text1"/>
        <w:rPr>
          <w:noProof/>
        </w:rPr>
      </w:pPr>
      <w:r w:rsidRPr="00046BCE">
        <w:rPr>
          <w:noProof/>
        </w:rPr>
        <w:sym w:font="Wingdings" w:char="F0A8"/>
      </w:r>
      <w:r w:rsidRPr="00046BCE">
        <w:rPr>
          <w:i/>
          <w:noProof/>
        </w:rPr>
        <w:t xml:space="preserve"> </w:t>
      </w:r>
      <w:r w:rsidRPr="00046BCE">
        <w:rPr>
          <w:b/>
          <w:noProof/>
        </w:rPr>
        <w:t>a merger of one or more</w:t>
      </w:r>
      <w:r w:rsidRPr="00046BCE">
        <w:rPr>
          <w:noProof/>
        </w:rPr>
        <w:t xml:space="preserve"> </w:t>
      </w:r>
      <w:r w:rsidRPr="00046BCE">
        <w:rPr>
          <w:b/>
          <w:noProof/>
        </w:rPr>
        <w:t>actions towards another/a new action</w:t>
      </w:r>
      <w:r w:rsidRPr="00046BCE">
        <w:rPr>
          <w:noProof/>
        </w:rPr>
        <w:t xml:space="preserve"> </w:t>
      </w:r>
    </w:p>
    <w:p w14:paraId="5ABB466C" w14:textId="77777777" w:rsidR="00600499" w:rsidRDefault="00600499" w:rsidP="00600499">
      <w:pPr>
        <w:pStyle w:val="ManualHeading2"/>
        <w:rPr>
          <w:bCs/>
          <w:noProof/>
          <w:szCs w:val="24"/>
        </w:rPr>
      </w:pPr>
      <w:bookmarkStart w:id="12" w:name="_Toc514938663"/>
      <w:bookmarkStart w:id="13" w:name="_Toc520485422"/>
      <w:r w:rsidRPr="00046BCE">
        <w:rPr>
          <w:noProof/>
        </w:rPr>
        <w:t>1.4.</w:t>
      </w:r>
      <w:r w:rsidRPr="00046BCE">
        <w:rPr>
          <w:noProof/>
        </w:rPr>
        <w:tab/>
        <w:t>Objective(s)</w:t>
      </w:r>
      <w:bookmarkEnd w:id="12"/>
      <w:bookmarkEnd w:id="13"/>
    </w:p>
    <w:p w14:paraId="5D8992CC" w14:textId="77777777" w:rsidR="00600499" w:rsidRDefault="00600499" w:rsidP="00600499">
      <w:pPr>
        <w:pStyle w:val="ManualHeading3"/>
        <w:rPr>
          <w:bCs/>
          <w:noProof/>
          <w:szCs w:val="24"/>
        </w:rPr>
      </w:pPr>
      <w:bookmarkStart w:id="14" w:name="_Toc514938664"/>
      <w:bookmarkStart w:id="15" w:name="_Toc520485423"/>
      <w:r w:rsidRPr="006D222F">
        <w:rPr>
          <w:noProof/>
        </w:rPr>
        <w:t>1.4.1.</w:t>
      </w:r>
      <w:r w:rsidRPr="006D222F">
        <w:rPr>
          <w:noProof/>
        </w:rPr>
        <w:tab/>
      </w:r>
      <w:r>
        <w:rPr>
          <w:noProof/>
        </w:rPr>
        <w:t>General objective(s)</w:t>
      </w:r>
      <w:bookmarkEnd w:id="14"/>
      <w:bookmarkEnd w:id="15"/>
      <w:r>
        <w:rPr>
          <w:noProof/>
        </w:rPr>
        <w:t xml:space="preserve"> </w:t>
      </w:r>
    </w:p>
    <w:p w14:paraId="01D175BA" w14:textId="77777777" w:rsidR="00600499" w:rsidRDefault="00600499" w:rsidP="00600499">
      <w:pPr>
        <w:pStyle w:val="Text1"/>
        <w:pBdr>
          <w:top w:val="single" w:sz="4" w:space="1" w:color="auto"/>
          <w:left w:val="single" w:sz="4" w:space="4" w:color="auto"/>
          <w:bottom w:val="single" w:sz="4" w:space="1" w:color="auto"/>
          <w:right w:val="single" w:sz="4" w:space="4" w:color="auto"/>
        </w:pBdr>
        <w:rPr>
          <w:noProof/>
        </w:rPr>
      </w:pPr>
      <w:r>
        <w:rPr>
          <w:noProof/>
        </w:rPr>
        <w:t xml:space="preserve">The general objective is to propose a new Regulation establishing the European Maritime Safety Agency (EMSA). EMSA’s objective is the promotion and establishment of a high, uniform and effective level of maritime safety aiming towards zero accidents, maritime security, the reduction of greenhouse gas emissions from ships and the sustainability of the maritime sector as well as the prevention of and response to pollution caused by ships and the response to marine pollution caused by oil and gas installation. </w:t>
      </w:r>
    </w:p>
    <w:p w14:paraId="5B9E1D56" w14:textId="77777777" w:rsidR="00600499" w:rsidRDefault="00600499" w:rsidP="00600499">
      <w:pPr>
        <w:pStyle w:val="Text1"/>
        <w:pBdr>
          <w:top w:val="single" w:sz="4" w:space="1" w:color="auto"/>
          <w:left w:val="single" w:sz="4" w:space="4" w:color="auto"/>
          <w:bottom w:val="single" w:sz="4" w:space="1" w:color="auto"/>
          <w:right w:val="single" w:sz="4" w:space="4" w:color="auto"/>
        </w:pBdr>
        <w:rPr>
          <w:noProof/>
        </w:rPr>
      </w:pPr>
      <w:r>
        <w:rPr>
          <w:noProof/>
        </w:rPr>
        <w:t>Further objectives of the Agency shall be the promotion of digitalisation of the maritime sector by facilitating the electronic transmission of data supporting simplification and the provision of integrated maritime surveillance and awareness systems and services to the Commission and the Member States.</w:t>
      </w:r>
    </w:p>
    <w:p w14:paraId="5BD851FF" w14:textId="77777777" w:rsidR="00600499" w:rsidRDefault="00600499" w:rsidP="00600499">
      <w:pPr>
        <w:pStyle w:val="ManualHeading3"/>
        <w:rPr>
          <w:bCs/>
          <w:noProof/>
          <w:szCs w:val="24"/>
        </w:rPr>
      </w:pPr>
      <w:bookmarkStart w:id="16" w:name="_Toc514938665"/>
      <w:bookmarkStart w:id="17" w:name="_Toc520485424"/>
      <w:r w:rsidRPr="006D222F">
        <w:rPr>
          <w:noProof/>
        </w:rPr>
        <w:t>1.4.2.</w:t>
      </w:r>
      <w:r w:rsidRPr="006D222F">
        <w:rPr>
          <w:noProof/>
        </w:rPr>
        <w:tab/>
      </w:r>
      <w:r>
        <w:rPr>
          <w:noProof/>
        </w:rPr>
        <w:t>Specific objective(s)</w:t>
      </w:r>
      <w:bookmarkEnd w:id="16"/>
      <w:bookmarkEnd w:id="17"/>
      <w:r>
        <w:rPr>
          <w:noProof/>
        </w:rPr>
        <w:t xml:space="preserve"> </w:t>
      </w:r>
    </w:p>
    <w:p w14:paraId="14CE87BE" w14:textId="77777777" w:rsidR="00600499" w:rsidRDefault="00600499" w:rsidP="00600499">
      <w:pPr>
        <w:pStyle w:val="Text1"/>
        <w:pBdr>
          <w:top w:val="single" w:sz="4" w:space="1" w:color="auto"/>
          <w:left w:val="single" w:sz="4" w:space="4" w:color="auto"/>
          <w:bottom w:val="single" w:sz="4" w:space="1" w:color="auto"/>
          <w:right w:val="single" w:sz="4" w:space="4" w:color="auto"/>
        </w:pBdr>
        <w:rPr>
          <w:noProof/>
        </w:rPr>
      </w:pPr>
      <w:r>
        <w:rPr>
          <w:noProof/>
        </w:rPr>
        <w:t>T</w:t>
      </w:r>
      <w:r w:rsidRPr="00242CCA">
        <w:rPr>
          <w:noProof/>
        </w:rPr>
        <w:t xml:space="preserve">he specific objectives </w:t>
      </w:r>
      <w:r>
        <w:rPr>
          <w:noProof/>
        </w:rPr>
        <w:t>of the revision are</w:t>
      </w:r>
      <w:r w:rsidRPr="00242CCA">
        <w:rPr>
          <w:noProof/>
        </w:rPr>
        <w:t xml:space="preserve">: </w:t>
      </w:r>
    </w:p>
    <w:p w14:paraId="523A5146" w14:textId="77777777" w:rsidR="00600499" w:rsidRPr="00242CCA" w:rsidRDefault="00600499" w:rsidP="0058179D">
      <w:pPr>
        <w:pStyle w:val="Text1"/>
        <w:pBdr>
          <w:top w:val="single" w:sz="4" w:space="1" w:color="auto"/>
          <w:left w:val="single" w:sz="4" w:space="4" w:color="auto"/>
          <w:bottom w:val="single" w:sz="4" w:space="1" w:color="auto"/>
          <w:right w:val="single" w:sz="4" w:space="4" w:color="auto"/>
        </w:pBdr>
        <w:rPr>
          <w:noProof/>
        </w:rPr>
      </w:pPr>
      <w:r>
        <w:rPr>
          <w:noProof/>
        </w:rPr>
        <w:t xml:space="preserve">to </w:t>
      </w:r>
      <w:r w:rsidRPr="00242CCA">
        <w:rPr>
          <w:noProof/>
        </w:rPr>
        <w:t xml:space="preserve">better anchor and reflect the current tasks and objectives of </w:t>
      </w:r>
      <w:r>
        <w:rPr>
          <w:noProof/>
        </w:rPr>
        <w:t>EMSA</w:t>
      </w:r>
      <w:r w:rsidRPr="00242CCA">
        <w:rPr>
          <w:noProof/>
        </w:rPr>
        <w:t xml:space="preserve"> in its founding Regulation so that </w:t>
      </w:r>
      <w:r>
        <w:rPr>
          <w:noProof/>
        </w:rPr>
        <w:t>EMSA</w:t>
      </w:r>
      <w:r w:rsidRPr="00242CCA">
        <w:rPr>
          <w:noProof/>
        </w:rPr>
        <w:t xml:space="preserve"> is legally mandated to fulfil these and support the Member States and the Commission with the necessary technical, operational and scientific assistance in ensuring maritime safety and security together with the green and digital transition of the sector while render</w:t>
      </w:r>
      <w:r w:rsidR="00FD02DF">
        <w:rPr>
          <w:noProof/>
        </w:rPr>
        <w:t>ing</w:t>
      </w:r>
      <w:r w:rsidRPr="00242CCA">
        <w:rPr>
          <w:noProof/>
        </w:rPr>
        <w:t xml:space="preserve"> the EMSA’s founding Regulation future proof by allowing enough flexibility to incorporate new tasks in addressing the evolving needs of the maritime sector and ensur</w:t>
      </w:r>
      <w:r w:rsidR="00FD02DF">
        <w:rPr>
          <w:noProof/>
        </w:rPr>
        <w:t>ing</w:t>
      </w:r>
      <w:r w:rsidRPr="00242CCA">
        <w:rPr>
          <w:noProof/>
        </w:rPr>
        <w:t xml:space="preserve"> that </w:t>
      </w:r>
      <w:r>
        <w:rPr>
          <w:noProof/>
        </w:rPr>
        <w:t>EMSA</w:t>
      </w:r>
      <w:r w:rsidRPr="00242CCA">
        <w:rPr>
          <w:noProof/>
        </w:rPr>
        <w:t xml:space="preserve"> will have adequate human and financial resources to fulfil its role.</w:t>
      </w:r>
    </w:p>
    <w:p w14:paraId="224CCEB0" w14:textId="77777777" w:rsidR="002063E3" w:rsidRPr="00242CCA" w:rsidRDefault="002063E3" w:rsidP="002063E3">
      <w:pPr>
        <w:pStyle w:val="Text1"/>
        <w:pBdr>
          <w:top w:val="single" w:sz="4" w:space="1" w:color="auto"/>
          <w:left w:val="single" w:sz="4" w:space="4" w:color="auto"/>
          <w:bottom w:val="single" w:sz="4" w:space="1" w:color="auto"/>
          <w:right w:val="single" w:sz="4" w:space="4" w:color="auto"/>
        </w:pBdr>
        <w:rPr>
          <w:noProof/>
        </w:rPr>
      </w:pPr>
      <w:r>
        <w:rPr>
          <w:noProof/>
        </w:rPr>
        <w:t xml:space="preserve">The current revision (and legislative financial statement) includes the complete budget impact of the new Regulation establishing EMSA repealing Regulation (EC) no 1406/2002, and also the budget impact of (i) </w:t>
      </w:r>
      <w:r w:rsidRPr="00FD02DF">
        <w:rPr>
          <w:noProof/>
        </w:rPr>
        <w:t>revision of Directive 2009/21/EC on Flag State requirements</w:t>
      </w:r>
      <w:r>
        <w:rPr>
          <w:noProof/>
        </w:rPr>
        <w:t xml:space="preserve">; (ii) </w:t>
      </w:r>
      <w:r w:rsidRPr="00FD02DF">
        <w:rPr>
          <w:noProof/>
        </w:rPr>
        <w:t>the revision of Directive 2009/16/EC on port State control</w:t>
      </w:r>
      <w:r>
        <w:rPr>
          <w:noProof/>
        </w:rPr>
        <w:t xml:space="preserve">; (iii) the </w:t>
      </w:r>
      <w:r w:rsidRPr="00FD02DF">
        <w:rPr>
          <w:noProof/>
        </w:rPr>
        <w:t>revision of Directive 2009/18/EC on accident investigation</w:t>
      </w:r>
      <w:r>
        <w:rPr>
          <w:noProof/>
        </w:rPr>
        <w:t xml:space="preserve">, and (iv) </w:t>
      </w:r>
      <w:r w:rsidRPr="00FD02DF">
        <w:rPr>
          <w:noProof/>
        </w:rPr>
        <w:t>revision of Directive 2005/35/EC on ship-source pollution</w:t>
      </w:r>
      <w:r>
        <w:rPr>
          <w:noProof/>
        </w:rPr>
        <w:t xml:space="preserve">. The budget impact of the latter four proposals is described in more detail in each of the respective legislative financial statements. </w:t>
      </w:r>
    </w:p>
    <w:p w14:paraId="77A1EAC2" w14:textId="77777777" w:rsidR="00600499" w:rsidRDefault="00600499" w:rsidP="00600499">
      <w:pPr>
        <w:pStyle w:val="ManualHeading3"/>
        <w:rPr>
          <w:bCs/>
          <w:noProof/>
          <w:szCs w:val="24"/>
        </w:rPr>
      </w:pPr>
      <w:r>
        <w:rPr>
          <w:noProof/>
        </w:rPr>
        <w:br w:type="page"/>
      </w:r>
      <w:bookmarkStart w:id="18" w:name="_Toc514938666"/>
      <w:bookmarkStart w:id="19" w:name="_Toc520485425"/>
      <w:r w:rsidRPr="006D222F">
        <w:rPr>
          <w:noProof/>
        </w:rPr>
        <w:t>1.4.3.</w:t>
      </w:r>
      <w:r w:rsidRPr="006D222F">
        <w:rPr>
          <w:noProof/>
        </w:rPr>
        <w:tab/>
      </w:r>
      <w:r>
        <w:rPr>
          <w:noProof/>
        </w:rPr>
        <w:t>Expected result(s) and impact</w:t>
      </w:r>
      <w:bookmarkEnd w:id="18"/>
      <w:bookmarkEnd w:id="19"/>
    </w:p>
    <w:p w14:paraId="19B816DB" w14:textId="77777777" w:rsidR="00600499" w:rsidRDefault="00600499" w:rsidP="00600499">
      <w:pPr>
        <w:pStyle w:val="Text1"/>
        <w:rPr>
          <w:i/>
          <w:noProof/>
          <w:sz w:val="20"/>
        </w:rPr>
      </w:pPr>
      <w:r>
        <w:rPr>
          <w:i/>
          <w:noProof/>
          <w:sz w:val="20"/>
        </w:rPr>
        <w:t>Specify the effects which the proposal/initiative should have on the beneficiaries/groups targeted.</w:t>
      </w:r>
    </w:p>
    <w:p w14:paraId="46518522" w14:textId="77777777" w:rsidR="00600499" w:rsidRDefault="00600499" w:rsidP="00600499">
      <w:pPr>
        <w:pStyle w:val="Text1"/>
        <w:pBdr>
          <w:top w:val="single" w:sz="4" w:space="1" w:color="auto"/>
          <w:left w:val="single" w:sz="4" w:space="4" w:color="auto"/>
          <w:bottom w:val="single" w:sz="4" w:space="1" w:color="auto"/>
          <w:right w:val="single" w:sz="4" w:space="4" w:color="auto"/>
        </w:pBdr>
        <w:rPr>
          <w:noProof/>
        </w:rPr>
      </w:pPr>
      <w:r>
        <w:rPr>
          <w:noProof/>
        </w:rPr>
        <w:t xml:space="preserve">The Regulation is expected to reflect the bigger role that EMSA plays in the maritime sector evolving considerably since 2013. It is expected to ensure flexibility to EMSA </w:t>
      </w:r>
      <w:r w:rsidRPr="007D7363">
        <w:rPr>
          <w:noProof/>
        </w:rPr>
        <w:t>to adjust its scope of action, without bending its core mission.</w:t>
      </w:r>
      <w:r>
        <w:rPr>
          <w:noProof/>
        </w:rPr>
        <w:t xml:space="preserve"> </w:t>
      </w:r>
    </w:p>
    <w:p w14:paraId="406D3E52" w14:textId="77777777" w:rsidR="00600499" w:rsidRDefault="00600499" w:rsidP="00600499">
      <w:pPr>
        <w:pStyle w:val="Text1"/>
        <w:pBdr>
          <w:top w:val="single" w:sz="4" w:space="1" w:color="auto"/>
          <w:left w:val="single" w:sz="4" w:space="4" w:color="auto"/>
          <w:bottom w:val="single" w:sz="4" w:space="1" w:color="auto"/>
          <w:right w:val="single" w:sz="4" w:space="4" w:color="auto"/>
        </w:pBdr>
        <w:rPr>
          <w:noProof/>
        </w:rPr>
      </w:pPr>
      <w:r>
        <w:rPr>
          <w:noProof/>
        </w:rPr>
        <w:t>The Regulation is expected to ensure that EMSA</w:t>
      </w:r>
      <w:r w:rsidRPr="007D7363">
        <w:rPr>
          <w:noProof/>
        </w:rPr>
        <w:t xml:space="preserve"> can support the EU maritime sector in the most effective way in dealing with the double transition it is facing regarding the topics of sustainability and digitalisation while it will render the mandate future proof in order to tackle the challenges of the future.</w:t>
      </w:r>
    </w:p>
    <w:p w14:paraId="39FCA8E1" w14:textId="77777777" w:rsidR="00600499" w:rsidRDefault="00600499" w:rsidP="00600499">
      <w:pPr>
        <w:pStyle w:val="ManualHeading3"/>
        <w:rPr>
          <w:bCs/>
          <w:noProof/>
          <w:szCs w:val="24"/>
        </w:rPr>
      </w:pPr>
      <w:bookmarkStart w:id="20" w:name="_Toc514938667"/>
      <w:bookmarkStart w:id="21" w:name="_Toc520485426"/>
      <w:r w:rsidRPr="006D222F">
        <w:rPr>
          <w:noProof/>
        </w:rPr>
        <w:t>1.4.4.</w:t>
      </w:r>
      <w:r w:rsidRPr="006D222F">
        <w:rPr>
          <w:noProof/>
        </w:rPr>
        <w:tab/>
      </w:r>
      <w:r>
        <w:rPr>
          <w:noProof/>
        </w:rPr>
        <w:t>Indicators of performance</w:t>
      </w:r>
      <w:bookmarkEnd w:id="20"/>
      <w:bookmarkEnd w:id="21"/>
      <w:r>
        <w:rPr>
          <w:noProof/>
        </w:rPr>
        <w:t xml:space="preserve"> </w:t>
      </w:r>
    </w:p>
    <w:p w14:paraId="2CE79874" w14:textId="77777777" w:rsidR="00600499" w:rsidRDefault="00600499" w:rsidP="00600499">
      <w:pPr>
        <w:pStyle w:val="Text1"/>
        <w:rPr>
          <w:i/>
          <w:noProof/>
          <w:sz w:val="20"/>
        </w:rPr>
      </w:pPr>
      <w:r>
        <w:rPr>
          <w:i/>
          <w:noProof/>
          <w:sz w:val="20"/>
        </w:rPr>
        <w:t>Specify the indicators for monitoring progress and achievements.</w:t>
      </w:r>
    </w:p>
    <w:p w14:paraId="4BD07661" w14:textId="77777777" w:rsidR="00600499" w:rsidRDefault="00600499" w:rsidP="00600499">
      <w:pPr>
        <w:pStyle w:val="Text1"/>
        <w:pBdr>
          <w:top w:val="single" w:sz="4" w:space="1" w:color="auto"/>
          <w:left w:val="single" w:sz="4" w:space="1" w:color="auto"/>
          <w:bottom w:val="single" w:sz="4" w:space="1" w:color="auto"/>
          <w:right w:val="single" w:sz="4" w:space="1" w:color="auto"/>
        </w:pBdr>
        <w:rPr>
          <w:noProof/>
        </w:rPr>
      </w:pPr>
      <w:r w:rsidRPr="0020132D">
        <w:rPr>
          <w:noProof/>
        </w:rPr>
        <w:t>The effectiveness of the proposed Regulation, with respect</w:t>
      </w:r>
      <w:r>
        <w:rPr>
          <w:noProof/>
        </w:rPr>
        <w:t xml:space="preserve"> to the specific objective no. 1</w:t>
      </w:r>
      <w:r w:rsidRPr="0020132D">
        <w:rPr>
          <w:noProof/>
        </w:rPr>
        <w:t xml:space="preserve">, will be determined based on </w:t>
      </w:r>
      <w:r>
        <w:rPr>
          <w:noProof/>
        </w:rPr>
        <w:t>the annual and multiannual outputs and fulfilment of the Agency in relation to each of its tasks as indicated in its annual SPD and CAAR report.</w:t>
      </w:r>
    </w:p>
    <w:p w14:paraId="175A31B8" w14:textId="77777777" w:rsidR="00600499" w:rsidRDefault="00600499" w:rsidP="00600499">
      <w:pPr>
        <w:pStyle w:val="Text1"/>
        <w:pBdr>
          <w:top w:val="single" w:sz="4" w:space="1" w:color="auto"/>
          <w:left w:val="single" w:sz="4" w:space="1" w:color="auto"/>
          <w:bottom w:val="single" w:sz="4" w:space="1" w:color="auto"/>
          <w:right w:val="single" w:sz="4" w:space="1" w:color="auto"/>
        </w:pBdr>
        <w:rPr>
          <w:noProof/>
        </w:rPr>
      </w:pPr>
      <w:r w:rsidRPr="0020132D">
        <w:rPr>
          <w:noProof/>
        </w:rPr>
        <w:t>The effectiveness of the proposed Regulation, with respect</w:t>
      </w:r>
      <w:r>
        <w:rPr>
          <w:noProof/>
        </w:rPr>
        <w:t xml:space="preserve"> to the specific objective no. 2</w:t>
      </w:r>
      <w:r w:rsidRPr="0020132D">
        <w:rPr>
          <w:noProof/>
        </w:rPr>
        <w:t xml:space="preserve">, will be determined based on </w:t>
      </w:r>
      <w:r>
        <w:rPr>
          <w:noProof/>
        </w:rPr>
        <w:t>the number of requests and new tasks that will be allocated to EMSA in the following years.</w:t>
      </w:r>
    </w:p>
    <w:p w14:paraId="7A322872" w14:textId="77777777" w:rsidR="00600499" w:rsidRDefault="00600499" w:rsidP="00600499">
      <w:pPr>
        <w:pStyle w:val="Text1"/>
        <w:pBdr>
          <w:top w:val="single" w:sz="4" w:space="1" w:color="auto"/>
          <w:left w:val="single" w:sz="4" w:space="1" w:color="auto"/>
          <w:bottom w:val="single" w:sz="4" w:space="1" w:color="auto"/>
          <w:right w:val="single" w:sz="4" w:space="1" w:color="auto"/>
        </w:pBdr>
        <w:rPr>
          <w:noProof/>
        </w:rPr>
      </w:pPr>
      <w:r w:rsidRPr="0020132D">
        <w:rPr>
          <w:noProof/>
        </w:rPr>
        <w:t>The effectiveness of the proposed Regulation, with respect</w:t>
      </w:r>
      <w:r>
        <w:rPr>
          <w:noProof/>
        </w:rPr>
        <w:t xml:space="preserve"> to the specific objective no. 3</w:t>
      </w:r>
      <w:r w:rsidRPr="0020132D">
        <w:rPr>
          <w:noProof/>
        </w:rPr>
        <w:t xml:space="preserve">, will be determined based on </w:t>
      </w:r>
      <w:r>
        <w:rPr>
          <w:noProof/>
        </w:rPr>
        <w:t xml:space="preserve">the deliverabels of the Agency according to </w:t>
      </w:r>
      <w:r w:rsidRPr="007B30DA">
        <w:rPr>
          <w:noProof/>
        </w:rPr>
        <w:t>annual SPD and CAAR report</w:t>
      </w:r>
    </w:p>
    <w:p w14:paraId="71469DFD" w14:textId="77777777" w:rsidR="00600499" w:rsidRDefault="00600499" w:rsidP="00600499">
      <w:pPr>
        <w:pStyle w:val="Text1"/>
        <w:pBdr>
          <w:top w:val="single" w:sz="4" w:space="1" w:color="auto"/>
          <w:left w:val="single" w:sz="4" w:space="1" w:color="auto"/>
          <w:bottom w:val="single" w:sz="4" w:space="1" w:color="auto"/>
          <w:right w:val="single" w:sz="4" w:space="1" w:color="auto"/>
        </w:pBdr>
        <w:rPr>
          <w:noProof/>
        </w:rPr>
      </w:pPr>
      <w:r w:rsidRPr="007B30DA">
        <w:rPr>
          <w:noProof/>
        </w:rPr>
        <w:t>The</w:t>
      </w:r>
      <w:r>
        <w:rPr>
          <w:noProof/>
        </w:rPr>
        <w:t xml:space="preserve"> overall</w:t>
      </w:r>
      <w:r w:rsidRPr="007B30DA">
        <w:rPr>
          <w:noProof/>
        </w:rPr>
        <w:t xml:space="preserve"> effectiveness of the proposed Regulation will be monitored through the proposed evaluation of the Agency every 5 years while the Commission will issue an opinion on the single programming document of the Agency, which includes the annual and multiannual working program and the allocated resources for each fo the tasks of the Agency.</w:t>
      </w:r>
    </w:p>
    <w:p w14:paraId="3D27E76D" w14:textId="77777777" w:rsidR="00600499" w:rsidRPr="00A32156" w:rsidRDefault="00600499" w:rsidP="00600499">
      <w:pPr>
        <w:pStyle w:val="Point1"/>
        <w:rPr>
          <w:noProof/>
          <w:color w:val="0000FF"/>
        </w:rPr>
      </w:pPr>
      <w:r w:rsidRPr="006D222F">
        <w:rPr>
          <w:noProof/>
        </w:rPr>
        <w:t xml:space="preserve"> </w:t>
      </w:r>
    </w:p>
    <w:p w14:paraId="3EE60575" w14:textId="77777777" w:rsidR="00600499" w:rsidRDefault="00600499" w:rsidP="00600499">
      <w:pPr>
        <w:pStyle w:val="ManualHeading2"/>
        <w:rPr>
          <w:bCs/>
          <w:noProof/>
          <w:szCs w:val="24"/>
        </w:rPr>
      </w:pPr>
      <w:bookmarkStart w:id="22" w:name="_Toc514938668"/>
      <w:bookmarkStart w:id="23" w:name="_Toc520485427"/>
      <w:r w:rsidRPr="00046BCE">
        <w:rPr>
          <w:noProof/>
        </w:rPr>
        <w:t>1.5.</w:t>
      </w:r>
      <w:r w:rsidRPr="00046BCE">
        <w:rPr>
          <w:noProof/>
        </w:rPr>
        <w:tab/>
      </w:r>
      <w:r w:rsidRPr="000E7351">
        <w:rPr>
          <w:noProof/>
        </w:rPr>
        <w:t>Grounds for the proposal/initiative</w:t>
      </w:r>
      <w:bookmarkEnd w:id="22"/>
      <w:bookmarkEnd w:id="23"/>
      <w:r>
        <w:rPr>
          <w:noProof/>
        </w:rPr>
        <w:t xml:space="preserve"> </w:t>
      </w:r>
    </w:p>
    <w:p w14:paraId="196C3093" w14:textId="77777777" w:rsidR="00600499" w:rsidRDefault="00600499" w:rsidP="00600499">
      <w:pPr>
        <w:pStyle w:val="ManualHeading3"/>
        <w:rPr>
          <w:noProof/>
        </w:rPr>
      </w:pPr>
      <w:bookmarkStart w:id="24" w:name="_Toc514938669"/>
      <w:bookmarkStart w:id="25" w:name="_Toc520485428"/>
      <w:r w:rsidRPr="006D222F">
        <w:rPr>
          <w:noProof/>
        </w:rPr>
        <w:t>1.5.1.</w:t>
      </w:r>
      <w:r w:rsidRPr="006D222F">
        <w:rPr>
          <w:noProof/>
        </w:rPr>
        <w:tab/>
      </w:r>
      <w:r>
        <w:rPr>
          <w:noProof/>
        </w:rPr>
        <w:t>Requirement(s) to be met in the short or long term including a detailed timeline for roll-out of the implementation of the initiative</w:t>
      </w:r>
      <w:bookmarkEnd w:id="24"/>
      <w:bookmarkEnd w:id="25"/>
    </w:p>
    <w:p w14:paraId="66902D6C" w14:textId="77777777" w:rsidR="00600499" w:rsidRDefault="0058179D" w:rsidP="00600499">
      <w:pPr>
        <w:pStyle w:val="Text1"/>
        <w:pBdr>
          <w:top w:val="single" w:sz="4" w:space="1" w:color="auto"/>
          <w:left w:val="single" w:sz="4" w:space="4" w:color="auto"/>
          <w:bottom w:val="single" w:sz="4" w:space="1" w:color="auto"/>
          <w:right w:val="single" w:sz="4" w:space="4" w:color="auto"/>
        </w:pBdr>
        <w:rPr>
          <w:noProof/>
        </w:rPr>
      </w:pPr>
      <w:r>
        <w:rPr>
          <w:noProof/>
        </w:rPr>
        <w:t xml:space="preserve">1) </w:t>
      </w:r>
      <w:r w:rsidR="00600499">
        <w:rPr>
          <w:noProof/>
        </w:rPr>
        <w:t>In relation to the revision of Directive 2009/21/EC on Flag State requirements:</w:t>
      </w:r>
    </w:p>
    <w:p w14:paraId="442B8703" w14:textId="77777777" w:rsidR="00600499" w:rsidRDefault="00600499" w:rsidP="00600499">
      <w:pPr>
        <w:pStyle w:val="Text1"/>
        <w:pBdr>
          <w:top w:val="single" w:sz="4" w:space="1" w:color="auto"/>
          <w:left w:val="single" w:sz="4" w:space="4" w:color="auto"/>
          <w:bottom w:val="single" w:sz="4" w:space="1" w:color="auto"/>
          <w:right w:val="single" w:sz="4" w:space="4" w:color="auto"/>
        </w:pBdr>
        <w:rPr>
          <w:noProof/>
        </w:rPr>
      </w:pPr>
      <w:r>
        <w:rPr>
          <w:noProof/>
        </w:rPr>
        <w:t>EMSA will be required to implement technical solutions for e-certificate registry, reporting of e-certificates and e-Flag State inspection reports, as well as tools for validation, and developing new modules. EMSA will also be required to develop a mechanism and template for reporting information and statistics and introduce common capacity building and harmonised training (post-qualification) for Flag State inspectors and/or surveyors and/or auditors, by developing a common curricula for Flag State inspectors and training of flag State inspectors to new technologies, including but not limited to renewable and low carbon fuels, which are particularly relevant in view of the “Fit for 55” package, and automation.</w:t>
      </w:r>
    </w:p>
    <w:p w14:paraId="54E764D1" w14:textId="77777777" w:rsidR="00600499" w:rsidRDefault="00600499" w:rsidP="00600499">
      <w:pPr>
        <w:pStyle w:val="Text1"/>
        <w:pBdr>
          <w:top w:val="single" w:sz="4" w:space="1" w:color="auto"/>
          <w:left w:val="single" w:sz="4" w:space="4" w:color="auto"/>
          <w:bottom w:val="single" w:sz="4" w:space="1" w:color="auto"/>
          <w:right w:val="single" w:sz="4" w:space="4" w:color="auto"/>
        </w:pBdr>
        <w:rPr>
          <w:noProof/>
        </w:rPr>
      </w:pPr>
      <w:r>
        <w:rPr>
          <w:noProof/>
        </w:rPr>
        <w:t xml:space="preserve">By 2025, 1 additional FTE will be required to develop the new module for the e-certificates and 1 additional FTE to provide specialist IT skills and maritime knowledge in the Maritime Support Services. </w:t>
      </w:r>
      <w:r w:rsidR="00FD02DF">
        <w:rPr>
          <w:noProof/>
        </w:rPr>
        <w:t xml:space="preserve">The budget impact of the revision of Directive 2009/21/EC on Flag State requirements is included in the current LFS. The revision of Directive 2009/21/EC on Flag State requirements will include a separate LFS providing more detail. </w:t>
      </w:r>
    </w:p>
    <w:p w14:paraId="4C1380E3" w14:textId="77777777" w:rsidR="00600499" w:rsidRDefault="00600499" w:rsidP="00600499">
      <w:pPr>
        <w:pStyle w:val="Text1"/>
        <w:pBdr>
          <w:top w:val="single" w:sz="4" w:space="1" w:color="auto"/>
          <w:left w:val="single" w:sz="4" w:space="4" w:color="auto"/>
          <w:bottom w:val="single" w:sz="4" w:space="1" w:color="auto"/>
          <w:right w:val="single" w:sz="4" w:space="4" w:color="auto"/>
        </w:pBdr>
        <w:rPr>
          <w:noProof/>
        </w:rPr>
      </w:pPr>
      <w:r>
        <w:rPr>
          <w:noProof/>
        </w:rPr>
        <w:t>2) in relation to the revision of Directive 2009/16/EC on port State control:</w:t>
      </w:r>
    </w:p>
    <w:p w14:paraId="234471F0" w14:textId="77777777" w:rsidR="00600499" w:rsidRDefault="00600499" w:rsidP="00600499">
      <w:pPr>
        <w:pStyle w:val="Text1"/>
        <w:pBdr>
          <w:top w:val="single" w:sz="4" w:space="1" w:color="auto"/>
          <w:left w:val="single" w:sz="4" w:space="4" w:color="auto"/>
          <w:bottom w:val="single" w:sz="4" w:space="1" w:color="auto"/>
          <w:right w:val="single" w:sz="4" w:space="4" w:color="auto"/>
        </w:pBdr>
        <w:rPr>
          <w:noProof/>
        </w:rPr>
      </w:pPr>
      <w:r>
        <w:rPr>
          <w:noProof/>
        </w:rPr>
        <w:t xml:space="preserve">EMSA will be required to organise trainings of Port State Control Officers (PSCOs) in relation to large fishing vessels with main focus on the relevant EU guidelines, and develop the relevant courses. EMSA will also be required to develop a THETIS module for fishing vessels and a common curriculum for Port State Control of fishing vessels which will cover all the relevant instructions and guidance. </w:t>
      </w:r>
    </w:p>
    <w:p w14:paraId="13D3C621" w14:textId="77777777" w:rsidR="00600499" w:rsidRDefault="00600499" w:rsidP="00600499">
      <w:pPr>
        <w:pStyle w:val="Text1"/>
        <w:pBdr>
          <w:top w:val="single" w:sz="4" w:space="1" w:color="auto"/>
          <w:left w:val="single" w:sz="4" w:space="4" w:color="auto"/>
          <w:bottom w:val="single" w:sz="4" w:space="1" w:color="auto"/>
          <w:right w:val="single" w:sz="4" w:space="4" w:color="auto"/>
        </w:pBdr>
        <w:rPr>
          <w:noProof/>
        </w:rPr>
      </w:pPr>
      <w:r>
        <w:rPr>
          <w:noProof/>
        </w:rPr>
        <w:t>EMSA will be required to organise trainings of PSCOs in relation to the use of electronic statutory certificates and will have to develop a validation tool and repository.</w:t>
      </w:r>
    </w:p>
    <w:p w14:paraId="3E648D78" w14:textId="77777777" w:rsidR="00600499" w:rsidRDefault="00600499" w:rsidP="00600499">
      <w:pPr>
        <w:pStyle w:val="Text1"/>
        <w:pBdr>
          <w:top w:val="single" w:sz="4" w:space="1" w:color="auto"/>
          <w:left w:val="single" w:sz="4" w:space="4" w:color="auto"/>
          <w:bottom w:val="single" w:sz="4" w:space="1" w:color="auto"/>
          <w:right w:val="single" w:sz="4" w:space="4" w:color="auto"/>
        </w:pBdr>
        <w:rPr>
          <w:noProof/>
        </w:rPr>
      </w:pPr>
      <w:r>
        <w:rPr>
          <w:noProof/>
        </w:rPr>
        <w:t>EMSA will be required to develop enhanced training tools/capacity development for PSCOs on new technologies, including but not limited to renewable and low carbon fuels, which are particularly relevant in view of the “Fit for 55” package, and automation by enhancing EMSA’s online training tools and recruiting experts.</w:t>
      </w:r>
    </w:p>
    <w:p w14:paraId="32941840" w14:textId="77777777" w:rsidR="00600499" w:rsidRDefault="00600499" w:rsidP="00600499">
      <w:pPr>
        <w:pStyle w:val="Text1"/>
        <w:pBdr>
          <w:top w:val="single" w:sz="4" w:space="1" w:color="auto"/>
          <w:left w:val="single" w:sz="4" w:space="4" w:color="auto"/>
          <w:bottom w:val="single" w:sz="4" w:space="1" w:color="auto"/>
          <w:right w:val="single" w:sz="4" w:space="4" w:color="auto"/>
        </w:pBdr>
        <w:rPr>
          <w:noProof/>
        </w:rPr>
      </w:pPr>
      <w:r>
        <w:rPr>
          <w:noProof/>
        </w:rPr>
        <w:t>By 2025, 2 FTEs will be needed to support the tasks of EMSA to develop the tools.</w:t>
      </w:r>
      <w:r w:rsidR="00FD02DF">
        <w:rPr>
          <w:noProof/>
        </w:rPr>
        <w:t xml:space="preserve"> The budget impact of the revision of Directive 2009/16/EC on port State control is included in the current LFS. The revision of Directive 2009/16/EC on port State control will include a separate LFS providing more detail. </w:t>
      </w:r>
    </w:p>
    <w:p w14:paraId="7673190D" w14:textId="77777777" w:rsidR="00600499" w:rsidRDefault="00600499" w:rsidP="00600499">
      <w:pPr>
        <w:pStyle w:val="Text1"/>
        <w:pBdr>
          <w:top w:val="single" w:sz="4" w:space="1" w:color="auto"/>
          <w:left w:val="single" w:sz="4" w:space="4" w:color="auto"/>
          <w:bottom w:val="single" w:sz="4" w:space="1" w:color="auto"/>
          <w:right w:val="single" w:sz="4" w:space="4" w:color="auto"/>
        </w:pBdr>
        <w:rPr>
          <w:noProof/>
        </w:rPr>
      </w:pPr>
      <w:r>
        <w:rPr>
          <w:noProof/>
        </w:rPr>
        <w:t>3) In relation to the revision of Directive 2009/18/EC on accident investigation:</w:t>
      </w:r>
    </w:p>
    <w:p w14:paraId="389504B4" w14:textId="77777777" w:rsidR="00600499" w:rsidRDefault="00600499" w:rsidP="00600499">
      <w:pPr>
        <w:pStyle w:val="Text1"/>
        <w:pBdr>
          <w:top w:val="single" w:sz="4" w:space="1" w:color="auto"/>
          <w:left w:val="single" w:sz="4" w:space="4" w:color="auto"/>
          <w:bottom w:val="single" w:sz="4" w:space="1" w:color="auto"/>
          <w:right w:val="single" w:sz="4" w:space="4" w:color="auto"/>
        </w:pBdr>
        <w:rPr>
          <w:noProof/>
        </w:rPr>
      </w:pPr>
      <w:r>
        <w:rPr>
          <w:noProof/>
        </w:rPr>
        <w:t xml:space="preserve">EMSA will be required to organise additional trainings in relation to </w:t>
      </w:r>
      <w:r w:rsidRPr="00C94E14">
        <w:rPr>
          <w:noProof/>
        </w:rPr>
        <w:t xml:space="preserve">renewable and low carbon fuels (risks, use on board, ship protections, etc.), in support of the initiatives part of the </w:t>
      </w:r>
      <w:r>
        <w:rPr>
          <w:noProof/>
        </w:rPr>
        <w:t xml:space="preserve">“Fit for 55” package, but also </w:t>
      </w:r>
      <w:r w:rsidRPr="00C94E14">
        <w:rPr>
          <w:noProof/>
        </w:rPr>
        <w:t xml:space="preserve">on: human element, conduct of an automated ship, safety analysis (to encourage Member States to better use casualty data), forensic (photos, sampling, etc.), occurrences (fire, navigational accidents, damage to equipment, </w:t>
      </w:r>
      <w:r>
        <w:rPr>
          <w:noProof/>
        </w:rPr>
        <w:t xml:space="preserve">occupational activities, etc.) and </w:t>
      </w:r>
      <w:r w:rsidRPr="00C94E14">
        <w:rPr>
          <w:noProof/>
        </w:rPr>
        <w:t>GDPR rules.</w:t>
      </w:r>
    </w:p>
    <w:p w14:paraId="47E24655" w14:textId="77777777" w:rsidR="00600499" w:rsidRDefault="00600499" w:rsidP="00600499">
      <w:pPr>
        <w:pStyle w:val="Text1"/>
        <w:pBdr>
          <w:top w:val="single" w:sz="4" w:space="1" w:color="auto"/>
          <w:left w:val="single" w:sz="4" w:space="4" w:color="auto"/>
          <w:bottom w:val="single" w:sz="4" w:space="1" w:color="auto"/>
          <w:right w:val="single" w:sz="4" w:space="4" w:color="auto"/>
        </w:pBdr>
        <w:rPr>
          <w:noProof/>
        </w:rPr>
      </w:pPr>
      <w:r>
        <w:rPr>
          <w:noProof/>
        </w:rPr>
        <w:t xml:space="preserve">EMSA will also provide operational tools and equipment during an individual investigation such as ROV (remotely operator submersible), RPAS (aerial drones), Robots (e.g.  to access damaged areas, enclosed spaces, etc.), VDR (voyage data recorder) facilities, software such as MADAS (Marine Accident Data Analysis Suite); ad-hoc resources (scientific laboratories, tank testing); ad-hoc services (3D simulation for fire, loss of containers, etc.). </w:t>
      </w:r>
      <w:r w:rsidRPr="00C94E14">
        <w:rPr>
          <w:noProof/>
        </w:rPr>
        <w:t>This support will build upon the existing services provided by EMSA in different areas (as seen above aerial drones, submersible drones, satellite imagery training etc.) and will be provided on a first come, first served basis. In the longer term, and depending on experience in implementation, the EMSA resources would be adapted accordingly</w:t>
      </w:r>
      <w:r>
        <w:rPr>
          <w:noProof/>
        </w:rPr>
        <w:t>.</w:t>
      </w:r>
    </w:p>
    <w:p w14:paraId="4EB0F5A8" w14:textId="77777777" w:rsidR="00600499" w:rsidRDefault="00600499" w:rsidP="00600499">
      <w:pPr>
        <w:pStyle w:val="Text1"/>
        <w:pBdr>
          <w:top w:val="single" w:sz="4" w:space="1" w:color="auto"/>
          <w:left w:val="single" w:sz="4" w:space="4" w:color="auto"/>
          <w:bottom w:val="single" w:sz="4" w:space="1" w:color="auto"/>
          <w:right w:val="single" w:sz="4" w:space="4" w:color="auto"/>
        </w:pBdr>
        <w:rPr>
          <w:noProof/>
        </w:rPr>
      </w:pPr>
      <w:r>
        <w:rPr>
          <w:noProof/>
        </w:rPr>
        <w:t>EMSA will also offer highly specialised analytical support during individual VSMC (Very Serious Marine Casualty) Investigations of ‘standard’ and ‘high level’ experts from EMSA, these could include but are not limited to behavioural analysists, psychologists and other specialists.</w:t>
      </w:r>
    </w:p>
    <w:p w14:paraId="75CD1282" w14:textId="77777777" w:rsidR="00600499" w:rsidRPr="00A32156" w:rsidRDefault="00600499" w:rsidP="00600499">
      <w:pPr>
        <w:pStyle w:val="Text1"/>
        <w:pBdr>
          <w:top w:val="single" w:sz="4" w:space="1" w:color="auto"/>
          <w:left w:val="single" w:sz="4" w:space="4" w:color="auto"/>
          <w:bottom w:val="single" w:sz="4" w:space="1" w:color="auto"/>
          <w:right w:val="single" w:sz="4" w:space="4" w:color="auto"/>
        </w:pBdr>
        <w:rPr>
          <w:noProof/>
          <w:color w:val="0000FF"/>
        </w:rPr>
      </w:pPr>
      <w:r>
        <w:rPr>
          <w:noProof/>
        </w:rPr>
        <w:t>By 2025</w:t>
      </w:r>
      <w:r w:rsidRPr="002C3586">
        <w:rPr>
          <w:noProof/>
        </w:rPr>
        <w:t xml:space="preserve">, </w:t>
      </w:r>
      <w:r>
        <w:rPr>
          <w:noProof/>
        </w:rPr>
        <w:t>2</w:t>
      </w:r>
      <w:r w:rsidRPr="002C3586">
        <w:rPr>
          <w:noProof/>
        </w:rPr>
        <w:t xml:space="preserve"> FTEs will be needed to provide operational and analytical support to the new tasks of EMSA. </w:t>
      </w:r>
      <w:r w:rsidR="00FD02DF">
        <w:rPr>
          <w:noProof/>
        </w:rPr>
        <w:t xml:space="preserve">The budget impact of the revision of Directive 2009/18/EC on accident investigation is included in the current LFS. The revision of Directive 2009/18/EC on accident investigation will include a separate LFS providing more detail. </w:t>
      </w:r>
    </w:p>
    <w:p w14:paraId="574BF551" w14:textId="77777777" w:rsidR="00600499" w:rsidRDefault="0058179D" w:rsidP="0058179D">
      <w:pPr>
        <w:pStyle w:val="Text1"/>
        <w:pBdr>
          <w:top w:val="single" w:sz="4" w:space="1" w:color="auto"/>
          <w:left w:val="single" w:sz="4" w:space="4" w:color="auto"/>
          <w:bottom w:val="single" w:sz="4" w:space="1" w:color="auto"/>
          <w:right w:val="single" w:sz="4" w:space="4" w:color="auto"/>
        </w:pBdr>
        <w:rPr>
          <w:noProof/>
        </w:rPr>
      </w:pPr>
      <w:r>
        <w:rPr>
          <w:noProof/>
        </w:rPr>
        <w:t xml:space="preserve">4) </w:t>
      </w:r>
      <w:r w:rsidR="00600499">
        <w:rPr>
          <w:noProof/>
        </w:rPr>
        <w:t>In relation to the revision of Directive 2005/35/EC on ship-source pollution:</w:t>
      </w:r>
    </w:p>
    <w:p w14:paraId="180F1A71" w14:textId="77777777" w:rsidR="00600499" w:rsidRDefault="00600499" w:rsidP="00600499">
      <w:pPr>
        <w:pStyle w:val="Text1"/>
        <w:pBdr>
          <w:top w:val="single" w:sz="4" w:space="1" w:color="auto"/>
          <w:left w:val="single" w:sz="4" w:space="4" w:color="auto"/>
          <w:bottom w:val="single" w:sz="4" w:space="1" w:color="auto"/>
          <w:right w:val="single" w:sz="4" w:space="4" w:color="auto"/>
        </w:pBdr>
        <w:rPr>
          <w:noProof/>
        </w:rPr>
      </w:pPr>
      <w:r>
        <w:rPr>
          <w:noProof/>
        </w:rPr>
        <w:t>EMSA will be required to establish additional satellite monitoring services to Member State authorities because of the extention of the scope of the Directive and upgrade the CleanSeaNet service to better monitor and detect the pollutants. EMSA will be required to develop trainings and develop guidance documents, while regularly updating them. It will also develop</w:t>
      </w:r>
      <w:r w:rsidRPr="00DA178F">
        <w:rPr>
          <w:noProof/>
        </w:rPr>
        <w:t xml:space="preserve"> an external reporting channel for whistle-blowers, to submit information </w:t>
      </w:r>
      <w:r>
        <w:rPr>
          <w:noProof/>
        </w:rPr>
        <w:t>on possible illegal discharges and enhance the Integrated Maritime Services. EMSA will also be required to develop and maintain a new reporting tool so that Member States report on each ship-source pollution incident, as well as develop a website to keep the public informed about ship-source pollution.</w:t>
      </w:r>
    </w:p>
    <w:p w14:paraId="167617C0" w14:textId="77777777" w:rsidR="00600499" w:rsidRDefault="00600499" w:rsidP="00600499">
      <w:pPr>
        <w:pStyle w:val="Text1"/>
        <w:pBdr>
          <w:top w:val="single" w:sz="4" w:space="1" w:color="auto"/>
          <w:left w:val="single" w:sz="4" w:space="4" w:color="auto"/>
          <w:bottom w:val="single" w:sz="4" w:space="1" w:color="auto"/>
          <w:right w:val="single" w:sz="4" w:space="4" w:color="auto"/>
        </w:pBdr>
        <w:rPr>
          <w:noProof/>
        </w:rPr>
      </w:pPr>
      <w:r>
        <w:rPr>
          <w:noProof/>
        </w:rPr>
        <w:t xml:space="preserve">In total,  </w:t>
      </w:r>
      <w:r w:rsidRPr="00E15ECF">
        <w:rPr>
          <w:noProof/>
        </w:rPr>
        <w:t xml:space="preserve">9 FTEs will be needed to support the provision of the additional satellite monitoring services </w:t>
      </w:r>
      <w:r>
        <w:rPr>
          <w:noProof/>
        </w:rPr>
        <w:t xml:space="preserve">and additional </w:t>
      </w:r>
      <w:r w:rsidRPr="00E15ECF">
        <w:rPr>
          <w:noProof/>
        </w:rPr>
        <w:t>3 FTEs to support the development of the Integrated Maritime Services.</w:t>
      </w:r>
      <w:r>
        <w:rPr>
          <w:noProof/>
        </w:rPr>
        <w:t xml:space="preserve"> </w:t>
      </w:r>
      <w:r w:rsidRPr="007C7EA5">
        <w:rPr>
          <w:noProof/>
        </w:rPr>
        <w:t>From those, 1 will be hired in the next MFF.</w:t>
      </w:r>
      <w:r w:rsidR="002063E3" w:rsidRPr="002063E3">
        <w:rPr>
          <w:noProof/>
        </w:rPr>
        <w:t xml:space="preserve"> </w:t>
      </w:r>
      <w:r w:rsidR="002063E3">
        <w:rPr>
          <w:noProof/>
        </w:rPr>
        <w:t>The budget impact of the revision of Directive 2005/35/EC on ship-source pollution is included in the current LFS. The revision of Directive 2005/35/EC on ship-source pollution will include a separate LFS providing more detail.</w:t>
      </w:r>
    </w:p>
    <w:p w14:paraId="4B79EB27" w14:textId="77777777" w:rsidR="00600499" w:rsidRDefault="00600499" w:rsidP="00600499">
      <w:pPr>
        <w:pStyle w:val="Text1"/>
        <w:pBdr>
          <w:top w:val="single" w:sz="4" w:space="1" w:color="auto"/>
          <w:left w:val="single" w:sz="4" w:space="4" w:color="auto"/>
          <w:bottom w:val="single" w:sz="4" w:space="1" w:color="auto"/>
          <w:right w:val="single" w:sz="4" w:space="4" w:color="auto"/>
        </w:pBdr>
        <w:rPr>
          <w:noProof/>
        </w:rPr>
      </w:pPr>
      <w:r>
        <w:rPr>
          <w:noProof/>
        </w:rPr>
        <w:t>The resources needed under 1) to 4) are reflected in the individual Legislative Financial Statements accompanying the respective legislative proposals.</w:t>
      </w:r>
      <w:r w:rsidR="00FD02DF">
        <w:rPr>
          <w:noProof/>
        </w:rPr>
        <w:t xml:space="preserve"> </w:t>
      </w:r>
    </w:p>
    <w:p w14:paraId="1F3F1F2C" w14:textId="77777777" w:rsidR="00600499" w:rsidRDefault="0058179D" w:rsidP="0058179D">
      <w:pPr>
        <w:pStyle w:val="Text1"/>
        <w:pBdr>
          <w:top w:val="single" w:sz="4" w:space="1" w:color="auto"/>
          <w:left w:val="single" w:sz="4" w:space="4" w:color="auto"/>
          <w:bottom w:val="single" w:sz="4" w:space="1" w:color="auto"/>
          <w:right w:val="single" w:sz="4" w:space="4" w:color="auto"/>
        </w:pBdr>
        <w:rPr>
          <w:noProof/>
        </w:rPr>
      </w:pPr>
      <w:r>
        <w:rPr>
          <w:noProof/>
        </w:rPr>
        <w:t xml:space="preserve">5) </w:t>
      </w:r>
      <w:r w:rsidR="00600499">
        <w:rPr>
          <w:noProof/>
        </w:rPr>
        <w:t>In relation to the new Regulation repealing Regulation (EC) no 1406/2002:</w:t>
      </w:r>
    </w:p>
    <w:p w14:paraId="539B92F4" w14:textId="77777777" w:rsidR="00600499" w:rsidRDefault="00600499" w:rsidP="00600499">
      <w:pPr>
        <w:pStyle w:val="Text1"/>
        <w:pBdr>
          <w:top w:val="single" w:sz="4" w:space="1" w:color="auto"/>
          <w:left w:val="single" w:sz="4" w:space="4" w:color="auto"/>
          <w:bottom w:val="single" w:sz="4" w:space="1" w:color="auto"/>
          <w:right w:val="single" w:sz="4" w:space="4" w:color="auto"/>
        </w:pBdr>
        <w:rPr>
          <w:noProof/>
        </w:rPr>
      </w:pPr>
      <w:r>
        <w:rPr>
          <w:noProof/>
        </w:rPr>
        <w:t>EMSA will need to deliver on the below additional expanded tasks:</w:t>
      </w:r>
    </w:p>
    <w:p w14:paraId="12618EC8" w14:textId="77777777" w:rsidR="00600499" w:rsidRDefault="00600499" w:rsidP="0058179D">
      <w:pPr>
        <w:pStyle w:val="Text1"/>
        <w:pBdr>
          <w:top w:val="single" w:sz="4" w:space="1" w:color="auto"/>
          <w:left w:val="single" w:sz="4" w:space="4" w:color="auto"/>
          <w:bottom w:val="single" w:sz="4" w:space="1" w:color="auto"/>
          <w:right w:val="single" w:sz="4" w:space="4" w:color="auto"/>
        </w:pBdr>
        <w:rPr>
          <w:noProof/>
        </w:rPr>
      </w:pPr>
      <w:r>
        <w:rPr>
          <w:noProof/>
        </w:rPr>
        <w:t>EMSA will need 2 FTEs in 2025 and 2 additional FTEs from 2026 for assisting Member States and the Commission with the  discussions at the IMO level on alternative fuels and their deployment, including safety risks stemming from these developments. The Agency will need to intensify research and increase the number of annual studies. One additional FTE will be required under the next MFF.</w:t>
      </w:r>
    </w:p>
    <w:p w14:paraId="43AF56F6" w14:textId="77777777" w:rsidR="00600499" w:rsidRDefault="00600499" w:rsidP="0058179D">
      <w:pPr>
        <w:pStyle w:val="Text1"/>
        <w:pBdr>
          <w:top w:val="single" w:sz="4" w:space="1" w:color="auto"/>
          <w:left w:val="single" w:sz="4" w:space="4" w:color="auto"/>
          <w:bottom w:val="single" w:sz="4" w:space="1" w:color="auto"/>
          <w:right w:val="single" w:sz="4" w:space="4" w:color="auto"/>
        </w:pBdr>
        <w:rPr>
          <w:noProof/>
        </w:rPr>
      </w:pPr>
      <w:r>
        <w:rPr>
          <w:noProof/>
        </w:rPr>
        <w:t xml:space="preserve">One FTE will be required from 2026 to intensify work on cybersecurity in the maritime transport sector, notably to produce guidelines and facilitate the exchange of expertise between Member States. </w:t>
      </w:r>
    </w:p>
    <w:p w14:paraId="38A80012" w14:textId="77777777" w:rsidR="00600499" w:rsidRDefault="00600499" w:rsidP="0058179D">
      <w:pPr>
        <w:pStyle w:val="Text1"/>
        <w:pBdr>
          <w:top w:val="single" w:sz="4" w:space="1" w:color="auto"/>
          <w:left w:val="single" w:sz="4" w:space="4" w:color="auto"/>
          <w:bottom w:val="single" w:sz="4" w:space="1" w:color="auto"/>
          <w:right w:val="single" w:sz="4" w:space="4" w:color="auto"/>
        </w:pBdr>
        <w:rPr>
          <w:noProof/>
        </w:rPr>
      </w:pPr>
      <w:r>
        <w:rPr>
          <w:noProof/>
        </w:rPr>
        <w:t>The 24/7 Maritime Awareness Centre will need to reinforce its operations and expand its current activity to respond to new needs in the environmental and safety areas, also in the new geopolitical context, assisting the Member States and the Commission upon request in cases of emergencies, like the implementation of sanctions. The Agency will require 8 FTEs to develop the necessary IT infrastructure for this center already in 2025 and complete it by 2027 and operate it. Additional 3 FTEs will be needed under the next MFF.</w:t>
      </w:r>
    </w:p>
    <w:p w14:paraId="2017912D" w14:textId="77777777" w:rsidR="0058179D" w:rsidRDefault="00600499" w:rsidP="0058179D">
      <w:pPr>
        <w:pStyle w:val="Text1"/>
        <w:pBdr>
          <w:top w:val="single" w:sz="4" w:space="1" w:color="auto"/>
          <w:left w:val="single" w:sz="4" w:space="4" w:color="auto"/>
          <w:bottom w:val="single" w:sz="4" w:space="1" w:color="auto"/>
          <w:right w:val="single" w:sz="4" w:space="4" w:color="auto"/>
        </w:pBdr>
        <w:rPr>
          <w:noProof/>
        </w:rPr>
      </w:pPr>
      <w:r>
        <w:rPr>
          <w:noProof/>
        </w:rPr>
        <w:t>Assistance in the implementation of the European Maritime Single Window environement (EMSWe) is expected by the Agency with the addition of 3 FTEs to assist on the development of the relevant datasets and IT infrastructure.</w:t>
      </w:r>
    </w:p>
    <w:p w14:paraId="43292EA2" w14:textId="77777777" w:rsidR="00600499" w:rsidRDefault="00600499" w:rsidP="00DA6FD4">
      <w:pPr>
        <w:pStyle w:val="Text1"/>
        <w:pBdr>
          <w:top w:val="single" w:sz="4" w:space="1" w:color="auto"/>
          <w:left w:val="single" w:sz="4" w:space="4" w:color="auto"/>
          <w:bottom w:val="single" w:sz="4" w:space="1" w:color="auto"/>
          <w:right w:val="single" w:sz="4" w:space="4" w:color="auto"/>
        </w:pBdr>
        <w:rPr>
          <w:noProof/>
        </w:rPr>
      </w:pPr>
      <w:r>
        <w:rPr>
          <w:noProof/>
        </w:rPr>
        <w:t>The Agency is also expected to deliver on autonomous ships deployment (MASS) by conducting further risk based analysis for which it will require 1 FTE in the next MFF.</w:t>
      </w:r>
    </w:p>
    <w:p w14:paraId="1DEEDB0A" w14:textId="77777777" w:rsidR="002063E3" w:rsidRDefault="002063E3" w:rsidP="002063E3">
      <w:pPr>
        <w:pStyle w:val="Text1"/>
        <w:pBdr>
          <w:top w:val="single" w:sz="4" w:space="1" w:color="auto"/>
          <w:left w:val="single" w:sz="4" w:space="4" w:color="auto"/>
          <w:bottom w:val="single" w:sz="4" w:space="1" w:color="auto"/>
          <w:right w:val="single" w:sz="4" w:space="4" w:color="auto"/>
        </w:pBdr>
        <w:rPr>
          <w:noProof/>
        </w:rPr>
      </w:pPr>
      <w:r>
        <w:rPr>
          <w:noProof/>
        </w:rPr>
        <w:t xml:space="preserve">The budget impact of the new Regulation repealing Regulation (EC) no 1406/2002 is included in the current LFS. </w:t>
      </w:r>
    </w:p>
    <w:p w14:paraId="6F55CE78" w14:textId="77777777" w:rsidR="00600499" w:rsidRDefault="00600499" w:rsidP="00600499">
      <w:pPr>
        <w:pStyle w:val="ManualHeading3"/>
        <w:rPr>
          <w:bCs/>
          <w:noProof/>
          <w:szCs w:val="24"/>
        </w:rPr>
      </w:pPr>
      <w:bookmarkStart w:id="26" w:name="_Toc514938670"/>
      <w:bookmarkStart w:id="27" w:name="_Toc520485429"/>
      <w:r w:rsidRPr="006D222F">
        <w:rPr>
          <w:noProof/>
        </w:rPr>
        <w:t>1.5.2.</w:t>
      </w:r>
      <w:r w:rsidRPr="006D222F">
        <w:rPr>
          <w:noProof/>
        </w:rPr>
        <w:tab/>
      </w:r>
      <w:r>
        <w:rPr>
          <w:noProof/>
        </w:rPr>
        <w:t xml:space="preserve">Added value of Union involvement </w:t>
      </w:r>
      <w:r w:rsidRPr="0068308B">
        <w:rPr>
          <w:noProof/>
        </w:rPr>
        <w:t>(it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bookmarkEnd w:id="26"/>
      <w:bookmarkEnd w:id="27"/>
    </w:p>
    <w:p w14:paraId="49DEC881" w14:textId="77777777" w:rsidR="00600499" w:rsidRDefault="00600499" w:rsidP="00600499">
      <w:pPr>
        <w:pStyle w:val="Text1"/>
        <w:pBdr>
          <w:top w:val="single" w:sz="4" w:space="1" w:color="auto"/>
          <w:left w:val="single" w:sz="4" w:space="4" w:color="auto"/>
          <w:bottom w:val="single" w:sz="4" w:space="1" w:color="auto"/>
          <w:right w:val="single" w:sz="4" w:space="4" w:color="auto"/>
        </w:pBdr>
        <w:rPr>
          <w:noProof/>
        </w:rPr>
      </w:pPr>
      <w:r w:rsidRPr="00AD1FB8">
        <w:rPr>
          <w:noProof/>
        </w:rPr>
        <w:t xml:space="preserve">Reasons for action at European level (ex-ante) </w:t>
      </w:r>
    </w:p>
    <w:p w14:paraId="02BEE0E6" w14:textId="77777777" w:rsidR="00600499" w:rsidRDefault="00600499" w:rsidP="00600499">
      <w:pPr>
        <w:pStyle w:val="Text1"/>
        <w:pBdr>
          <w:top w:val="single" w:sz="4" w:space="1" w:color="auto"/>
          <w:left w:val="single" w:sz="4" w:space="4" w:color="auto"/>
          <w:bottom w:val="single" w:sz="4" w:space="1" w:color="auto"/>
          <w:right w:val="single" w:sz="4" w:space="4" w:color="auto"/>
        </w:pBdr>
        <w:rPr>
          <w:noProof/>
        </w:rPr>
      </w:pPr>
      <w:r>
        <w:rPr>
          <w:noProof/>
        </w:rPr>
        <w:t xml:space="preserve">Current EU involvement (tasks of EMSA) is laid down in EMSA Founding Regulation </w:t>
      </w:r>
      <w:r w:rsidRPr="00950631">
        <w:rPr>
          <w:noProof/>
        </w:rPr>
        <w:t>(EC) No 1406/2002</w:t>
      </w:r>
      <w:r>
        <w:rPr>
          <w:noProof/>
        </w:rPr>
        <w:t xml:space="preserve">. Moreover, </w:t>
      </w:r>
      <w:r w:rsidRPr="00950631">
        <w:rPr>
          <w:noProof/>
        </w:rPr>
        <w:t xml:space="preserve">numerous </w:t>
      </w:r>
      <w:r>
        <w:rPr>
          <w:noProof/>
        </w:rPr>
        <w:t xml:space="preserve">Directives such as </w:t>
      </w:r>
      <w:r w:rsidRPr="00950631">
        <w:rPr>
          <w:noProof/>
        </w:rPr>
        <w:t>EU Emission Trading System (EU ETS)</w:t>
      </w:r>
      <w:r>
        <w:rPr>
          <w:noProof/>
        </w:rPr>
        <w:t xml:space="preserve">, </w:t>
      </w:r>
      <w:r w:rsidRPr="009B7BDC">
        <w:rPr>
          <w:noProof/>
        </w:rPr>
        <w:t>Directive (EU) 2019/883 on port reception facilities for the delivery of waste from ships</w:t>
      </w:r>
      <w:r>
        <w:rPr>
          <w:noProof/>
        </w:rPr>
        <w:t xml:space="preserve">, </w:t>
      </w:r>
      <w:r w:rsidRPr="009B7BDC">
        <w:rPr>
          <w:noProof/>
        </w:rPr>
        <w:t>Regulation (EU) No 1257/2013 on ship recycling</w:t>
      </w:r>
      <w:r>
        <w:rPr>
          <w:noProof/>
        </w:rPr>
        <w:t xml:space="preserve"> and </w:t>
      </w:r>
      <w:r w:rsidRPr="009B7BDC">
        <w:rPr>
          <w:noProof/>
        </w:rPr>
        <w:t>Regulation (EU) 2015/757 in the monitoring, reporting and verification of carbon dioxide emissions from maritime transport</w:t>
      </w:r>
      <w:r>
        <w:rPr>
          <w:noProof/>
        </w:rPr>
        <w:t xml:space="preserve"> have given direct or indirect tasks to EMSA.</w:t>
      </w:r>
      <w:r w:rsidRPr="009B7BDC">
        <w:rPr>
          <w:noProof/>
        </w:rPr>
        <w:t xml:space="preserve"> </w:t>
      </w:r>
    </w:p>
    <w:p w14:paraId="6FC67779" w14:textId="77777777" w:rsidR="00600499" w:rsidRDefault="00600499" w:rsidP="00600499">
      <w:pPr>
        <w:pStyle w:val="Text1"/>
        <w:pBdr>
          <w:top w:val="single" w:sz="4" w:space="1" w:color="auto"/>
          <w:left w:val="single" w:sz="4" w:space="4" w:color="auto"/>
          <w:bottom w:val="single" w:sz="4" w:space="1" w:color="auto"/>
          <w:right w:val="single" w:sz="4" w:space="4" w:color="auto"/>
        </w:pBdr>
        <w:rPr>
          <w:noProof/>
        </w:rPr>
      </w:pPr>
      <w:r w:rsidRPr="00950631">
        <w:rPr>
          <w:noProof/>
        </w:rPr>
        <w:t xml:space="preserve"> </w:t>
      </w:r>
      <w:r>
        <w:rPr>
          <w:noProof/>
        </w:rPr>
        <w:t xml:space="preserve">In a similar manner, the revision takes into account the current revisions of Directive </w:t>
      </w:r>
      <w:r w:rsidRPr="00950631">
        <w:rPr>
          <w:noProof/>
        </w:rPr>
        <w:t>2009/21/EC on compliance with flag State requirements, Directive 2009/16/EC on port State control, Directive 2009/18/EC establishing the fundamental principles governing the investigation of accidents in the maritime transport sector</w:t>
      </w:r>
      <w:r>
        <w:rPr>
          <w:noProof/>
        </w:rPr>
        <w:t xml:space="preserve"> and Directive </w:t>
      </w:r>
      <w:r w:rsidRPr="009B7BDC">
        <w:rPr>
          <w:noProof/>
        </w:rPr>
        <w:t>2005/35/EC on ship-source pollution and on the introduction of penalties for infringements</w:t>
      </w:r>
      <w:r>
        <w:rPr>
          <w:noProof/>
        </w:rPr>
        <w:t>,</w:t>
      </w:r>
      <w:r w:rsidRPr="009B7BDC">
        <w:rPr>
          <w:noProof/>
        </w:rPr>
        <w:t xml:space="preserve"> </w:t>
      </w:r>
      <w:r>
        <w:rPr>
          <w:noProof/>
        </w:rPr>
        <w:t>which will add new tasks to EMSA.</w:t>
      </w:r>
    </w:p>
    <w:p w14:paraId="2BE24556" w14:textId="77777777" w:rsidR="00600499" w:rsidRPr="005828C6" w:rsidRDefault="00600499" w:rsidP="00600499">
      <w:pPr>
        <w:pStyle w:val="Text1"/>
        <w:pBdr>
          <w:top w:val="single" w:sz="4" w:space="1" w:color="auto"/>
          <w:left w:val="single" w:sz="4" w:space="4" w:color="auto"/>
          <w:bottom w:val="single" w:sz="4" w:space="1" w:color="auto"/>
          <w:right w:val="single" w:sz="4" w:space="4" w:color="auto"/>
        </w:pBdr>
        <w:rPr>
          <w:noProof/>
        </w:rPr>
      </w:pPr>
      <w:r>
        <w:rPr>
          <w:noProof/>
        </w:rPr>
        <w:t xml:space="preserve">The current Regulation aims to combine </w:t>
      </w:r>
      <w:r w:rsidRPr="009B7BDC">
        <w:rPr>
          <w:noProof/>
        </w:rPr>
        <w:t xml:space="preserve">all existing tasks of the Agency in one legal act, and extend the role of </w:t>
      </w:r>
      <w:r>
        <w:rPr>
          <w:noProof/>
        </w:rPr>
        <w:t>EMSA</w:t>
      </w:r>
      <w:r w:rsidRPr="009B7BDC">
        <w:rPr>
          <w:noProof/>
        </w:rPr>
        <w:t xml:space="preserve"> to areas where is it justified.</w:t>
      </w:r>
    </w:p>
    <w:p w14:paraId="228ABFB2" w14:textId="77777777" w:rsidR="00600499" w:rsidRDefault="00600499" w:rsidP="00600499">
      <w:pPr>
        <w:pStyle w:val="Text1"/>
        <w:pBdr>
          <w:top w:val="single" w:sz="4" w:space="1" w:color="auto"/>
          <w:left w:val="single" w:sz="4" w:space="4" w:color="auto"/>
          <w:bottom w:val="single" w:sz="4" w:space="1" w:color="auto"/>
          <w:right w:val="single" w:sz="4" w:space="4" w:color="auto"/>
        </w:pBdr>
        <w:rPr>
          <w:noProof/>
        </w:rPr>
      </w:pPr>
      <w:r w:rsidRPr="00AD1FB8">
        <w:rPr>
          <w:noProof/>
        </w:rPr>
        <w:t>Expected generated Union added value (ex-post)</w:t>
      </w:r>
      <w:r>
        <w:rPr>
          <w:noProof/>
        </w:rPr>
        <w:t xml:space="preserve"> </w:t>
      </w:r>
      <w:r w:rsidRPr="00AD1FB8">
        <w:rPr>
          <w:noProof/>
        </w:rPr>
        <w:t xml:space="preserve"> </w:t>
      </w:r>
    </w:p>
    <w:p w14:paraId="3FE8E622" w14:textId="77777777" w:rsidR="00600499" w:rsidRPr="005828C6" w:rsidRDefault="00600499" w:rsidP="00600499">
      <w:pPr>
        <w:pStyle w:val="Text1"/>
        <w:pBdr>
          <w:top w:val="single" w:sz="4" w:space="1" w:color="auto"/>
          <w:left w:val="single" w:sz="4" w:space="4" w:color="auto"/>
          <w:bottom w:val="single" w:sz="4" w:space="1" w:color="auto"/>
          <w:right w:val="single" w:sz="4" w:space="4" w:color="auto"/>
        </w:pBdr>
        <w:rPr>
          <w:noProof/>
        </w:rPr>
      </w:pPr>
      <w:r>
        <w:rPr>
          <w:noProof/>
        </w:rPr>
        <w:t xml:space="preserve">The review of the Regulation </w:t>
      </w:r>
      <w:r w:rsidRPr="00AE119A">
        <w:rPr>
          <w:noProof/>
        </w:rPr>
        <w:t>highlighted EMSA’s added value in terms of its role in hosting and promoting the development of EU-level systems, such as SafeSeaNet, THETIS and, though to a lesser extent, the EMCIP database for accident investigation. Against this background, the Fitness Check recommended to continue building on EMSA’s capacities, with a focus on promoting and investing in EMSA’s digital systems, applications and databases</w:t>
      </w:r>
      <w:r>
        <w:rPr>
          <w:noProof/>
        </w:rPr>
        <w:t>.</w:t>
      </w:r>
    </w:p>
    <w:p w14:paraId="64D1715A" w14:textId="77777777" w:rsidR="00600499" w:rsidRDefault="00600499" w:rsidP="00600499">
      <w:pPr>
        <w:pStyle w:val="ManualHeading3"/>
        <w:rPr>
          <w:noProof/>
        </w:rPr>
      </w:pPr>
      <w:bookmarkStart w:id="28" w:name="_Toc514938671"/>
      <w:bookmarkStart w:id="29" w:name="_Toc520485430"/>
      <w:r w:rsidRPr="006D222F">
        <w:rPr>
          <w:noProof/>
        </w:rPr>
        <w:t>1.5.3.</w:t>
      </w:r>
      <w:r w:rsidRPr="006D222F">
        <w:rPr>
          <w:noProof/>
        </w:rPr>
        <w:tab/>
      </w:r>
      <w:r>
        <w:rPr>
          <w:noProof/>
        </w:rPr>
        <w:t>Lessons learned from similar experiences in the past</w:t>
      </w:r>
      <w:bookmarkEnd w:id="28"/>
      <w:bookmarkEnd w:id="29"/>
    </w:p>
    <w:p w14:paraId="51F68314" w14:textId="77777777" w:rsidR="00600499" w:rsidRDefault="00600499" w:rsidP="00600499">
      <w:pPr>
        <w:pStyle w:val="Text1"/>
        <w:pBdr>
          <w:top w:val="single" w:sz="4" w:space="1" w:color="auto"/>
          <w:left w:val="single" w:sz="4" w:space="4" w:color="auto"/>
          <w:bottom w:val="single" w:sz="4" w:space="1" w:color="auto"/>
          <w:right w:val="single" w:sz="4" w:space="4" w:color="auto"/>
        </w:pBdr>
        <w:rPr>
          <w:noProof/>
        </w:rPr>
      </w:pPr>
      <w:r>
        <w:rPr>
          <w:noProof/>
        </w:rPr>
        <w:t xml:space="preserve">The evaluation of the EMSA Regulation showed the added value of the Agency. </w:t>
      </w:r>
    </w:p>
    <w:p w14:paraId="790F79FE" w14:textId="77777777" w:rsidR="00600499" w:rsidRDefault="00600499" w:rsidP="00600499">
      <w:pPr>
        <w:pStyle w:val="Text1"/>
        <w:pBdr>
          <w:top w:val="single" w:sz="4" w:space="1" w:color="auto"/>
          <w:left w:val="single" w:sz="4" w:space="4" w:color="auto"/>
          <w:bottom w:val="single" w:sz="4" w:space="1" w:color="auto"/>
          <w:right w:val="single" w:sz="4" w:space="4" w:color="auto"/>
        </w:pBdr>
        <w:rPr>
          <w:noProof/>
        </w:rPr>
      </w:pPr>
      <w:r>
        <w:rPr>
          <w:noProof/>
        </w:rPr>
        <w:t>This initiative seeks to address the identified issues, specifically that:</w:t>
      </w:r>
    </w:p>
    <w:p w14:paraId="61C7FC68" w14:textId="77777777" w:rsidR="00600499" w:rsidRDefault="00600499" w:rsidP="0058179D">
      <w:pPr>
        <w:pStyle w:val="Text1"/>
        <w:pBdr>
          <w:top w:val="single" w:sz="4" w:space="1" w:color="auto"/>
          <w:left w:val="single" w:sz="4" w:space="4" w:color="auto"/>
          <w:bottom w:val="single" w:sz="4" w:space="1" w:color="auto"/>
          <w:right w:val="single" w:sz="4" w:space="4" w:color="auto"/>
        </w:pBdr>
        <w:rPr>
          <w:noProof/>
        </w:rPr>
      </w:pPr>
      <w:r w:rsidRPr="00242CCA">
        <w:rPr>
          <w:noProof/>
        </w:rPr>
        <w:t xml:space="preserve">The mandate of </w:t>
      </w:r>
      <w:r>
        <w:rPr>
          <w:noProof/>
        </w:rPr>
        <w:t>EMSA</w:t>
      </w:r>
      <w:r w:rsidRPr="00242CCA">
        <w:rPr>
          <w:noProof/>
        </w:rPr>
        <w:t xml:space="preserve"> does not properly reflect </w:t>
      </w:r>
      <w:r>
        <w:rPr>
          <w:noProof/>
        </w:rPr>
        <w:t>its</w:t>
      </w:r>
      <w:r w:rsidRPr="00242CCA">
        <w:rPr>
          <w:noProof/>
        </w:rPr>
        <w:t xml:space="preserve"> current scope of activities undertaken due to the evolving needs of the maritime sector and the new EU regulatory framework in the area; </w:t>
      </w:r>
    </w:p>
    <w:p w14:paraId="502B1ACA" w14:textId="77777777" w:rsidR="00600499" w:rsidRDefault="00600499" w:rsidP="0058179D">
      <w:pPr>
        <w:pStyle w:val="Text1"/>
        <w:pBdr>
          <w:top w:val="single" w:sz="4" w:space="1" w:color="auto"/>
          <w:left w:val="single" w:sz="4" w:space="4" w:color="auto"/>
          <w:bottom w:val="single" w:sz="4" w:space="1" w:color="auto"/>
          <w:right w:val="single" w:sz="4" w:space="4" w:color="auto"/>
        </w:pBdr>
        <w:rPr>
          <w:noProof/>
        </w:rPr>
      </w:pPr>
      <w:r w:rsidRPr="00242CCA">
        <w:rPr>
          <w:noProof/>
        </w:rPr>
        <w:t xml:space="preserve">the administrative and financial provisions of the mandate do not reflect the latest EU Regulatory framework on agencies governance; and </w:t>
      </w:r>
    </w:p>
    <w:p w14:paraId="20AF9EA3" w14:textId="77777777" w:rsidR="00600499" w:rsidRDefault="00600499" w:rsidP="0058179D">
      <w:pPr>
        <w:pStyle w:val="Text1"/>
        <w:pBdr>
          <w:top w:val="single" w:sz="4" w:space="1" w:color="auto"/>
          <w:left w:val="single" w:sz="4" w:space="4" w:color="auto"/>
          <w:bottom w:val="single" w:sz="4" w:space="1" w:color="auto"/>
          <w:right w:val="single" w:sz="4" w:space="4" w:color="auto"/>
        </w:pBdr>
        <w:rPr>
          <w:noProof/>
        </w:rPr>
      </w:pPr>
      <w:r>
        <w:rPr>
          <w:noProof/>
        </w:rPr>
        <w:t>EMSA</w:t>
      </w:r>
      <w:r w:rsidRPr="00242CCA">
        <w:rPr>
          <w:noProof/>
        </w:rPr>
        <w:t xml:space="preserve"> is facing stretched resources to fulfil both its current tasks and the new tasks and activities arising from the needs of the sector, such as the green transition, or legislative developments, such as the new maritime safety package.</w:t>
      </w:r>
    </w:p>
    <w:p w14:paraId="0C65923C" w14:textId="77777777" w:rsidR="00600499" w:rsidRDefault="00600499" w:rsidP="00600499">
      <w:pPr>
        <w:pStyle w:val="ManualHeading3"/>
        <w:rPr>
          <w:noProof/>
        </w:rPr>
      </w:pPr>
      <w:bookmarkStart w:id="30" w:name="_Toc514938672"/>
      <w:bookmarkStart w:id="31" w:name="_Toc520485431"/>
      <w:r w:rsidRPr="006D222F">
        <w:rPr>
          <w:noProof/>
        </w:rPr>
        <w:t>1.5.4.</w:t>
      </w:r>
      <w:r w:rsidRPr="006D222F">
        <w:rPr>
          <w:noProof/>
        </w:rPr>
        <w:tab/>
      </w:r>
      <w:r>
        <w:rPr>
          <w:noProof/>
        </w:rPr>
        <w:t>Compatibility with the Multiannual Financial Framework and possible synergies with other appropriate instruments</w:t>
      </w:r>
      <w:bookmarkEnd w:id="30"/>
      <w:bookmarkEnd w:id="31"/>
    </w:p>
    <w:p w14:paraId="2FA7B20F" w14:textId="77777777" w:rsidR="00600499" w:rsidRDefault="00600499" w:rsidP="00600499">
      <w:pPr>
        <w:pStyle w:val="Text1"/>
        <w:pBdr>
          <w:top w:val="single" w:sz="4" w:space="1" w:color="auto"/>
          <w:left w:val="single" w:sz="4" w:space="4" w:color="auto"/>
          <w:bottom w:val="single" w:sz="4" w:space="1" w:color="auto"/>
          <w:right w:val="single" w:sz="4" w:space="4" w:color="auto"/>
        </w:pBdr>
        <w:rPr>
          <w:noProof/>
        </w:rPr>
      </w:pPr>
      <w:r>
        <w:rPr>
          <w:noProof/>
        </w:rPr>
        <w:t>The proposed revision is a key deliverable of the Communication from the Commission on a Sustainable and Smart Mobility Strategy, which sets out the EU vision for the transport system of the future. The strategy announced that the Commission is planning to initiate a major review of existing legislation, including to r</w:t>
      </w:r>
      <w:r w:rsidRPr="00C37E9C">
        <w:rPr>
          <w:noProof/>
        </w:rPr>
        <w:t>evise the mandate of the European Maritime Safety Agency</w:t>
      </w:r>
      <w:r>
        <w:rPr>
          <w:noProof/>
        </w:rPr>
        <w:t xml:space="preserve"> in 2022 (under </w:t>
      </w:r>
      <w:r w:rsidRPr="00C37E9C">
        <w:rPr>
          <w:noProof/>
        </w:rPr>
        <w:t>Flagship 10 - Enhancing transport safety and security</w:t>
      </w:r>
      <w:r>
        <w:rPr>
          <w:noProof/>
        </w:rPr>
        <w:t xml:space="preserve">). </w:t>
      </w:r>
    </w:p>
    <w:p w14:paraId="4F66AE02" w14:textId="77777777" w:rsidR="00600499" w:rsidRDefault="00600499" w:rsidP="00600499">
      <w:pPr>
        <w:pStyle w:val="Text1"/>
        <w:pBdr>
          <w:top w:val="single" w:sz="4" w:space="1" w:color="auto"/>
          <w:left w:val="single" w:sz="4" w:space="4" w:color="auto"/>
          <w:bottom w:val="single" w:sz="4" w:space="1" w:color="auto"/>
          <w:right w:val="single" w:sz="4" w:space="4" w:color="auto"/>
        </w:pBdr>
        <w:rPr>
          <w:noProof/>
        </w:rPr>
      </w:pPr>
      <w:r>
        <w:rPr>
          <w:noProof/>
        </w:rPr>
        <w:t>The proposed revision will create synergies with several pieces of EU regulatory framework, notably the Directive 2009/21/EC on compliance with flag State requirements, Directive 2009/16/EC on port State control, Directive 2009/18/EC on accident investigation and Directive 2005/35/EC on ship-source pollution.</w:t>
      </w:r>
    </w:p>
    <w:p w14:paraId="312E6449" w14:textId="77777777" w:rsidR="00600499" w:rsidRDefault="00600499" w:rsidP="00600499">
      <w:pPr>
        <w:pStyle w:val="Text1"/>
        <w:pBdr>
          <w:top w:val="single" w:sz="4" w:space="1" w:color="auto"/>
          <w:left w:val="single" w:sz="4" w:space="4" w:color="auto"/>
          <w:bottom w:val="single" w:sz="4" w:space="1" w:color="auto"/>
          <w:right w:val="single" w:sz="4" w:space="4" w:color="auto"/>
        </w:pBdr>
        <w:rPr>
          <w:noProof/>
        </w:rPr>
      </w:pPr>
      <w:r>
        <w:rPr>
          <w:noProof/>
        </w:rPr>
        <w:t>The proposal is compatible with the current Multiannual Financial Framework, although it will require reprogramming within Heading 1 as regards the annual contribution to EMSA.</w:t>
      </w:r>
      <w:r w:rsidR="00FD02DF">
        <w:rPr>
          <w:noProof/>
        </w:rPr>
        <w:t xml:space="preserve"> </w:t>
      </w:r>
      <w:r w:rsidR="00FD02DF" w:rsidRPr="00FD02DF">
        <w:rPr>
          <w:noProof/>
        </w:rPr>
        <w:t>The increase in appropriations for EMSA will be offset by a compensatory reduction of programmed spending under CEF Transport (02 03 01) under the current multiannual financial framework.</w:t>
      </w:r>
    </w:p>
    <w:p w14:paraId="5BCA0B07" w14:textId="77777777" w:rsidR="00600499" w:rsidRDefault="00600499" w:rsidP="00600499">
      <w:pPr>
        <w:pStyle w:val="ManualHeading3"/>
        <w:rPr>
          <w:noProof/>
        </w:rPr>
      </w:pPr>
      <w:bookmarkStart w:id="32" w:name="_Toc514938673"/>
      <w:bookmarkStart w:id="33" w:name="_Toc520485432"/>
      <w:r w:rsidRPr="006D222F">
        <w:rPr>
          <w:noProof/>
        </w:rPr>
        <w:t>1.5.5.</w:t>
      </w:r>
      <w:r w:rsidRPr="006D222F">
        <w:rPr>
          <w:noProof/>
        </w:rPr>
        <w:tab/>
      </w:r>
      <w:r>
        <w:rPr>
          <w:noProof/>
        </w:rPr>
        <w:t>Assessment of the different available financing options, including scope for redeployment</w:t>
      </w:r>
      <w:bookmarkEnd w:id="32"/>
      <w:bookmarkEnd w:id="33"/>
    </w:p>
    <w:p w14:paraId="7115E275" w14:textId="77777777" w:rsidR="00600499" w:rsidRPr="00A32156" w:rsidRDefault="00600499" w:rsidP="00600499">
      <w:pPr>
        <w:pStyle w:val="Text1"/>
        <w:pBdr>
          <w:top w:val="single" w:sz="4" w:space="1" w:color="auto"/>
          <w:left w:val="single" w:sz="4" w:space="4" w:color="auto"/>
          <w:bottom w:val="single" w:sz="4" w:space="1" w:color="auto"/>
          <w:right w:val="single" w:sz="4" w:space="4" w:color="auto"/>
        </w:pBdr>
        <w:rPr>
          <w:noProof/>
        </w:rPr>
      </w:pPr>
      <w:r w:rsidRPr="00312E3D">
        <w:rPr>
          <w:noProof/>
        </w:rPr>
        <w:t xml:space="preserve">The budgetary impact of this initiative refers to the additional resources necessary for the </w:t>
      </w:r>
      <w:r>
        <w:rPr>
          <w:noProof/>
        </w:rPr>
        <w:t>new tasks allocated to EMSA following the revision of the several Directives, as well as the extention of already existing</w:t>
      </w:r>
      <w:r w:rsidRPr="00312E3D">
        <w:rPr>
          <w:noProof/>
        </w:rPr>
        <w:t xml:space="preserve">. These are new tasks for EMSA that will become permanent, while existing tasks will not decrease or be partly phased out. </w:t>
      </w:r>
      <w:r w:rsidRPr="005040E9">
        <w:rPr>
          <w:noProof/>
        </w:rPr>
        <w:t>The additional need of human resources will be, in some cases, be met by redeployment, while in other cases this is not possible.</w:t>
      </w:r>
      <w:r>
        <w:rPr>
          <w:noProof/>
        </w:rPr>
        <w:t xml:space="preserve"> In the case of further expanded tasks (such as</w:t>
      </w:r>
      <w:r w:rsidRPr="005040E9">
        <w:rPr>
          <w:noProof/>
        </w:rPr>
        <w:t xml:space="preserve"> </w:t>
      </w:r>
      <w:r>
        <w:rPr>
          <w:noProof/>
        </w:rPr>
        <w:t xml:space="preserve">assistance on monitoring the Recognised Organisations) the human resource needs will be met by redeploying 2 FTEs in 2027. 5 more FTEs will be redeployed in the next MFF to assist on expanded tasks such as assistance to crisis management, safety risk analysis for future trends and </w:t>
      </w:r>
      <w:r w:rsidRPr="007C7EA5">
        <w:rPr>
          <w:noProof/>
        </w:rPr>
        <w:t>support of preparedness measures for oil and gas installations</w:t>
      </w:r>
      <w:r>
        <w:rPr>
          <w:noProof/>
        </w:rPr>
        <w:t xml:space="preserve">. </w:t>
      </w:r>
      <w:r w:rsidRPr="007C7EA5">
        <w:rPr>
          <w:noProof/>
        </w:rPr>
        <w:t xml:space="preserve">The </w:t>
      </w:r>
      <w:r>
        <w:rPr>
          <w:noProof/>
        </w:rPr>
        <w:t>need of human resources on the other</w:t>
      </w:r>
      <w:r w:rsidRPr="007C7EA5">
        <w:rPr>
          <w:noProof/>
        </w:rPr>
        <w:t xml:space="preserve"> </w:t>
      </w:r>
      <w:r>
        <w:rPr>
          <w:noProof/>
        </w:rPr>
        <w:t>tasks</w:t>
      </w:r>
      <w:r w:rsidRPr="007C7EA5">
        <w:rPr>
          <w:noProof/>
        </w:rPr>
        <w:t xml:space="preserve"> cannot be met by redeployment, while the additional budgetary needs will be met through offsetting by existing programmes managed by DG MOVE</w:t>
      </w:r>
      <w:r>
        <w:rPr>
          <w:noProof/>
        </w:rPr>
        <w:t xml:space="preserve"> </w:t>
      </w:r>
      <w:r w:rsidRPr="00407155">
        <w:rPr>
          <w:noProof/>
        </w:rPr>
        <w:t>under the current multiannual financial framework</w:t>
      </w:r>
      <w:r w:rsidRPr="007C7EA5">
        <w:rPr>
          <w:noProof/>
        </w:rPr>
        <w:t>.</w:t>
      </w:r>
      <w:r w:rsidR="004F7FB7" w:rsidRPr="004F7FB7">
        <w:rPr>
          <w:noProof/>
        </w:rPr>
        <w:t xml:space="preserve"> The increase in appropriations for EMSA will be offset by a compensatory reduction of programmed spending under CEF Transport (02 03 01) under the current multiannual financial framework.</w:t>
      </w:r>
    </w:p>
    <w:p w14:paraId="6F9D9751" w14:textId="77777777" w:rsidR="00600499" w:rsidRDefault="00600499" w:rsidP="00600499">
      <w:pPr>
        <w:pStyle w:val="ManualHeading2"/>
        <w:rPr>
          <w:bCs/>
          <w:noProof/>
          <w:szCs w:val="24"/>
        </w:rPr>
      </w:pPr>
      <w:r>
        <w:rPr>
          <w:noProof/>
        </w:rPr>
        <w:br w:type="page"/>
      </w:r>
      <w:bookmarkStart w:id="34" w:name="_Toc514938674"/>
      <w:bookmarkStart w:id="35" w:name="_Toc520485433"/>
      <w:r w:rsidRPr="000E7351">
        <w:rPr>
          <w:noProof/>
        </w:rPr>
        <w:t>1.6.</w:t>
      </w:r>
      <w:r w:rsidRPr="000E7351">
        <w:rPr>
          <w:noProof/>
        </w:rPr>
        <w:tab/>
        <w:t>Duration and financial impact of the proposal/initiative</w:t>
      </w:r>
      <w:bookmarkEnd w:id="34"/>
      <w:bookmarkEnd w:id="35"/>
    </w:p>
    <w:p w14:paraId="0BC2DF29" w14:textId="77777777" w:rsidR="00600499" w:rsidRDefault="00600499" w:rsidP="00600499">
      <w:pPr>
        <w:pStyle w:val="Text1"/>
        <w:rPr>
          <w:noProof/>
        </w:rPr>
      </w:pPr>
      <w:r>
        <w:rPr>
          <w:noProof/>
        </w:rPr>
        <w:sym w:font="Wingdings" w:char="F0A8"/>
      </w:r>
      <w:r>
        <w:rPr>
          <w:b/>
          <w:i/>
          <w:noProof/>
        </w:rPr>
        <w:t xml:space="preserve"> </w:t>
      </w:r>
      <w:r>
        <w:rPr>
          <w:b/>
          <w:noProof/>
        </w:rPr>
        <w:t xml:space="preserve">limited duration </w:t>
      </w:r>
    </w:p>
    <w:p w14:paraId="4DF7EE8D" w14:textId="77777777" w:rsidR="00600499" w:rsidRDefault="00600499" w:rsidP="00E37235">
      <w:pPr>
        <w:pStyle w:val="ListDash2"/>
        <w:rPr>
          <w:noProof/>
        </w:rPr>
      </w:pPr>
      <w:r>
        <w:rPr>
          <w:noProof/>
        </w:rPr>
        <w:sym w:font="Wingdings" w:char="F0A8"/>
      </w:r>
      <w:r>
        <w:rPr>
          <w:noProof/>
        </w:rPr>
        <w:tab/>
        <w:t xml:space="preserve">Proposal/initiative in effect from [DD/MM]YYYY to [DD/MM]YYYY </w:t>
      </w:r>
    </w:p>
    <w:p w14:paraId="3B877C14" w14:textId="77777777" w:rsidR="00600499" w:rsidRDefault="00600499" w:rsidP="00E37235">
      <w:pPr>
        <w:pStyle w:val="ListDash2"/>
        <w:rPr>
          <w:noProof/>
        </w:rPr>
      </w:pPr>
      <w:r>
        <w:rPr>
          <w:noProof/>
        </w:rPr>
        <w:sym w:font="Wingdings" w:char="F0A8"/>
      </w:r>
      <w:r>
        <w:rPr>
          <w:noProof/>
        </w:rPr>
        <w:tab/>
        <w:t>Financial impact from YYYY to YYYY</w:t>
      </w:r>
    </w:p>
    <w:p w14:paraId="57AFD179" w14:textId="77777777" w:rsidR="00600499" w:rsidRDefault="00600499" w:rsidP="00600499">
      <w:pPr>
        <w:pStyle w:val="Text1"/>
        <w:rPr>
          <w:noProof/>
        </w:rPr>
      </w:pPr>
      <w:r>
        <w:rPr>
          <w:noProof/>
        </w:rPr>
        <w:sym w:font="Wingdings" w:char="F0FE"/>
      </w:r>
      <w:r>
        <w:rPr>
          <w:b/>
          <w:i/>
          <w:noProof/>
        </w:rPr>
        <w:t xml:space="preserve"> </w:t>
      </w:r>
      <w:r>
        <w:rPr>
          <w:b/>
          <w:noProof/>
        </w:rPr>
        <w:t>unlimited duration</w:t>
      </w:r>
    </w:p>
    <w:p w14:paraId="0F03F05E" w14:textId="77777777" w:rsidR="00600499" w:rsidRDefault="00600499" w:rsidP="00E37235">
      <w:pPr>
        <w:pStyle w:val="ListDash1"/>
        <w:rPr>
          <w:noProof/>
        </w:rPr>
      </w:pPr>
      <w:r>
        <w:rPr>
          <w:noProof/>
        </w:rPr>
        <w:t xml:space="preserve">Implementation with a start-up period from YYYY to YYYY </w:t>
      </w:r>
      <w:r w:rsidRPr="00407155">
        <w:rPr>
          <w:i/>
          <w:noProof/>
        </w:rPr>
        <w:t>[n.a.]</w:t>
      </w:r>
    </w:p>
    <w:p w14:paraId="2528FEB9" w14:textId="77777777" w:rsidR="00600499" w:rsidRDefault="00600499" w:rsidP="00E37235">
      <w:pPr>
        <w:pStyle w:val="ListDash1"/>
        <w:rPr>
          <w:noProof/>
        </w:rPr>
      </w:pPr>
      <w:r>
        <w:rPr>
          <w:noProof/>
        </w:rPr>
        <w:t>followed by full-scale operation.</w:t>
      </w:r>
    </w:p>
    <w:p w14:paraId="30C0B801" w14:textId="77777777" w:rsidR="00600499" w:rsidRDefault="00600499" w:rsidP="00600499">
      <w:pPr>
        <w:pStyle w:val="ManualHeading2"/>
        <w:rPr>
          <w:bCs/>
          <w:noProof/>
          <w:szCs w:val="24"/>
        </w:rPr>
      </w:pPr>
      <w:bookmarkStart w:id="36" w:name="_Toc514938675"/>
      <w:bookmarkStart w:id="37" w:name="_Toc520485434"/>
      <w:r w:rsidRPr="006D222F">
        <w:rPr>
          <w:noProof/>
        </w:rPr>
        <w:t>1.7.</w:t>
      </w:r>
      <w:r w:rsidRPr="006D222F">
        <w:rPr>
          <w:noProof/>
        </w:rPr>
        <w:tab/>
      </w:r>
      <w:r>
        <w:rPr>
          <w:noProof/>
        </w:rPr>
        <w:t>Method(s) of budget implementation planned</w:t>
      </w:r>
      <w:r>
        <w:rPr>
          <w:rStyle w:val="FootnoteReference"/>
          <w:noProof/>
        </w:rPr>
        <w:footnoteReference w:id="53"/>
      </w:r>
      <w:bookmarkEnd w:id="36"/>
      <w:bookmarkEnd w:id="37"/>
      <w:r>
        <w:rPr>
          <w:rStyle w:val="FootnoteReference"/>
          <w:noProof/>
        </w:rPr>
        <w:t xml:space="preserve"> </w:t>
      </w:r>
    </w:p>
    <w:p w14:paraId="6C5FCC10" w14:textId="77777777" w:rsidR="00600499" w:rsidRDefault="00600499" w:rsidP="00600499">
      <w:pPr>
        <w:pStyle w:val="Text1"/>
        <w:rPr>
          <w:noProof/>
        </w:rPr>
      </w:pPr>
      <w:r>
        <w:rPr>
          <w:noProof/>
        </w:rPr>
        <w:sym w:font="Wingdings" w:char="F0A8"/>
      </w:r>
      <w:r>
        <w:rPr>
          <w:i/>
          <w:noProof/>
        </w:rPr>
        <w:t xml:space="preserve"> </w:t>
      </w:r>
      <w:r>
        <w:rPr>
          <w:b/>
          <w:noProof/>
        </w:rPr>
        <w:t>Direct management</w:t>
      </w:r>
      <w:r>
        <w:rPr>
          <w:noProof/>
        </w:rPr>
        <w:t xml:space="preserve"> by the Commission through</w:t>
      </w:r>
    </w:p>
    <w:p w14:paraId="32246984" w14:textId="77777777" w:rsidR="00600499" w:rsidRDefault="00600499" w:rsidP="00E37235">
      <w:pPr>
        <w:pStyle w:val="ListDash2"/>
        <w:rPr>
          <w:noProof/>
        </w:rPr>
      </w:pPr>
      <w:r>
        <w:rPr>
          <w:noProof/>
        </w:rPr>
        <w:sym w:font="Wingdings" w:char="F0A8"/>
      </w:r>
      <w:r>
        <w:rPr>
          <w:noProof/>
        </w:rPr>
        <w:tab/>
        <w:t xml:space="preserve">executive agencies </w:t>
      </w:r>
    </w:p>
    <w:p w14:paraId="39F0AF6A" w14:textId="77777777" w:rsidR="00600499" w:rsidRDefault="00600499" w:rsidP="00600499">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14:paraId="618653C4" w14:textId="77777777" w:rsidR="00600499" w:rsidRDefault="00600499" w:rsidP="00600499">
      <w:pPr>
        <w:pStyle w:val="Text1"/>
        <w:rPr>
          <w:noProof/>
        </w:rPr>
      </w:pPr>
      <w:r>
        <w:rPr>
          <w:noProof/>
        </w:rPr>
        <w:sym w:font="Wingdings" w:char="F0FE"/>
      </w:r>
      <w:r>
        <w:rPr>
          <w:i/>
          <w:noProof/>
        </w:rPr>
        <w:t xml:space="preserve"> </w:t>
      </w:r>
      <w:r>
        <w:rPr>
          <w:b/>
          <w:noProof/>
        </w:rPr>
        <w:t>Indirect management</w:t>
      </w:r>
      <w:r>
        <w:rPr>
          <w:noProof/>
        </w:rPr>
        <w:t xml:space="preserve"> by entrusting budget implementation tasks to:</w:t>
      </w:r>
    </w:p>
    <w:p w14:paraId="7948735F" w14:textId="77777777" w:rsidR="00600499" w:rsidRDefault="00600499" w:rsidP="00600499">
      <w:pPr>
        <w:pStyle w:val="Text1"/>
        <w:rPr>
          <w:noProof/>
        </w:rPr>
      </w:pPr>
      <w:r>
        <w:rPr>
          <w:noProof/>
        </w:rPr>
        <w:sym w:font="Wingdings" w:char="F0A8"/>
      </w:r>
      <w:r>
        <w:rPr>
          <w:noProof/>
        </w:rPr>
        <w:t xml:space="preserve"> international organisations and their agencies (to be specified);</w:t>
      </w:r>
    </w:p>
    <w:p w14:paraId="6B7EF64D" w14:textId="77777777" w:rsidR="00600499" w:rsidRDefault="00600499" w:rsidP="00600499">
      <w:pPr>
        <w:pStyle w:val="Text1"/>
        <w:rPr>
          <w:noProof/>
        </w:rPr>
      </w:pPr>
      <w:r>
        <w:rPr>
          <w:noProof/>
        </w:rPr>
        <w:sym w:font="Wingdings" w:char="F0A8"/>
      </w:r>
      <w:r>
        <w:rPr>
          <w:noProof/>
        </w:rPr>
        <w:t>the EIB and the European Investment Fund;</w:t>
      </w:r>
    </w:p>
    <w:p w14:paraId="00BBCC4E" w14:textId="77777777" w:rsidR="00600499" w:rsidRDefault="00600499" w:rsidP="00600499">
      <w:pPr>
        <w:pStyle w:val="Text1"/>
        <w:rPr>
          <w:noProof/>
        </w:rPr>
      </w:pPr>
      <w:r>
        <w:rPr>
          <w:noProof/>
        </w:rPr>
        <w:sym w:font="Wingdings" w:char="F0FE"/>
      </w:r>
      <w:r>
        <w:rPr>
          <w:noProof/>
        </w:rPr>
        <w:t xml:space="preserve"> bodies referred to in Articles 70 and 71;</w:t>
      </w:r>
    </w:p>
    <w:p w14:paraId="3F998834" w14:textId="77777777" w:rsidR="00600499" w:rsidRDefault="00600499" w:rsidP="00600499">
      <w:pPr>
        <w:pStyle w:val="Text1"/>
        <w:rPr>
          <w:noProof/>
        </w:rPr>
      </w:pPr>
      <w:r>
        <w:rPr>
          <w:noProof/>
        </w:rPr>
        <w:sym w:font="Wingdings" w:char="F0A8"/>
      </w:r>
      <w:r>
        <w:rPr>
          <w:noProof/>
        </w:rPr>
        <w:t xml:space="preserve"> public law bodies;</w:t>
      </w:r>
    </w:p>
    <w:p w14:paraId="000B11C1" w14:textId="77777777" w:rsidR="00600499" w:rsidRDefault="00600499" w:rsidP="00600499">
      <w:pPr>
        <w:pStyle w:val="Text1"/>
        <w:rPr>
          <w:noProof/>
        </w:rPr>
      </w:pPr>
      <w:r>
        <w:rPr>
          <w:noProof/>
        </w:rPr>
        <w:sym w:font="Wingdings" w:char="F0A8"/>
      </w:r>
      <w:r>
        <w:rPr>
          <w:noProof/>
        </w:rPr>
        <w:t xml:space="preserve"> bodies governed by private law with a public service mission to the extent that they are provided with adequate financial guarantees;</w:t>
      </w:r>
    </w:p>
    <w:p w14:paraId="43B4D668" w14:textId="77777777" w:rsidR="00600499" w:rsidRDefault="00600499" w:rsidP="00600499">
      <w:pPr>
        <w:pStyle w:val="Text1"/>
        <w:rPr>
          <w:noProof/>
        </w:rPr>
      </w:pPr>
      <w:r>
        <w:rPr>
          <w:noProof/>
        </w:rPr>
        <w:sym w:font="Wingdings" w:char="F0A8"/>
      </w:r>
      <w:r>
        <w:rPr>
          <w:noProof/>
        </w:rPr>
        <w:t xml:space="preserve"> bodies governed by the private law of a Member State that are entrusted with the implementation of a public-private partnership and that are provided with adequate financial guarantees;</w:t>
      </w:r>
    </w:p>
    <w:p w14:paraId="0B921D97" w14:textId="77777777" w:rsidR="00600499" w:rsidRDefault="00600499" w:rsidP="00600499">
      <w:pPr>
        <w:pStyle w:val="Text1"/>
        <w:rPr>
          <w:noProof/>
        </w:rPr>
      </w:pPr>
      <w:r>
        <w:rPr>
          <w:noProof/>
        </w:rPr>
        <w:sym w:font="Wingdings" w:char="F0A8"/>
      </w:r>
      <w:r>
        <w:rPr>
          <w:noProof/>
        </w:rPr>
        <w:t xml:space="preserve"> bodies or persons entrusted with the implementation of specific actions in the CFSP pursuant to Title V of the TEU, and identified in the relevant basic act.</w:t>
      </w:r>
    </w:p>
    <w:p w14:paraId="7F85E7BE" w14:textId="77777777" w:rsidR="00600499" w:rsidRDefault="00600499" w:rsidP="00600499">
      <w:pPr>
        <w:rPr>
          <w:noProof/>
        </w:rPr>
      </w:pPr>
      <w:r>
        <w:rPr>
          <w:noProof/>
        </w:rPr>
        <w:t>Comments</w:t>
      </w:r>
    </w:p>
    <w:p w14:paraId="4F186593" w14:textId="77777777" w:rsidR="00600499" w:rsidRDefault="00600499" w:rsidP="00600499">
      <w:pPr>
        <w:pBdr>
          <w:top w:val="single" w:sz="4" w:space="1" w:color="auto"/>
          <w:left w:val="single" w:sz="4" w:space="4" w:color="auto"/>
          <w:bottom w:val="single" w:sz="4" w:space="1" w:color="auto"/>
          <w:right w:val="single" w:sz="4" w:space="4" w:color="auto"/>
        </w:pBdr>
        <w:rPr>
          <w:noProof/>
        </w:rPr>
      </w:pPr>
      <w:r>
        <w:rPr>
          <w:noProof/>
        </w:rPr>
        <w:t>Management of the proposed Regulation will be done by the European Maritime Safety Agency and the European Commission oversighting it as appropriate.</w:t>
      </w:r>
    </w:p>
    <w:p w14:paraId="75FD947C" w14:textId="77777777" w:rsidR="00600499" w:rsidRDefault="00600499" w:rsidP="00600499">
      <w:pPr>
        <w:rPr>
          <w:noProof/>
        </w:rPr>
      </w:pPr>
      <w:r>
        <w:rPr>
          <w:noProof/>
        </w:rPr>
        <w:t xml:space="preserve"> </w:t>
      </w:r>
    </w:p>
    <w:p w14:paraId="1C366251" w14:textId="77777777" w:rsidR="00600499" w:rsidRDefault="00600499" w:rsidP="00600499">
      <w:pPr>
        <w:rPr>
          <w:noProof/>
        </w:rPr>
        <w:sectPr w:rsidR="00600499" w:rsidSect="00F530FA">
          <w:pgSz w:w="12240" w:h="15840"/>
          <w:pgMar w:top="794" w:right="907" w:bottom="851" w:left="1361" w:header="510" w:footer="454" w:gutter="0"/>
          <w:cols w:space="720"/>
          <w:docGrid w:linePitch="326"/>
        </w:sectPr>
      </w:pPr>
    </w:p>
    <w:p w14:paraId="6D668E45" w14:textId="77777777" w:rsidR="00600499" w:rsidRDefault="00600499" w:rsidP="00600499">
      <w:pPr>
        <w:pStyle w:val="ManualHeading1"/>
        <w:rPr>
          <w:bCs/>
          <w:noProof/>
          <w:szCs w:val="24"/>
        </w:rPr>
      </w:pPr>
      <w:bookmarkStart w:id="38" w:name="_Toc514938676"/>
      <w:bookmarkStart w:id="39" w:name="_Toc520485435"/>
      <w:r w:rsidRPr="006615AA">
        <w:rPr>
          <w:noProof/>
        </w:rPr>
        <w:t>2.</w:t>
      </w:r>
      <w:r w:rsidRPr="006615AA">
        <w:rPr>
          <w:noProof/>
        </w:rPr>
        <w:tab/>
      </w:r>
      <w:r w:rsidRPr="000E7351">
        <w:rPr>
          <w:noProof/>
        </w:rPr>
        <w:t>MANAGEMENT MEASURES</w:t>
      </w:r>
      <w:bookmarkEnd w:id="38"/>
      <w:bookmarkEnd w:id="39"/>
      <w:r>
        <w:rPr>
          <w:noProof/>
        </w:rPr>
        <w:t xml:space="preserve"> </w:t>
      </w:r>
    </w:p>
    <w:p w14:paraId="126CECE6" w14:textId="77777777" w:rsidR="00600499" w:rsidRDefault="00600499" w:rsidP="00600499">
      <w:pPr>
        <w:pStyle w:val="ManualHeading2"/>
        <w:rPr>
          <w:bCs/>
          <w:noProof/>
          <w:szCs w:val="24"/>
        </w:rPr>
      </w:pPr>
      <w:bookmarkStart w:id="40" w:name="_Toc514938677"/>
      <w:bookmarkStart w:id="41" w:name="_Toc520485436"/>
      <w:r w:rsidRPr="006D222F">
        <w:rPr>
          <w:noProof/>
        </w:rPr>
        <w:t>2.1.</w:t>
      </w:r>
      <w:r w:rsidRPr="006D222F">
        <w:rPr>
          <w:noProof/>
        </w:rPr>
        <w:tab/>
      </w:r>
      <w:r>
        <w:rPr>
          <w:noProof/>
        </w:rPr>
        <w:t>Monitoring and reporting rules</w:t>
      </w:r>
      <w:bookmarkEnd w:id="40"/>
      <w:bookmarkEnd w:id="41"/>
      <w:r>
        <w:rPr>
          <w:noProof/>
        </w:rPr>
        <w:t xml:space="preserve"> </w:t>
      </w:r>
    </w:p>
    <w:p w14:paraId="77C8E288" w14:textId="77777777" w:rsidR="00600499" w:rsidRDefault="00600499" w:rsidP="00600499">
      <w:pPr>
        <w:pStyle w:val="Text1"/>
        <w:rPr>
          <w:i/>
          <w:noProof/>
          <w:sz w:val="20"/>
        </w:rPr>
      </w:pPr>
      <w:r>
        <w:rPr>
          <w:i/>
          <w:noProof/>
          <w:sz w:val="20"/>
        </w:rPr>
        <w:t>Specify frequency and conditions.</w:t>
      </w:r>
    </w:p>
    <w:p w14:paraId="70A77756" w14:textId="77777777" w:rsidR="00600499" w:rsidRDefault="00600499" w:rsidP="00600499">
      <w:pPr>
        <w:pStyle w:val="Text1"/>
        <w:pBdr>
          <w:top w:val="single" w:sz="4" w:space="1" w:color="auto"/>
          <w:left w:val="single" w:sz="4" w:space="4" w:color="auto"/>
          <w:bottom w:val="single" w:sz="4" w:space="1" w:color="auto"/>
          <w:right w:val="single" w:sz="4" w:space="4" w:color="auto"/>
        </w:pBdr>
        <w:rPr>
          <w:noProof/>
        </w:rPr>
      </w:pPr>
      <w:r>
        <w:rPr>
          <w:noProof/>
        </w:rPr>
        <w:t>The Regulation</w:t>
      </w:r>
      <w:r w:rsidRPr="00AA04B7">
        <w:rPr>
          <w:noProof/>
        </w:rPr>
        <w:t xml:space="preserve"> provides for an evaluation which assesses, in particular, the impact, effectiveness and efficiency of </w:t>
      </w:r>
      <w:r>
        <w:rPr>
          <w:noProof/>
        </w:rPr>
        <w:t>EMSA</w:t>
      </w:r>
      <w:r w:rsidRPr="00AA04B7">
        <w:rPr>
          <w:noProof/>
        </w:rPr>
        <w:t xml:space="preserve"> and of its working practices and may address the possible need to modify the structure, operation, field of action and tasks of </w:t>
      </w:r>
      <w:r>
        <w:rPr>
          <w:noProof/>
        </w:rPr>
        <w:t>EMSA</w:t>
      </w:r>
      <w:r w:rsidRPr="00AA04B7">
        <w:rPr>
          <w:noProof/>
        </w:rPr>
        <w:t xml:space="preserve">, and the financial implications of any such modification. Further to this evaluation, the Commission will draw data through its representation in the Agency’s Management Board meetings and its supervision, along with the Member States, of </w:t>
      </w:r>
      <w:r>
        <w:rPr>
          <w:noProof/>
        </w:rPr>
        <w:t>EMSA’s</w:t>
      </w:r>
      <w:r w:rsidRPr="00AA04B7">
        <w:rPr>
          <w:noProof/>
        </w:rPr>
        <w:t xml:space="preserve"> work.</w:t>
      </w:r>
      <w:r>
        <w:rPr>
          <w:noProof/>
        </w:rPr>
        <w:t xml:space="preserve"> </w:t>
      </w:r>
      <w:r w:rsidRPr="00AA04B7">
        <w:rPr>
          <w:noProof/>
        </w:rPr>
        <w:t xml:space="preserve">The Management Board should give general orientations for the Agency's activities and be more closely involved in the monitoring of the Agency's activities, with a view to reinforcing supervision on administrative and budgetary matters. </w:t>
      </w:r>
    </w:p>
    <w:p w14:paraId="639A08DD" w14:textId="77777777" w:rsidR="00600499" w:rsidRDefault="00600499" w:rsidP="00600499">
      <w:pPr>
        <w:pStyle w:val="Text1"/>
        <w:pBdr>
          <w:top w:val="single" w:sz="4" w:space="1" w:color="auto"/>
          <w:left w:val="single" w:sz="4" w:space="4" w:color="auto"/>
          <w:bottom w:val="single" w:sz="4" w:space="1" w:color="auto"/>
          <w:right w:val="single" w:sz="4" w:space="4" w:color="auto"/>
        </w:pBdr>
        <w:rPr>
          <w:noProof/>
        </w:rPr>
      </w:pPr>
      <w:r>
        <w:rPr>
          <w:noProof/>
        </w:rPr>
        <w:t xml:space="preserve">The Executive Director will </w:t>
      </w:r>
      <w:r w:rsidRPr="00AA04B7">
        <w:rPr>
          <w:noProof/>
        </w:rPr>
        <w:t xml:space="preserve">organise an effective monitoring system in order to be able to compare </w:t>
      </w:r>
      <w:r>
        <w:rPr>
          <w:noProof/>
        </w:rPr>
        <w:t>EMSA’s</w:t>
      </w:r>
      <w:r w:rsidRPr="00AA04B7">
        <w:rPr>
          <w:noProof/>
        </w:rPr>
        <w:t xml:space="preserve"> achievements with its objectives and tasks as laid down in this Regulation. </w:t>
      </w:r>
    </w:p>
    <w:p w14:paraId="2752F269" w14:textId="77777777" w:rsidR="00600499" w:rsidRDefault="00600499" w:rsidP="00600499">
      <w:pPr>
        <w:pStyle w:val="Text1"/>
        <w:pBdr>
          <w:top w:val="single" w:sz="4" w:space="1" w:color="auto"/>
          <w:left w:val="single" w:sz="4" w:space="4" w:color="auto"/>
          <w:bottom w:val="single" w:sz="4" w:space="1" w:color="auto"/>
          <w:right w:val="single" w:sz="4" w:space="4" w:color="auto"/>
        </w:pBdr>
        <w:rPr>
          <w:noProof/>
        </w:rPr>
      </w:pPr>
      <w:r>
        <w:rPr>
          <w:noProof/>
        </w:rPr>
        <w:t>All EU agencies work under a strict monitoring system involving internal audit capability, the Internal Audit Service of the Commission, the Administrative Board, the Commission, the Court of Auditors and the Budgetary Authority. This system as laid down in the EMSA founding Regulation will continue to apply.</w:t>
      </w:r>
    </w:p>
    <w:p w14:paraId="342A5DBE" w14:textId="77777777" w:rsidR="00600499" w:rsidRDefault="00600499" w:rsidP="00600499">
      <w:pPr>
        <w:pStyle w:val="ManualHeading2"/>
        <w:rPr>
          <w:bCs/>
          <w:noProof/>
          <w:szCs w:val="24"/>
        </w:rPr>
      </w:pPr>
      <w:bookmarkStart w:id="42" w:name="_Toc514938678"/>
      <w:bookmarkStart w:id="43" w:name="_Toc520485437"/>
      <w:r w:rsidRPr="006615AA">
        <w:rPr>
          <w:noProof/>
        </w:rPr>
        <w:t>2.2.</w:t>
      </w:r>
      <w:r w:rsidRPr="006615AA">
        <w:rPr>
          <w:noProof/>
        </w:rPr>
        <w:tab/>
      </w:r>
      <w:r w:rsidRPr="000E7351">
        <w:rPr>
          <w:noProof/>
        </w:rPr>
        <w:t>Management and control system(s)</w:t>
      </w:r>
      <w:bookmarkEnd w:id="42"/>
      <w:bookmarkEnd w:id="43"/>
      <w:r>
        <w:rPr>
          <w:noProof/>
        </w:rPr>
        <w:t xml:space="preserve"> </w:t>
      </w:r>
    </w:p>
    <w:p w14:paraId="585B1352" w14:textId="77777777" w:rsidR="00600499" w:rsidRDefault="00600499" w:rsidP="00600499">
      <w:pPr>
        <w:pStyle w:val="ManualHeading3"/>
        <w:rPr>
          <w:noProof/>
        </w:rPr>
      </w:pPr>
      <w:bookmarkStart w:id="44" w:name="_Toc514938679"/>
      <w:bookmarkStart w:id="45" w:name="_Toc520485438"/>
      <w:r w:rsidRPr="006D222F">
        <w:rPr>
          <w:noProof/>
        </w:rPr>
        <w:t>2.2.1.</w:t>
      </w:r>
      <w:r w:rsidRPr="006D222F">
        <w:rPr>
          <w:noProof/>
        </w:rPr>
        <w:tab/>
      </w:r>
      <w:r>
        <w:rPr>
          <w:noProof/>
        </w:rPr>
        <w:t>Justification of the management mode(s), the funding implementation mechanism(s), the payment modalities and the control strategy proposed</w:t>
      </w:r>
      <w:bookmarkEnd w:id="44"/>
      <w:bookmarkEnd w:id="45"/>
    </w:p>
    <w:p w14:paraId="39010DB3" w14:textId="77777777" w:rsidR="00600499" w:rsidRDefault="00600499" w:rsidP="00600499">
      <w:pPr>
        <w:pStyle w:val="Text1"/>
        <w:pBdr>
          <w:top w:val="single" w:sz="4" w:space="1" w:color="auto"/>
          <w:left w:val="single" w:sz="4" w:space="4" w:color="auto"/>
          <w:bottom w:val="single" w:sz="4" w:space="1" w:color="auto"/>
          <w:right w:val="single" w:sz="4" w:space="4" w:color="auto"/>
        </w:pBdr>
        <w:rPr>
          <w:noProof/>
        </w:rPr>
      </w:pPr>
      <w:r w:rsidRPr="00800794">
        <w:rPr>
          <w:noProof/>
        </w:rPr>
        <w:t>All EU agencies work under a strict monitoring system involving internal audit capability, the Internal Audit Service of the Commission, the Administrative Board, the Commission, the Court of Auditors and the Budgetary Authority. This system as laid down in the EMSA founding Regulation will continue to apply.</w:t>
      </w:r>
    </w:p>
    <w:p w14:paraId="78776EDB" w14:textId="77777777" w:rsidR="00600499" w:rsidRDefault="00600499" w:rsidP="00600499">
      <w:pPr>
        <w:pStyle w:val="ManualHeading3"/>
        <w:rPr>
          <w:noProof/>
        </w:rPr>
      </w:pPr>
      <w:bookmarkStart w:id="46" w:name="_Toc514938680"/>
      <w:bookmarkStart w:id="47" w:name="_Toc520485439"/>
      <w:r w:rsidRPr="006D222F">
        <w:rPr>
          <w:noProof/>
        </w:rPr>
        <w:t>2.2.2.</w:t>
      </w:r>
      <w:r w:rsidRPr="006D222F">
        <w:rPr>
          <w:noProof/>
        </w:rPr>
        <w:tab/>
      </w:r>
      <w:r>
        <w:rPr>
          <w:noProof/>
        </w:rPr>
        <w:t>Information concerning the risks identified and the internal control system(s) set up to mitigate them</w:t>
      </w:r>
      <w:bookmarkEnd w:id="46"/>
      <w:bookmarkEnd w:id="47"/>
    </w:p>
    <w:p w14:paraId="18E4B7CE" w14:textId="77777777" w:rsidR="00600499" w:rsidRDefault="00600499" w:rsidP="00600499">
      <w:pPr>
        <w:pStyle w:val="Text1"/>
        <w:pBdr>
          <w:top w:val="single" w:sz="4" w:space="1" w:color="auto"/>
          <w:left w:val="single" w:sz="4" w:space="4" w:color="auto"/>
          <w:bottom w:val="single" w:sz="4" w:space="1" w:color="auto"/>
          <w:right w:val="single" w:sz="4" w:space="4" w:color="auto"/>
        </w:pBdr>
        <w:rPr>
          <w:noProof/>
        </w:rPr>
      </w:pPr>
      <w:r w:rsidRPr="00311543">
        <w:rPr>
          <w:noProof/>
        </w:rPr>
        <w:t xml:space="preserve">While the Commission will be overall accountable for reporting to the European Parliament and the Council on </w:t>
      </w:r>
      <w:r>
        <w:rPr>
          <w:noProof/>
        </w:rPr>
        <w:t>the</w:t>
      </w:r>
      <w:r w:rsidRPr="00311543">
        <w:rPr>
          <w:noProof/>
        </w:rPr>
        <w:t xml:space="preserve"> impact, effectiveness and efficiency of </w:t>
      </w:r>
      <w:r>
        <w:rPr>
          <w:noProof/>
        </w:rPr>
        <w:t>EMSA and its working practices,</w:t>
      </w:r>
      <w:r w:rsidRPr="00311543">
        <w:rPr>
          <w:noProof/>
        </w:rPr>
        <w:t xml:space="preserve"> and proposing a revisions where necessary, the European Maritime Safety Agency will be responsible for the performance of its operation and for the implementation of its internal control framework. </w:t>
      </w:r>
    </w:p>
    <w:p w14:paraId="196C1136" w14:textId="77777777" w:rsidR="00600499" w:rsidRDefault="00600499" w:rsidP="00600499">
      <w:pPr>
        <w:pStyle w:val="Text1"/>
        <w:pBdr>
          <w:top w:val="single" w:sz="4" w:space="1" w:color="auto"/>
          <w:left w:val="single" w:sz="4" w:space="4" w:color="auto"/>
          <w:bottom w:val="single" w:sz="4" w:space="1" w:color="auto"/>
          <w:right w:val="single" w:sz="4" w:space="4" w:color="auto"/>
        </w:pBdr>
        <w:rPr>
          <w:noProof/>
        </w:rPr>
      </w:pPr>
      <w:r>
        <w:rPr>
          <w:noProof/>
        </w:rPr>
        <w:t>The Executive Director will o</w:t>
      </w:r>
      <w:r w:rsidRPr="00311543">
        <w:rPr>
          <w:noProof/>
        </w:rPr>
        <w:t xml:space="preserve">rganise an effective monitoring system in order to be able to compare </w:t>
      </w:r>
      <w:r>
        <w:rPr>
          <w:noProof/>
        </w:rPr>
        <w:t>EMSA’s</w:t>
      </w:r>
      <w:r w:rsidRPr="00311543">
        <w:rPr>
          <w:noProof/>
        </w:rPr>
        <w:t xml:space="preserve"> achievements with its objectives and tasks as laid down in this Regulation. To this end, he/she shall establish, in agreement with the Commission and the Management Board, tailored performance indicators allowing for an effective assessment of the results achieved. He/she shall ensure that </w:t>
      </w:r>
      <w:r>
        <w:rPr>
          <w:noProof/>
        </w:rPr>
        <w:t>EMSA’s</w:t>
      </w:r>
      <w:r w:rsidRPr="00311543">
        <w:rPr>
          <w:noProof/>
        </w:rPr>
        <w:t xml:space="preserve"> organisational structure will be regularly adapted to the evolving needs within the available financial and human resources. In this regard, he/she shall establish regular evaluation procedures that meet re</w:t>
      </w:r>
      <w:r>
        <w:rPr>
          <w:noProof/>
        </w:rPr>
        <w:t>cognised professional standards.</w:t>
      </w:r>
    </w:p>
    <w:p w14:paraId="61DD0102" w14:textId="77777777" w:rsidR="00600499" w:rsidRDefault="00600499" w:rsidP="00600499">
      <w:pPr>
        <w:pStyle w:val="Text1"/>
        <w:pBdr>
          <w:top w:val="single" w:sz="4" w:space="1" w:color="auto"/>
          <w:left w:val="single" w:sz="4" w:space="4" w:color="auto"/>
          <w:bottom w:val="single" w:sz="4" w:space="1" w:color="auto"/>
          <w:right w:val="single" w:sz="4" w:space="4" w:color="auto"/>
        </w:pBdr>
        <w:rPr>
          <w:noProof/>
        </w:rPr>
      </w:pPr>
      <w:r>
        <w:rPr>
          <w:noProof/>
        </w:rPr>
        <w:t xml:space="preserve">DG MOVE will apply the necessary controls in line with the supervision strategy </w:t>
      </w:r>
      <w:r w:rsidRPr="00697DFE">
        <w:rPr>
          <w:noProof/>
        </w:rPr>
        <w:t xml:space="preserve">adopted </w:t>
      </w:r>
      <w:r>
        <w:rPr>
          <w:noProof/>
        </w:rPr>
        <w:t xml:space="preserve">in 2017 </w:t>
      </w:r>
      <w:r w:rsidRPr="00697DFE">
        <w:rPr>
          <w:noProof/>
        </w:rPr>
        <w:t xml:space="preserve">on the DG's relations with decentralised agencies and </w:t>
      </w:r>
      <w:r>
        <w:rPr>
          <w:noProof/>
        </w:rPr>
        <w:t>joint undertakings</w:t>
      </w:r>
      <w:r w:rsidRPr="00697DFE">
        <w:rPr>
          <w:noProof/>
        </w:rPr>
        <w:t xml:space="preserve">. </w:t>
      </w:r>
      <w:r>
        <w:rPr>
          <w:noProof/>
        </w:rPr>
        <w:t xml:space="preserve">Under the strategy, DG MOVE monitors </w:t>
      </w:r>
      <w:r>
        <w:rPr>
          <w:rFonts w:eastAsia="Times New Roman"/>
          <w:noProof/>
          <w:lang w:val="en-IE" w:eastAsia="en-GB"/>
        </w:rPr>
        <w:t>p</w:t>
      </w:r>
      <w:r w:rsidRPr="008B2983">
        <w:rPr>
          <w:rFonts w:eastAsia="Times New Roman"/>
          <w:noProof/>
          <w:lang w:val="en-IE" w:eastAsia="en-GB"/>
        </w:rPr>
        <w:t xml:space="preserve">erformance indicators </w:t>
      </w:r>
      <w:r>
        <w:rPr>
          <w:rFonts w:eastAsia="Times New Roman"/>
          <w:noProof/>
          <w:lang w:val="en-IE" w:eastAsia="en-GB"/>
        </w:rPr>
        <w:t xml:space="preserve">for the </w:t>
      </w:r>
      <w:r w:rsidRPr="008B2983">
        <w:rPr>
          <w:rFonts w:eastAsia="Times New Roman"/>
          <w:noProof/>
          <w:lang w:val="en-IE" w:eastAsia="en-GB"/>
        </w:rPr>
        <w:t>implementation of the budget, the audit recommendations and administrative matters. A r</w:t>
      </w:r>
      <w:r>
        <w:rPr>
          <w:rFonts w:eastAsia="Times New Roman"/>
          <w:noProof/>
          <w:lang w:val="en-IE" w:eastAsia="en-GB"/>
        </w:rPr>
        <w:t>eport</w:t>
      </w:r>
      <w:r w:rsidRPr="008B2983">
        <w:rPr>
          <w:rFonts w:eastAsia="Times New Roman"/>
          <w:noProof/>
          <w:lang w:val="en-IE" w:eastAsia="en-GB"/>
        </w:rPr>
        <w:t xml:space="preserve"> is provided by the Agenc</w:t>
      </w:r>
      <w:r>
        <w:rPr>
          <w:rFonts w:eastAsia="Times New Roman"/>
          <w:noProof/>
          <w:lang w:val="en-IE" w:eastAsia="en-GB"/>
        </w:rPr>
        <w:t>y</w:t>
      </w:r>
      <w:r w:rsidRPr="008B2983">
        <w:rPr>
          <w:rFonts w:eastAsia="Times New Roman"/>
          <w:noProof/>
          <w:lang w:val="en-IE" w:eastAsia="en-GB"/>
        </w:rPr>
        <w:t xml:space="preserve"> on a bi-annual basis</w:t>
      </w:r>
      <w:r>
        <w:rPr>
          <w:rFonts w:eastAsia="Times New Roman"/>
          <w:noProof/>
          <w:lang w:val="en-IE" w:eastAsia="en-GB"/>
        </w:rPr>
        <w:t xml:space="preserve">. </w:t>
      </w:r>
      <w:r>
        <w:rPr>
          <w:noProof/>
        </w:rPr>
        <w:t>The controls performed on the supervision of the Agency as well as on the related financial and budgetary management are in accordance with DG MOVE’s Control Strategy, updated in 2022.</w:t>
      </w:r>
    </w:p>
    <w:p w14:paraId="767C92FF" w14:textId="77777777" w:rsidR="00600499" w:rsidRDefault="00600499" w:rsidP="00600499">
      <w:pPr>
        <w:pStyle w:val="Text1"/>
        <w:pBdr>
          <w:top w:val="single" w:sz="4" w:space="1" w:color="auto"/>
          <w:left w:val="single" w:sz="4" w:space="4" w:color="auto"/>
          <w:bottom w:val="single" w:sz="4" w:space="1" w:color="auto"/>
          <w:right w:val="single" w:sz="4" w:space="4" w:color="auto"/>
        </w:pBdr>
        <w:rPr>
          <w:noProof/>
        </w:rPr>
      </w:pPr>
      <w:r w:rsidRPr="00A16D20">
        <w:rPr>
          <w:noProof/>
        </w:rPr>
        <w:t xml:space="preserve">The additional resources put at the disposal of </w:t>
      </w:r>
      <w:r>
        <w:rPr>
          <w:noProof/>
        </w:rPr>
        <w:t xml:space="preserve">EMSA </w:t>
      </w:r>
      <w:r w:rsidRPr="00A16D20">
        <w:rPr>
          <w:noProof/>
        </w:rPr>
        <w:t xml:space="preserve">will be covered by </w:t>
      </w:r>
      <w:r>
        <w:rPr>
          <w:noProof/>
        </w:rPr>
        <w:t>EMSA’</w:t>
      </w:r>
      <w:r w:rsidRPr="00A16D20">
        <w:rPr>
          <w:noProof/>
        </w:rPr>
        <w:t xml:space="preserve">s internal control </w:t>
      </w:r>
      <w:r>
        <w:rPr>
          <w:noProof/>
        </w:rPr>
        <w:t xml:space="preserve"> and risk management </w:t>
      </w:r>
      <w:r w:rsidRPr="00A16D20">
        <w:rPr>
          <w:noProof/>
        </w:rPr>
        <w:t>system that is aligned with the relevant international standards and includes specific controls to prevent conflict of interests and ensure the protection of whistle-blowers</w:t>
      </w:r>
      <w:r>
        <w:rPr>
          <w:noProof/>
        </w:rPr>
        <w:t>.</w:t>
      </w:r>
    </w:p>
    <w:p w14:paraId="242048B5" w14:textId="77777777" w:rsidR="00600499" w:rsidRPr="00E53285" w:rsidRDefault="00600499" w:rsidP="00600499">
      <w:pPr>
        <w:pStyle w:val="ManualHeading3"/>
        <w:rPr>
          <w:noProof/>
        </w:rPr>
      </w:pPr>
      <w:bookmarkStart w:id="48" w:name="_Toc514938681"/>
      <w:bookmarkStart w:id="49" w:name="_Toc520485440"/>
      <w:r w:rsidRPr="006D222F">
        <w:rPr>
          <w:noProof/>
        </w:rPr>
        <w:t>2.2.3.</w:t>
      </w:r>
      <w:r w:rsidRPr="006D222F">
        <w:rPr>
          <w:noProof/>
        </w:rPr>
        <w:tab/>
      </w:r>
      <w:r w:rsidRPr="00E53285">
        <w:rPr>
          <w:noProof/>
        </w:rPr>
        <w:t>Estimation and justification of the cost-effectiveness of the controls (ratio of "control costs ÷ value of the related funds managed"), and assessment of the expected levels of risk of error (at payment &amp; at closure)</w:t>
      </w:r>
      <w:bookmarkEnd w:id="48"/>
      <w:bookmarkEnd w:id="49"/>
      <w:r w:rsidRPr="00E53285">
        <w:rPr>
          <w:noProof/>
        </w:rPr>
        <w:t xml:space="preserve"> </w:t>
      </w:r>
    </w:p>
    <w:p w14:paraId="05921C34" w14:textId="77777777" w:rsidR="00600499" w:rsidRPr="003C52ED" w:rsidRDefault="00600499" w:rsidP="00600499">
      <w:pPr>
        <w:pBdr>
          <w:top w:val="single" w:sz="4" w:space="1" w:color="auto"/>
          <w:left w:val="single" w:sz="4" w:space="0" w:color="auto"/>
          <w:bottom w:val="single" w:sz="4" w:space="1" w:color="auto"/>
          <w:right w:val="single" w:sz="4" w:space="4" w:color="auto"/>
        </w:pBdr>
        <w:ind w:left="709"/>
        <w:rPr>
          <w:noProof/>
        </w:rPr>
      </w:pPr>
      <w:r w:rsidRPr="003C52ED">
        <w:rPr>
          <w:noProof/>
        </w:rPr>
        <w:t xml:space="preserve">Under the proposed Regulation, additional financing will be provided only to EMSA, which will be required to carry out </w:t>
      </w:r>
      <w:r>
        <w:rPr>
          <w:noProof/>
        </w:rPr>
        <w:t>the tasks allocated following the revision of the Directive 2009/21/EC on flag State requirements, Directive 2009/16/EC on port State control, Directive 2009/18/EC on accident investigation and Directive 2005/35/EC on ship-source pollution</w:t>
      </w:r>
      <w:r w:rsidRPr="003C52ED">
        <w:rPr>
          <w:noProof/>
        </w:rPr>
        <w:t>.</w:t>
      </w:r>
    </w:p>
    <w:p w14:paraId="51509F34" w14:textId="77777777" w:rsidR="00600499" w:rsidRPr="003C52ED" w:rsidRDefault="00600499" w:rsidP="00600499">
      <w:pPr>
        <w:pBdr>
          <w:top w:val="single" w:sz="4" w:space="1" w:color="auto"/>
          <w:left w:val="single" w:sz="4" w:space="0" w:color="auto"/>
          <w:bottom w:val="single" w:sz="4" w:space="1" w:color="auto"/>
          <w:right w:val="single" w:sz="4" w:space="4" w:color="auto"/>
        </w:pBdr>
        <w:ind w:left="709"/>
        <w:rPr>
          <w:noProof/>
        </w:rPr>
      </w:pPr>
      <w:r w:rsidRPr="003C52ED">
        <w:rPr>
          <w:noProof/>
        </w:rPr>
        <w:t>EMSA has full responsibility for the implementation of their budget, while DG MOVE is responsible for the regular payment of the contributions established by the Budgetary Authority. The expected level of risk of error at payment and at closure is similar to that attached to the budget subsidies provided to the Agency.</w:t>
      </w:r>
    </w:p>
    <w:p w14:paraId="1CF85D18" w14:textId="77777777" w:rsidR="00600499" w:rsidRPr="003C52ED" w:rsidRDefault="00600499" w:rsidP="00600499">
      <w:pPr>
        <w:pBdr>
          <w:top w:val="single" w:sz="4" w:space="1" w:color="auto"/>
          <w:left w:val="single" w:sz="4" w:space="0" w:color="auto"/>
          <w:bottom w:val="single" w:sz="4" w:space="1" w:color="auto"/>
          <w:right w:val="single" w:sz="4" w:space="4" w:color="auto"/>
        </w:pBdr>
        <w:ind w:left="709"/>
        <w:rPr>
          <w:noProof/>
        </w:rPr>
      </w:pPr>
      <w:r w:rsidRPr="003C52ED">
        <w:rPr>
          <w:noProof/>
        </w:rPr>
        <w:t xml:space="preserve">The additional tasks resulting from the proposed Regulation are not expected to generate specific additional controls. Therefore, the cost of control for DG MOVE (measured against the value of funds managed) is expected to remain stable. </w:t>
      </w:r>
    </w:p>
    <w:p w14:paraId="7F1814F7" w14:textId="77777777" w:rsidR="00600499" w:rsidRDefault="00600499" w:rsidP="00600499">
      <w:pPr>
        <w:spacing w:before="0" w:after="200" w:line="276" w:lineRule="auto"/>
        <w:jc w:val="left"/>
        <w:rPr>
          <w:rFonts w:eastAsiaTheme="majorEastAsia"/>
          <w:b/>
          <w:bCs/>
          <w:noProof/>
          <w:szCs w:val="26"/>
        </w:rPr>
      </w:pPr>
      <w:bookmarkStart w:id="50" w:name="_Toc514938682"/>
      <w:r>
        <w:rPr>
          <w:noProof/>
        </w:rPr>
        <w:br w:type="page"/>
      </w:r>
    </w:p>
    <w:p w14:paraId="59E95139" w14:textId="77777777" w:rsidR="00600499" w:rsidRDefault="00600499" w:rsidP="00600499">
      <w:pPr>
        <w:pStyle w:val="ManualHeading2"/>
        <w:rPr>
          <w:bCs/>
          <w:noProof/>
          <w:szCs w:val="24"/>
        </w:rPr>
      </w:pPr>
      <w:bookmarkStart w:id="51" w:name="_Toc520485441"/>
      <w:r w:rsidRPr="00342CB8">
        <w:rPr>
          <w:noProof/>
        </w:rPr>
        <w:t>2.3.</w:t>
      </w:r>
      <w:r w:rsidRPr="00342CB8">
        <w:rPr>
          <w:noProof/>
        </w:rPr>
        <w:tab/>
      </w:r>
      <w:r w:rsidRPr="000E7351">
        <w:rPr>
          <w:noProof/>
        </w:rPr>
        <w:t>Measures to prevent fraud and irregularities</w:t>
      </w:r>
      <w:bookmarkEnd w:id="50"/>
      <w:bookmarkEnd w:id="51"/>
      <w:r>
        <w:rPr>
          <w:noProof/>
        </w:rPr>
        <w:t xml:space="preserve"> </w:t>
      </w:r>
    </w:p>
    <w:p w14:paraId="66DDDD88" w14:textId="77777777" w:rsidR="00600499" w:rsidRDefault="00600499" w:rsidP="00600499">
      <w:pPr>
        <w:pStyle w:val="Text1"/>
        <w:rPr>
          <w:i/>
          <w:noProof/>
          <w:sz w:val="20"/>
        </w:rPr>
      </w:pPr>
      <w:r>
        <w:rPr>
          <w:i/>
          <w:noProof/>
          <w:sz w:val="20"/>
        </w:rPr>
        <w:t>Specify existing or envisaged prevention and protection measures, e.g. from the Anti-Fraud Strategy.</w:t>
      </w:r>
    </w:p>
    <w:p w14:paraId="6888A4D6" w14:textId="77777777" w:rsidR="00600499" w:rsidRDefault="00600499" w:rsidP="00600499">
      <w:pPr>
        <w:pStyle w:val="Text1"/>
        <w:pBdr>
          <w:top w:val="single" w:sz="4" w:space="1" w:color="auto"/>
          <w:left w:val="single" w:sz="4" w:space="4" w:color="auto"/>
          <w:bottom w:val="single" w:sz="4" w:space="1" w:color="auto"/>
          <w:right w:val="single" w:sz="4" w:space="4" w:color="auto"/>
        </w:pBdr>
        <w:rPr>
          <w:noProof/>
        </w:rPr>
      </w:pPr>
      <w:r w:rsidRPr="003C52ED">
        <w:rPr>
          <w:noProof/>
        </w:rPr>
        <w:t>EMSA applies the anti-fraud principles of decentralised EU Agencies, in line with the Commission approach. In March 2021, the Agency adopted an updated Anti-Fraud Strategy, based on the methodology and guidance for anti-fraud strategy presented by OLAF as well as on the Anti-Fraud Strategy of DG MOVE. It provides a framework addressing the issues of prevention, detection and conditions for investigations of fraud at Agency level. EMSA continuously adapts and improves its policies and actions to promote the highest level of integrity of EMSA staff, support effective prevention and detection of fraud risk and establish the appropriate procedures to report and handle potential fraud cases and their outcomes.</w:t>
      </w:r>
      <w:r>
        <w:rPr>
          <w:noProof/>
        </w:rPr>
        <w:t xml:space="preserve"> </w:t>
      </w:r>
      <w:r w:rsidRPr="00A16D20">
        <w:rPr>
          <w:noProof/>
        </w:rPr>
        <w:t xml:space="preserve">Furthermore, </w:t>
      </w:r>
      <w:r>
        <w:rPr>
          <w:noProof/>
        </w:rPr>
        <w:t>EMSA</w:t>
      </w:r>
      <w:r w:rsidRPr="00A16D20">
        <w:rPr>
          <w:noProof/>
        </w:rPr>
        <w:t xml:space="preserve"> adopted in 201</w:t>
      </w:r>
      <w:r>
        <w:rPr>
          <w:noProof/>
        </w:rPr>
        <w:t>5</w:t>
      </w:r>
      <w:r w:rsidRPr="00A16D20">
        <w:rPr>
          <w:noProof/>
        </w:rPr>
        <w:t xml:space="preserve"> </w:t>
      </w:r>
      <w:r>
        <w:rPr>
          <w:noProof/>
        </w:rPr>
        <w:t>its Conflict of Interest policy for the Management Board.</w:t>
      </w:r>
    </w:p>
    <w:p w14:paraId="5D289E4D" w14:textId="77777777" w:rsidR="00600499" w:rsidRPr="00A32156" w:rsidRDefault="00600499" w:rsidP="00600499">
      <w:pPr>
        <w:pStyle w:val="Text1"/>
        <w:pBdr>
          <w:top w:val="single" w:sz="4" w:space="1" w:color="auto"/>
          <w:left w:val="single" w:sz="4" w:space="4" w:color="auto"/>
          <w:bottom w:val="single" w:sz="4" w:space="1" w:color="auto"/>
          <w:right w:val="single" w:sz="4" w:space="4" w:color="auto"/>
        </w:pBdr>
        <w:rPr>
          <w:noProof/>
          <w:color w:val="0000FF"/>
        </w:rPr>
      </w:pPr>
      <w:r>
        <w:rPr>
          <w:noProof/>
        </w:rPr>
        <w:t>EMSA</w:t>
      </w:r>
      <w:r w:rsidRPr="00A16D20">
        <w:rPr>
          <w:noProof/>
        </w:rPr>
        <w:t xml:space="preserve"> cooperates with the Commission services on matters relating to preventing fraud and irregularity. The Commission will ensure that this cooperation will continue and will be strengthened.</w:t>
      </w:r>
    </w:p>
    <w:p w14:paraId="7A4DD3C6" w14:textId="77777777" w:rsidR="00600499" w:rsidRDefault="00600499" w:rsidP="00600499">
      <w:pPr>
        <w:pStyle w:val="ManualHeading1"/>
        <w:rPr>
          <w:bCs/>
          <w:noProof/>
          <w:szCs w:val="24"/>
        </w:rPr>
      </w:pPr>
      <w:bookmarkStart w:id="52" w:name="_Toc514938683"/>
      <w:bookmarkStart w:id="53" w:name="_Toc520485442"/>
      <w:r w:rsidRPr="006D222F">
        <w:rPr>
          <w:noProof/>
        </w:rPr>
        <w:t>3.</w:t>
      </w:r>
      <w:r w:rsidRPr="006D222F">
        <w:rPr>
          <w:noProof/>
        </w:rPr>
        <w:tab/>
      </w:r>
      <w:r>
        <w:rPr>
          <w:noProof/>
        </w:rPr>
        <w:t>ESTIMATED FINANCIAL IMPACT OF THE PROPOSAL/INITIATIVE</w:t>
      </w:r>
      <w:bookmarkEnd w:id="52"/>
      <w:bookmarkEnd w:id="53"/>
      <w:r>
        <w:rPr>
          <w:noProof/>
        </w:rPr>
        <w:t xml:space="preserve"> </w:t>
      </w:r>
    </w:p>
    <w:p w14:paraId="16C25109" w14:textId="77777777" w:rsidR="00600499" w:rsidRDefault="00600499" w:rsidP="00600499">
      <w:pPr>
        <w:pStyle w:val="ManualHeading2"/>
        <w:rPr>
          <w:bCs/>
          <w:noProof/>
          <w:szCs w:val="24"/>
        </w:rPr>
      </w:pPr>
      <w:bookmarkStart w:id="54" w:name="_Toc514938684"/>
      <w:bookmarkStart w:id="55" w:name="_Toc520485443"/>
      <w:r w:rsidRPr="006D222F">
        <w:rPr>
          <w:noProof/>
        </w:rPr>
        <w:t>3.1.</w:t>
      </w:r>
      <w:r w:rsidRPr="006D222F">
        <w:rPr>
          <w:noProof/>
        </w:rPr>
        <w:tab/>
      </w:r>
      <w:r>
        <w:rPr>
          <w:noProof/>
        </w:rPr>
        <w:t>Heading(s) of the multiannual financial framework and expenditure budget line(s) affected</w:t>
      </w:r>
      <w:bookmarkEnd w:id="54"/>
      <w:bookmarkEnd w:id="55"/>
      <w:r>
        <w:rPr>
          <w:noProof/>
        </w:rPr>
        <w:t xml:space="preserve"> </w:t>
      </w:r>
    </w:p>
    <w:p w14:paraId="37AB94B8" w14:textId="77777777" w:rsidR="00600499" w:rsidRDefault="00600499" w:rsidP="00E37235">
      <w:pPr>
        <w:pStyle w:val="ListBullet1"/>
        <w:rPr>
          <w:noProof/>
        </w:rPr>
      </w:pPr>
      <w:r>
        <w:rPr>
          <w:noProof/>
        </w:rPr>
        <w:t xml:space="preserve">Existing budget lines </w:t>
      </w:r>
    </w:p>
    <w:p w14:paraId="4C753780" w14:textId="77777777" w:rsidR="00600499" w:rsidRDefault="00600499" w:rsidP="00600499">
      <w:pPr>
        <w:pStyle w:val="Text1"/>
        <w:rPr>
          <w:noProof/>
        </w:rPr>
      </w:pPr>
      <w:r>
        <w:rPr>
          <w:noProof/>
          <w:u w:val="single"/>
        </w:rPr>
        <w:t>In order</w:t>
      </w:r>
      <w:r>
        <w:rPr>
          <w:noProof/>
        </w:rPr>
        <w:t xml:space="preserve"> of multiannual financial framework headings and budget lines.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rsidR="00600499" w14:paraId="77E65380" w14:textId="77777777" w:rsidTr="00DC0670">
        <w:tc>
          <w:tcPr>
            <w:tcW w:w="1080" w:type="dxa"/>
            <w:vMerge w:val="restart"/>
            <w:vAlign w:val="center"/>
          </w:tcPr>
          <w:p w14:paraId="47DF0F7A" w14:textId="77777777" w:rsidR="00600499" w:rsidRDefault="00600499" w:rsidP="00DC0670">
            <w:pPr>
              <w:spacing w:before="60" w:after="60"/>
              <w:jc w:val="center"/>
              <w:rPr>
                <w:noProof/>
                <w:sz w:val="18"/>
              </w:rPr>
            </w:pPr>
            <w:r>
              <w:rPr>
                <w:noProof/>
                <w:sz w:val="18"/>
              </w:rPr>
              <w:t>Heading of multiannual financial framework</w:t>
            </w:r>
          </w:p>
        </w:tc>
        <w:tc>
          <w:tcPr>
            <w:tcW w:w="3960" w:type="dxa"/>
            <w:vAlign w:val="center"/>
          </w:tcPr>
          <w:p w14:paraId="53619D53" w14:textId="77777777" w:rsidR="00600499" w:rsidRDefault="00600499" w:rsidP="00DC0670">
            <w:pPr>
              <w:spacing w:before="60" w:after="60"/>
              <w:jc w:val="center"/>
              <w:rPr>
                <w:noProof/>
              </w:rPr>
            </w:pPr>
            <w:r>
              <w:rPr>
                <w:noProof/>
                <w:sz w:val="20"/>
              </w:rPr>
              <w:t>Budget line</w:t>
            </w:r>
          </w:p>
        </w:tc>
        <w:tc>
          <w:tcPr>
            <w:tcW w:w="1080" w:type="dxa"/>
            <w:vAlign w:val="center"/>
          </w:tcPr>
          <w:p w14:paraId="62DD6978" w14:textId="77777777" w:rsidR="00600499" w:rsidRDefault="00600499" w:rsidP="00DC0670">
            <w:pPr>
              <w:spacing w:before="60" w:after="60"/>
              <w:jc w:val="center"/>
              <w:rPr>
                <w:noProof/>
              </w:rPr>
            </w:pPr>
            <w:r>
              <w:rPr>
                <w:noProof/>
                <w:sz w:val="18"/>
              </w:rPr>
              <w:t xml:space="preserve">Type of </w:t>
            </w:r>
            <w:r>
              <w:rPr>
                <w:noProof/>
                <w:sz w:val="22"/>
              </w:rPr>
              <w:br/>
            </w:r>
            <w:r>
              <w:rPr>
                <w:noProof/>
                <w:sz w:val="18"/>
              </w:rPr>
              <w:t>expenditure</w:t>
            </w:r>
          </w:p>
        </w:tc>
        <w:tc>
          <w:tcPr>
            <w:tcW w:w="4556" w:type="dxa"/>
            <w:gridSpan w:val="4"/>
            <w:vAlign w:val="center"/>
          </w:tcPr>
          <w:p w14:paraId="63240525" w14:textId="77777777" w:rsidR="00600499" w:rsidRDefault="00600499" w:rsidP="00DC0670">
            <w:pPr>
              <w:spacing w:before="60" w:after="60"/>
              <w:jc w:val="center"/>
              <w:rPr>
                <w:noProof/>
              </w:rPr>
            </w:pPr>
            <w:r>
              <w:rPr>
                <w:noProof/>
                <w:sz w:val="20"/>
              </w:rPr>
              <w:t xml:space="preserve">Contribution </w:t>
            </w:r>
          </w:p>
        </w:tc>
      </w:tr>
      <w:tr w:rsidR="00600499" w14:paraId="482DBCDC" w14:textId="77777777" w:rsidTr="00DC0670">
        <w:tc>
          <w:tcPr>
            <w:tcW w:w="1080" w:type="dxa"/>
            <w:vMerge/>
            <w:vAlign w:val="center"/>
          </w:tcPr>
          <w:p w14:paraId="5A1E4764" w14:textId="77777777" w:rsidR="00600499" w:rsidRDefault="00600499" w:rsidP="00DC0670">
            <w:pPr>
              <w:rPr>
                <w:noProof/>
                <w:sz w:val="18"/>
              </w:rPr>
            </w:pPr>
          </w:p>
        </w:tc>
        <w:tc>
          <w:tcPr>
            <w:tcW w:w="3960" w:type="dxa"/>
            <w:vAlign w:val="center"/>
          </w:tcPr>
          <w:p w14:paraId="56A5A4C3" w14:textId="77777777" w:rsidR="00600499" w:rsidRDefault="00600499" w:rsidP="00DC0670">
            <w:pPr>
              <w:rPr>
                <w:noProof/>
              </w:rPr>
            </w:pPr>
            <w:r>
              <w:rPr>
                <w:noProof/>
                <w:sz w:val="20"/>
              </w:rPr>
              <w:t xml:space="preserve">Number </w:t>
            </w:r>
            <w:r>
              <w:rPr>
                <w:noProof/>
                <w:sz w:val="22"/>
              </w:rPr>
              <w:br/>
            </w:r>
          </w:p>
        </w:tc>
        <w:tc>
          <w:tcPr>
            <w:tcW w:w="1080" w:type="dxa"/>
            <w:vAlign w:val="center"/>
          </w:tcPr>
          <w:p w14:paraId="2BAEBA16" w14:textId="77777777" w:rsidR="00600499" w:rsidRDefault="00600499" w:rsidP="00DC0670">
            <w:pPr>
              <w:jc w:val="center"/>
              <w:rPr>
                <w:noProof/>
              </w:rPr>
            </w:pPr>
            <w:r>
              <w:rPr>
                <w:noProof/>
                <w:sz w:val="18"/>
              </w:rPr>
              <w:t>Diff./Non-diff.</w:t>
            </w:r>
            <w:r>
              <w:rPr>
                <w:rStyle w:val="FootnoteReference"/>
                <w:noProof/>
                <w:sz w:val="18"/>
              </w:rPr>
              <w:footnoteReference w:id="54"/>
            </w:r>
          </w:p>
        </w:tc>
        <w:tc>
          <w:tcPr>
            <w:tcW w:w="956" w:type="dxa"/>
            <w:vAlign w:val="center"/>
          </w:tcPr>
          <w:p w14:paraId="6925B163" w14:textId="77777777" w:rsidR="00600499" w:rsidRDefault="00600499" w:rsidP="00DC0670">
            <w:pPr>
              <w:jc w:val="center"/>
              <w:rPr>
                <w:noProof/>
              </w:rPr>
            </w:pPr>
            <w:r>
              <w:rPr>
                <w:noProof/>
                <w:sz w:val="18"/>
              </w:rPr>
              <w:t>from EFTA countries</w:t>
            </w:r>
            <w:r>
              <w:rPr>
                <w:rStyle w:val="FootnoteReference"/>
                <w:noProof/>
                <w:sz w:val="18"/>
              </w:rPr>
              <w:footnoteReference w:id="55"/>
            </w:r>
          </w:p>
        </w:tc>
        <w:tc>
          <w:tcPr>
            <w:tcW w:w="1080" w:type="dxa"/>
            <w:vAlign w:val="center"/>
          </w:tcPr>
          <w:p w14:paraId="6613032C" w14:textId="77777777" w:rsidR="00600499" w:rsidRPr="005B5680" w:rsidRDefault="00600499" w:rsidP="00DC0670">
            <w:pPr>
              <w:jc w:val="center"/>
              <w:rPr>
                <w:noProof/>
                <w:sz w:val="18"/>
              </w:rPr>
            </w:pPr>
            <w:r w:rsidRPr="005B5680">
              <w:rPr>
                <w:noProof/>
                <w:sz w:val="18"/>
              </w:rPr>
              <w:t>from candidate countries</w:t>
            </w:r>
            <w:r>
              <w:rPr>
                <w:noProof/>
                <w:sz w:val="18"/>
              </w:rPr>
              <w:t xml:space="preserve"> and potential candidates</w:t>
            </w:r>
            <w:r w:rsidRPr="005B5680">
              <w:rPr>
                <w:rStyle w:val="FootnoteReference"/>
                <w:noProof/>
                <w:sz w:val="18"/>
              </w:rPr>
              <w:footnoteReference w:id="56"/>
            </w:r>
          </w:p>
        </w:tc>
        <w:tc>
          <w:tcPr>
            <w:tcW w:w="956" w:type="dxa"/>
            <w:vAlign w:val="center"/>
          </w:tcPr>
          <w:p w14:paraId="026D9185" w14:textId="77777777" w:rsidR="00600499" w:rsidRPr="005B5680" w:rsidRDefault="00600499" w:rsidP="00DC0670">
            <w:pPr>
              <w:jc w:val="center"/>
              <w:rPr>
                <w:noProof/>
                <w:sz w:val="18"/>
              </w:rPr>
            </w:pPr>
            <w:r w:rsidRPr="005B5680">
              <w:rPr>
                <w:noProof/>
                <w:sz w:val="18"/>
              </w:rPr>
              <w:t>From</w:t>
            </w:r>
            <w:r>
              <w:rPr>
                <w:noProof/>
                <w:sz w:val="18"/>
              </w:rPr>
              <w:t xml:space="preserve"> other</w:t>
            </w:r>
            <w:r w:rsidRPr="005B5680">
              <w:rPr>
                <w:noProof/>
                <w:sz w:val="18"/>
              </w:rPr>
              <w:t xml:space="preserve"> third countries</w:t>
            </w:r>
          </w:p>
        </w:tc>
        <w:tc>
          <w:tcPr>
            <w:tcW w:w="1564" w:type="dxa"/>
            <w:vAlign w:val="center"/>
          </w:tcPr>
          <w:p w14:paraId="40744953" w14:textId="77777777" w:rsidR="00600499" w:rsidRPr="005B5680" w:rsidRDefault="00600499" w:rsidP="00DC0670">
            <w:pPr>
              <w:jc w:val="center"/>
              <w:rPr>
                <w:noProof/>
                <w:sz w:val="16"/>
                <w:szCs w:val="16"/>
              </w:rPr>
            </w:pPr>
            <w:r>
              <w:rPr>
                <w:noProof/>
                <w:sz w:val="16"/>
                <w:szCs w:val="16"/>
              </w:rPr>
              <w:t>other assigned revenue</w:t>
            </w:r>
            <w:r w:rsidRPr="005B5680">
              <w:rPr>
                <w:noProof/>
                <w:sz w:val="16"/>
                <w:szCs w:val="16"/>
              </w:rPr>
              <w:t xml:space="preserve"> </w:t>
            </w:r>
          </w:p>
        </w:tc>
      </w:tr>
      <w:tr w:rsidR="00600499" w14:paraId="6AD3C27D" w14:textId="77777777" w:rsidTr="00DC0670">
        <w:tc>
          <w:tcPr>
            <w:tcW w:w="1080" w:type="dxa"/>
            <w:vAlign w:val="center"/>
          </w:tcPr>
          <w:p w14:paraId="1DB32E3F" w14:textId="77777777" w:rsidR="00600499" w:rsidRDefault="00600499" w:rsidP="00DC0670">
            <w:pPr>
              <w:jc w:val="center"/>
              <w:rPr>
                <w:noProof/>
                <w:color w:val="0000FF"/>
              </w:rPr>
            </w:pPr>
            <w:r>
              <w:rPr>
                <w:noProof/>
                <w:color w:val="0000FF"/>
              </w:rPr>
              <w:t>1</w:t>
            </w:r>
          </w:p>
        </w:tc>
        <w:tc>
          <w:tcPr>
            <w:tcW w:w="3960" w:type="dxa"/>
            <w:vAlign w:val="center"/>
          </w:tcPr>
          <w:p w14:paraId="7E01F70E" w14:textId="77777777" w:rsidR="00600499" w:rsidRPr="005828C6" w:rsidRDefault="00600499" w:rsidP="00DC0670">
            <w:pPr>
              <w:spacing w:before="60"/>
              <w:rPr>
                <w:noProof/>
              </w:rPr>
            </w:pPr>
            <w:r>
              <w:rPr>
                <w:noProof/>
              </w:rPr>
              <w:t>02 10 02</w:t>
            </w:r>
          </w:p>
          <w:p w14:paraId="2C6FE1ED" w14:textId="77777777" w:rsidR="00600499" w:rsidRPr="005828C6" w:rsidRDefault="00600499" w:rsidP="00DC0670">
            <w:pPr>
              <w:spacing w:after="60"/>
              <w:rPr>
                <w:noProof/>
              </w:rPr>
            </w:pPr>
          </w:p>
        </w:tc>
        <w:tc>
          <w:tcPr>
            <w:tcW w:w="1080" w:type="dxa"/>
            <w:vAlign w:val="center"/>
          </w:tcPr>
          <w:p w14:paraId="5B3B1517" w14:textId="77777777" w:rsidR="00600499" w:rsidRDefault="00600499" w:rsidP="00DC0670">
            <w:pPr>
              <w:jc w:val="center"/>
              <w:rPr>
                <w:noProof/>
                <w:color w:val="0000FF"/>
              </w:rPr>
            </w:pPr>
            <w:r>
              <w:rPr>
                <w:noProof/>
                <w:sz w:val="18"/>
              </w:rPr>
              <w:t>diff.</w:t>
            </w:r>
          </w:p>
        </w:tc>
        <w:tc>
          <w:tcPr>
            <w:tcW w:w="956" w:type="dxa"/>
            <w:vAlign w:val="center"/>
          </w:tcPr>
          <w:p w14:paraId="04A504F3" w14:textId="77777777" w:rsidR="00600499" w:rsidRPr="00A32156" w:rsidRDefault="00600499" w:rsidP="00DC0670">
            <w:pPr>
              <w:jc w:val="center"/>
              <w:rPr>
                <w:noProof/>
                <w:sz w:val="20"/>
              </w:rPr>
            </w:pPr>
            <w:r w:rsidRPr="00A32156">
              <w:rPr>
                <w:noProof/>
                <w:sz w:val="20"/>
              </w:rPr>
              <w:t>YES</w:t>
            </w:r>
          </w:p>
        </w:tc>
        <w:tc>
          <w:tcPr>
            <w:tcW w:w="1080" w:type="dxa"/>
            <w:vAlign w:val="center"/>
          </w:tcPr>
          <w:p w14:paraId="49BB9FD7" w14:textId="77777777" w:rsidR="00600499" w:rsidRPr="00A32156" w:rsidRDefault="00600499" w:rsidP="00DC0670">
            <w:pPr>
              <w:jc w:val="center"/>
              <w:rPr>
                <w:noProof/>
                <w:sz w:val="20"/>
              </w:rPr>
            </w:pPr>
            <w:r w:rsidRPr="00A32156">
              <w:rPr>
                <w:noProof/>
                <w:sz w:val="20"/>
              </w:rPr>
              <w:t>NO</w:t>
            </w:r>
          </w:p>
        </w:tc>
        <w:tc>
          <w:tcPr>
            <w:tcW w:w="956" w:type="dxa"/>
            <w:vAlign w:val="center"/>
          </w:tcPr>
          <w:p w14:paraId="3DEFD279" w14:textId="77777777" w:rsidR="00600499" w:rsidRPr="00A32156" w:rsidRDefault="00600499" w:rsidP="00DC0670">
            <w:pPr>
              <w:jc w:val="center"/>
              <w:rPr>
                <w:noProof/>
                <w:sz w:val="20"/>
              </w:rPr>
            </w:pPr>
            <w:r w:rsidRPr="00A32156">
              <w:rPr>
                <w:noProof/>
                <w:sz w:val="20"/>
              </w:rPr>
              <w:t>NO</w:t>
            </w:r>
          </w:p>
        </w:tc>
        <w:tc>
          <w:tcPr>
            <w:tcW w:w="1564" w:type="dxa"/>
            <w:vAlign w:val="center"/>
          </w:tcPr>
          <w:p w14:paraId="346A3DDB" w14:textId="77777777" w:rsidR="00600499" w:rsidRPr="00A32156" w:rsidRDefault="00600499" w:rsidP="00DC0670">
            <w:pPr>
              <w:jc w:val="center"/>
              <w:rPr>
                <w:noProof/>
                <w:sz w:val="20"/>
              </w:rPr>
            </w:pPr>
            <w:r w:rsidRPr="00A32156">
              <w:rPr>
                <w:noProof/>
                <w:sz w:val="20"/>
              </w:rPr>
              <w:t>NO</w:t>
            </w:r>
          </w:p>
        </w:tc>
      </w:tr>
    </w:tbl>
    <w:p w14:paraId="58D91DA2" w14:textId="77777777" w:rsidR="00600499" w:rsidRDefault="00600499" w:rsidP="00E37235">
      <w:pPr>
        <w:pStyle w:val="ListBullet1"/>
        <w:rPr>
          <w:noProof/>
        </w:rPr>
      </w:pPr>
      <w:r>
        <w:rPr>
          <w:noProof/>
        </w:rPr>
        <w:t xml:space="preserve">New budget lines requested </w:t>
      </w:r>
    </w:p>
    <w:p w14:paraId="1C52C32B" w14:textId="77777777" w:rsidR="00600499" w:rsidRDefault="00600499" w:rsidP="00600499">
      <w:pPr>
        <w:pStyle w:val="Text1"/>
        <w:rPr>
          <w:i/>
          <w:noProof/>
          <w:sz w:val="20"/>
        </w:rPr>
      </w:pPr>
      <w:r>
        <w:rPr>
          <w:noProof/>
          <w:u w:val="single"/>
        </w:rPr>
        <w:t>In order</w:t>
      </w:r>
      <w:r>
        <w:rPr>
          <w:noProof/>
        </w:rPr>
        <w:t xml:space="preserve"> of multiannual financial framework headings and budget lines.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rsidR="00600499" w14:paraId="399FE610" w14:textId="77777777" w:rsidTr="00DC0670">
        <w:tc>
          <w:tcPr>
            <w:tcW w:w="1080" w:type="dxa"/>
            <w:vMerge w:val="restart"/>
            <w:vAlign w:val="center"/>
          </w:tcPr>
          <w:p w14:paraId="2E161101" w14:textId="77777777" w:rsidR="00600499" w:rsidRDefault="00600499" w:rsidP="00DC0670">
            <w:pPr>
              <w:spacing w:before="60" w:after="60"/>
              <w:jc w:val="center"/>
              <w:rPr>
                <w:noProof/>
              </w:rPr>
            </w:pPr>
            <w:r>
              <w:rPr>
                <w:noProof/>
                <w:sz w:val="18"/>
              </w:rPr>
              <w:t>Heading of multiannual financial framework</w:t>
            </w:r>
          </w:p>
        </w:tc>
        <w:tc>
          <w:tcPr>
            <w:tcW w:w="3960" w:type="dxa"/>
            <w:vAlign w:val="center"/>
          </w:tcPr>
          <w:p w14:paraId="1F9718AD" w14:textId="77777777" w:rsidR="00600499" w:rsidRDefault="00600499" w:rsidP="00DC0670">
            <w:pPr>
              <w:spacing w:before="60" w:after="60"/>
              <w:jc w:val="center"/>
              <w:rPr>
                <w:noProof/>
              </w:rPr>
            </w:pPr>
            <w:r>
              <w:rPr>
                <w:noProof/>
                <w:sz w:val="20"/>
              </w:rPr>
              <w:t>Budget line</w:t>
            </w:r>
          </w:p>
        </w:tc>
        <w:tc>
          <w:tcPr>
            <w:tcW w:w="1080" w:type="dxa"/>
            <w:vAlign w:val="center"/>
          </w:tcPr>
          <w:p w14:paraId="029A5900" w14:textId="77777777" w:rsidR="00600499" w:rsidRDefault="00600499" w:rsidP="00DC0670">
            <w:pPr>
              <w:spacing w:before="60" w:after="60"/>
              <w:jc w:val="center"/>
              <w:rPr>
                <w:noProof/>
              </w:rPr>
            </w:pPr>
            <w:r>
              <w:rPr>
                <w:noProof/>
                <w:sz w:val="18"/>
              </w:rPr>
              <w:t>Type of</w:t>
            </w:r>
            <w:r>
              <w:rPr>
                <w:noProof/>
                <w:sz w:val="22"/>
              </w:rPr>
              <w:br/>
            </w:r>
            <w:r>
              <w:rPr>
                <w:noProof/>
                <w:sz w:val="18"/>
              </w:rPr>
              <w:t>expenditure</w:t>
            </w:r>
          </w:p>
        </w:tc>
        <w:tc>
          <w:tcPr>
            <w:tcW w:w="4556" w:type="dxa"/>
            <w:gridSpan w:val="4"/>
            <w:vAlign w:val="center"/>
          </w:tcPr>
          <w:p w14:paraId="765518A8" w14:textId="77777777" w:rsidR="00600499" w:rsidRDefault="00600499" w:rsidP="00DC0670">
            <w:pPr>
              <w:spacing w:before="60" w:after="60"/>
              <w:jc w:val="center"/>
              <w:rPr>
                <w:noProof/>
              </w:rPr>
            </w:pPr>
            <w:r>
              <w:rPr>
                <w:noProof/>
                <w:sz w:val="20"/>
              </w:rPr>
              <w:t xml:space="preserve">Contribution </w:t>
            </w:r>
          </w:p>
        </w:tc>
      </w:tr>
      <w:tr w:rsidR="00600499" w14:paraId="6C531BA7" w14:textId="77777777" w:rsidTr="00DC0670">
        <w:tc>
          <w:tcPr>
            <w:tcW w:w="1080" w:type="dxa"/>
            <w:vMerge/>
            <w:vAlign w:val="center"/>
          </w:tcPr>
          <w:p w14:paraId="4649B620" w14:textId="77777777" w:rsidR="00600499" w:rsidRDefault="00600499" w:rsidP="00DC0670">
            <w:pPr>
              <w:rPr>
                <w:noProof/>
              </w:rPr>
            </w:pPr>
          </w:p>
        </w:tc>
        <w:tc>
          <w:tcPr>
            <w:tcW w:w="3960" w:type="dxa"/>
            <w:vAlign w:val="center"/>
          </w:tcPr>
          <w:p w14:paraId="14DCB9F3" w14:textId="77777777" w:rsidR="00600499" w:rsidRPr="005828C6" w:rsidRDefault="00600499" w:rsidP="00DC0670">
            <w:pPr>
              <w:rPr>
                <w:noProof/>
              </w:rPr>
            </w:pPr>
            <w:r>
              <w:rPr>
                <w:noProof/>
                <w:sz w:val="20"/>
              </w:rPr>
              <w:t xml:space="preserve">Number </w:t>
            </w:r>
            <w:r>
              <w:rPr>
                <w:noProof/>
                <w:sz w:val="22"/>
              </w:rPr>
              <w:br/>
            </w:r>
          </w:p>
        </w:tc>
        <w:tc>
          <w:tcPr>
            <w:tcW w:w="1080" w:type="dxa"/>
            <w:vAlign w:val="center"/>
          </w:tcPr>
          <w:p w14:paraId="72D66E53" w14:textId="77777777" w:rsidR="00600499" w:rsidRDefault="00600499" w:rsidP="00DC0670">
            <w:pPr>
              <w:jc w:val="center"/>
              <w:rPr>
                <w:noProof/>
              </w:rPr>
            </w:pPr>
            <w:r>
              <w:rPr>
                <w:noProof/>
                <w:sz w:val="18"/>
              </w:rPr>
              <w:t>Diff./non-diff.</w:t>
            </w:r>
          </w:p>
        </w:tc>
        <w:tc>
          <w:tcPr>
            <w:tcW w:w="956" w:type="dxa"/>
            <w:vAlign w:val="center"/>
          </w:tcPr>
          <w:p w14:paraId="27535832" w14:textId="77777777" w:rsidR="00600499" w:rsidRDefault="00600499" w:rsidP="00DC0670">
            <w:pPr>
              <w:jc w:val="center"/>
              <w:rPr>
                <w:noProof/>
                <w:sz w:val="18"/>
              </w:rPr>
            </w:pPr>
            <w:r>
              <w:rPr>
                <w:noProof/>
                <w:sz w:val="18"/>
              </w:rPr>
              <w:t>from EFTA countries</w:t>
            </w:r>
          </w:p>
        </w:tc>
        <w:tc>
          <w:tcPr>
            <w:tcW w:w="1080" w:type="dxa"/>
            <w:vAlign w:val="center"/>
          </w:tcPr>
          <w:p w14:paraId="436B3B53" w14:textId="77777777" w:rsidR="00600499" w:rsidRPr="005B5680" w:rsidRDefault="00600499" w:rsidP="00DC0670">
            <w:pPr>
              <w:jc w:val="center"/>
              <w:rPr>
                <w:noProof/>
                <w:sz w:val="18"/>
              </w:rPr>
            </w:pPr>
            <w:r w:rsidRPr="005B5680">
              <w:rPr>
                <w:noProof/>
                <w:sz w:val="18"/>
              </w:rPr>
              <w:t>from candidate countries</w:t>
            </w:r>
            <w:r>
              <w:rPr>
                <w:noProof/>
                <w:sz w:val="18"/>
              </w:rPr>
              <w:t xml:space="preserve"> and potential candidates</w:t>
            </w:r>
          </w:p>
        </w:tc>
        <w:tc>
          <w:tcPr>
            <w:tcW w:w="956" w:type="dxa"/>
            <w:vAlign w:val="center"/>
          </w:tcPr>
          <w:p w14:paraId="03CFABBC" w14:textId="77777777" w:rsidR="00600499" w:rsidRPr="005B5680" w:rsidRDefault="00600499" w:rsidP="00DC0670">
            <w:pPr>
              <w:jc w:val="center"/>
              <w:rPr>
                <w:noProof/>
                <w:sz w:val="18"/>
              </w:rPr>
            </w:pPr>
            <w:r>
              <w:rPr>
                <w:noProof/>
                <w:sz w:val="18"/>
              </w:rPr>
              <w:t>f</w:t>
            </w:r>
            <w:r w:rsidRPr="005B5680">
              <w:rPr>
                <w:noProof/>
                <w:sz w:val="18"/>
              </w:rPr>
              <w:t xml:space="preserve">rom </w:t>
            </w:r>
            <w:r>
              <w:rPr>
                <w:noProof/>
                <w:sz w:val="18"/>
              </w:rPr>
              <w:t xml:space="preserve">other </w:t>
            </w:r>
            <w:r w:rsidRPr="005B5680">
              <w:rPr>
                <w:noProof/>
                <w:sz w:val="18"/>
              </w:rPr>
              <w:t>third countries</w:t>
            </w:r>
          </w:p>
        </w:tc>
        <w:tc>
          <w:tcPr>
            <w:tcW w:w="1564" w:type="dxa"/>
            <w:vAlign w:val="center"/>
          </w:tcPr>
          <w:p w14:paraId="50FBF0D6" w14:textId="77777777" w:rsidR="00600499" w:rsidRPr="005B5680" w:rsidRDefault="00600499" w:rsidP="00DC0670">
            <w:pPr>
              <w:jc w:val="center"/>
              <w:rPr>
                <w:noProof/>
              </w:rPr>
            </w:pPr>
            <w:r>
              <w:rPr>
                <w:noProof/>
                <w:sz w:val="16"/>
              </w:rPr>
              <w:t>other assigned revenue</w:t>
            </w:r>
            <w:r w:rsidRPr="005B5680">
              <w:rPr>
                <w:noProof/>
                <w:sz w:val="16"/>
              </w:rPr>
              <w:t xml:space="preserve"> </w:t>
            </w:r>
          </w:p>
        </w:tc>
      </w:tr>
      <w:tr w:rsidR="00600499" w14:paraId="6625BDD4" w14:textId="77777777" w:rsidTr="00DC0670">
        <w:tc>
          <w:tcPr>
            <w:tcW w:w="1080" w:type="dxa"/>
            <w:vAlign w:val="center"/>
          </w:tcPr>
          <w:p w14:paraId="4B58D4AC" w14:textId="77777777" w:rsidR="00600499" w:rsidRDefault="00600499" w:rsidP="00DC0670">
            <w:pPr>
              <w:jc w:val="center"/>
              <w:rPr>
                <w:noProof/>
                <w:color w:val="0000FF"/>
              </w:rPr>
            </w:pPr>
          </w:p>
        </w:tc>
        <w:tc>
          <w:tcPr>
            <w:tcW w:w="3960" w:type="dxa"/>
            <w:vAlign w:val="center"/>
          </w:tcPr>
          <w:p w14:paraId="29E39FD4" w14:textId="77777777" w:rsidR="00600499" w:rsidRPr="005828C6" w:rsidRDefault="00600499" w:rsidP="00DC0670">
            <w:pPr>
              <w:spacing w:before="60"/>
              <w:rPr>
                <w:noProof/>
              </w:rPr>
            </w:pPr>
            <w:r w:rsidRPr="005828C6">
              <w:rPr>
                <w:noProof/>
              </w:rPr>
              <w:t>[XX.YY.YY.YY]</w:t>
            </w:r>
          </w:p>
          <w:p w14:paraId="1C775D96" w14:textId="77777777" w:rsidR="00600499" w:rsidRDefault="00600499" w:rsidP="00DC0670">
            <w:pPr>
              <w:spacing w:after="60"/>
              <w:rPr>
                <w:noProof/>
              </w:rPr>
            </w:pPr>
          </w:p>
        </w:tc>
        <w:tc>
          <w:tcPr>
            <w:tcW w:w="1080" w:type="dxa"/>
            <w:vAlign w:val="center"/>
          </w:tcPr>
          <w:p w14:paraId="2A4E079B" w14:textId="77777777" w:rsidR="00600499" w:rsidRDefault="00600499" w:rsidP="00DC0670">
            <w:pPr>
              <w:jc w:val="center"/>
              <w:rPr>
                <w:noProof/>
                <w:color w:val="0000FF"/>
              </w:rPr>
            </w:pPr>
          </w:p>
        </w:tc>
        <w:tc>
          <w:tcPr>
            <w:tcW w:w="956" w:type="dxa"/>
            <w:vAlign w:val="center"/>
          </w:tcPr>
          <w:p w14:paraId="0E867D0F" w14:textId="77777777" w:rsidR="00600499" w:rsidRPr="00A32156" w:rsidRDefault="00600499" w:rsidP="00DC0670">
            <w:pPr>
              <w:jc w:val="center"/>
              <w:rPr>
                <w:noProof/>
                <w:sz w:val="20"/>
              </w:rPr>
            </w:pPr>
            <w:r w:rsidRPr="00A32156">
              <w:rPr>
                <w:noProof/>
                <w:sz w:val="20"/>
              </w:rPr>
              <w:t>YES/NO</w:t>
            </w:r>
          </w:p>
        </w:tc>
        <w:tc>
          <w:tcPr>
            <w:tcW w:w="1080" w:type="dxa"/>
            <w:vAlign w:val="center"/>
          </w:tcPr>
          <w:p w14:paraId="58786152" w14:textId="77777777" w:rsidR="00600499" w:rsidRPr="00A32156" w:rsidRDefault="00600499" w:rsidP="00DC0670">
            <w:pPr>
              <w:jc w:val="center"/>
              <w:rPr>
                <w:noProof/>
                <w:color w:val="0000FF"/>
                <w:sz w:val="20"/>
              </w:rPr>
            </w:pPr>
            <w:r w:rsidRPr="00A32156">
              <w:rPr>
                <w:noProof/>
                <w:sz w:val="20"/>
              </w:rPr>
              <w:t>YES/NO</w:t>
            </w:r>
          </w:p>
        </w:tc>
        <w:tc>
          <w:tcPr>
            <w:tcW w:w="956" w:type="dxa"/>
            <w:vAlign w:val="center"/>
          </w:tcPr>
          <w:p w14:paraId="1D3A5B76" w14:textId="77777777" w:rsidR="00600499" w:rsidRPr="00A32156" w:rsidRDefault="00600499" w:rsidP="00DC0670">
            <w:pPr>
              <w:jc w:val="center"/>
              <w:rPr>
                <w:noProof/>
                <w:color w:val="0000FF"/>
                <w:sz w:val="20"/>
              </w:rPr>
            </w:pPr>
            <w:r w:rsidRPr="00A32156">
              <w:rPr>
                <w:noProof/>
                <w:sz w:val="20"/>
              </w:rPr>
              <w:t>YES/NO</w:t>
            </w:r>
          </w:p>
        </w:tc>
        <w:tc>
          <w:tcPr>
            <w:tcW w:w="1564" w:type="dxa"/>
            <w:vAlign w:val="center"/>
          </w:tcPr>
          <w:p w14:paraId="62D37B15" w14:textId="77777777" w:rsidR="00600499" w:rsidRPr="00A32156" w:rsidRDefault="00600499" w:rsidP="00DC0670">
            <w:pPr>
              <w:jc w:val="center"/>
              <w:rPr>
                <w:noProof/>
                <w:sz w:val="20"/>
              </w:rPr>
            </w:pPr>
            <w:r w:rsidRPr="00A32156">
              <w:rPr>
                <w:noProof/>
                <w:sz w:val="20"/>
              </w:rPr>
              <w:t>YES/NO</w:t>
            </w:r>
          </w:p>
        </w:tc>
      </w:tr>
    </w:tbl>
    <w:p w14:paraId="50F048C1" w14:textId="77777777" w:rsidR="00600499" w:rsidRDefault="00600499" w:rsidP="00600499">
      <w:pPr>
        <w:rPr>
          <w:noProof/>
        </w:rPr>
        <w:sectPr w:rsidR="00600499" w:rsidSect="00F530FA">
          <w:pgSz w:w="12240" w:h="15840"/>
          <w:pgMar w:top="794" w:right="907" w:bottom="851" w:left="1361" w:header="510" w:footer="454" w:gutter="0"/>
          <w:cols w:space="720"/>
          <w:docGrid w:linePitch="326"/>
        </w:sectPr>
      </w:pPr>
    </w:p>
    <w:p w14:paraId="2D23ECAE" w14:textId="77777777" w:rsidR="00600499" w:rsidRDefault="00600499" w:rsidP="00600499">
      <w:pPr>
        <w:pStyle w:val="ManualHeading2"/>
        <w:rPr>
          <w:bCs/>
          <w:noProof/>
          <w:szCs w:val="24"/>
        </w:rPr>
      </w:pPr>
      <w:bookmarkStart w:id="56" w:name="_Toc514938685"/>
      <w:bookmarkStart w:id="57" w:name="_Toc520485444"/>
      <w:r w:rsidRPr="006D222F">
        <w:rPr>
          <w:noProof/>
        </w:rPr>
        <w:t>3.2.</w:t>
      </w:r>
      <w:r w:rsidRPr="006D222F">
        <w:rPr>
          <w:noProof/>
        </w:rPr>
        <w:tab/>
      </w:r>
      <w:r>
        <w:rPr>
          <w:noProof/>
        </w:rPr>
        <w:t>Estimated impact on expenditure</w:t>
      </w:r>
      <w:bookmarkEnd w:id="56"/>
      <w:bookmarkEnd w:id="57"/>
      <w:r>
        <w:rPr>
          <w:noProof/>
        </w:rPr>
        <w:t xml:space="preserve"> </w:t>
      </w:r>
    </w:p>
    <w:p w14:paraId="563B9D83" w14:textId="77777777" w:rsidR="00600499" w:rsidRDefault="00600499" w:rsidP="00600499">
      <w:pPr>
        <w:pStyle w:val="ManualHeading3"/>
        <w:rPr>
          <w:bCs/>
          <w:noProof/>
          <w:szCs w:val="24"/>
        </w:rPr>
      </w:pPr>
      <w:bookmarkStart w:id="58" w:name="_Toc514938686"/>
      <w:bookmarkStart w:id="59" w:name="_Toc520485445"/>
      <w:r w:rsidRPr="006D222F">
        <w:rPr>
          <w:noProof/>
        </w:rPr>
        <w:t>3.2.1.</w:t>
      </w:r>
      <w:r w:rsidRPr="006D222F">
        <w:rPr>
          <w:noProof/>
        </w:rPr>
        <w:tab/>
      </w:r>
      <w:r>
        <w:rPr>
          <w:noProof/>
        </w:rPr>
        <w:t>Summary of estimated impact on expenditure</w:t>
      </w:r>
      <w:bookmarkEnd w:id="58"/>
      <w:bookmarkEnd w:id="59"/>
      <w:r>
        <w:rPr>
          <w:rStyle w:val="FootnoteReference"/>
          <w:noProof/>
        </w:rPr>
        <w:footnoteReference w:id="57"/>
      </w:r>
    </w:p>
    <w:p w14:paraId="48167D4F" w14:textId="77777777" w:rsidR="00600499" w:rsidRDefault="00600499" w:rsidP="00600499">
      <w:pPr>
        <w:jc w:val="right"/>
        <w:rPr>
          <w:noProof/>
          <w:sz w:val="20"/>
        </w:rPr>
      </w:pPr>
      <w:r>
        <w:rPr>
          <w:noProof/>
          <w:sz w:val="20"/>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
        <w:gridCol w:w="3708"/>
        <w:gridCol w:w="1036"/>
        <w:gridCol w:w="467"/>
        <w:gridCol w:w="591"/>
        <w:gridCol w:w="22"/>
        <w:gridCol w:w="846"/>
        <w:gridCol w:w="868"/>
        <w:gridCol w:w="868"/>
        <w:gridCol w:w="1200"/>
        <w:gridCol w:w="4035"/>
        <w:gridCol w:w="41"/>
      </w:tblGrid>
      <w:tr w:rsidR="00600499" w14:paraId="290EC273" w14:textId="77777777" w:rsidTr="00B72F92">
        <w:trPr>
          <w:gridBefore w:val="1"/>
          <w:gridAfter w:val="1"/>
          <w:wBefore w:w="34" w:type="dxa"/>
          <w:wAfter w:w="41" w:type="dxa"/>
          <w:jc w:val="center"/>
        </w:trPr>
        <w:tc>
          <w:tcPr>
            <w:tcW w:w="4744" w:type="dxa"/>
            <w:gridSpan w:val="2"/>
            <w:shd w:val="thinDiagStripe" w:color="C0C0C0" w:fill="auto"/>
            <w:vAlign w:val="center"/>
          </w:tcPr>
          <w:p w14:paraId="21D22DEC" w14:textId="77777777" w:rsidR="00600499" w:rsidRDefault="00600499" w:rsidP="00DC0670">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1080" w:type="dxa"/>
            <w:gridSpan w:val="3"/>
            <w:vAlign w:val="center"/>
          </w:tcPr>
          <w:p w14:paraId="173871A1" w14:textId="77777777" w:rsidR="00600499" w:rsidRPr="005828C6" w:rsidRDefault="00600499" w:rsidP="00DC0670">
            <w:pPr>
              <w:spacing w:before="60" w:after="60"/>
              <w:jc w:val="center"/>
              <w:rPr>
                <w:noProof/>
              </w:rPr>
            </w:pPr>
            <w:r>
              <w:rPr>
                <w:noProof/>
                <w:sz w:val="22"/>
              </w:rPr>
              <w:t>1</w:t>
            </w:r>
          </w:p>
        </w:tc>
        <w:tc>
          <w:tcPr>
            <w:tcW w:w="7817" w:type="dxa"/>
            <w:gridSpan w:val="5"/>
            <w:vAlign w:val="center"/>
          </w:tcPr>
          <w:p w14:paraId="6B6BFE7C" w14:textId="77777777" w:rsidR="00600499" w:rsidRPr="005828C6" w:rsidRDefault="00600499" w:rsidP="00DC0670">
            <w:pPr>
              <w:spacing w:before="60" w:after="60"/>
              <w:rPr>
                <w:noProof/>
              </w:rPr>
            </w:pPr>
            <w:r w:rsidRPr="00530C5B">
              <w:rPr>
                <w:noProof/>
              </w:rPr>
              <w:t>Single Market, Innovation and Digital</w:t>
            </w:r>
          </w:p>
        </w:tc>
      </w:tr>
      <w:tr w:rsidR="00B72F92" w14:paraId="27A8D559" w14:textId="77777777" w:rsidTr="003B22EF">
        <w:tblPrEx>
          <w:jc w:val="left"/>
        </w:tblPrEx>
        <w:tc>
          <w:tcPr>
            <w:tcW w:w="3742" w:type="dxa"/>
            <w:gridSpan w:val="2"/>
            <w:vAlign w:val="center"/>
          </w:tcPr>
          <w:p w14:paraId="364682BB" w14:textId="77777777" w:rsidR="00B72F92" w:rsidRDefault="00B72F92" w:rsidP="00B72F92">
            <w:pPr>
              <w:jc w:val="center"/>
              <w:rPr>
                <w:noProof/>
              </w:rPr>
            </w:pPr>
            <w:r>
              <w:rPr>
                <w:noProof/>
                <w:sz w:val="22"/>
              </w:rPr>
              <w:t>European Maritime Safety Agency (EMSA)</w:t>
            </w:r>
          </w:p>
        </w:tc>
        <w:tc>
          <w:tcPr>
            <w:tcW w:w="1503" w:type="dxa"/>
            <w:gridSpan w:val="2"/>
          </w:tcPr>
          <w:p w14:paraId="4A120850" w14:textId="77777777" w:rsidR="00B72F92" w:rsidRDefault="00B72F92" w:rsidP="00B72F92">
            <w:pPr>
              <w:rPr>
                <w:noProof/>
                <w:sz w:val="20"/>
              </w:rPr>
            </w:pPr>
          </w:p>
        </w:tc>
        <w:tc>
          <w:tcPr>
            <w:tcW w:w="591" w:type="dxa"/>
          </w:tcPr>
          <w:p w14:paraId="30D5D0BC" w14:textId="77777777" w:rsidR="00B72F92" w:rsidRDefault="00B72F92" w:rsidP="00B72F92">
            <w:pPr>
              <w:jc w:val="center"/>
              <w:rPr>
                <w:noProof/>
                <w:sz w:val="20"/>
              </w:rPr>
            </w:pPr>
          </w:p>
        </w:tc>
        <w:tc>
          <w:tcPr>
            <w:tcW w:w="868" w:type="dxa"/>
            <w:gridSpan w:val="2"/>
            <w:vAlign w:val="center"/>
          </w:tcPr>
          <w:p w14:paraId="15B596D0" w14:textId="77777777" w:rsidR="00B72F92" w:rsidRDefault="00B72F92" w:rsidP="00B72F92">
            <w:pPr>
              <w:jc w:val="center"/>
              <w:rPr>
                <w:noProof/>
                <w:sz w:val="20"/>
              </w:rPr>
            </w:pPr>
            <w:r>
              <w:rPr>
                <w:noProof/>
                <w:sz w:val="20"/>
              </w:rPr>
              <w:t>Year</w:t>
            </w:r>
            <w:r>
              <w:rPr>
                <w:noProof/>
                <w:sz w:val="22"/>
              </w:rPr>
              <w:br/>
            </w:r>
            <w:r>
              <w:rPr>
                <w:b/>
                <w:noProof/>
                <w:sz w:val="20"/>
              </w:rPr>
              <w:t>2025</w:t>
            </w:r>
          </w:p>
        </w:tc>
        <w:tc>
          <w:tcPr>
            <w:tcW w:w="868" w:type="dxa"/>
            <w:vAlign w:val="center"/>
          </w:tcPr>
          <w:p w14:paraId="72676D38" w14:textId="77777777" w:rsidR="00B72F92" w:rsidRDefault="00B72F92" w:rsidP="00B72F92">
            <w:pPr>
              <w:jc w:val="center"/>
              <w:rPr>
                <w:noProof/>
                <w:sz w:val="20"/>
              </w:rPr>
            </w:pPr>
            <w:r>
              <w:rPr>
                <w:noProof/>
                <w:sz w:val="20"/>
              </w:rPr>
              <w:t>Year</w:t>
            </w:r>
            <w:r>
              <w:rPr>
                <w:noProof/>
                <w:sz w:val="22"/>
              </w:rPr>
              <w:br/>
            </w:r>
            <w:r>
              <w:rPr>
                <w:b/>
                <w:noProof/>
                <w:sz w:val="20"/>
              </w:rPr>
              <w:t>2026</w:t>
            </w:r>
          </w:p>
        </w:tc>
        <w:tc>
          <w:tcPr>
            <w:tcW w:w="868" w:type="dxa"/>
            <w:vAlign w:val="center"/>
          </w:tcPr>
          <w:p w14:paraId="04D5FE60" w14:textId="77777777" w:rsidR="00B72F92" w:rsidRDefault="00B72F92" w:rsidP="00B72F92">
            <w:pPr>
              <w:jc w:val="center"/>
              <w:rPr>
                <w:noProof/>
                <w:sz w:val="20"/>
              </w:rPr>
            </w:pPr>
            <w:r>
              <w:rPr>
                <w:noProof/>
                <w:sz w:val="20"/>
              </w:rPr>
              <w:t>Year</w:t>
            </w:r>
            <w:r>
              <w:rPr>
                <w:noProof/>
                <w:sz w:val="22"/>
              </w:rPr>
              <w:br/>
            </w:r>
            <w:r>
              <w:rPr>
                <w:b/>
                <w:noProof/>
                <w:sz w:val="20"/>
              </w:rPr>
              <w:t>2027</w:t>
            </w:r>
          </w:p>
        </w:tc>
        <w:tc>
          <w:tcPr>
            <w:tcW w:w="1200" w:type="dxa"/>
          </w:tcPr>
          <w:p w14:paraId="208C5443" w14:textId="77777777" w:rsidR="00B72F92" w:rsidRDefault="00B72F92" w:rsidP="00B72F92">
            <w:pPr>
              <w:jc w:val="center"/>
              <w:rPr>
                <w:noProof/>
                <w:sz w:val="20"/>
              </w:rPr>
            </w:pPr>
            <w:r w:rsidRPr="002A4CF4">
              <w:rPr>
                <w:noProof/>
                <w:sz w:val="20"/>
              </w:rPr>
              <w:t>Year</w:t>
            </w:r>
            <w:r w:rsidRPr="002A4CF4">
              <w:rPr>
                <w:noProof/>
                <w:sz w:val="22"/>
              </w:rPr>
              <w:br/>
            </w:r>
            <w:r>
              <w:rPr>
                <w:b/>
                <w:noProof/>
                <w:sz w:val="20"/>
              </w:rPr>
              <w:t>2028-2034</w:t>
            </w:r>
          </w:p>
        </w:tc>
        <w:tc>
          <w:tcPr>
            <w:tcW w:w="4076" w:type="dxa"/>
            <w:gridSpan w:val="2"/>
            <w:vAlign w:val="center"/>
          </w:tcPr>
          <w:p w14:paraId="42894856" w14:textId="77777777" w:rsidR="00B72F92" w:rsidRDefault="00B72F92" w:rsidP="00B72F92">
            <w:pPr>
              <w:jc w:val="center"/>
              <w:rPr>
                <w:b/>
                <w:noProof/>
                <w:sz w:val="20"/>
              </w:rPr>
            </w:pPr>
            <w:r>
              <w:rPr>
                <w:b/>
                <w:noProof/>
                <w:sz w:val="20"/>
              </w:rPr>
              <w:t>TOTAL</w:t>
            </w:r>
          </w:p>
        </w:tc>
      </w:tr>
      <w:tr w:rsidR="00B72F92" w14:paraId="3DF3EC18" w14:textId="77777777" w:rsidTr="003B22EF">
        <w:tblPrEx>
          <w:jc w:val="left"/>
        </w:tblPrEx>
        <w:trPr>
          <w:trHeight w:val="277"/>
        </w:trPr>
        <w:tc>
          <w:tcPr>
            <w:tcW w:w="3742" w:type="dxa"/>
            <w:gridSpan w:val="2"/>
            <w:vMerge w:val="restart"/>
            <w:vAlign w:val="center"/>
          </w:tcPr>
          <w:p w14:paraId="130D8376" w14:textId="77777777" w:rsidR="00B72F92" w:rsidRPr="005828C6" w:rsidRDefault="00B72F92" w:rsidP="00B72F92">
            <w:pPr>
              <w:rPr>
                <w:noProof/>
              </w:rPr>
            </w:pPr>
            <w:r>
              <w:rPr>
                <w:noProof/>
                <w:sz w:val="20"/>
              </w:rPr>
              <w:t>Title 1:</w:t>
            </w:r>
          </w:p>
        </w:tc>
        <w:tc>
          <w:tcPr>
            <w:tcW w:w="1503" w:type="dxa"/>
            <w:gridSpan w:val="2"/>
            <w:vAlign w:val="center"/>
          </w:tcPr>
          <w:p w14:paraId="08790E54" w14:textId="77777777" w:rsidR="00B72F92" w:rsidRDefault="00B72F92" w:rsidP="00B72F92">
            <w:pPr>
              <w:spacing w:before="20" w:after="20"/>
              <w:rPr>
                <w:noProof/>
              </w:rPr>
            </w:pPr>
            <w:r>
              <w:rPr>
                <w:noProof/>
                <w:sz w:val="18"/>
              </w:rPr>
              <w:t>Commitments</w:t>
            </w:r>
          </w:p>
        </w:tc>
        <w:tc>
          <w:tcPr>
            <w:tcW w:w="591" w:type="dxa"/>
            <w:vAlign w:val="center"/>
          </w:tcPr>
          <w:p w14:paraId="2727526E" w14:textId="77777777" w:rsidR="00B72F92" w:rsidRDefault="00B72F92" w:rsidP="00B72F92">
            <w:pPr>
              <w:spacing w:before="20" w:after="20"/>
              <w:jc w:val="center"/>
              <w:rPr>
                <w:noProof/>
                <w:sz w:val="14"/>
              </w:rPr>
            </w:pPr>
            <w:r>
              <w:rPr>
                <w:noProof/>
                <w:sz w:val="14"/>
              </w:rPr>
              <w:t>(1)</w:t>
            </w:r>
          </w:p>
        </w:tc>
        <w:tc>
          <w:tcPr>
            <w:tcW w:w="868" w:type="dxa"/>
            <w:gridSpan w:val="2"/>
          </w:tcPr>
          <w:p w14:paraId="2A921C5B" w14:textId="77777777" w:rsidR="00B72F92" w:rsidRPr="00760702" w:rsidRDefault="00B72F92" w:rsidP="00B72F92">
            <w:pPr>
              <w:spacing w:before="20" w:after="20"/>
              <w:jc w:val="right"/>
              <w:rPr>
                <w:noProof/>
                <w:sz w:val="20"/>
                <w:szCs w:val="20"/>
              </w:rPr>
            </w:pPr>
            <w:r>
              <w:rPr>
                <w:noProof/>
                <w:sz w:val="20"/>
                <w:szCs w:val="20"/>
              </w:rPr>
              <w:t>1.727</w:t>
            </w:r>
          </w:p>
        </w:tc>
        <w:tc>
          <w:tcPr>
            <w:tcW w:w="868" w:type="dxa"/>
          </w:tcPr>
          <w:p w14:paraId="42569318" w14:textId="77777777" w:rsidR="00B72F92" w:rsidRPr="00760702" w:rsidRDefault="00B72F92" w:rsidP="00B72F92">
            <w:pPr>
              <w:spacing w:before="20" w:after="20"/>
              <w:jc w:val="right"/>
              <w:rPr>
                <w:noProof/>
                <w:sz w:val="20"/>
                <w:szCs w:val="20"/>
              </w:rPr>
            </w:pPr>
            <w:r w:rsidRPr="000E7351">
              <w:rPr>
                <w:noProof/>
                <w:sz w:val="20"/>
                <w:szCs w:val="20"/>
              </w:rPr>
              <w:t>4.992</w:t>
            </w:r>
          </w:p>
        </w:tc>
        <w:tc>
          <w:tcPr>
            <w:tcW w:w="868" w:type="dxa"/>
          </w:tcPr>
          <w:p w14:paraId="0E55D6DD" w14:textId="77777777" w:rsidR="00B72F92" w:rsidRPr="00760702" w:rsidRDefault="00B72F92" w:rsidP="00B72F92">
            <w:pPr>
              <w:spacing w:before="20" w:after="20"/>
              <w:jc w:val="right"/>
              <w:rPr>
                <w:noProof/>
                <w:sz w:val="20"/>
                <w:szCs w:val="20"/>
              </w:rPr>
            </w:pPr>
            <w:r w:rsidRPr="000E7351">
              <w:rPr>
                <w:noProof/>
                <w:sz w:val="20"/>
                <w:szCs w:val="20"/>
              </w:rPr>
              <w:t>5.163</w:t>
            </w:r>
          </w:p>
        </w:tc>
        <w:tc>
          <w:tcPr>
            <w:tcW w:w="1200" w:type="dxa"/>
          </w:tcPr>
          <w:p w14:paraId="0E209948" w14:textId="77777777" w:rsidR="00B72F92" w:rsidRPr="00760702" w:rsidRDefault="00B72F92" w:rsidP="00B72F92">
            <w:pPr>
              <w:spacing w:before="20" w:after="20"/>
              <w:jc w:val="right"/>
              <w:rPr>
                <w:noProof/>
                <w:sz w:val="20"/>
                <w:szCs w:val="20"/>
              </w:rPr>
            </w:pPr>
            <w:r w:rsidRPr="000E7351">
              <w:rPr>
                <w:noProof/>
                <w:sz w:val="20"/>
                <w:szCs w:val="20"/>
              </w:rPr>
              <w:t>43.323</w:t>
            </w:r>
          </w:p>
        </w:tc>
        <w:tc>
          <w:tcPr>
            <w:tcW w:w="4076" w:type="dxa"/>
            <w:gridSpan w:val="2"/>
          </w:tcPr>
          <w:p w14:paraId="13A50D17" w14:textId="77777777" w:rsidR="00B72F92" w:rsidRPr="00760702" w:rsidRDefault="00B72F92" w:rsidP="00B72F92">
            <w:pPr>
              <w:spacing w:before="20" w:after="20"/>
              <w:jc w:val="right"/>
              <w:rPr>
                <w:b/>
                <w:noProof/>
                <w:sz w:val="20"/>
                <w:szCs w:val="20"/>
              </w:rPr>
            </w:pPr>
            <w:r>
              <w:rPr>
                <w:b/>
                <w:noProof/>
                <w:sz w:val="20"/>
                <w:szCs w:val="20"/>
              </w:rPr>
              <w:t>55.205</w:t>
            </w:r>
          </w:p>
        </w:tc>
      </w:tr>
      <w:tr w:rsidR="00B72F92" w14:paraId="2562DAB3" w14:textId="77777777" w:rsidTr="003B22EF">
        <w:tblPrEx>
          <w:jc w:val="left"/>
        </w:tblPrEx>
        <w:tc>
          <w:tcPr>
            <w:tcW w:w="3742" w:type="dxa"/>
            <w:gridSpan w:val="2"/>
            <w:vMerge/>
            <w:vAlign w:val="center"/>
          </w:tcPr>
          <w:p w14:paraId="51B52C29" w14:textId="77777777" w:rsidR="00B72F92" w:rsidRPr="005828C6" w:rsidRDefault="00B72F92" w:rsidP="00B72F92">
            <w:pPr>
              <w:rPr>
                <w:noProof/>
              </w:rPr>
            </w:pPr>
          </w:p>
        </w:tc>
        <w:tc>
          <w:tcPr>
            <w:tcW w:w="1503" w:type="dxa"/>
            <w:gridSpan w:val="2"/>
            <w:vAlign w:val="center"/>
          </w:tcPr>
          <w:p w14:paraId="2E6BF9C3" w14:textId="77777777" w:rsidR="00B72F92" w:rsidRDefault="00B72F92" w:rsidP="00B72F92">
            <w:pPr>
              <w:spacing w:before="20" w:after="20"/>
              <w:rPr>
                <w:noProof/>
                <w:sz w:val="18"/>
              </w:rPr>
            </w:pPr>
            <w:r>
              <w:rPr>
                <w:noProof/>
                <w:sz w:val="18"/>
              </w:rPr>
              <w:t>Payments</w:t>
            </w:r>
          </w:p>
        </w:tc>
        <w:tc>
          <w:tcPr>
            <w:tcW w:w="591" w:type="dxa"/>
            <w:vAlign w:val="center"/>
          </w:tcPr>
          <w:p w14:paraId="7F5971A5" w14:textId="77777777" w:rsidR="00B72F92" w:rsidRDefault="00B72F92" w:rsidP="00B72F92">
            <w:pPr>
              <w:spacing w:before="20" w:after="20"/>
              <w:jc w:val="center"/>
              <w:rPr>
                <w:noProof/>
                <w:sz w:val="14"/>
              </w:rPr>
            </w:pPr>
            <w:r>
              <w:rPr>
                <w:noProof/>
                <w:sz w:val="14"/>
              </w:rPr>
              <w:t>(2)</w:t>
            </w:r>
          </w:p>
        </w:tc>
        <w:tc>
          <w:tcPr>
            <w:tcW w:w="868" w:type="dxa"/>
            <w:gridSpan w:val="2"/>
          </w:tcPr>
          <w:p w14:paraId="2569D5E8" w14:textId="77777777" w:rsidR="00B72F92" w:rsidRDefault="00B72F92" w:rsidP="00B72F92">
            <w:pPr>
              <w:spacing w:before="20" w:after="20"/>
              <w:jc w:val="right"/>
              <w:rPr>
                <w:noProof/>
                <w:sz w:val="20"/>
              </w:rPr>
            </w:pPr>
            <w:r>
              <w:rPr>
                <w:noProof/>
                <w:sz w:val="20"/>
                <w:szCs w:val="20"/>
              </w:rPr>
              <w:t>1.727</w:t>
            </w:r>
          </w:p>
        </w:tc>
        <w:tc>
          <w:tcPr>
            <w:tcW w:w="868" w:type="dxa"/>
          </w:tcPr>
          <w:p w14:paraId="683FEEA2" w14:textId="77777777" w:rsidR="00B72F92" w:rsidRDefault="00B72F92" w:rsidP="00B72F92">
            <w:pPr>
              <w:spacing w:before="20" w:after="20"/>
              <w:jc w:val="right"/>
              <w:rPr>
                <w:noProof/>
                <w:sz w:val="20"/>
              </w:rPr>
            </w:pPr>
            <w:r w:rsidRPr="00407155">
              <w:rPr>
                <w:noProof/>
                <w:sz w:val="20"/>
                <w:szCs w:val="20"/>
              </w:rPr>
              <w:t>4.992</w:t>
            </w:r>
          </w:p>
        </w:tc>
        <w:tc>
          <w:tcPr>
            <w:tcW w:w="868" w:type="dxa"/>
          </w:tcPr>
          <w:p w14:paraId="77B2B662" w14:textId="77777777" w:rsidR="00B72F92" w:rsidRDefault="00B72F92" w:rsidP="00B72F92">
            <w:pPr>
              <w:spacing w:before="20" w:after="20"/>
              <w:jc w:val="right"/>
              <w:rPr>
                <w:noProof/>
                <w:sz w:val="20"/>
              </w:rPr>
            </w:pPr>
            <w:r w:rsidRPr="00407155">
              <w:rPr>
                <w:noProof/>
                <w:sz w:val="20"/>
                <w:szCs w:val="20"/>
              </w:rPr>
              <w:t>5.163</w:t>
            </w:r>
          </w:p>
        </w:tc>
        <w:tc>
          <w:tcPr>
            <w:tcW w:w="1200" w:type="dxa"/>
          </w:tcPr>
          <w:p w14:paraId="1E0BBF45" w14:textId="77777777" w:rsidR="00B72F92" w:rsidRDefault="00B72F92" w:rsidP="00B72F92">
            <w:pPr>
              <w:spacing w:before="20" w:after="20"/>
              <w:jc w:val="right"/>
              <w:rPr>
                <w:noProof/>
                <w:sz w:val="20"/>
              </w:rPr>
            </w:pPr>
            <w:r w:rsidRPr="00407155">
              <w:rPr>
                <w:noProof/>
                <w:sz w:val="20"/>
                <w:szCs w:val="20"/>
              </w:rPr>
              <w:t>43.323</w:t>
            </w:r>
          </w:p>
        </w:tc>
        <w:tc>
          <w:tcPr>
            <w:tcW w:w="4076" w:type="dxa"/>
            <w:gridSpan w:val="2"/>
          </w:tcPr>
          <w:p w14:paraId="43B582AC" w14:textId="77777777" w:rsidR="00B72F92" w:rsidRDefault="00B72F92" w:rsidP="00B72F92">
            <w:pPr>
              <w:spacing w:before="20" w:after="20"/>
              <w:jc w:val="right"/>
              <w:rPr>
                <w:b/>
                <w:noProof/>
                <w:sz w:val="20"/>
              </w:rPr>
            </w:pPr>
            <w:r>
              <w:rPr>
                <w:b/>
                <w:noProof/>
                <w:sz w:val="20"/>
                <w:szCs w:val="20"/>
              </w:rPr>
              <w:t>55.205</w:t>
            </w:r>
          </w:p>
        </w:tc>
      </w:tr>
      <w:tr w:rsidR="00B72F92" w14:paraId="4BAD095C" w14:textId="77777777" w:rsidTr="003B22EF">
        <w:tblPrEx>
          <w:jc w:val="left"/>
        </w:tblPrEx>
        <w:tc>
          <w:tcPr>
            <w:tcW w:w="3742" w:type="dxa"/>
            <w:gridSpan w:val="2"/>
            <w:vMerge w:val="restart"/>
            <w:vAlign w:val="center"/>
          </w:tcPr>
          <w:p w14:paraId="5C6CD32D" w14:textId="77777777" w:rsidR="00B72F92" w:rsidRPr="005828C6" w:rsidRDefault="00B72F92" w:rsidP="00B72F92">
            <w:pPr>
              <w:rPr>
                <w:noProof/>
              </w:rPr>
            </w:pPr>
            <w:r>
              <w:rPr>
                <w:noProof/>
                <w:sz w:val="20"/>
              </w:rPr>
              <w:t>Title 2:</w:t>
            </w:r>
          </w:p>
        </w:tc>
        <w:tc>
          <w:tcPr>
            <w:tcW w:w="1503" w:type="dxa"/>
            <w:gridSpan w:val="2"/>
            <w:vAlign w:val="center"/>
          </w:tcPr>
          <w:p w14:paraId="55EE507E" w14:textId="77777777" w:rsidR="00B72F92" w:rsidRDefault="00B72F92" w:rsidP="00B72F92">
            <w:pPr>
              <w:spacing w:before="20" w:after="20"/>
              <w:rPr>
                <w:noProof/>
                <w:sz w:val="18"/>
              </w:rPr>
            </w:pPr>
            <w:r>
              <w:rPr>
                <w:noProof/>
                <w:sz w:val="18"/>
              </w:rPr>
              <w:t>Commitments</w:t>
            </w:r>
          </w:p>
        </w:tc>
        <w:tc>
          <w:tcPr>
            <w:tcW w:w="591" w:type="dxa"/>
            <w:vAlign w:val="center"/>
          </w:tcPr>
          <w:p w14:paraId="3292E83C" w14:textId="77777777" w:rsidR="00B72F92" w:rsidRDefault="00B72F92" w:rsidP="00B72F92">
            <w:pPr>
              <w:spacing w:before="20" w:after="20"/>
              <w:jc w:val="center"/>
              <w:rPr>
                <w:noProof/>
                <w:sz w:val="14"/>
              </w:rPr>
            </w:pPr>
            <w:r>
              <w:rPr>
                <w:noProof/>
                <w:sz w:val="14"/>
              </w:rPr>
              <w:t>(1a)</w:t>
            </w:r>
          </w:p>
        </w:tc>
        <w:tc>
          <w:tcPr>
            <w:tcW w:w="868" w:type="dxa"/>
            <w:gridSpan w:val="2"/>
            <w:vAlign w:val="center"/>
          </w:tcPr>
          <w:p w14:paraId="48E4264E" w14:textId="77777777" w:rsidR="00B72F92" w:rsidRDefault="00B72F92" w:rsidP="00B72F92">
            <w:pPr>
              <w:spacing w:before="20" w:after="20"/>
              <w:jc w:val="right"/>
              <w:rPr>
                <w:noProof/>
                <w:sz w:val="20"/>
              </w:rPr>
            </w:pPr>
          </w:p>
        </w:tc>
        <w:tc>
          <w:tcPr>
            <w:tcW w:w="868" w:type="dxa"/>
            <w:vAlign w:val="center"/>
          </w:tcPr>
          <w:p w14:paraId="739E5660" w14:textId="77777777" w:rsidR="00B72F92" w:rsidRDefault="00B72F92" w:rsidP="00B72F92">
            <w:pPr>
              <w:spacing w:before="20" w:after="20"/>
              <w:jc w:val="right"/>
              <w:rPr>
                <w:noProof/>
                <w:sz w:val="20"/>
              </w:rPr>
            </w:pPr>
          </w:p>
        </w:tc>
        <w:tc>
          <w:tcPr>
            <w:tcW w:w="868" w:type="dxa"/>
            <w:vAlign w:val="center"/>
          </w:tcPr>
          <w:p w14:paraId="1C648B20" w14:textId="77777777" w:rsidR="00B72F92" w:rsidRDefault="00B72F92" w:rsidP="00B72F92">
            <w:pPr>
              <w:spacing w:before="20" w:after="20"/>
              <w:jc w:val="right"/>
              <w:rPr>
                <w:noProof/>
                <w:sz w:val="20"/>
              </w:rPr>
            </w:pPr>
          </w:p>
        </w:tc>
        <w:tc>
          <w:tcPr>
            <w:tcW w:w="1200" w:type="dxa"/>
            <w:vAlign w:val="center"/>
          </w:tcPr>
          <w:p w14:paraId="583A13FB" w14:textId="77777777" w:rsidR="00B72F92" w:rsidRDefault="00B72F92" w:rsidP="00B72F92">
            <w:pPr>
              <w:spacing w:before="20" w:after="20"/>
              <w:jc w:val="right"/>
              <w:rPr>
                <w:noProof/>
                <w:sz w:val="20"/>
              </w:rPr>
            </w:pPr>
          </w:p>
        </w:tc>
        <w:tc>
          <w:tcPr>
            <w:tcW w:w="4076" w:type="dxa"/>
            <w:gridSpan w:val="2"/>
            <w:vAlign w:val="center"/>
          </w:tcPr>
          <w:p w14:paraId="471D575B" w14:textId="77777777" w:rsidR="00B72F92" w:rsidRDefault="00B72F92" w:rsidP="00B72F92">
            <w:pPr>
              <w:spacing w:before="20" w:after="20"/>
              <w:jc w:val="right"/>
              <w:rPr>
                <w:b/>
                <w:noProof/>
                <w:sz w:val="20"/>
              </w:rPr>
            </w:pPr>
          </w:p>
        </w:tc>
      </w:tr>
      <w:tr w:rsidR="00B72F92" w14:paraId="64A49BC0" w14:textId="77777777" w:rsidTr="003B22EF">
        <w:tblPrEx>
          <w:jc w:val="left"/>
        </w:tblPrEx>
        <w:tc>
          <w:tcPr>
            <w:tcW w:w="3742" w:type="dxa"/>
            <w:gridSpan w:val="2"/>
            <w:vMerge/>
            <w:vAlign w:val="center"/>
          </w:tcPr>
          <w:p w14:paraId="484CFD51" w14:textId="77777777" w:rsidR="00B72F92" w:rsidRPr="005828C6" w:rsidRDefault="00B72F92" w:rsidP="00B72F92">
            <w:pPr>
              <w:rPr>
                <w:noProof/>
              </w:rPr>
            </w:pPr>
          </w:p>
        </w:tc>
        <w:tc>
          <w:tcPr>
            <w:tcW w:w="1503" w:type="dxa"/>
            <w:gridSpan w:val="2"/>
            <w:vAlign w:val="center"/>
          </w:tcPr>
          <w:p w14:paraId="4C9EDFAC" w14:textId="77777777" w:rsidR="00B72F92" w:rsidRDefault="00B72F92" w:rsidP="00B72F92">
            <w:pPr>
              <w:spacing w:before="20" w:after="20"/>
              <w:rPr>
                <w:noProof/>
                <w:sz w:val="18"/>
              </w:rPr>
            </w:pPr>
            <w:r>
              <w:rPr>
                <w:noProof/>
                <w:sz w:val="18"/>
              </w:rPr>
              <w:t>Payments</w:t>
            </w:r>
          </w:p>
        </w:tc>
        <w:tc>
          <w:tcPr>
            <w:tcW w:w="591" w:type="dxa"/>
            <w:vAlign w:val="center"/>
          </w:tcPr>
          <w:p w14:paraId="05F79BC2" w14:textId="77777777" w:rsidR="00B72F92" w:rsidRDefault="00B72F92" w:rsidP="00B72F92">
            <w:pPr>
              <w:spacing w:before="20" w:after="20"/>
              <w:jc w:val="center"/>
              <w:rPr>
                <w:noProof/>
                <w:sz w:val="14"/>
              </w:rPr>
            </w:pPr>
            <w:r>
              <w:rPr>
                <w:noProof/>
                <w:sz w:val="14"/>
              </w:rPr>
              <w:t>(2a)</w:t>
            </w:r>
          </w:p>
        </w:tc>
        <w:tc>
          <w:tcPr>
            <w:tcW w:w="868" w:type="dxa"/>
            <w:gridSpan w:val="2"/>
            <w:vAlign w:val="center"/>
          </w:tcPr>
          <w:p w14:paraId="071F25E4" w14:textId="77777777" w:rsidR="00B72F92" w:rsidRDefault="00B72F92" w:rsidP="00B72F92">
            <w:pPr>
              <w:spacing w:before="20" w:after="20"/>
              <w:jc w:val="right"/>
              <w:rPr>
                <w:noProof/>
                <w:sz w:val="20"/>
              </w:rPr>
            </w:pPr>
          </w:p>
        </w:tc>
        <w:tc>
          <w:tcPr>
            <w:tcW w:w="868" w:type="dxa"/>
            <w:vAlign w:val="center"/>
          </w:tcPr>
          <w:p w14:paraId="50FD4916" w14:textId="77777777" w:rsidR="00B72F92" w:rsidRDefault="00B72F92" w:rsidP="00B72F92">
            <w:pPr>
              <w:spacing w:before="20" w:after="20"/>
              <w:jc w:val="right"/>
              <w:rPr>
                <w:noProof/>
                <w:sz w:val="20"/>
              </w:rPr>
            </w:pPr>
          </w:p>
        </w:tc>
        <w:tc>
          <w:tcPr>
            <w:tcW w:w="868" w:type="dxa"/>
            <w:vAlign w:val="center"/>
          </w:tcPr>
          <w:p w14:paraId="1FE99FBE" w14:textId="77777777" w:rsidR="00B72F92" w:rsidRDefault="00B72F92" w:rsidP="00B72F92">
            <w:pPr>
              <w:spacing w:before="20" w:after="20"/>
              <w:jc w:val="right"/>
              <w:rPr>
                <w:noProof/>
                <w:sz w:val="20"/>
              </w:rPr>
            </w:pPr>
          </w:p>
        </w:tc>
        <w:tc>
          <w:tcPr>
            <w:tcW w:w="1200" w:type="dxa"/>
            <w:vAlign w:val="center"/>
          </w:tcPr>
          <w:p w14:paraId="60A21230" w14:textId="77777777" w:rsidR="00B72F92" w:rsidRDefault="00B72F92" w:rsidP="00B72F92">
            <w:pPr>
              <w:spacing w:before="20" w:after="20"/>
              <w:jc w:val="right"/>
              <w:rPr>
                <w:noProof/>
                <w:sz w:val="20"/>
              </w:rPr>
            </w:pPr>
          </w:p>
        </w:tc>
        <w:tc>
          <w:tcPr>
            <w:tcW w:w="4076" w:type="dxa"/>
            <w:gridSpan w:val="2"/>
            <w:vAlign w:val="center"/>
          </w:tcPr>
          <w:p w14:paraId="44A0B74B" w14:textId="77777777" w:rsidR="00B72F92" w:rsidRDefault="00B72F92" w:rsidP="00B72F92">
            <w:pPr>
              <w:spacing w:before="20" w:after="20"/>
              <w:jc w:val="right"/>
              <w:rPr>
                <w:b/>
                <w:noProof/>
                <w:sz w:val="20"/>
              </w:rPr>
            </w:pPr>
          </w:p>
        </w:tc>
      </w:tr>
      <w:tr w:rsidR="00B72F92" w14:paraId="586AC2BF" w14:textId="77777777" w:rsidTr="003B22EF">
        <w:tblPrEx>
          <w:jc w:val="left"/>
        </w:tblPrEx>
        <w:trPr>
          <w:trHeight w:val="319"/>
        </w:trPr>
        <w:tc>
          <w:tcPr>
            <w:tcW w:w="3742" w:type="dxa"/>
            <w:gridSpan w:val="2"/>
            <w:vAlign w:val="center"/>
          </w:tcPr>
          <w:p w14:paraId="19F7F6FC" w14:textId="77777777" w:rsidR="00B72F92" w:rsidRPr="005828C6" w:rsidRDefault="00B72F92" w:rsidP="00B72F92">
            <w:pPr>
              <w:spacing w:before="60" w:after="60"/>
              <w:rPr>
                <w:noProof/>
              </w:rPr>
            </w:pPr>
            <w:r>
              <w:rPr>
                <w:noProof/>
                <w:sz w:val="20"/>
              </w:rPr>
              <w:t>Title 3:</w:t>
            </w:r>
          </w:p>
        </w:tc>
        <w:tc>
          <w:tcPr>
            <w:tcW w:w="1503" w:type="dxa"/>
            <w:gridSpan w:val="2"/>
            <w:vAlign w:val="center"/>
          </w:tcPr>
          <w:p w14:paraId="58CADA0B" w14:textId="77777777" w:rsidR="00B72F92" w:rsidRDefault="00B72F92" w:rsidP="00B72F92">
            <w:pPr>
              <w:spacing w:before="40" w:after="40"/>
              <w:rPr>
                <w:noProof/>
                <w:sz w:val="18"/>
              </w:rPr>
            </w:pPr>
            <w:r>
              <w:rPr>
                <w:noProof/>
                <w:sz w:val="18"/>
              </w:rPr>
              <w:t>Commitments</w:t>
            </w:r>
          </w:p>
        </w:tc>
        <w:tc>
          <w:tcPr>
            <w:tcW w:w="591" w:type="dxa"/>
            <w:vAlign w:val="center"/>
          </w:tcPr>
          <w:p w14:paraId="791BB02F" w14:textId="77777777" w:rsidR="00B72F92" w:rsidRDefault="00B72F92" w:rsidP="00B72F92">
            <w:pPr>
              <w:spacing w:before="40" w:after="40"/>
              <w:jc w:val="center"/>
              <w:rPr>
                <w:noProof/>
                <w:sz w:val="14"/>
              </w:rPr>
            </w:pPr>
            <w:r>
              <w:rPr>
                <w:noProof/>
                <w:sz w:val="14"/>
              </w:rPr>
              <w:t>(3a)</w:t>
            </w:r>
          </w:p>
        </w:tc>
        <w:tc>
          <w:tcPr>
            <w:tcW w:w="868" w:type="dxa"/>
            <w:gridSpan w:val="2"/>
          </w:tcPr>
          <w:p w14:paraId="3642F343" w14:textId="77777777" w:rsidR="00B72F92" w:rsidRPr="00760702" w:rsidRDefault="00B72F92" w:rsidP="00B72F92">
            <w:pPr>
              <w:spacing w:before="40" w:after="40"/>
              <w:jc w:val="right"/>
              <w:rPr>
                <w:b/>
                <w:noProof/>
                <w:sz w:val="20"/>
                <w:szCs w:val="20"/>
              </w:rPr>
            </w:pPr>
            <w:r w:rsidRPr="000E7351">
              <w:rPr>
                <w:noProof/>
                <w:sz w:val="20"/>
                <w:szCs w:val="20"/>
              </w:rPr>
              <w:t>8.012</w:t>
            </w:r>
          </w:p>
        </w:tc>
        <w:tc>
          <w:tcPr>
            <w:tcW w:w="868" w:type="dxa"/>
          </w:tcPr>
          <w:p w14:paraId="417B124E" w14:textId="77777777" w:rsidR="00B72F92" w:rsidRPr="00760702" w:rsidRDefault="00B72F92" w:rsidP="00B72F92">
            <w:pPr>
              <w:spacing w:before="40" w:after="40"/>
              <w:jc w:val="right"/>
              <w:rPr>
                <w:b/>
                <w:noProof/>
                <w:sz w:val="20"/>
                <w:szCs w:val="20"/>
              </w:rPr>
            </w:pPr>
            <w:r w:rsidRPr="000E7351">
              <w:rPr>
                <w:noProof/>
                <w:sz w:val="20"/>
                <w:szCs w:val="20"/>
              </w:rPr>
              <w:t>15.097</w:t>
            </w:r>
          </w:p>
        </w:tc>
        <w:tc>
          <w:tcPr>
            <w:tcW w:w="868" w:type="dxa"/>
          </w:tcPr>
          <w:p w14:paraId="297A0052" w14:textId="77777777" w:rsidR="00B72F92" w:rsidRPr="00760702" w:rsidRDefault="00B72F92" w:rsidP="00B72F92">
            <w:pPr>
              <w:spacing w:before="40" w:after="40"/>
              <w:jc w:val="right"/>
              <w:rPr>
                <w:b/>
                <w:noProof/>
                <w:sz w:val="20"/>
                <w:szCs w:val="20"/>
              </w:rPr>
            </w:pPr>
            <w:r w:rsidRPr="000E7351">
              <w:rPr>
                <w:noProof/>
                <w:sz w:val="20"/>
                <w:szCs w:val="20"/>
              </w:rPr>
              <w:t>16.007</w:t>
            </w:r>
          </w:p>
        </w:tc>
        <w:tc>
          <w:tcPr>
            <w:tcW w:w="1200" w:type="dxa"/>
            <w:vAlign w:val="center"/>
          </w:tcPr>
          <w:p w14:paraId="486B164A" w14:textId="77777777" w:rsidR="00B72F92" w:rsidRPr="000E7351" w:rsidRDefault="00B72F92" w:rsidP="00B72F92">
            <w:pPr>
              <w:spacing w:before="40" w:after="40"/>
              <w:jc w:val="right"/>
              <w:rPr>
                <w:noProof/>
                <w:sz w:val="20"/>
                <w:szCs w:val="20"/>
              </w:rPr>
            </w:pPr>
            <w:r w:rsidRPr="000E7351">
              <w:rPr>
                <w:noProof/>
                <w:sz w:val="20"/>
                <w:szCs w:val="20"/>
              </w:rPr>
              <w:t>125.833</w:t>
            </w:r>
          </w:p>
        </w:tc>
        <w:tc>
          <w:tcPr>
            <w:tcW w:w="4076" w:type="dxa"/>
            <w:gridSpan w:val="2"/>
            <w:vAlign w:val="center"/>
          </w:tcPr>
          <w:p w14:paraId="4F43002E" w14:textId="77777777" w:rsidR="00B72F92" w:rsidRPr="00760702" w:rsidRDefault="00B72F92" w:rsidP="00B72F92">
            <w:pPr>
              <w:spacing w:before="40" w:after="40"/>
              <w:jc w:val="right"/>
              <w:rPr>
                <w:b/>
                <w:noProof/>
                <w:sz w:val="20"/>
                <w:szCs w:val="20"/>
              </w:rPr>
            </w:pPr>
            <w:r w:rsidRPr="00760702">
              <w:rPr>
                <w:b/>
                <w:noProof/>
                <w:sz w:val="20"/>
                <w:szCs w:val="20"/>
              </w:rPr>
              <w:t>164.949</w:t>
            </w:r>
          </w:p>
        </w:tc>
      </w:tr>
      <w:tr w:rsidR="00B72F92" w14:paraId="1244D226" w14:textId="77777777" w:rsidTr="003B22EF">
        <w:tblPrEx>
          <w:jc w:val="left"/>
        </w:tblPrEx>
        <w:trPr>
          <w:trHeight w:val="319"/>
        </w:trPr>
        <w:tc>
          <w:tcPr>
            <w:tcW w:w="3742" w:type="dxa"/>
            <w:gridSpan w:val="2"/>
            <w:vAlign w:val="center"/>
          </w:tcPr>
          <w:p w14:paraId="12BDF1A8" w14:textId="77777777" w:rsidR="00B72F92" w:rsidRDefault="00B72F92" w:rsidP="00B72F92">
            <w:pPr>
              <w:spacing w:before="60" w:after="60"/>
              <w:rPr>
                <w:b/>
                <w:noProof/>
                <w:sz w:val="20"/>
              </w:rPr>
            </w:pPr>
          </w:p>
        </w:tc>
        <w:tc>
          <w:tcPr>
            <w:tcW w:w="1503" w:type="dxa"/>
            <w:gridSpan w:val="2"/>
            <w:vAlign w:val="center"/>
          </w:tcPr>
          <w:p w14:paraId="1BEC6C76" w14:textId="77777777" w:rsidR="00B72F92" w:rsidRDefault="00B72F92" w:rsidP="00B72F92">
            <w:pPr>
              <w:spacing w:before="40" w:after="40"/>
              <w:rPr>
                <w:noProof/>
                <w:sz w:val="18"/>
              </w:rPr>
            </w:pPr>
            <w:r>
              <w:rPr>
                <w:noProof/>
                <w:sz w:val="18"/>
              </w:rPr>
              <w:t>Payments</w:t>
            </w:r>
          </w:p>
        </w:tc>
        <w:tc>
          <w:tcPr>
            <w:tcW w:w="591" w:type="dxa"/>
            <w:vAlign w:val="center"/>
          </w:tcPr>
          <w:p w14:paraId="5809A7B5" w14:textId="77777777" w:rsidR="00B72F92" w:rsidRDefault="00B72F92" w:rsidP="00B72F92">
            <w:pPr>
              <w:spacing w:before="40" w:after="40"/>
              <w:jc w:val="center"/>
              <w:rPr>
                <w:noProof/>
                <w:sz w:val="14"/>
              </w:rPr>
            </w:pPr>
            <w:r>
              <w:rPr>
                <w:noProof/>
                <w:sz w:val="14"/>
              </w:rPr>
              <w:t>(3b)</w:t>
            </w:r>
          </w:p>
        </w:tc>
        <w:tc>
          <w:tcPr>
            <w:tcW w:w="868" w:type="dxa"/>
            <w:gridSpan w:val="2"/>
          </w:tcPr>
          <w:p w14:paraId="0573B77B" w14:textId="77777777" w:rsidR="00B72F92" w:rsidRDefault="00B72F92" w:rsidP="00B72F92">
            <w:pPr>
              <w:spacing w:before="40" w:after="40"/>
              <w:jc w:val="right"/>
              <w:rPr>
                <w:b/>
                <w:noProof/>
                <w:sz w:val="20"/>
              </w:rPr>
            </w:pPr>
            <w:r w:rsidRPr="00407155">
              <w:rPr>
                <w:noProof/>
                <w:sz w:val="20"/>
                <w:szCs w:val="20"/>
              </w:rPr>
              <w:t>8.012</w:t>
            </w:r>
          </w:p>
        </w:tc>
        <w:tc>
          <w:tcPr>
            <w:tcW w:w="868" w:type="dxa"/>
          </w:tcPr>
          <w:p w14:paraId="43528C4D" w14:textId="77777777" w:rsidR="00B72F92" w:rsidRDefault="00B72F92" w:rsidP="00B72F92">
            <w:pPr>
              <w:spacing w:before="40" w:after="40"/>
              <w:jc w:val="right"/>
              <w:rPr>
                <w:b/>
                <w:noProof/>
                <w:sz w:val="20"/>
              </w:rPr>
            </w:pPr>
            <w:r w:rsidRPr="00407155">
              <w:rPr>
                <w:noProof/>
                <w:sz w:val="20"/>
                <w:szCs w:val="20"/>
              </w:rPr>
              <w:t>15.097</w:t>
            </w:r>
          </w:p>
        </w:tc>
        <w:tc>
          <w:tcPr>
            <w:tcW w:w="868" w:type="dxa"/>
          </w:tcPr>
          <w:p w14:paraId="50DD3CAA" w14:textId="77777777" w:rsidR="00B72F92" w:rsidRDefault="00B72F92" w:rsidP="00B72F92">
            <w:pPr>
              <w:spacing w:before="40" w:after="40"/>
              <w:jc w:val="right"/>
              <w:rPr>
                <w:b/>
                <w:noProof/>
                <w:sz w:val="20"/>
              </w:rPr>
            </w:pPr>
            <w:r w:rsidRPr="00407155">
              <w:rPr>
                <w:noProof/>
                <w:sz w:val="20"/>
                <w:szCs w:val="20"/>
              </w:rPr>
              <w:t>16.007</w:t>
            </w:r>
          </w:p>
        </w:tc>
        <w:tc>
          <w:tcPr>
            <w:tcW w:w="1200" w:type="dxa"/>
            <w:vAlign w:val="center"/>
          </w:tcPr>
          <w:p w14:paraId="526D25AA" w14:textId="77777777" w:rsidR="00B72F92" w:rsidRDefault="00B72F92" w:rsidP="00B72F92">
            <w:pPr>
              <w:spacing w:before="40" w:after="40"/>
              <w:jc w:val="right"/>
              <w:rPr>
                <w:b/>
                <w:noProof/>
                <w:sz w:val="20"/>
              </w:rPr>
            </w:pPr>
            <w:r w:rsidRPr="00407155">
              <w:rPr>
                <w:noProof/>
                <w:sz w:val="20"/>
                <w:szCs w:val="20"/>
              </w:rPr>
              <w:t>125.833</w:t>
            </w:r>
          </w:p>
        </w:tc>
        <w:tc>
          <w:tcPr>
            <w:tcW w:w="4076" w:type="dxa"/>
            <w:gridSpan w:val="2"/>
            <w:vAlign w:val="center"/>
          </w:tcPr>
          <w:p w14:paraId="404AD7C7" w14:textId="77777777" w:rsidR="00B72F92" w:rsidRDefault="00B72F92" w:rsidP="00B72F92">
            <w:pPr>
              <w:spacing w:before="40" w:after="40"/>
              <w:jc w:val="right"/>
              <w:rPr>
                <w:b/>
                <w:noProof/>
                <w:sz w:val="20"/>
              </w:rPr>
            </w:pPr>
            <w:r w:rsidRPr="00407155">
              <w:rPr>
                <w:b/>
                <w:noProof/>
                <w:sz w:val="20"/>
                <w:szCs w:val="20"/>
              </w:rPr>
              <w:t>164.949</w:t>
            </w:r>
          </w:p>
        </w:tc>
      </w:tr>
      <w:tr w:rsidR="00B72F92" w14:paraId="011C2A2B" w14:textId="77777777" w:rsidTr="003B22EF">
        <w:tblPrEx>
          <w:jc w:val="left"/>
        </w:tblPrEx>
        <w:tc>
          <w:tcPr>
            <w:tcW w:w="3742" w:type="dxa"/>
            <w:gridSpan w:val="2"/>
            <w:vMerge w:val="restart"/>
            <w:vAlign w:val="center"/>
          </w:tcPr>
          <w:p w14:paraId="753EC202" w14:textId="77777777" w:rsidR="00B72F92" w:rsidRDefault="00B72F92" w:rsidP="00B72F92">
            <w:pPr>
              <w:jc w:val="center"/>
              <w:rPr>
                <w:noProof/>
              </w:rPr>
            </w:pPr>
            <w:r>
              <w:rPr>
                <w:b/>
                <w:noProof/>
                <w:sz w:val="22"/>
              </w:rPr>
              <w:t>TOTAL appropriations</w:t>
            </w:r>
            <w:r>
              <w:rPr>
                <w:noProof/>
                <w:sz w:val="22"/>
              </w:rPr>
              <w:br/>
            </w:r>
            <w:r>
              <w:rPr>
                <w:b/>
                <w:noProof/>
                <w:sz w:val="22"/>
              </w:rPr>
              <w:t>for EMSA</w:t>
            </w:r>
            <w:r w:rsidDel="00342CB8">
              <w:rPr>
                <w:b/>
                <w:noProof/>
                <w:sz w:val="22"/>
              </w:rPr>
              <w:t xml:space="preserve"> </w:t>
            </w:r>
          </w:p>
        </w:tc>
        <w:tc>
          <w:tcPr>
            <w:tcW w:w="1503" w:type="dxa"/>
            <w:gridSpan w:val="2"/>
            <w:vAlign w:val="center"/>
          </w:tcPr>
          <w:p w14:paraId="03A5CE80" w14:textId="77777777" w:rsidR="00B72F92" w:rsidRDefault="00B72F92" w:rsidP="00B72F92">
            <w:pPr>
              <w:rPr>
                <w:noProof/>
                <w:sz w:val="18"/>
              </w:rPr>
            </w:pPr>
            <w:r>
              <w:rPr>
                <w:noProof/>
                <w:sz w:val="18"/>
              </w:rPr>
              <w:t>Commitments</w:t>
            </w:r>
          </w:p>
        </w:tc>
        <w:tc>
          <w:tcPr>
            <w:tcW w:w="591" w:type="dxa"/>
            <w:vAlign w:val="center"/>
          </w:tcPr>
          <w:p w14:paraId="0AEFBD13" w14:textId="77777777" w:rsidR="00B72F92" w:rsidRDefault="00B72F92" w:rsidP="00B72F92">
            <w:pPr>
              <w:jc w:val="center"/>
              <w:rPr>
                <w:noProof/>
                <w:sz w:val="14"/>
              </w:rPr>
            </w:pPr>
            <w:r>
              <w:rPr>
                <w:noProof/>
                <w:sz w:val="14"/>
              </w:rPr>
              <w:t>=1+1a +3a</w:t>
            </w:r>
          </w:p>
        </w:tc>
        <w:tc>
          <w:tcPr>
            <w:tcW w:w="868" w:type="dxa"/>
            <w:gridSpan w:val="2"/>
          </w:tcPr>
          <w:p w14:paraId="2A353AB3" w14:textId="77777777" w:rsidR="00B72F92" w:rsidRPr="00760702" w:rsidRDefault="00B72F92" w:rsidP="00B72F92">
            <w:pPr>
              <w:spacing w:before="20" w:after="20"/>
              <w:jc w:val="right"/>
              <w:rPr>
                <w:noProof/>
                <w:sz w:val="20"/>
                <w:szCs w:val="20"/>
              </w:rPr>
            </w:pPr>
            <w:r>
              <w:rPr>
                <w:noProof/>
                <w:sz w:val="20"/>
                <w:szCs w:val="20"/>
              </w:rPr>
              <w:t>9.739</w:t>
            </w:r>
          </w:p>
        </w:tc>
        <w:tc>
          <w:tcPr>
            <w:tcW w:w="868" w:type="dxa"/>
          </w:tcPr>
          <w:p w14:paraId="5719B2BA" w14:textId="77777777" w:rsidR="00B72F92" w:rsidRPr="00760702" w:rsidRDefault="00B72F92" w:rsidP="00B72F92">
            <w:pPr>
              <w:spacing w:before="20" w:after="20"/>
              <w:jc w:val="right"/>
              <w:rPr>
                <w:noProof/>
                <w:sz w:val="20"/>
                <w:szCs w:val="20"/>
              </w:rPr>
            </w:pPr>
            <w:r w:rsidRPr="000E7351">
              <w:rPr>
                <w:noProof/>
                <w:sz w:val="20"/>
                <w:szCs w:val="20"/>
              </w:rPr>
              <w:t>20.089</w:t>
            </w:r>
          </w:p>
        </w:tc>
        <w:tc>
          <w:tcPr>
            <w:tcW w:w="868" w:type="dxa"/>
          </w:tcPr>
          <w:p w14:paraId="0FEA7146" w14:textId="77777777" w:rsidR="00B72F92" w:rsidRPr="00760702" w:rsidRDefault="00B72F92" w:rsidP="00B72F92">
            <w:pPr>
              <w:spacing w:before="20" w:after="20"/>
              <w:jc w:val="right"/>
              <w:rPr>
                <w:noProof/>
                <w:sz w:val="20"/>
                <w:szCs w:val="20"/>
              </w:rPr>
            </w:pPr>
            <w:r w:rsidRPr="000E7351">
              <w:rPr>
                <w:noProof/>
                <w:sz w:val="20"/>
                <w:szCs w:val="20"/>
              </w:rPr>
              <w:t>21.170</w:t>
            </w:r>
          </w:p>
        </w:tc>
        <w:tc>
          <w:tcPr>
            <w:tcW w:w="1200" w:type="dxa"/>
          </w:tcPr>
          <w:p w14:paraId="30084CE4" w14:textId="77777777" w:rsidR="00B72F92" w:rsidRPr="00760702" w:rsidRDefault="00B72F92" w:rsidP="00B72F92">
            <w:pPr>
              <w:spacing w:before="20" w:after="20"/>
              <w:jc w:val="right"/>
              <w:rPr>
                <w:noProof/>
                <w:sz w:val="20"/>
                <w:szCs w:val="20"/>
              </w:rPr>
            </w:pPr>
            <w:r w:rsidRPr="000E7351">
              <w:rPr>
                <w:noProof/>
                <w:sz w:val="20"/>
                <w:szCs w:val="20"/>
              </w:rPr>
              <w:t>169.156</w:t>
            </w:r>
          </w:p>
        </w:tc>
        <w:tc>
          <w:tcPr>
            <w:tcW w:w="4076" w:type="dxa"/>
            <w:gridSpan w:val="2"/>
          </w:tcPr>
          <w:p w14:paraId="497AA516" w14:textId="77777777" w:rsidR="00B72F92" w:rsidRPr="00760702" w:rsidRDefault="00B72F92" w:rsidP="00B72F92">
            <w:pPr>
              <w:spacing w:before="20" w:after="20"/>
              <w:jc w:val="right"/>
              <w:rPr>
                <w:b/>
                <w:noProof/>
                <w:sz w:val="20"/>
                <w:szCs w:val="20"/>
              </w:rPr>
            </w:pPr>
            <w:r>
              <w:rPr>
                <w:b/>
                <w:noProof/>
                <w:sz w:val="20"/>
                <w:szCs w:val="20"/>
              </w:rPr>
              <w:t>220.154</w:t>
            </w:r>
          </w:p>
        </w:tc>
      </w:tr>
      <w:tr w:rsidR="00B72F92" w14:paraId="526865E7" w14:textId="77777777" w:rsidTr="003B22EF">
        <w:tblPrEx>
          <w:jc w:val="left"/>
        </w:tblPrEx>
        <w:tc>
          <w:tcPr>
            <w:tcW w:w="3742" w:type="dxa"/>
            <w:gridSpan w:val="2"/>
            <w:vMerge/>
            <w:vAlign w:val="center"/>
          </w:tcPr>
          <w:p w14:paraId="308A59B0" w14:textId="77777777" w:rsidR="00B72F92" w:rsidRDefault="00B72F92" w:rsidP="00B72F92">
            <w:pPr>
              <w:rPr>
                <w:b/>
                <w:noProof/>
              </w:rPr>
            </w:pPr>
          </w:p>
        </w:tc>
        <w:tc>
          <w:tcPr>
            <w:tcW w:w="1503" w:type="dxa"/>
            <w:gridSpan w:val="2"/>
            <w:vAlign w:val="center"/>
          </w:tcPr>
          <w:p w14:paraId="469F72E7" w14:textId="77777777" w:rsidR="00B72F92" w:rsidRDefault="00B72F92" w:rsidP="00B72F92">
            <w:pPr>
              <w:rPr>
                <w:noProof/>
                <w:sz w:val="18"/>
              </w:rPr>
            </w:pPr>
            <w:r>
              <w:rPr>
                <w:noProof/>
                <w:sz w:val="18"/>
              </w:rPr>
              <w:t>Payments</w:t>
            </w:r>
          </w:p>
        </w:tc>
        <w:tc>
          <w:tcPr>
            <w:tcW w:w="591" w:type="dxa"/>
            <w:vAlign w:val="center"/>
          </w:tcPr>
          <w:p w14:paraId="6E07F593" w14:textId="77777777" w:rsidR="00B72F92" w:rsidRDefault="00B72F92" w:rsidP="00B72F92">
            <w:pPr>
              <w:jc w:val="center"/>
              <w:rPr>
                <w:noProof/>
                <w:sz w:val="14"/>
              </w:rPr>
            </w:pPr>
            <w:r>
              <w:rPr>
                <w:noProof/>
                <w:sz w:val="14"/>
              </w:rPr>
              <w:t>=2+2a</w:t>
            </w:r>
          </w:p>
          <w:p w14:paraId="4264EEE8" w14:textId="77777777" w:rsidR="00B72F92" w:rsidRDefault="00B72F92" w:rsidP="00B72F92">
            <w:pPr>
              <w:jc w:val="center"/>
              <w:rPr>
                <w:noProof/>
                <w:sz w:val="14"/>
              </w:rPr>
            </w:pPr>
            <w:r>
              <w:rPr>
                <w:noProof/>
                <w:sz w:val="14"/>
              </w:rPr>
              <w:t>+3b</w:t>
            </w:r>
          </w:p>
        </w:tc>
        <w:tc>
          <w:tcPr>
            <w:tcW w:w="868" w:type="dxa"/>
            <w:gridSpan w:val="2"/>
          </w:tcPr>
          <w:p w14:paraId="352E0057" w14:textId="77777777" w:rsidR="00B72F92" w:rsidRDefault="00B72F92" w:rsidP="00B72F92">
            <w:pPr>
              <w:spacing w:before="20" w:after="20"/>
              <w:jc w:val="right"/>
              <w:rPr>
                <w:noProof/>
                <w:sz w:val="20"/>
              </w:rPr>
            </w:pPr>
            <w:r>
              <w:rPr>
                <w:noProof/>
                <w:sz w:val="20"/>
                <w:szCs w:val="20"/>
              </w:rPr>
              <w:t>9.739</w:t>
            </w:r>
          </w:p>
        </w:tc>
        <w:tc>
          <w:tcPr>
            <w:tcW w:w="868" w:type="dxa"/>
          </w:tcPr>
          <w:p w14:paraId="40CFDD13" w14:textId="77777777" w:rsidR="00B72F92" w:rsidRDefault="00B72F92" w:rsidP="00B72F92">
            <w:pPr>
              <w:spacing w:before="20" w:after="20"/>
              <w:jc w:val="right"/>
              <w:rPr>
                <w:noProof/>
                <w:sz w:val="20"/>
              </w:rPr>
            </w:pPr>
            <w:r w:rsidRPr="00407155">
              <w:rPr>
                <w:noProof/>
                <w:sz w:val="20"/>
                <w:szCs w:val="20"/>
              </w:rPr>
              <w:t>20.089</w:t>
            </w:r>
          </w:p>
        </w:tc>
        <w:tc>
          <w:tcPr>
            <w:tcW w:w="868" w:type="dxa"/>
          </w:tcPr>
          <w:p w14:paraId="01610915" w14:textId="77777777" w:rsidR="00B72F92" w:rsidRDefault="00B72F92" w:rsidP="00B72F92">
            <w:pPr>
              <w:spacing w:before="20" w:after="20"/>
              <w:jc w:val="right"/>
              <w:rPr>
                <w:noProof/>
                <w:sz w:val="20"/>
              </w:rPr>
            </w:pPr>
            <w:r w:rsidRPr="00407155">
              <w:rPr>
                <w:noProof/>
                <w:sz w:val="20"/>
                <w:szCs w:val="20"/>
              </w:rPr>
              <w:t>21.170</w:t>
            </w:r>
          </w:p>
        </w:tc>
        <w:tc>
          <w:tcPr>
            <w:tcW w:w="1200" w:type="dxa"/>
          </w:tcPr>
          <w:p w14:paraId="02A622AE" w14:textId="77777777" w:rsidR="00B72F92" w:rsidRDefault="00B72F92" w:rsidP="00B72F92">
            <w:pPr>
              <w:spacing w:before="20" w:after="20"/>
              <w:jc w:val="right"/>
              <w:rPr>
                <w:noProof/>
                <w:sz w:val="20"/>
              </w:rPr>
            </w:pPr>
            <w:r w:rsidRPr="00407155">
              <w:rPr>
                <w:noProof/>
                <w:sz w:val="20"/>
                <w:szCs w:val="20"/>
              </w:rPr>
              <w:t>169.156</w:t>
            </w:r>
          </w:p>
        </w:tc>
        <w:tc>
          <w:tcPr>
            <w:tcW w:w="4076" w:type="dxa"/>
            <w:gridSpan w:val="2"/>
          </w:tcPr>
          <w:p w14:paraId="3A8D1B98" w14:textId="77777777" w:rsidR="00B72F92" w:rsidRDefault="00B72F92" w:rsidP="00B72F92">
            <w:pPr>
              <w:spacing w:before="20" w:after="20"/>
              <w:jc w:val="right"/>
              <w:rPr>
                <w:b/>
                <w:noProof/>
                <w:sz w:val="20"/>
              </w:rPr>
            </w:pPr>
            <w:r>
              <w:rPr>
                <w:b/>
                <w:noProof/>
                <w:sz w:val="20"/>
                <w:szCs w:val="20"/>
              </w:rPr>
              <w:t>220.154</w:t>
            </w:r>
          </w:p>
        </w:tc>
      </w:tr>
    </w:tbl>
    <w:p w14:paraId="0A1A2BAF" w14:textId="77777777" w:rsidR="00600499" w:rsidRDefault="00600499" w:rsidP="00600499">
      <w:pPr>
        <w:rPr>
          <w:noProof/>
          <w:sz w:val="16"/>
        </w:rPr>
      </w:pPr>
    </w:p>
    <w:p w14:paraId="290A871B" w14:textId="77777777" w:rsidR="00600499" w:rsidRPr="000E7351" w:rsidRDefault="004F7FB7" w:rsidP="00600499">
      <w:pPr>
        <w:jc w:val="left"/>
        <w:rPr>
          <w:i/>
          <w:noProof/>
        </w:rPr>
      </w:pPr>
      <w:bookmarkStart w:id="60" w:name="_Hlk132797483"/>
      <w:r>
        <w:rPr>
          <w:b/>
          <w:bCs/>
          <w:noProof/>
        </w:rPr>
        <w:t>The budget impact beyond the current MFF is an indicative overview, without prejudice to the future MFF Agreement</w:t>
      </w:r>
      <w:r w:rsidR="00600499" w:rsidRPr="000E7351">
        <w:rPr>
          <w:i/>
          <w:noProof/>
        </w:rPr>
        <w:br/>
      </w:r>
      <w:bookmarkEnd w:id="60"/>
      <w:r w:rsidR="00600499" w:rsidRPr="000E7351">
        <w:rPr>
          <w:i/>
          <w:noProof/>
        </w:rPr>
        <w:br/>
      </w:r>
    </w:p>
    <w:p w14:paraId="13EDE8EF" w14:textId="77777777" w:rsidR="00600499" w:rsidRDefault="00600499" w:rsidP="00600499">
      <w:pPr>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600499" w14:paraId="6E71E936" w14:textId="77777777" w:rsidTr="00DC0670">
        <w:trPr>
          <w:jc w:val="center"/>
        </w:trPr>
        <w:tc>
          <w:tcPr>
            <w:tcW w:w="4744" w:type="dxa"/>
            <w:shd w:val="thinDiagStripe" w:color="C0C0C0" w:fill="auto"/>
            <w:vAlign w:val="center"/>
          </w:tcPr>
          <w:p w14:paraId="290DCF4C" w14:textId="77777777" w:rsidR="00600499" w:rsidRDefault="00600499" w:rsidP="00DC0670">
            <w:pPr>
              <w:spacing w:before="60" w:after="60"/>
              <w:jc w:val="cente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14:paraId="11D67279" w14:textId="77777777" w:rsidR="00600499" w:rsidRPr="005828C6" w:rsidRDefault="00600499" w:rsidP="00DC0670">
            <w:pPr>
              <w:spacing w:before="60" w:after="60"/>
              <w:jc w:val="center"/>
              <w:rPr>
                <w:noProof/>
              </w:rPr>
            </w:pPr>
            <w:r>
              <w:rPr>
                <w:b/>
                <w:noProof/>
                <w:sz w:val="22"/>
              </w:rPr>
              <w:t>7</w:t>
            </w:r>
          </w:p>
        </w:tc>
        <w:tc>
          <w:tcPr>
            <w:tcW w:w="7817" w:type="dxa"/>
            <w:vAlign w:val="center"/>
          </w:tcPr>
          <w:p w14:paraId="6AF259F5" w14:textId="77777777" w:rsidR="00600499" w:rsidRDefault="00600499" w:rsidP="00DC0670">
            <w:pPr>
              <w:spacing w:before="60" w:after="60"/>
              <w:rPr>
                <w:noProof/>
              </w:rPr>
            </w:pPr>
            <w:r>
              <w:rPr>
                <w:noProof/>
                <w:sz w:val="22"/>
              </w:rPr>
              <w:t>‘Administrative expenditure’</w:t>
            </w:r>
          </w:p>
        </w:tc>
      </w:tr>
    </w:tbl>
    <w:p w14:paraId="230CBB53" w14:textId="77777777" w:rsidR="00600499" w:rsidRDefault="00600499" w:rsidP="00600499">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600499" w14:paraId="22A0EB53" w14:textId="77777777" w:rsidTr="00DC0670">
        <w:tc>
          <w:tcPr>
            <w:tcW w:w="3960" w:type="dxa"/>
            <w:tcBorders>
              <w:top w:val="nil"/>
              <w:left w:val="nil"/>
              <w:right w:val="nil"/>
            </w:tcBorders>
            <w:vAlign w:val="center"/>
          </w:tcPr>
          <w:p w14:paraId="3A7B189F" w14:textId="77777777" w:rsidR="00600499" w:rsidRDefault="00600499" w:rsidP="00DC0670">
            <w:pPr>
              <w:jc w:val="center"/>
              <w:rPr>
                <w:noProof/>
              </w:rPr>
            </w:pPr>
          </w:p>
        </w:tc>
        <w:tc>
          <w:tcPr>
            <w:tcW w:w="1560" w:type="dxa"/>
            <w:tcBorders>
              <w:top w:val="nil"/>
              <w:left w:val="nil"/>
              <w:right w:val="nil"/>
            </w:tcBorders>
          </w:tcPr>
          <w:p w14:paraId="1F6C71D1" w14:textId="77777777" w:rsidR="00600499" w:rsidRDefault="00600499" w:rsidP="00DC0670">
            <w:pPr>
              <w:rPr>
                <w:noProof/>
                <w:sz w:val="20"/>
              </w:rPr>
            </w:pPr>
          </w:p>
        </w:tc>
        <w:tc>
          <w:tcPr>
            <w:tcW w:w="534" w:type="dxa"/>
            <w:tcBorders>
              <w:top w:val="nil"/>
              <w:left w:val="nil"/>
            </w:tcBorders>
          </w:tcPr>
          <w:p w14:paraId="1E57218A" w14:textId="77777777" w:rsidR="00600499" w:rsidRDefault="00600499" w:rsidP="00DC0670">
            <w:pPr>
              <w:jc w:val="center"/>
              <w:rPr>
                <w:noProof/>
                <w:sz w:val="20"/>
              </w:rPr>
            </w:pPr>
          </w:p>
        </w:tc>
        <w:tc>
          <w:tcPr>
            <w:tcW w:w="868" w:type="dxa"/>
            <w:vAlign w:val="center"/>
          </w:tcPr>
          <w:p w14:paraId="0FAE70F8" w14:textId="77777777" w:rsidR="00600499" w:rsidRDefault="00600499" w:rsidP="00DC0670">
            <w:pPr>
              <w:jc w:val="center"/>
              <w:rPr>
                <w:noProof/>
                <w:sz w:val="20"/>
              </w:rPr>
            </w:pPr>
            <w:r>
              <w:rPr>
                <w:noProof/>
                <w:sz w:val="20"/>
              </w:rPr>
              <w:t>Year</w:t>
            </w:r>
            <w:r>
              <w:rPr>
                <w:noProof/>
                <w:sz w:val="22"/>
              </w:rPr>
              <w:br/>
            </w:r>
            <w:r>
              <w:rPr>
                <w:b/>
                <w:noProof/>
                <w:sz w:val="20"/>
              </w:rPr>
              <w:t>N</w:t>
            </w:r>
          </w:p>
        </w:tc>
        <w:tc>
          <w:tcPr>
            <w:tcW w:w="868" w:type="dxa"/>
            <w:vAlign w:val="center"/>
          </w:tcPr>
          <w:p w14:paraId="323098A9" w14:textId="77777777" w:rsidR="00600499" w:rsidRDefault="00600499" w:rsidP="00DC0670">
            <w:pPr>
              <w:jc w:val="center"/>
              <w:rPr>
                <w:noProof/>
                <w:sz w:val="20"/>
              </w:rPr>
            </w:pPr>
            <w:r>
              <w:rPr>
                <w:noProof/>
                <w:sz w:val="20"/>
              </w:rPr>
              <w:t>Year</w:t>
            </w:r>
            <w:r>
              <w:rPr>
                <w:noProof/>
                <w:sz w:val="22"/>
              </w:rPr>
              <w:br/>
            </w:r>
            <w:r>
              <w:rPr>
                <w:b/>
                <w:noProof/>
                <w:sz w:val="20"/>
              </w:rPr>
              <w:t>N+1</w:t>
            </w:r>
          </w:p>
        </w:tc>
        <w:tc>
          <w:tcPr>
            <w:tcW w:w="868" w:type="dxa"/>
            <w:vAlign w:val="center"/>
          </w:tcPr>
          <w:p w14:paraId="0D5D5893" w14:textId="77777777" w:rsidR="00600499" w:rsidRDefault="00600499" w:rsidP="00DC0670">
            <w:pPr>
              <w:jc w:val="center"/>
              <w:rPr>
                <w:noProof/>
                <w:sz w:val="20"/>
              </w:rPr>
            </w:pPr>
            <w:r>
              <w:rPr>
                <w:noProof/>
                <w:sz w:val="20"/>
              </w:rPr>
              <w:t>Year</w:t>
            </w:r>
            <w:r>
              <w:rPr>
                <w:noProof/>
                <w:sz w:val="22"/>
              </w:rPr>
              <w:br/>
            </w:r>
            <w:r>
              <w:rPr>
                <w:b/>
                <w:noProof/>
                <w:sz w:val="20"/>
              </w:rPr>
              <w:t>N+2</w:t>
            </w:r>
          </w:p>
        </w:tc>
        <w:tc>
          <w:tcPr>
            <w:tcW w:w="868" w:type="dxa"/>
            <w:vAlign w:val="center"/>
          </w:tcPr>
          <w:p w14:paraId="511BB653" w14:textId="77777777" w:rsidR="00600499" w:rsidRDefault="00600499" w:rsidP="00DC0670">
            <w:pPr>
              <w:jc w:val="center"/>
              <w:rPr>
                <w:noProof/>
                <w:sz w:val="20"/>
              </w:rPr>
            </w:pPr>
            <w:r>
              <w:rPr>
                <w:noProof/>
                <w:sz w:val="20"/>
              </w:rPr>
              <w:t>Year</w:t>
            </w:r>
            <w:r>
              <w:rPr>
                <w:noProof/>
                <w:sz w:val="22"/>
              </w:rPr>
              <w:br/>
            </w:r>
            <w:r>
              <w:rPr>
                <w:b/>
                <w:noProof/>
                <w:sz w:val="20"/>
              </w:rPr>
              <w:t>N+3</w:t>
            </w:r>
          </w:p>
        </w:tc>
        <w:tc>
          <w:tcPr>
            <w:tcW w:w="2604" w:type="dxa"/>
            <w:gridSpan w:val="3"/>
            <w:vAlign w:val="center"/>
          </w:tcPr>
          <w:p w14:paraId="2F2E6D76" w14:textId="77777777" w:rsidR="00600499" w:rsidRDefault="00600499" w:rsidP="00DC0670">
            <w:pPr>
              <w:jc w:val="center"/>
              <w:rPr>
                <w:b/>
                <w:noProof/>
                <w:sz w:val="18"/>
              </w:rPr>
            </w:pPr>
            <w:r>
              <w:rPr>
                <w:noProof/>
                <w:sz w:val="18"/>
              </w:rPr>
              <w:t xml:space="preserve">Enter as many years as necessary to show the duration of the impact (see point 1.6) </w:t>
            </w:r>
          </w:p>
        </w:tc>
        <w:tc>
          <w:tcPr>
            <w:tcW w:w="1777" w:type="dxa"/>
            <w:vAlign w:val="center"/>
          </w:tcPr>
          <w:p w14:paraId="232A2382" w14:textId="77777777" w:rsidR="00600499" w:rsidRDefault="00600499" w:rsidP="00DC0670">
            <w:pPr>
              <w:jc w:val="center"/>
              <w:rPr>
                <w:b/>
                <w:noProof/>
                <w:sz w:val="20"/>
              </w:rPr>
            </w:pPr>
            <w:r>
              <w:rPr>
                <w:b/>
                <w:noProof/>
                <w:sz w:val="20"/>
              </w:rPr>
              <w:t>TOTAL</w:t>
            </w:r>
          </w:p>
        </w:tc>
      </w:tr>
      <w:tr w:rsidR="00600499" w14:paraId="03ABD101" w14:textId="77777777" w:rsidTr="00DC0670">
        <w:trPr>
          <w:gridAfter w:val="10"/>
          <w:wAfter w:w="9947" w:type="dxa"/>
        </w:trPr>
        <w:tc>
          <w:tcPr>
            <w:tcW w:w="3960" w:type="dxa"/>
            <w:vAlign w:val="center"/>
          </w:tcPr>
          <w:p w14:paraId="1270925E" w14:textId="77777777" w:rsidR="00600499" w:rsidRDefault="00600499" w:rsidP="00DC0670">
            <w:pPr>
              <w:spacing w:before="60" w:after="60"/>
              <w:jc w:val="center"/>
              <w:rPr>
                <w:noProof/>
              </w:rPr>
            </w:pPr>
            <w:r>
              <w:rPr>
                <w:noProof/>
                <w:sz w:val="22"/>
              </w:rPr>
              <w:t xml:space="preserve">DG: </w:t>
            </w:r>
            <w:r w:rsidRPr="005828C6">
              <w:rPr>
                <w:noProof/>
              </w:rPr>
              <w:t>&lt;…….&gt;</w:t>
            </w:r>
          </w:p>
        </w:tc>
      </w:tr>
      <w:tr w:rsidR="00600499" w14:paraId="39182618" w14:textId="77777777" w:rsidTr="00DC0670">
        <w:trPr>
          <w:trHeight w:val="313"/>
        </w:trPr>
        <w:tc>
          <w:tcPr>
            <w:tcW w:w="6054" w:type="dxa"/>
            <w:gridSpan w:val="3"/>
            <w:vAlign w:val="center"/>
          </w:tcPr>
          <w:p w14:paraId="717DD752" w14:textId="77777777" w:rsidR="00600499" w:rsidRDefault="00600499" w:rsidP="00DC0670">
            <w:pPr>
              <w:spacing w:before="20" w:after="20"/>
              <w:rPr>
                <w:noProof/>
              </w:rPr>
            </w:pPr>
            <w:r>
              <w:rPr>
                <w:noProof/>
                <w:sz w:val="22"/>
              </w:rPr>
              <w:sym w:font="Wingdings" w:char="F09F"/>
            </w:r>
            <w:r>
              <w:rPr>
                <w:noProof/>
                <w:sz w:val="22"/>
              </w:rPr>
              <w:t xml:space="preserve"> Human Resources </w:t>
            </w:r>
          </w:p>
        </w:tc>
        <w:tc>
          <w:tcPr>
            <w:tcW w:w="868" w:type="dxa"/>
            <w:vAlign w:val="center"/>
          </w:tcPr>
          <w:p w14:paraId="03BA5B54" w14:textId="77777777" w:rsidR="00600499" w:rsidRDefault="00600499" w:rsidP="00DC0670">
            <w:pPr>
              <w:spacing w:before="20" w:after="20"/>
              <w:jc w:val="right"/>
              <w:rPr>
                <w:noProof/>
                <w:sz w:val="20"/>
              </w:rPr>
            </w:pPr>
          </w:p>
        </w:tc>
        <w:tc>
          <w:tcPr>
            <w:tcW w:w="868" w:type="dxa"/>
            <w:vAlign w:val="center"/>
          </w:tcPr>
          <w:p w14:paraId="1F4E66C8" w14:textId="77777777" w:rsidR="00600499" w:rsidRDefault="00600499" w:rsidP="00DC0670">
            <w:pPr>
              <w:spacing w:before="20" w:after="20"/>
              <w:jc w:val="right"/>
              <w:rPr>
                <w:noProof/>
                <w:sz w:val="20"/>
              </w:rPr>
            </w:pPr>
          </w:p>
        </w:tc>
        <w:tc>
          <w:tcPr>
            <w:tcW w:w="868" w:type="dxa"/>
            <w:vAlign w:val="center"/>
          </w:tcPr>
          <w:p w14:paraId="1DC9C227" w14:textId="77777777" w:rsidR="00600499" w:rsidRDefault="00600499" w:rsidP="00DC0670">
            <w:pPr>
              <w:spacing w:before="20" w:after="20"/>
              <w:jc w:val="right"/>
              <w:rPr>
                <w:noProof/>
                <w:sz w:val="20"/>
              </w:rPr>
            </w:pPr>
          </w:p>
        </w:tc>
        <w:tc>
          <w:tcPr>
            <w:tcW w:w="868" w:type="dxa"/>
            <w:vAlign w:val="center"/>
          </w:tcPr>
          <w:p w14:paraId="602A0E2F" w14:textId="77777777" w:rsidR="00600499" w:rsidRDefault="00600499" w:rsidP="00DC0670">
            <w:pPr>
              <w:spacing w:before="20" w:after="20"/>
              <w:jc w:val="right"/>
              <w:rPr>
                <w:noProof/>
                <w:sz w:val="20"/>
              </w:rPr>
            </w:pPr>
          </w:p>
        </w:tc>
        <w:tc>
          <w:tcPr>
            <w:tcW w:w="868" w:type="dxa"/>
            <w:vAlign w:val="center"/>
          </w:tcPr>
          <w:p w14:paraId="486F0DDF" w14:textId="77777777" w:rsidR="00600499" w:rsidRDefault="00600499" w:rsidP="00DC0670">
            <w:pPr>
              <w:spacing w:before="20" w:after="20"/>
              <w:jc w:val="right"/>
              <w:rPr>
                <w:noProof/>
                <w:sz w:val="20"/>
              </w:rPr>
            </w:pPr>
          </w:p>
        </w:tc>
        <w:tc>
          <w:tcPr>
            <w:tcW w:w="868" w:type="dxa"/>
            <w:vAlign w:val="center"/>
          </w:tcPr>
          <w:p w14:paraId="6773F3F5" w14:textId="77777777" w:rsidR="00600499" w:rsidRDefault="00600499" w:rsidP="00DC0670">
            <w:pPr>
              <w:spacing w:before="20" w:after="20"/>
              <w:jc w:val="right"/>
              <w:rPr>
                <w:noProof/>
                <w:sz w:val="20"/>
              </w:rPr>
            </w:pPr>
          </w:p>
        </w:tc>
        <w:tc>
          <w:tcPr>
            <w:tcW w:w="868" w:type="dxa"/>
            <w:vAlign w:val="center"/>
          </w:tcPr>
          <w:p w14:paraId="6662F6F0" w14:textId="77777777" w:rsidR="00600499" w:rsidRDefault="00600499" w:rsidP="00DC0670">
            <w:pPr>
              <w:spacing w:before="20" w:after="20"/>
              <w:jc w:val="right"/>
              <w:rPr>
                <w:b/>
                <w:noProof/>
                <w:sz w:val="20"/>
              </w:rPr>
            </w:pPr>
          </w:p>
        </w:tc>
        <w:tc>
          <w:tcPr>
            <w:tcW w:w="1777" w:type="dxa"/>
            <w:vAlign w:val="center"/>
          </w:tcPr>
          <w:p w14:paraId="7DA83578" w14:textId="77777777" w:rsidR="00600499" w:rsidRDefault="00600499" w:rsidP="00DC0670">
            <w:pPr>
              <w:spacing w:before="20" w:after="20"/>
              <w:jc w:val="right"/>
              <w:rPr>
                <w:b/>
                <w:noProof/>
                <w:sz w:val="20"/>
              </w:rPr>
            </w:pPr>
          </w:p>
        </w:tc>
      </w:tr>
      <w:tr w:rsidR="00600499" w14:paraId="55094962" w14:textId="77777777" w:rsidTr="00DC0670">
        <w:trPr>
          <w:trHeight w:val="351"/>
        </w:trPr>
        <w:tc>
          <w:tcPr>
            <w:tcW w:w="6054" w:type="dxa"/>
            <w:gridSpan w:val="3"/>
            <w:vAlign w:val="center"/>
          </w:tcPr>
          <w:p w14:paraId="6E7A36F7" w14:textId="77777777" w:rsidR="00600499" w:rsidRDefault="00600499" w:rsidP="00DC0670">
            <w:pPr>
              <w:spacing w:before="20" w:after="20"/>
              <w:rPr>
                <w:noProof/>
              </w:rPr>
            </w:pPr>
            <w:r>
              <w:rPr>
                <w:noProof/>
                <w:sz w:val="22"/>
              </w:rPr>
              <w:sym w:font="Wingdings" w:char="F09F"/>
            </w:r>
            <w:r>
              <w:rPr>
                <w:noProof/>
                <w:sz w:val="22"/>
              </w:rPr>
              <w:t xml:space="preserve"> Other administrative expenditure </w:t>
            </w:r>
          </w:p>
        </w:tc>
        <w:tc>
          <w:tcPr>
            <w:tcW w:w="868" w:type="dxa"/>
            <w:vAlign w:val="center"/>
          </w:tcPr>
          <w:p w14:paraId="619B902C" w14:textId="77777777" w:rsidR="00600499" w:rsidRDefault="00600499" w:rsidP="00DC0670">
            <w:pPr>
              <w:spacing w:before="20" w:after="20"/>
              <w:jc w:val="right"/>
              <w:rPr>
                <w:b/>
                <w:noProof/>
                <w:sz w:val="20"/>
              </w:rPr>
            </w:pPr>
          </w:p>
        </w:tc>
        <w:tc>
          <w:tcPr>
            <w:tcW w:w="868" w:type="dxa"/>
            <w:vAlign w:val="center"/>
          </w:tcPr>
          <w:p w14:paraId="27F6DE4C" w14:textId="77777777" w:rsidR="00600499" w:rsidRDefault="00600499" w:rsidP="00DC0670">
            <w:pPr>
              <w:spacing w:before="20" w:after="20"/>
              <w:jc w:val="right"/>
              <w:rPr>
                <w:b/>
                <w:noProof/>
                <w:sz w:val="20"/>
              </w:rPr>
            </w:pPr>
          </w:p>
        </w:tc>
        <w:tc>
          <w:tcPr>
            <w:tcW w:w="868" w:type="dxa"/>
            <w:vAlign w:val="center"/>
          </w:tcPr>
          <w:p w14:paraId="44BADC2E" w14:textId="77777777" w:rsidR="00600499" w:rsidRDefault="00600499" w:rsidP="00DC0670">
            <w:pPr>
              <w:spacing w:before="20" w:after="20"/>
              <w:jc w:val="right"/>
              <w:rPr>
                <w:b/>
                <w:noProof/>
                <w:sz w:val="20"/>
              </w:rPr>
            </w:pPr>
          </w:p>
        </w:tc>
        <w:tc>
          <w:tcPr>
            <w:tcW w:w="868" w:type="dxa"/>
            <w:vAlign w:val="center"/>
          </w:tcPr>
          <w:p w14:paraId="4F9DB0FE" w14:textId="77777777" w:rsidR="00600499" w:rsidRDefault="00600499" w:rsidP="00DC0670">
            <w:pPr>
              <w:spacing w:before="20" w:after="20"/>
              <w:jc w:val="right"/>
              <w:rPr>
                <w:b/>
                <w:noProof/>
                <w:sz w:val="20"/>
              </w:rPr>
            </w:pPr>
          </w:p>
        </w:tc>
        <w:tc>
          <w:tcPr>
            <w:tcW w:w="868" w:type="dxa"/>
            <w:vAlign w:val="center"/>
          </w:tcPr>
          <w:p w14:paraId="6F9BE9C5" w14:textId="77777777" w:rsidR="00600499" w:rsidRDefault="00600499" w:rsidP="00DC0670">
            <w:pPr>
              <w:spacing w:before="20" w:after="20"/>
              <w:jc w:val="right"/>
              <w:rPr>
                <w:b/>
                <w:noProof/>
                <w:sz w:val="20"/>
              </w:rPr>
            </w:pPr>
          </w:p>
        </w:tc>
        <w:tc>
          <w:tcPr>
            <w:tcW w:w="868" w:type="dxa"/>
            <w:vAlign w:val="center"/>
          </w:tcPr>
          <w:p w14:paraId="4B64212D" w14:textId="77777777" w:rsidR="00600499" w:rsidRDefault="00600499" w:rsidP="00DC0670">
            <w:pPr>
              <w:spacing w:before="20" w:after="20"/>
              <w:jc w:val="right"/>
              <w:rPr>
                <w:b/>
                <w:noProof/>
                <w:sz w:val="20"/>
              </w:rPr>
            </w:pPr>
          </w:p>
        </w:tc>
        <w:tc>
          <w:tcPr>
            <w:tcW w:w="868" w:type="dxa"/>
            <w:vAlign w:val="center"/>
          </w:tcPr>
          <w:p w14:paraId="5B59A9DE" w14:textId="77777777" w:rsidR="00600499" w:rsidRDefault="00600499" w:rsidP="00DC0670">
            <w:pPr>
              <w:spacing w:before="20" w:after="20"/>
              <w:jc w:val="right"/>
              <w:rPr>
                <w:b/>
                <w:noProof/>
                <w:sz w:val="20"/>
              </w:rPr>
            </w:pPr>
          </w:p>
        </w:tc>
        <w:tc>
          <w:tcPr>
            <w:tcW w:w="1777" w:type="dxa"/>
            <w:vAlign w:val="center"/>
          </w:tcPr>
          <w:p w14:paraId="19D6806B" w14:textId="77777777" w:rsidR="00600499" w:rsidRDefault="00600499" w:rsidP="00DC0670">
            <w:pPr>
              <w:spacing w:before="20" w:after="20"/>
              <w:jc w:val="right"/>
              <w:rPr>
                <w:b/>
                <w:noProof/>
                <w:sz w:val="20"/>
              </w:rPr>
            </w:pPr>
          </w:p>
        </w:tc>
      </w:tr>
      <w:tr w:rsidR="00600499" w14:paraId="70005C6B" w14:textId="77777777" w:rsidTr="00DC0670">
        <w:tc>
          <w:tcPr>
            <w:tcW w:w="3960" w:type="dxa"/>
            <w:vAlign w:val="center"/>
          </w:tcPr>
          <w:p w14:paraId="60511D80" w14:textId="77777777" w:rsidR="00600499" w:rsidRDefault="00600499" w:rsidP="00DC0670">
            <w:pPr>
              <w:jc w:val="center"/>
              <w:rPr>
                <w:b/>
                <w:noProof/>
              </w:rPr>
            </w:pPr>
            <w:r>
              <w:rPr>
                <w:b/>
                <w:noProof/>
                <w:sz w:val="22"/>
              </w:rPr>
              <w:t xml:space="preserve">TOTAL DG </w:t>
            </w:r>
            <w:r w:rsidRPr="005828C6">
              <w:rPr>
                <w:noProof/>
              </w:rPr>
              <w:t>&lt;…….&gt;</w:t>
            </w:r>
          </w:p>
        </w:tc>
        <w:tc>
          <w:tcPr>
            <w:tcW w:w="2094" w:type="dxa"/>
            <w:gridSpan w:val="2"/>
            <w:vAlign w:val="center"/>
          </w:tcPr>
          <w:p w14:paraId="22E59CBB" w14:textId="77777777" w:rsidR="00600499" w:rsidRDefault="00600499" w:rsidP="00DC0670">
            <w:pPr>
              <w:rPr>
                <w:noProof/>
                <w:sz w:val="14"/>
              </w:rPr>
            </w:pPr>
            <w:r>
              <w:rPr>
                <w:noProof/>
                <w:sz w:val="18"/>
              </w:rPr>
              <w:t xml:space="preserve">Appropriations </w:t>
            </w:r>
          </w:p>
        </w:tc>
        <w:tc>
          <w:tcPr>
            <w:tcW w:w="868" w:type="dxa"/>
            <w:vAlign w:val="center"/>
          </w:tcPr>
          <w:p w14:paraId="5DBA749E" w14:textId="77777777" w:rsidR="00600499" w:rsidRDefault="00600499" w:rsidP="00DC0670">
            <w:pPr>
              <w:spacing w:before="60" w:after="60"/>
              <w:jc w:val="right"/>
              <w:rPr>
                <w:noProof/>
                <w:sz w:val="20"/>
              </w:rPr>
            </w:pPr>
          </w:p>
        </w:tc>
        <w:tc>
          <w:tcPr>
            <w:tcW w:w="868" w:type="dxa"/>
            <w:vAlign w:val="center"/>
          </w:tcPr>
          <w:p w14:paraId="5518C490" w14:textId="77777777" w:rsidR="00600499" w:rsidRDefault="00600499" w:rsidP="00DC0670">
            <w:pPr>
              <w:spacing w:before="20" w:after="20"/>
              <w:jc w:val="right"/>
              <w:rPr>
                <w:noProof/>
                <w:sz w:val="20"/>
              </w:rPr>
            </w:pPr>
          </w:p>
        </w:tc>
        <w:tc>
          <w:tcPr>
            <w:tcW w:w="868" w:type="dxa"/>
            <w:vAlign w:val="center"/>
          </w:tcPr>
          <w:p w14:paraId="3239A91F" w14:textId="77777777" w:rsidR="00600499" w:rsidRDefault="00600499" w:rsidP="00DC0670">
            <w:pPr>
              <w:spacing w:before="20" w:after="20"/>
              <w:jc w:val="right"/>
              <w:rPr>
                <w:noProof/>
                <w:sz w:val="20"/>
              </w:rPr>
            </w:pPr>
          </w:p>
        </w:tc>
        <w:tc>
          <w:tcPr>
            <w:tcW w:w="868" w:type="dxa"/>
            <w:vAlign w:val="center"/>
          </w:tcPr>
          <w:p w14:paraId="6919D7CF" w14:textId="77777777" w:rsidR="00600499" w:rsidRDefault="00600499" w:rsidP="00DC0670">
            <w:pPr>
              <w:spacing w:before="20" w:after="20"/>
              <w:jc w:val="right"/>
              <w:rPr>
                <w:noProof/>
                <w:sz w:val="20"/>
              </w:rPr>
            </w:pPr>
          </w:p>
        </w:tc>
        <w:tc>
          <w:tcPr>
            <w:tcW w:w="868" w:type="dxa"/>
            <w:vAlign w:val="center"/>
          </w:tcPr>
          <w:p w14:paraId="1F792054" w14:textId="77777777" w:rsidR="00600499" w:rsidRDefault="00600499" w:rsidP="00DC0670">
            <w:pPr>
              <w:spacing w:before="20" w:after="20"/>
              <w:jc w:val="right"/>
              <w:rPr>
                <w:noProof/>
                <w:sz w:val="20"/>
              </w:rPr>
            </w:pPr>
          </w:p>
        </w:tc>
        <w:tc>
          <w:tcPr>
            <w:tcW w:w="868" w:type="dxa"/>
            <w:vAlign w:val="center"/>
          </w:tcPr>
          <w:p w14:paraId="04DA0139" w14:textId="77777777" w:rsidR="00600499" w:rsidRDefault="00600499" w:rsidP="00DC0670">
            <w:pPr>
              <w:spacing w:before="20" w:after="20"/>
              <w:jc w:val="right"/>
              <w:rPr>
                <w:noProof/>
                <w:sz w:val="20"/>
              </w:rPr>
            </w:pPr>
          </w:p>
        </w:tc>
        <w:tc>
          <w:tcPr>
            <w:tcW w:w="868" w:type="dxa"/>
            <w:vAlign w:val="center"/>
          </w:tcPr>
          <w:p w14:paraId="3A6D9EDB" w14:textId="77777777" w:rsidR="00600499" w:rsidRDefault="00600499" w:rsidP="00DC0670">
            <w:pPr>
              <w:spacing w:before="20" w:after="20"/>
              <w:jc w:val="right"/>
              <w:rPr>
                <w:b/>
                <w:noProof/>
                <w:sz w:val="20"/>
              </w:rPr>
            </w:pPr>
          </w:p>
        </w:tc>
        <w:tc>
          <w:tcPr>
            <w:tcW w:w="1777" w:type="dxa"/>
            <w:vAlign w:val="center"/>
          </w:tcPr>
          <w:p w14:paraId="1A740569" w14:textId="77777777" w:rsidR="00600499" w:rsidRDefault="00600499" w:rsidP="00DC0670">
            <w:pPr>
              <w:spacing w:before="20" w:after="20"/>
              <w:jc w:val="right"/>
              <w:rPr>
                <w:b/>
                <w:noProof/>
                <w:sz w:val="20"/>
              </w:rPr>
            </w:pPr>
          </w:p>
        </w:tc>
      </w:tr>
    </w:tbl>
    <w:p w14:paraId="58E65574" w14:textId="77777777" w:rsidR="00600499" w:rsidRDefault="00600499" w:rsidP="00600499">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600499" w14:paraId="4E181A0B" w14:textId="77777777" w:rsidTr="00DC0670">
        <w:tc>
          <w:tcPr>
            <w:tcW w:w="3960" w:type="dxa"/>
            <w:shd w:val="thinDiagStripe" w:color="C0C0C0" w:fill="auto"/>
            <w:vAlign w:val="center"/>
          </w:tcPr>
          <w:p w14:paraId="1769223A" w14:textId="77777777" w:rsidR="00600499" w:rsidRDefault="00600499" w:rsidP="00DC0670">
            <w:pPr>
              <w:jc w:val="center"/>
              <w:rPr>
                <w:b/>
                <w:noProof/>
              </w:rPr>
            </w:pPr>
            <w:r>
              <w:rPr>
                <w:b/>
                <w:noProof/>
                <w:sz w:val="22"/>
              </w:rPr>
              <w:t>TOTAL appropriations</w:t>
            </w:r>
            <w:r>
              <w:rPr>
                <w:noProof/>
                <w:sz w:val="22"/>
              </w:rPr>
              <w:br/>
            </w:r>
            <w:r>
              <w:rPr>
                <w:b/>
                <w:noProof/>
                <w:sz w:val="22"/>
              </w:rPr>
              <w:t>under HEADING 7</w:t>
            </w:r>
            <w:r>
              <w:rPr>
                <w:noProof/>
                <w:sz w:val="22"/>
              </w:rPr>
              <w:br/>
              <w:t>of the multiannual financial framework</w:t>
            </w:r>
            <w:r>
              <w:rPr>
                <w:b/>
                <w:noProof/>
                <w:sz w:val="22"/>
              </w:rPr>
              <w:t xml:space="preserve"> </w:t>
            </w:r>
          </w:p>
        </w:tc>
        <w:tc>
          <w:tcPr>
            <w:tcW w:w="2094" w:type="dxa"/>
            <w:vAlign w:val="center"/>
          </w:tcPr>
          <w:p w14:paraId="3752D1CE" w14:textId="77777777" w:rsidR="00600499" w:rsidRDefault="00600499" w:rsidP="00DC0670">
            <w:pPr>
              <w:spacing w:before="40" w:after="40"/>
              <w:rPr>
                <w:noProof/>
              </w:rPr>
            </w:pPr>
            <w:r>
              <w:rPr>
                <w:noProof/>
                <w:sz w:val="18"/>
              </w:rPr>
              <w:t>(Total commitments = Total payments)</w:t>
            </w:r>
          </w:p>
        </w:tc>
        <w:tc>
          <w:tcPr>
            <w:tcW w:w="868" w:type="dxa"/>
            <w:vAlign w:val="center"/>
          </w:tcPr>
          <w:p w14:paraId="7F47914A" w14:textId="77777777" w:rsidR="00600499" w:rsidRDefault="00600499" w:rsidP="00DC0670">
            <w:pPr>
              <w:spacing w:before="20" w:after="20"/>
              <w:jc w:val="right"/>
              <w:rPr>
                <w:noProof/>
                <w:sz w:val="20"/>
              </w:rPr>
            </w:pPr>
          </w:p>
        </w:tc>
        <w:tc>
          <w:tcPr>
            <w:tcW w:w="868" w:type="dxa"/>
            <w:vAlign w:val="center"/>
          </w:tcPr>
          <w:p w14:paraId="779DD2B1" w14:textId="77777777" w:rsidR="00600499" w:rsidRDefault="00600499" w:rsidP="00DC0670">
            <w:pPr>
              <w:spacing w:before="20" w:after="20"/>
              <w:jc w:val="right"/>
              <w:rPr>
                <w:noProof/>
                <w:sz w:val="20"/>
              </w:rPr>
            </w:pPr>
          </w:p>
        </w:tc>
        <w:tc>
          <w:tcPr>
            <w:tcW w:w="868" w:type="dxa"/>
            <w:vAlign w:val="center"/>
          </w:tcPr>
          <w:p w14:paraId="7CA8D898" w14:textId="77777777" w:rsidR="00600499" w:rsidRDefault="00600499" w:rsidP="00DC0670">
            <w:pPr>
              <w:spacing w:before="20" w:after="20"/>
              <w:jc w:val="right"/>
              <w:rPr>
                <w:noProof/>
                <w:sz w:val="20"/>
              </w:rPr>
            </w:pPr>
          </w:p>
        </w:tc>
        <w:tc>
          <w:tcPr>
            <w:tcW w:w="868" w:type="dxa"/>
            <w:vAlign w:val="center"/>
          </w:tcPr>
          <w:p w14:paraId="748A28A4" w14:textId="77777777" w:rsidR="00600499" w:rsidRDefault="00600499" w:rsidP="00DC0670">
            <w:pPr>
              <w:spacing w:before="20" w:after="20"/>
              <w:jc w:val="right"/>
              <w:rPr>
                <w:noProof/>
                <w:sz w:val="20"/>
              </w:rPr>
            </w:pPr>
          </w:p>
        </w:tc>
        <w:tc>
          <w:tcPr>
            <w:tcW w:w="868" w:type="dxa"/>
            <w:vAlign w:val="center"/>
          </w:tcPr>
          <w:p w14:paraId="73460B4B" w14:textId="77777777" w:rsidR="00600499" w:rsidRDefault="00600499" w:rsidP="00DC0670">
            <w:pPr>
              <w:spacing w:before="20" w:after="20"/>
              <w:jc w:val="right"/>
              <w:rPr>
                <w:noProof/>
                <w:sz w:val="20"/>
              </w:rPr>
            </w:pPr>
          </w:p>
        </w:tc>
        <w:tc>
          <w:tcPr>
            <w:tcW w:w="868" w:type="dxa"/>
            <w:vAlign w:val="center"/>
          </w:tcPr>
          <w:p w14:paraId="612C35DA" w14:textId="77777777" w:rsidR="00600499" w:rsidRDefault="00600499" w:rsidP="00DC0670">
            <w:pPr>
              <w:spacing w:before="20" w:after="20"/>
              <w:jc w:val="right"/>
              <w:rPr>
                <w:noProof/>
                <w:sz w:val="20"/>
              </w:rPr>
            </w:pPr>
          </w:p>
        </w:tc>
        <w:tc>
          <w:tcPr>
            <w:tcW w:w="868" w:type="dxa"/>
            <w:vAlign w:val="center"/>
          </w:tcPr>
          <w:p w14:paraId="781AE4E7" w14:textId="77777777" w:rsidR="00600499" w:rsidRDefault="00600499" w:rsidP="00DC0670">
            <w:pPr>
              <w:spacing w:before="20" w:after="20"/>
              <w:jc w:val="right"/>
              <w:rPr>
                <w:b/>
                <w:noProof/>
                <w:sz w:val="20"/>
              </w:rPr>
            </w:pPr>
          </w:p>
        </w:tc>
        <w:tc>
          <w:tcPr>
            <w:tcW w:w="1777" w:type="dxa"/>
            <w:vAlign w:val="center"/>
          </w:tcPr>
          <w:p w14:paraId="3ACC63A9" w14:textId="77777777" w:rsidR="00600499" w:rsidRDefault="00600499" w:rsidP="00DC0670">
            <w:pPr>
              <w:spacing w:before="20" w:after="20"/>
              <w:jc w:val="right"/>
              <w:rPr>
                <w:b/>
                <w:noProof/>
                <w:sz w:val="20"/>
              </w:rPr>
            </w:pPr>
          </w:p>
        </w:tc>
      </w:tr>
    </w:tbl>
    <w:p w14:paraId="0DABF50F" w14:textId="77777777" w:rsidR="00600499" w:rsidRDefault="00600499" w:rsidP="00600499">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1341"/>
        <w:gridCol w:w="1304"/>
      </w:tblGrid>
      <w:tr w:rsidR="00600499" w14:paraId="6347D29C" w14:textId="77777777" w:rsidTr="00DC0670">
        <w:tc>
          <w:tcPr>
            <w:tcW w:w="3960" w:type="dxa"/>
            <w:tcBorders>
              <w:top w:val="nil"/>
              <w:left w:val="nil"/>
              <w:right w:val="nil"/>
            </w:tcBorders>
            <w:vAlign w:val="center"/>
          </w:tcPr>
          <w:p w14:paraId="18E50ADB" w14:textId="77777777" w:rsidR="00600499" w:rsidRDefault="00600499" w:rsidP="00DC0670">
            <w:pPr>
              <w:jc w:val="center"/>
              <w:rPr>
                <w:noProof/>
              </w:rPr>
            </w:pPr>
          </w:p>
        </w:tc>
        <w:tc>
          <w:tcPr>
            <w:tcW w:w="1560" w:type="dxa"/>
            <w:tcBorders>
              <w:top w:val="nil"/>
              <w:left w:val="nil"/>
              <w:right w:val="nil"/>
            </w:tcBorders>
          </w:tcPr>
          <w:p w14:paraId="25DE3533" w14:textId="77777777" w:rsidR="00600499" w:rsidRDefault="00600499" w:rsidP="00DC0670">
            <w:pPr>
              <w:rPr>
                <w:noProof/>
                <w:sz w:val="20"/>
              </w:rPr>
            </w:pPr>
          </w:p>
        </w:tc>
        <w:tc>
          <w:tcPr>
            <w:tcW w:w="534" w:type="dxa"/>
            <w:tcBorders>
              <w:top w:val="nil"/>
              <w:left w:val="nil"/>
            </w:tcBorders>
          </w:tcPr>
          <w:p w14:paraId="58AB9D7F" w14:textId="77777777" w:rsidR="00600499" w:rsidRDefault="00600499" w:rsidP="00DC0670">
            <w:pPr>
              <w:jc w:val="center"/>
              <w:rPr>
                <w:noProof/>
                <w:sz w:val="20"/>
              </w:rPr>
            </w:pPr>
          </w:p>
        </w:tc>
        <w:tc>
          <w:tcPr>
            <w:tcW w:w="868" w:type="dxa"/>
            <w:vAlign w:val="center"/>
          </w:tcPr>
          <w:p w14:paraId="4AC60546" w14:textId="77777777" w:rsidR="00600499" w:rsidRDefault="00600499" w:rsidP="00DC0670">
            <w:pPr>
              <w:jc w:val="center"/>
              <w:rPr>
                <w:noProof/>
                <w:sz w:val="20"/>
              </w:rPr>
            </w:pPr>
            <w:r>
              <w:rPr>
                <w:noProof/>
                <w:sz w:val="20"/>
              </w:rPr>
              <w:t>Year</w:t>
            </w:r>
            <w:r>
              <w:rPr>
                <w:noProof/>
                <w:sz w:val="22"/>
              </w:rPr>
              <w:br/>
            </w:r>
            <w:r>
              <w:rPr>
                <w:b/>
                <w:noProof/>
                <w:sz w:val="20"/>
              </w:rPr>
              <w:t>2025</w:t>
            </w:r>
          </w:p>
        </w:tc>
        <w:tc>
          <w:tcPr>
            <w:tcW w:w="868" w:type="dxa"/>
            <w:vAlign w:val="center"/>
          </w:tcPr>
          <w:p w14:paraId="29C53D1A" w14:textId="77777777" w:rsidR="00600499" w:rsidRDefault="00600499" w:rsidP="00DC0670">
            <w:pPr>
              <w:jc w:val="center"/>
              <w:rPr>
                <w:noProof/>
                <w:sz w:val="20"/>
              </w:rPr>
            </w:pPr>
            <w:r>
              <w:rPr>
                <w:noProof/>
                <w:sz w:val="20"/>
              </w:rPr>
              <w:t>Year</w:t>
            </w:r>
            <w:r>
              <w:rPr>
                <w:noProof/>
                <w:sz w:val="22"/>
              </w:rPr>
              <w:br/>
            </w:r>
            <w:r>
              <w:rPr>
                <w:b/>
                <w:noProof/>
                <w:sz w:val="20"/>
              </w:rPr>
              <w:t>2026</w:t>
            </w:r>
          </w:p>
        </w:tc>
        <w:tc>
          <w:tcPr>
            <w:tcW w:w="868" w:type="dxa"/>
            <w:vAlign w:val="center"/>
          </w:tcPr>
          <w:p w14:paraId="0EC5CCCA" w14:textId="77777777" w:rsidR="00600499" w:rsidRDefault="00600499" w:rsidP="00DC0670">
            <w:pPr>
              <w:jc w:val="center"/>
              <w:rPr>
                <w:noProof/>
                <w:sz w:val="20"/>
              </w:rPr>
            </w:pPr>
            <w:r>
              <w:rPr>
                <w:noProof/>
                <w:sz w:val="20"/>
              </w:rPr>
              <w:t>Year</w:t>
            </w:r>
            <w:r>
              <w:rPr>
                <w:noProof/>
                <w:sz w:val="22"/>
              </w:rPr>
              <w:br/>
            </w:r>
            <w:r>
              <w:rPr>
                <w:b/>
                <w:noProof/>
                <w:sz w:val="20"/>
              </w:rPr>
              <w:t>2027</w:t>
            </w:r>
          </w:p>
        </w:tc>
        <w:tc>
          <w:tcPr>
            <w:tcW w:w="1341" w:type="dxa"/>
          </w:tcPr>
          <w:p w14:paraId="554E19A7" w14:textId="77777777" w:rsidR="00600499" w:rsidRDefault="00600499" w:rsidP="00DC0670">
            <w:pPr>
              <w:jc w:val="center"/>
              <w:rPr>
                <w:noProof/>
                <w:sz w:val="20"/>
              </w:rPr>
            </w:pPr>
            <w:r w:rsidRPr="002A4CF4">
              <w:rPr>
                <w:noProof/>
                <w:sz w:val="20"/>
              </w:rPr>
              <w:t>Year</w:t>
            </w:r>
            <w:r w:rsidRPr="002A4CF4">
              <w:rPr>
                <w:noProof/>
                <w:sz w:val="22"/>
              </w:rPr>
              <w:br/>
            </w:r>
            <w:r>
              <w:rPr>
                <w:b/>
                <w:noProof/>
                <w:sz w:val="20"/>
              </w:rPr>
              <w:t>2028-2034</w:t>
            </w:r>
          </w:p>
        </w:tc>
        <w:tc>
          <w:tcPr>
            <w:tcW w:w="1304" w:type="dxa"/>
            <w:vAlign w:val="center"/>
          </w:tcPr>
          <w:p w14:paraId="303B0551" w14:textId="77777777" w:rsidR="00600499" w:rsidRDefault="00600499" w:rsidP="00DC0670">
            <w:pPr>
              <w:jc w:val="center"/>
              <w:rPr>
                <w:b/>
                <w:noProof/>
                <w:sz w:val="20"/>
              </w:rPr>
            </w:pPr>
            <w:r>
              <w:rPr>
                <w:b/>
                <w:noProof/>
                <w:sz w:val="20"/>
              </w:rPr>
              <w:t>TOTAL</w:t>
            </w:r>
          </w:p>
        </w:tc>
      </w:tr>
      <w:tr w:rsidR="00202A4C" w14:paraId="6388DC8F" w14:textId="77777777" w:rsidTr="00DC0670">
        <w:tc>
          <w:tcPr>
            <w:tcW w:w="3960" w:type="dxa"/>
            <w:vMerge w:val="restart"/>
            <w:shd w:val="clear" w:color="auto" w:fill="C0C0C0"/>
            <w:vAlign w:val="center"/>
          </w:tcPr>
          <w:p w14:paraId="556790E0" w14:textId="77777777" w:rsidR="00202A4C" w:rsidRDefault="00202A4C" w:rsidP="00202A4C">
            <w:pPr>
              <w:jc w:val="center"/>
              <w:rPr>
                <w:b/>
                <w:noProof/>
              </w:rPr>
            </w:pPr>
            <w:r>
              <w:rPr>
                <w:b/>
                <w:noProof/>
                <w:sz w:val="22"/>
              </w:rPr>
              <w:t xml:space="preserve">TOTAL appropriations </w:t>
            </w:r>
            <w:r>
              <w:rPr>
                <w:noProof/>
                <w:sz w:val="22"/>
              </w:rPr>
              <w:br/>
            </w:r>
            <w:r>
              <w:rPr>
                <w:b/>
                <w:noProof/>
                <w:sz w:val="22"/>
              </w:rPr>
              <w:t>under HEADINGS 1 to 7</w:t>
            </w:r>
            <w:r>
              <w:rPr>
                <w:noProof/>
                <w:sz w:val="22"/>
              </w:rPr>
              <w:br/>
              <w:t>of the multiannual financial framework</w:t>
            </w:r>
            <w:r>
              <w:rPr>
                <w:b/>
                <w:noProof/>
                <w:sz w:val="22"/>
              </w:rPr>
              <w:t xml:space="preserve"> </w:t>
            </w:r>
          </w:p>
        </w:tc>
        <w:tc>
          <w:tcPr>
            <w:tcW w:w="2094" w:type="dxa"/>
            <w:gridSpan w:val="2"/>
            <w:vAlign w:val="center"/>
          </w:tcPr>
          <w:p w14:paraId="012DB1ED" w14:textId="77777777" w:rsidR="00202A4C" w:rsidRDefault="00202A4C" w:rsidP="00202A4C">
            <w:pPr>
              <w:rPr>
                <w:noProof/>
                <w:sz w:val="14"/>
              </w:rPr>
            </w:pPr>
            <w:r>
              <w:rPr>
                <w:noProof/>
                <w:sz w:val="18"/>
              </w:rPr>
              <w:t>Commitments</w:t>
            </w:r>
          </w:p>
        </w:tc>
        <w:tc>
          <w:tcPr>
            <w:tcW w:w="868" w:type="dxa"/>
          </w:tcPr>
          <w:p w14:paraId="510F8EB0" w14:textId="77777777" w:rsidR="00202A4C" w:rsidRDefault="00202A4C" w:rsidP="00202A4C">
            <w:pPr>
              <w:spacing w:before="60" w:after="60"/>
              <w:jc w:val="right"/>
              <w:rPr>
                <w:noProof/>
                <w:sz w:val="20"/>
              </w:rPr>
            </w:pPr>
            <w:r w:rsidRPr="00DC2E0A">
              <w:rPr>
                <w:noProof/>
              </w:rPr>
              <w:t>9.739</w:t>
            </w:r>
          </w:p>
        </w:tc>
        <w:tc>
          <w:tcPr>
            <w:tcW w:w="868" w:type="dxa"/>
          </w:tcPr>
          <w:p w14:paraId="5CE1DB9D" w14:textId="77777777" w:rsidR="00202A4C" w:rsidRDefault="00202A4C" w:rsidP="00202A4C">
            <w:pPr>
              <w:spacing w:before="60" w:after="60"/>
              <w:jc w:val="right"/>
              <w:rPr>
                <w:noProof/>
                <w:sz w:val="20"/>
              </w:rPr>
            </w:pPr>
            <w:r w:rsidRPr="00407155">
              <w:rPr>
                <w:noProof/>
                <w:sz w:val="20"/>
                <w:szCs w:val="20"/>
              </w:rPr>
              <w:t>20.089</w:t>
            </w:r>
          </w:p>
        </w:tc>
        <w:tc>
          <w:tcPr>
            <w:tcW w:w="868" w:type="dxa"/>
          </w:tcPr>
          <w:p w14:paraId="5FB30DFE" w14:textId="77777777" w:rsidR="00202A4C" w:rsidRDefault="00202A4C" w:rsidP="00202A4C">
            <w:pPr>
              <w:spacing w:before="60" w:after="60"/>
              <w:jc w:val="right"/>
              <w:rPr>
                <w:noProof/>
                <w:sz w:val="20"/>
              </w:rPr>
            </w:pPr>
            <w:r w:rsidRPr="00407155">
              <w:rPr>
                <w:noProof/>
                <w:sz w:val="20"/>
                <w:szCs w:val="20"/>
              </w:rPr>
              <w:t>21.170</w:t>
            </w:r>
          </w:p>
        </w:tc>
        <w:tc>
          <w:tcPr>
            <w:tcW w:w="1341" w:type="dxa"/>
          </w:tcPr>
          <w:p w14:paraId="732CC20E" w14:textId="77777777" w:rsidR="00202A4C" w:rsidRDefault="00202A4C" w:rsidP="00202A4C">
            <w:pPr>
              <w:spacing w:before="60" w:after="60"/>
              <w:jc w:val="right"/>
              <w:rPr>
                <w:noProof/>
                <w:sz w:val="20"/>
              </w:rPr>
            </w:pPr>
            <w:r w:rsidRPr="00407155">
              <w:rPr>
                <w:noProof/>
                <w:sz w:val="20"/>
                <w:szCs w:val="20"/>
              </w:rPr>
              <w:t>169.156</w:t>
            </w:r>
          </w:p>
        </w:tc>
        <w:tc>
          <w:tcPr>
            <w:tcW w:w="1304" w:type="dxa"/>
          </w:tcPr>
          <w:p w14:paraId="171D8BCC" w14:textId="77777777" w:rsidR="00202A4C" w:rsidRPr="00202A4C" w:rsidRDefault="00202A4C" w:rsidP="00202A4C">
            <w:pPr>
              <w:spacing w:before="60" w:after="60"/>
              <w:jc w:val="right"/>
              <w:rPr>
                <w:b/>
                <w:noProof/>
                <w:sz w:val="20"/>
              </w:rPr>
            </w:pPr>
            <w:r w:rsidRPr="00202A4C">
              <w:rPr>
                <w:b/>
                <w:noProof/>
              </w:rPr>
              <w:t>220.154</w:t>
            </w:r>
          </w:p>
        </w:tc>
      </w:tr>
      <w:tr w:rsidR="00202A4C" w14:paraId="63323610" w14:textId="77777777" w:rsidTr="00DC0670">
        <w:tc>
          <w:tcPr>
            <w:tcW w:w="3960" w:type="dxa"/>
            <w:vMerge/>
            <w:vAlign w:val="center"/>
          </w:tcPr>
          <w:p w14:paraId="148256C8" w14:textId="77777777" w:rsidR="00202A4C" w:rsidRDefault="00202A4C" w:rsidP="00202A4C">
            <w:pPr>
              <w:rPr>
                <w:b/>
                <w:noProof/>
              </w:rPr>
            </w:pPr>
          </w:p>
        </w:tc>
        <w:tc>
          <w:tcPr>
            <w:tcW w:w="2094" w:type="dxa"/>
            <w:gridSpan w:val="2"/>
            <w:vAlign w:val="center"/>
          </w:tcPr>
          <w:p w14:paraId="674801A8" w14:textId="77777777" w:rsidR="00202A4C" w:rsidRDefault="00202A4C" w:rsidP="00202A4C">
            <w:pPr>
              <w:rPr>
                <w:noProof/>
                <w:sz w:val="14"/>
              </w:rPr>
            </w:pPr>
            <w:r>
              <w:rPr>
                <w:noProof/>
                <w:sz w:val="18"/>
              </w:rPr>
              <w:t>Payments</w:t>
            </w:r>
          </w:p>
        </w:tc>
        <w:tc>
          <w:tcPr>
            <w:tcW w:w="868" w:type="dxa"/>
          </w:tcPr>
          <w:p w14:paraId="5074836A" w14:textId="77777777" w:rsidR="00202A4C" w:rsidRDefault="00202A4C" w:rsidP="00202A4C">
            <w:pPr>
              <w:spacing w:before="60" w:after="60"/>
              <w:jc w:val="right"/>
              <w:rPr>
                <w:noProof/>
                <w:sz w:val="20"/>
              </w:rPr>
            </w:pPr>
            <w:r w:rsidRPr="00DC2E0A">
              <w:rPr>
                <w:noProof/>
              </w:rPr>
              <w:t>9.739</w:t>
            </w:r>
          </w:p>
        </w:tc>
        <w:tc>
          <w:tcPr>
            <w:tcW w:w="868" w:type="dxa"/>
          </w:tcPr>
          <w:p w14:paraId="20E25D3D" w14:textId="77777777" w:rsidR="00202A4C" w:rsidRDefault="00202A4C" w:rsidP="00202A4C">
            <w:pPr>
              <w:spacing w:before="60" w:after="60"/>
              <w:jc w:val="right"/>
              <w:rPr>
                <w:noProof/>
                <w:sz w:val="20"/>
              </w:rPr>
            </w:pPr>
            <w:r w:rsidRPr="00407155">
              <w:rPr>
                <w:noProof/>
                <w:sz w:val="20"/>
                <w:szCs w:val="20"/>
              </w:rPr>
              <w:t>20.089</w:t>
            </w:r>
          </w:p>
        </w:tc>
        <w:tc>
          <w:tcPr>
            <w:tcW w:w="868" w:type="dxa"/>
          </w:tcPr>
          <w:p w14:paraId="271FBDEF" w14:textId="77777777" w:rsidR="00202A4C" w:rsidRDefault="00202A4C" w:rsidP="00202A4C">
            <w:pPr>
              <w:spacing w:before="60" w:after="60"/>
              <w:jc w:val="right"/>
              <w:rPr>
                <w:noProof/>
                <w:sz w:val="20"/>
              </w:rPr>
            </w:pPr>
            <w:r w:rsidRPr="00407155">
              <w:rPr>
                <w:noProof/>
                <w:sz w:val="20"/>
                <w:szCs w:val="20"/>
              </w:rPr>
              <w:t>21.170</w:t>
            </w:r>
          </w:p>
        </w:tc>
        <w:tc>
          <w:tcPr>
            <w:tcW w:w="1341" w:type="dxa"/>
          </w:tcPr>
          <w:p w14:paraId="07C64C53" w14:textId="77777777" w:rsidR="00202A4C" w:rsidRDefault="00202A4C" w:rsidP="00202A4C">
            <w:pPr>
              <w:spacing w:before="60" w:after="60"/>
              <w:jc w:val="right"/>
              <w:rPr>
                <w:noProof/>
                <w:sz w:val="20"/>
              </w:rPr>
            </w:pPr>
            <w:r w:rsidRPr="00407155">
              <w:rPr>
                <w:noProof/>
                <w:sz w:val="20"/>
                <w:szCs w:val="20"/>
              </w:rPr>
              <w:t>169.156</w:t>
            </w:r>
          </w:p>
        </w:tc>
        <w:tc>
          <w:tcPr>
            <w:tcW w:w="1304" w:type="dxa"/>
          </w:tcPr>
          <w:p w14:paraId="5D6ABF1A" w14:textId="77777777" w:rsidR="00202A4C" w:rsidRPr="00202A4C" w:rsidRDefault="00202A4C" w:rsidP="00202A4C">
            <w:pPr>
              <w:spacing w:before="60" w:after="60"/>
              <w:jc w:val="right"/>
              <w:rPr>
                <w:b/>
                <w:noProof/>
                <w:sz w:val="20"/>
              </w:rPr>
            </w:pPr>
            <w:r w:rsidRPr="00202A4C">
              <w:rPr>
                <w:b/>
                <w:noProof/>
              </w:rPr>
              <w:t>220.154</w:t>
            </w:r>
          </w:p>
        </w:tc>
      </w:tr>
    </w:tbl>
    <w:p w14:paraId="1850FA0D" w14:textId="77777777" w:rsidR="00600499" w:rsidRDefault="004F7FB7" w:rsidP="00600499">
      <w:pPr>
        <w:rPr>
          <w:noProof/>
        </w:rPr>
        <w:sectPr w:rsidR="00600499" w:rsidSect="00F530FA">
          <w:headerReference w:type="default" r:id="rId15"/>
          <w:footerReference w:type="default" r:id="rId16"/>
          <w:headerReference w:type="first" r:id="rId17"/>
          <w:footerReference w:type="first" r:id="rId18"/>
          <w:pgSz w:w="15840" w:h="12240" w:orient="landscape"/>
          <w:pgMar w:top="1134" w:right="1077" w:bottom="902" w:left="1247" w:header="709" w:footer="510" w:gutter="0"/>
          <w:cols w:space="720"/>
          <w:docGrid w:linePitch="326"/>
        </w:sectPr>
      </w:pPr>
      <w:r>
        <w:rPr>
          <w:b/>
          <w:bCs/>
          <w:noProof/>
        </w:rPr>
        <w:t>The budget impact beyond the current MFF is an indicative overview, without prejudice to the future MFF Agreement</w:t>
      </w:r>
    </w:p>
    <w:p w14:paraId="75959053" w14:textId="77777777" w:rsidR="00600499" w:rsidRDefault="00600499" w:rsidP="00600499">
      <w:pPr>
        <w:pStyle w:val="ManualHeading3"/>
        <w:rPr>
          <w:bCs/>
          <w:noProof/>
          <w:szCs w:val="24"/>
        </w:rPr>
      </w:pPr>
      <w:bookmarkStart w:id="61" w:name="_Toc514938687"/>
      <w:bookmarkStart w:id="62" w:name="_Toc520485446"/>
      <w:r w:rsidRPr="006D222F">
        <w:rPr>
          <w:noProof/>
        </w:rPr>
        <w:t>3.2.2.</w:t>
      </w:r>
      <w:r w:rsidRPr="006D222F">
        <w:rPr>
          <w:noProof/>
        </w:rPr>
        <w:tab/>
      </w:r>
      <w:r>
        <w:rPr>
          <w:noProof/>
        </w:rPr>
        <w:t>Estimated impact on EMSA's appropriations</w:t>
      </w:r>
      <w:bookmarkEnd w:id="61"/>
      <w:bookmarkEnd w:id="62"/>
      <w:r>
        <w:rPr>
          <w:noProof/>
        </w:rPr>
        <w:t xml:space="preserve"> </w:t>
      </w:r>
    </w:p>
    <w:p w14:paraId="05CEA48F" w14:textId="77777777" w:rsidR="00600499" w:rsidRDefault="00600499" w:rsidP="00E37235">
      <w:pPr>
        <w:pStyle w:val="ListDash1"/>
        <w:rPr>
          <w:noProof/>
        </w:rPr>
      </w:pPr>
      <w:r>
        <w:rPr>
          <w:noProof/>
        </w:rPr>
        <w:sym w:font="Wingdings" w:char="F0FE"/>
      </w:r>
      <w:r>
        <w:rPr>
          <w:noProof/>
        </w:rPr>
        <w:tab/>
        <w:t xml:space="preserve">The proposal/initiative does not require the use of operational appropriations </w:t>
      </w:r>
    </w:p>
    <w:p w14:paraId="638BC4B5" w14:textId="77777777" w:rsidR="00600499" w:rsidRDefault="00600499" w:rsidP="00E37235">
      <w:pPr>
        <w:pStyle w:val="ListDash1"/>
        <w:rPr>
          <w:noProof/>
        </w:rPr>
      </w:pPr>
      <w:r>
        <w:rPr>
          <w:noProof/>
        </w:rPr>
        <w:sym w:font="Wingdings" w:char="F0A8"/>
      </w:r>
      <w:r>
        <w:rPr>
          <w:noProof/>
        </w:rPr>
        <w:tab/>
        <w:t>The proposal/initiative requires the use of operational appropriations, as explained below:</w:t>
      </w:r>
    </w:p>
    <w:p w14:paraId="04064DE4" w14:textId="77777777" w:rsidR="00600499" w:rsidRDefault="00600499" w:rsidP="00600499">
      <w:pPr>
        <w:jc w:val="right"/>
        <w:rPr>
          <w:noProof/>
          <w:sz w:val="20"/>
        </w:rPr>
      </w:pPr>
      <w:r>
        <w:rPr>
          <w:noProof/>
          <w:sz w:val="20"/>
        </w:rPr>
        <w:t>Amounts in 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600499" w14:paraId="67B90E1B" w14:textId="77777777" w:rsidTr="00DC0670">
        <w:trPr>
          <w:jc w:val="center"/>
        </w:trPr>
        <w:tc>
          <w:tcPr>
            <w:tcW w:w="1423" w:type="dxa"/>
            <w:vMerge w:val="restart"/>
            <w:vAlign w:val="center"/>
          </w:tcPr>
          <w:p w14:paraId="00E6DA28" w14:textId="77777777" w:rsidR="00600499" w:rsidRDefault="00600499" w:rsidP="00DC0670">
            <w:pPr>
              <w:ind w:right="-29"/>
              <w:jc w:val="center"/>
              <w:rPr>
                <w:b/>
                <w:noProof/>
                <w:sz w:val="18"/>
              </w:rPr>
            </w:pPr>
            <w:r>
              <w:rPr>
                <w:b/>
                <w:noProof/>
                <w:sz w:val="18"/>
              </w:rPr>
              <w:t xml:space="preserve">Indicate objectives and outputs </w:t>
            </w:r>
          </w:p>
          <w:p w14:paraId="334BD818" w14:textId="77777777" w:rsidR="00600499" w:rsidRDefault="00600499" w:rsidP="00DC0670">
            <w:pPr>
              <w:ind w:right="-29"/>
              <w:jc w:val="center"/>
              <w:rPr>
                <w:b/>
                <w:noProof/>
                <w:sz w:val="18"/>
              </w:rPr>
            </w:pPr>
          </w:p>
          <w:p w14:paraId="7FADE6F5" w14:textId="77777777" w:rsidR="00600499" w:rsidRDefault="00600499" w:rsidP="00DC0670">
            <w:pPr>
              <w:ind w:right="-29"/>
              <w:jc w:val="center"/>
              <w:rPr>
                <w:noProof/>
                <w:sz w:val="18"/>
              </w:rPr>
            </w:pPr>
            <w:r>
              <w:rPr>
                <w:noProof/>
                <w:sz w:val="18"/>
              </w:rPr>
              <w:sym w:font="Wingdings" w:char="F0F2"/>
            </w:r>
          </w:p>
        </w:tc>
        <w:tc>
          <w:tcPr>
            <w:tcW w:w="720" w:type="dxa"/>
            <w:vAlign w:val="center"/>
          </w:tcPr>
          <w:p w14:paraId="4D825354" w14:textId="77777777" w:rsidR="00600499" w:rsidRDefault="00600499" w:rsidP="00DC0670">
            <w:pPr>
              <w:ind w:right="-29"/>
              <w:jc w:val="center"/>
              <w:rPr>
                <w:noProof/>
                <w:sz w:val="18"/>
              </w:rPr>
            </w:pPr>
          </w:p>
        </w:tc>
        <w:tc>
          <w:tcPr>
            <w:tcW w:w="701" w:type="dxa"/>
            <w:vAlign w:val="center"/>
          </w:tcPr>
          <w:p w14:paraId="1BC3AB96" w14:textId="77777777" w:rsidR="00600499" w:rsidRDefault="00600499" w:rsidP="00DC0670">
            <w:pPr>
              <w:ind w:right="-29"/>
              <w:jc w:val="center"/>
              <w:rPr>
                <w:noProof/>
                <w:sz w:val="18"/>
              </w:rPr>
            </w:pPr>
          </w:p>
        </w:tc>
        <w:tc>
          <w:tcPr>
            <w:tcW w:w="1224" w:type="dxa"/>
            <w:gridSpan w:val="2"/>
            <w:tcBorders>
              <w:left w:val="nil"/>
            </w:tcBorders>
            <w:vAlign w:val="center"/>
          </w:tcPr>
          <w:p w14:paraId="3C9A6CD0" w14:textId="77777777" w:rsidR="00600499" w:rsidRDefault="00600499" w:rsidP="00DC0670">
            <w:pPr>
              <w:ind w:right="-29"/>
              <w:jc w:val="center"/>
              <w:rPr>
                <w:noProof/>
                <w:sz w:val="18"/>
              </w:rPr>
            </w:pPr>
            <w:r>
              <w:rPr>
                <w:noProof/>
                <w:sz w:val="18"/>
              </w:rPr>
              <w:t>Year</w:t>
            </w:r>
            <w:r>
              <w:rPr>
                <w:noProof/>
                <w:sz w:val="22"/>
              </w:rPr>
              <w:br/>
            </w:r>
            <w:r>
              <w:rPr>
                <w:b/>
                <w:noProof/>
                <w:sz w:val="18"/>
              </w:rPr>
              <w:t>N</w:t>
            </w:r>
          </w:p>
        </w:tc>
        <w:tc>
          <w:tcPr>
            <w:tcW w:w="1260" w:type="dxa"/>
            <w:gridSpan w:val="2"/>
            <w:vAlign w:val="center"/>
          </w:tcPr>
          <w:p w14:paraId="0B4D40CE" w14:textId="77777777" w:rsidR="00600499" w:rsidRDefault="00600499" w:rsidP="00DC0670">
            <w:pPr>
              <w:ind w:right="-29"/>
              <w:jc w:val="center"/>
              <w:rPr>
                <w:noProof/>
                <w:sz w:val="18"/>
              </w:rPr>
            </w:pPr>
            <w:r>
              <w:rPr>
                <w:noProof/>
                <w:sz w:val="18"/>
              </w:rPr>
              <w:t>Year</w:t>
            </w:r>
            <w:r>
              <w:rPr>
                <w:noProof/>
                <w:sz w:val="22"/>
              </w:rPr>
              <w:br/>
            </w:r>
            <w:r>
              <w:rPr>
                <w:b/>
                <w:noProof/>
                <w:sz w:val="18"/>
              </w:rPr>
              <w:t>N+1</w:t>
            </w:r>
          </w:p>
        </w:tc>
        <w:tc>
          <w:tcPr>
            <w:tcW w:w="1440" w:type="dxa"/>
            <w:gridSpan w:val="2"/>
            <w:vAlign w:val="center"/>
          </w:tcPr>
          <w:p w14:paraId="2DBBDF20" w14:textId="77777777" w:rsidR="00600499" w:rsidRDefault="00600499" w:rsidP="00DC0670">
            <w:pPr>
              <w:ind w:right="-29"/>
              <w:jc w:val="center"/>
              <w:rPr>
                <w:noProof/>
                <w:sz w:val="18"/>
              </w:rPr>
            </w:pPr>
            <w:r>
              <w:rPr>
                <w:noProof/>
                <w:sz w:val="18"/>
              </w:rPr>
              <w:t>Year</w:t>
            </w:r>
            <w:r>
              <w:rPr>
                <w:noProof/>
                <w:sz w:val="22"/>
              </w:rPr>
              <w:br/>
            </w:r>
            <w:r>
              <w:rPr>
                <w:b/>
                <w:noProof/>
                <w:sz w:val="18"/>
              </w:rPr>
              <w:t>N+2</w:t>
            </w:r>
          </w:p>
        </w:tc>
        <w:tc>
          <w:tcPr>
            <w:tcW w:w="1620" w:type="dxa"/>
            <w:gridSpan w:val="3"/>
            <w:vAlign w:val="center"/>
          </w:tcPr>
          <w:p w14:paraId="1B6BA29F" w14:textId="77777777" w:rsidR="00600499" w:rsidRDefault="00600499" w:rsidP="00DC0670">
            <w:pPr>
              <w:ind w:right="-29"/>
              <w:jc w:val="center"/>
              <w:rPr>
                <w:noProof/>
                <w:sz w:val="18"/>
              </w:rPr>
            </w:pPr>
            <w:r>
              <w:rPr>
                <w:noProof/>
                <w:sz w:val="18"/>
              </w:rPr>
              <w:t>Year</w:t>
            </w:r>
            <w:r>
              <w:rPr>
                <w:noProof/>
                <w:sz w:val="22"/>
              </w:rPr>
              <w:br/>
            </w:r>
            <w:r>
              <w:rPr>
                <w:b/>
                <w:noProof/>
                <w:sz w:val="18"/>
              </w:rPr>
              <w:t>N+3</w:t>
            </w:r>
          </w:p>
        </w:tc>
        <w:tc>
          <w:tcPr>
            <w:tcW w:w="3600" w:type="dxa"/>
            <w:gridSpan w:val="6"/>
            <w:vAlign w:val="center"/>
          </w:tcPr>
          <w:p w14:paraId="0B4A78FE" w14:textId="77777777" w:rsidR="00600499" w:rsidRDefault="00600499" w:rsidP="00DC0670">
            <w:pPr>
              <w:jc w:val="center"/>
              <w:rPr>
                <w:b/>
                <w:noProof/>
                <w:sz w:val="18"/>
              </w:rPr>
            </w:pPr>
            <w:r>
              <w:rPr>
                <w:noProof/>
                <w:sz w:val="18"/>
              </w:rPr>
              <w:t>Enter as many years as necessary to show the duration of the impact (see point 1.6)</w:t>
            </w:r>
          </w:p>
        </w:tc>
        <w:tc>
          <w:tcPr>
            <w:tcW w:w="1620" w:type="dxa"/>
            <w:gridSpan w:val="2"/>
            <w:tcBorders>
              <w:left w:val="nil"/>
              <w:bottom w:val="nil"/>
            </w:tcBorders>
            <w:vAlign w:val="center"/>
          </w:tcPr>
          <w:p w14:paraId="431069D6" w14:textId="77777777" w:rsidR="00600499" w:rsidRDefault="00600499" w:rsidP="00DC0670">
            <w:pPr>
              <w:ind w:right="-29"/>
              <w:jc w:val="center"/>
              <w:rPr>
                <w:noProof/>
                <w:sz w:val="18"/>
              </w:rPr>
            </w:pPr>
            <w:r>
              <w:rPr>
                <w:b/>
                <w:noProof/>
                <w:sz w:val="18"/>
              </w:rPr>
              <w:t>TOTAL</w:t>
            </w:r>
          </w:p>
        </w:tc>
      </w:tr>
      <w:tr w:rsidR="00600499" w14:paraId="2BB79FD2" w14:textId="77777777" w:rsidTr="00DC0670">
        <w:trPr>
          <w:jc w:val="center"/>
        </w:trPr>
        <w:tc>
          <w:tcPr>
            <w:tcW w:w="1423" w:type="dxa"/>
            <w:vMerge/>
            <w:vAlign w:val="center"/>
          </w:tcPr>
          <w:p w14:paraId="415F1A12" w14:textId="77777777" w:rsidR="00600499" w:rsidRDefault="00600499" w:rsidP="00DC0670">
            <w:pPr>
              <w:rPr>
                <w:noProof/>
                <w:sz w:val="18"/>
              </w:rPr>
            </w:pPr>
          </w:p>
        </w:tc>
        <w:tc>
          <w:tcPr>
            <w:tcW w:w="12185" w:type="dxa"/>
            <w:gridSpan w:val="19"/>
            <w:vAlign w:val="center"/>
          </w:tcPr>
          <w:p w14:paraId="7877EC78" w14:textId="77777777" w:rsidR="00600499" w:rsidRDefault="00600499" w:rsidP="00DC0670">
            <w:pPr>
              <w:spacing w:before="60" w:after="60"/>
              <w:ind w:right="-29"/>
              <w:jc w:val="center"/>
              <w:rPr>
                <w:noProof/>
                <w:sz w:val="18"/>
              </w:rPr>
            </w:pPr>
            <w:r>
              <w:rPr>
                <w:b/>
                <w:noProof/>
                <w:sz w:val="18"/>
              </w:rPr>
              <w:t>OUTPUTS</w:t>
            </w:r>
          </w:p>
        </w:tc>
      </w:tr>
      <w:tr w:rsidR="00600499" w14:paraId="4E841B9B" w14:textId="77777777" w:rsidTr="00DC0670">
        <w:trPr>
          <w:cantSplit/>
          <w:trHeight w:val="1134"/>
          <w:jc w:val="center"/>
        </w:trPr>
        <w:tc>
          <w:tcPr>
            <w:tcW w:w="1423" w:type="dxa"/>
            <w:vMerge/>
            <w:vAlign w:val="center"/>
          </w:tcPr>
          <w:p w14:paraId="3E7B083E" w14:textId="77777777" w:rsidR="00600499" w:rsidRDefault="00600499" w:rsidP="00DC0670">
            <w:pPr>
              <w:rPr>
                <w:noProof/>
                <w:sz w:val="18"/>
              </w:rPr>
            </w:pPr>
          </w:p>
        </w:tc>
        <w:tc>
          <w:tcPr>
            <w:tcW w:w="720" w:type="dxa"/>
            <w:vAlign w:val="center"/>
          </w:tcPr>
          <w:p w14:paraId="10F7FAE8" w14:textId="77777777" w:rsidR="00600499" w:rsidRDefault="00600499" w:rsidP="00DC0670">
            <w:pPr>
              <w:jc w:val="center"/>
              <w:rPr>
                <w:noProof/>
                <w:sz w:val="18"/>
              </w:rPr>
            </w:pPr>
            <w:r>
              <w:rPr>
                <w:noProof/>
                <w:sz w:val="18"/>
              </w:rPr>
              <w:t>Type</w:t>
            </w:r>
            <w:r>
              <w:rPr>
                <w:rStyle w:val="FootnoteReference"/>
                <w:noProof/>
                <w:sz w:val="18"/>
              </w:rPr>
              <w:footnoteReference w:id="58"/>
            </w:r>
          </w:p>
        </w:tc>
        <w:tc>
          <w:tcPr>
            <w:tcW w:w="701" w:type="dxa"/>
            <w:vAlign w:val="center"/>
          </w:tcPr>
          <w:p w14:paraId="14615B98" w14:textId="77777777" w:rsidR="00600499" w:rsidRDefault="00600499" w:rsidP="00DC0670">
            <w:pPr>
              <w:jc w:val="center"/>
              <w:rPr>
                <w:noProof/>
              </w:rPr>
            </w:pPr>
            <w:r>
              <w:rPr>
                <w:noProof/>
                <w:sz w:val="18"/>
              </w:rPr>
              <w:t>Average cost</w:t>
            </w:r>
          </w:p>
        </w:tc>
        <w:tc>
          <w:tcPr>
            <w:tcW w:w="504" w:type="dxa"/>
            <w:tcBorders>
              <w:left w:val="nil"/>
              <w:right w:val="dashSmallGap" w:sz="4" w:space="0" w:color="auto"/>
            </w:tcBorders>
            <w:shd w:val="pct10" w:color="auto" w:fill="auto"/>
            <w:textDirection w:val="btLr"/>
            <w:vAlign w:val="center"/>
          </w:tcPr>
          <w:p w14:paraId="76038A5E" w14:textId="77777777" w:rsidR="00600499" w:rsidRDefault="00600499" w:rsidP="00DC0670">
            <w:pPr>
              <w:ind w:left="113" w:right="113"/>
              <w:jc w:val="center"/>
              <w:rPr>
                <w:noProof/>
              </w:rPr>
            </w:pPr>
            <w:r>
              <w:rPr>
                <w:noProof/>
                <w:sz w:val="18"/>
              </w:rPr>
              <w:t>No</w:t>
            </w:r>
          </w:p>
        </w:tc>
        <w:tc>
          <w:tcPr>
            <w:tcW w:w="720" w:type="dxa"/>
            <w:tcBorders>
              <w:left w:val="dashSmallGap" w:sz="4" w:space="0" w:color="auto"/>
            </w:tcBorders>
            <w:shd w:val="pct10" w:color="auto" w:fill="auto"/>
            <w:vAlign w:val="center"/>
          </w:tcPr>
          <w:p w14:paraId="00E0222D" w14:textId="77777777" w:rsidR="00600499" w:rsidRDefault="00600499" w:rsidP="00DC0670">
            <w:pPr>
              <w:jc w:val="center"/>
              <w:rPr>
                <w:noProof/>
                <w:sz w:val="18"/>
              </w:rPr>
            </w:pPr>
            <w:r>
              <w:rPr>
                <w:noProof/>
                <w:sz w:val="18"/>
              </w:rPr>
              <w:t>Cost</w:t>
            </w:r>
          </w:p>
        </w:tc>
        <w:tc>
          <w:tcPr>
            <w:tcW w:w="540" w:type="dxa"/>
            <w:tcBorders>
              <w:right w:val="dashSmallGap" w:sz="4" w:space="0" w:color="auto"/>
            </w:tcBorders>
            <w:shd w:val="pct10" w:color="auto" w:fill="auto"/>
            <w:textDirection w:val="btLr"/>
            <w:vAlign w:val="center"/>
          </w:tcPr>
          <w:p w14:paraId="318BCCB9" w14:textId="77777777" w:rsidR="00600499" w:rsidRDefault="00600499" w:rsidP="00DC0670">
            <w:pPr>
              <w:ind w:left="113" w:right="113"/>
              <w:jc w:val="center"/>
              <w:rPr>
                <w:noProof/>
              </w:rPr>
            </w:pPr>
            <w:r>
              <w:rPr>
                <w:noProof/>
                <w:sz w:val="18"/>
              </w:rPr>
              <w:t>No</w:t>
            </w:r>
          </w:p>
        </w:tc>
        <w:tc>
          <w:tcPr>
            <w:tcW w:w="720" w:type="dxa"/>
            <w:tcBorders>
              <w:left w:val="dashSmallGap" w:sz="4" w:space="0" w:color="auto"/>
            </w:tcBorders>
            <w:shd w:val="pct10" w:color="auto" w:fill="auto"/>
            <w:vAlign w:val="center"/>
          </w:tcPr>
          <w:p w14:paraId="5B39ADC6" w14:textId="77777777" w:rsidR="00600499" w:rsidRDefault="00600499" w:rsidP="00DC0670">
            <w:pPr>
              <w:jc w:val="center"/>
              <w:rPr>
                <w:noProof/>
                <w:sz w:val="18"/>
              </w:rPr>
            </w:pPr>
            <w:r>
              <w:rPr>
                <w:noProof/>
                <w:sz w:val="18"/>
              </w:rPr>
              <w:t>Cost</w:t>
            </w:r>
          </w:p>
        </w:tc>
        <w:tc>
          <w:tcPr>
            <w:tcW w:w="720" w:type="dxa"/>
            <w:tcBorders>
              <w:right w:val="dashSmallGap" w:sz="4" w:space="0" w:color="auto"/>
            </w:tcBorders>
            <w:shd w:val="pct10" w:color="auto" w:fill="auto"/>
            <w:textDirection w:val="btLr"/>
            <w:vAlign w:val="center"/>
          </w:tcPr>
          <w:p w14:paraId="4ECC5EBB" w14:textId="77777777" w:rsidR="00600499" w:rsidRDefault="00600499" w:rsidP="00DC0670">
            <w:pPr>
              <w:ind w:left="113" w:right="113"/>
              <w:jc w:val="center"/>
              <w:rPr>
                <w:noProof/>
              </w:rPr>
            </w:pPr>
            <w:r>
              <w:rPr>
                <w:noProof/>
                <w:sz w:val="18"/>
              </w:rPr>
              <w:t>No</w:t>
            </w:r>
          </w:p>
        </w:tc>
        <w:tc>
          <w:tcPr>
            <w:tcW w:w="720" w:type="dxa"/>
            <w:tcBorders>
              <w:left w:val="dashSmallGap" w:sz="4" w:space="0" w:color="auto"/>
            </w:tcBorders>
            <w:shd w:val="pct10" w:color="auto" w:fill="auto"/>
            <w:vAlign w:val="center"/>
          </w:tcPr>
          <w:p w14:paraId="115B0D58" w14:textId="77777777" w:rsidR="00600499" w:rsidRDefault="00600499" w:rsidP="00DC0670">
            <w:pPr>
              <w:jc w:val="center"/>
              <w:rPr>
                <w:noProof/>
                <w:sz w:val="18"/>
              </w:rPr>
            </w:pPr>
            <w:r>
              <w:rPr>
                <w:noProof/>
                <w:sz w:val="18"/>
              </w:rPr>
              <w:t>Cost</w:t>
            </w:r>
          </w:p>
        </w:tc>
        <w:tc>
          <w:tcPr>
            <w:tcW w:w="900" w:type="dxa"/>
            <w:tcBorders>
              <w:right w:val="dashSmallGap" w:sz="4" w:space="0" w:color="auto"/>
            </w:tcBorders>
            <w:shd w:val="pct10" w:color="auto" w:fill="auto"/>
            <w:textDirection w:val="btLr"/>
            <w:vAlign w:val="center"/>
          </w:tcPr>
          <w:p w14:paraId="6D1BA18A" w14:textId="77777777" w:rsidR="00600499" w:rsidRDefault="00600499" w:rsidP="00DC0670">
            <w:pPr>
              <w:ind w:left="113" w:right="113"/>
              <w:jc w:val="center"/>
              <w:rPr>
                <w:noProof/>
              </w:rPr>
            </w:pPr>
            <w:r>
              <w:rPr>
                <w:noProof/>
                <w:sz w:val="18"/>
              </w:rPr>
              <w:t>No</w:t>
            </w:r>
          </w:p>
        </w:tc>
        <w:tc>
          <w:tcPr>
            <w:tcW w:w="720" w:type="dxa"/>
            <w:gridSpan w:val="2"/>
            <w:tcBorders>
              <w:left w:val="dashSmallGap" w:sz="4" w:space="0" w:color="auto"/>
            </w:tcBorders>
            <w:shd w:val="pct10" w:color="auto" w:fill="auto"/>
            <w:vAlign w:val="center"/>
          </w:tcPr>
          <w:p w14:paraId="58110A4A" w14:textId="77777777" w:rsidR="00600499" w:rsidRDefault="00600499" w:rsidP="00DC0670">
            <w:pPr>
              <w:jc w:val="center"/>
              <w:rPr>
                <w:noProof/>
                <w:sz w:val="18"/>
              </w:rPr>
            </w:pPr>
            <w:r>
              <w:rPr>
                <w:noProof/>
                <w:sz w:val="18"/>
              </w:rPr>
              <w:t>Cost</w:t>
            </w:r>
          </w:p>
        </w:tc>
        <w:tc>
          <w:tcPr>
            <w:tcW w:w="540" w:type="dxa"/>
            <w:tcBorders>
              <w:right w:val="dashSmallGap" w:sz="4" w:space="0" w:color="auto"/>
            </w:tcBorders>
            <w:shd w:val="pct10" w:color="auto" w:fill="auto"/>
            <w:textDirection w:val="btLr"/>
            <w:vAlign w:val="center"/>
          </w:tcPr>
          <w:p w14:paraId="20C4AD19" w14:textId="77777777" w:rsidR="00600499" w:rsidRDefault="00600499" w:rsidP="00DC0670">
            <w:pPr>
              <w:ind w:left="113" w:right="113"/>
              <w:jc w:val="center"/>
              <w:rPr>
                <w:noProof/>
              </w:rPr>
            </w:pPr>
            <w:r>
              <w:rPr>
                <w:noProof/>
                <w:sz w:val="18"/>
              </w:rPr>
              <w:t>No</w:t>
            </w:r>
          </w:p>
        </w:tc>
        <w:tc>
          <w:tcPr>
            <w:tcW w:w="648" w:type="dxa"/>
            <w:tcBorders>
              <w:left w:val="dashSmallGap" w:sz="4" w:space="0" w:color="auto"/>
            </w:tcBorders>
            <w:shd w:val="pct10" w:color="auto" w:fill="auto"/>
            <w:vAlign w:val="center"/>
          </w:tcPr>
          <w:p w14:paraId="3431675B" w14:textId="77777777" w:rsidR="00600499" w:rsidRDefault="00600499" w:rsidP="00DC0670">
            <w:pPr>
              <w:jc w:val="center"/>
              <w:rPr>
                <w:noProof/>
                <w:sz w:val="18"/>
              </w:rPr>
            </w:pPr>
            <w:r>
              <w:rPr>
                <w:noProof/>
                <w:sz w:val="18"/>
              </w:rPr>
              <w:t>Cost</w:t>
            </w:r>
          </w:p>
        </w:tc>
        <w:tc>
          <w:tcPr>
            <w:tcW w:w="432" w:type="dxa"/>
            <w:tcBorders>
              <w:right w:val="dashSmallGap" w:sz="4" w:space="0" w:color="auto"/>
            </w:tcBorders>
            <w:shd w:val="pct10" w:color="auto" w:fill="auto"/>
            <w:textDirection w:val="btLr"/>
            <w:vAlign w:val="center"/>
          </w:tcPr>
          <w:p w14:paraId="6656EEA4" w14:textId="77777777" w:rsidR="00600499" w:rsidRDefault="00600499" w:rsidP="00DC0670">
            <w:pPr>
              <w:ind w:left="113" w:right="113"/>
              <w:jc w:val="center"/>
              <w:rPr>
                <w:noProof/>
              </w:rPr>
            </w:pPr>
            <w:r>
              <w:rPr>
                <w:noProof/>
                <w:sz w:val="18"/>
              </w:rPr>
              <w:t>No</w:t>
            </w:r>
          </w:p>
        </w:tc>
        <w:tc>
          <w:tcPr>
            <w:tcW w:w="720" w:type="dxa"/>
            <w:tcBorders>
              <w:left w:val="dashSmallGap" w:sz="4" w:space="0" w:color="auto"/>
            </w:tcBorders>
            <w:shd w:val="pct10" w:color="auto" w:fill="auto"/>
            <w:vAlign w:val="center"/>
          </w:tcPr>
          <w:p w14:paraId="300DE897" w14:textId="77777777" w:rsidR="00600499" w:rsidRDefault="00600499" w:rsidP="00DC0670">
            <w:pPr>
              <w:jc w:val="center"/>
              <w:rPr>
                <w:noProof/>
                <w:sz w:val="18"/>
              </w:rPr>
            </w:pPr>
            <w:r>
              <w:rPr>
                <w:noProof/>
                <w:sz w:val="18"/>
              </w:rPr>
              <w:t>Cost</w:t>
            </w:r>
          </w:p>
        </w:tc>
        <w:tc>
          <w:tcPr>
            <w:tcW w:w="540" w:type="dxa"/>
            <w:tcBorders>
              <w:right w:val="dashSmallGap" w:sz="4" w:space="0" w:color="auto"/>
            </w:tcBorders>
            <w:shd w:val="pct10" w:color="auto" w:fill="auto"/>
            <w:textDirection w:val="btLr"/>
            <w:vAlign w:val="center"/>
          </w:tcPr>
          <w:p w14:paraId="20A0A89F" w14:textId="77777777" w:rsidR="00600499" w:rsidRDefault="00600499" w:rsidP="00DC0670">
            <w:pPr>
              <w:ind w:left="113" w:right="113"/>
              <w:jc w:val="center"/>
              <w:rPr>
                <w:noProof/>
              </w:rPr>
            </w:pPr>
            <w:r>
              <w:rPr>
                <w:noProof/>
                <w:sz w:val="18"/>
              </w:rPr>
              <w:t>No</w:t>
            </w:r>
          </w:p>
        </w:tc>
        <w:tc>
          <w:tcPr>
            <w:tcW w:w="720" w:type="dxa"/>
            <w:tcBorders>
              <w:left w:val="dashSmallGap" w:sz="4" w:space="0" w:color="auto"/>
            </w:tcBorders>
            <w:shd w:val="pct10" w:color="auto" w:fill="auto"/>
            <w:vAlign w:val="center"/>
          </w:tcPr>
          <w:p w14:paraId="4E71A557" w14:textId="77777777" w:rsidR="00600499" w:rsidRDefault="00600499" w:rsidP="00DC0670">
            <w:pPr>
              <w:jc w:val="center"/>
              <w:rPr>
                <w:noProof/>
                <w:sz w:val="18"/>
              </w:rPr>
            </w:pPr>
            <w:r>
              <w:rPr>
                <w:noProof/>
                <w:sz w:val="18"/>
              </w:rPr>
              <w:t>Cost</w:t>
            </w:r>
          </w:p>
        </w:tc>
        <w:tc>
          <w:tcPr>
            <w:tcW w:w="720" w:type="dxa"/>
            <w:tcBorders>
              <w:right w:val="dashSmallGap" w:sz="4" w:space="0" w:color="auto"/>
            </w:tcBorders>
            <w:shd w:val="pct10" w:color="auto" w:fill="auto"/>
            <w:vAlign w:val="center"/>
          </w:tcPr>
          <w:p w14:paraId="78E0E2AD" w14:textId="77777777" w:rsidR="00600499" w:rsidRDefault="00600499" w:rsidP="00DC0670">
            <w:pPr>
              <w:jc w:val="center"/>
              <w:rPr>
                <w:noProof/>
                <w:sz w:val="18"/>
              </w:rPr>
            </w:pPr>
            <w:r>
              <w:rPr>
                <w:noProof/>
                <w:sz w:val="18"/>
              </w:rPr>
              <w:t>Total No</w:t>
            </w:r>
          </w:p>
        </w:tc>
        <w:tc>
          <w:tcPr>
            <w:tcW w:w="900" w:type="dxa"/>
            <w:tcBorders>
              <w:left w:val="dashSmallGap" w:sz="4" w:space="0" w:color="auto"/>
            </w:tcBorders>
            <w:shd w:val="pct10" w:color="auto" w:fill="auto"/>
            <w:vAlign w:val="center"/>
          </w:tcPr>
          <w:p w14:paraId="66651283" w14:textId="77777777" w:rsidR="00600499" w:rsidRDefault="00600499" w:rsidP="00DC0670">
            <w:pPr>
              <w:jc w:val="center"/>
              <w:rPr>
                <w:noProof/>
              </w:rPr>
            </w:pPr>
            <w:r>
              <w:rPr>
                <w:noProof/>
                <w:sz w:val="18"/>
              </w:rPr>
              <w:t>Total cost</w:t>
            </w:r>
          </w:p>
        </w:tc>
      </w:tr>
      <w:tr w:rsidR="00600499" w14:paraId="268BC39F" w14:textId="77777777" w:rsidTr="00DC0670">
        <w:trPr>
          <w:jc w:val="center"/>
        </w:trPr>
        <w:tc>
          <w:tcPr>
            <w:tcW w:w="2844" w:type="dxa"/>
            <w:gridSpan w:val="3"/>
            <w:vAlign w:val="center"/>
          </w:tcPr>
          <w:p w14:paraId="3D23F85A" w14:textId="77777777" w:rsidR="00600499" w:rsidRDefault="00600499" w:rsidP="00DC0670">
            <w:pPr>
              <w:spacing w:before="60" w:after="60"/>
              <w:ind w:right="-29"/>
              <w:jc w:val="center"/>
              <w:rPr>
                <w:noProof/>
                <w:sz w:val="18"/>
              </w:rPr>
            </w:pPr>
            <w:r>
              <w:rPr>
                <w:noProof/>
                <w:sz w:val="18"/>
              </w:rPr>
              <w:t>SPECIFIC OBJECTIVE No 1</w:t>
            </w:r>
            <w:r>
              <w:rPr>
                <w:rStyle w:val="FootnoteReference"/>
                <w:noProof/>
                <w:sz w:val="18"/>
              </w:rPr>
              <w:footnoteReference w:id="59"/>
            </w:r>
            <w:r>
              <w:rPr>
                <w:noProof/>
                <w:sz w:val="18"/>
              </w:rPr>
              <w:t>…</w:t>
            </w:r>
          </w:p>
        </w:tc>
        <w:tc>
          <w:tcPr>
            <w:tcW w:w="504" w:type="dxa"/>
            <w:tcBorders>
              <w:top w:val="nil"/>
              <w:left w:val="nil"/>
              <w:bottom w:val="nil"/>
              <w:right w:val="nil"/>
            </w:tcBorders>
          </w:tcPr>
          <w:p w14:paraId="27FB75E1" w14:textId="77777777" w:rsidR="00600499" w:rsidRDefault="00600499" w:rsidP="00DC0670">
            <w:pPr>
              <w:spacing w:before="60" w:after="60"/>
              <w:ind w:right="-29"/>
              <w:jc w:val="center"/>
              <w:rPr>
                <w:noProof/>
                <w:sz w:val="18"/>
              </w:rPr>
            </w:pPr>
          </w:p>
        </w:tc>
        <w:tc>
          <w:tcPr>
            <w:tcW w:w="720" w:type="dxa"/>
            <w:tcBorders>
              <w:top w:val="nil"/>
              <w:left w:val="nil"/>
              <w:bottom w:val="nil"/>
              <w:right w:val="nil"/>
            </w:tcBorders>
          </w:tcPr>
          <w:p w14:paraId="74E602C4" w14:textId="77777777" w:rsidR="00600499" w:rsidRDefault="00600499" w:rsidP="00DC0670">
            <w:pPr>
              <w:spacing w:before="60" w:after="60"/>
              <w:ind w:right="-29"/>
              <w:jc w:val="center"/>
              <w:rPr>
                <w:noProof/>
                <w:sz w:val="18"/>
              </w:rPr>
            </w:pPr>
          </w:p>
        </w:tc>
        <w:tc>
          <w:tcPr>
            <w:tcW w:w="540" w:type="dxa"/>
            <w:tcBorders>
              <w:top w:val="nil"/>
              <w:left w:val="nil"/>
              <w:bottom w:val="nil"/>
              <w:right w:val="nil"/>
            </w:tcBorders>
          </w:tcPr>
          <w:p w14:paraId="370504BA" w14:textId="77777777" w:rsidR="00600499" w:rsidRDefault="00600499" w:rsidP="00DC0670">
            <w:pPr>
              <w:spacing w:before="60" w:after="60"/>
              <w:ind w:right="-29"/>
              <w:jc w:val="center"/>
              <w:rPr>
                <w:noProof/>
                <w:sz w:val="18"/>
              </w:rPr>
            </w:pPr>
          </w:p>
        </w:tc>
        <w:tc>
          <w:tcPr>
            <w:tcW w:w="720" w:type="dxa"/>
            <w:tcBorders>
              <w:top w:val="nil"/>
              <w:left w:val="nil"/>
              <w:bottom w:val="nil"/>
              <w:right w:val="nil"/>
            </w:tcBorders>
          </w:tcPr>
          <w:p w14:paraId="56932039" w14:textId="77777777" w:rsidR="00600499" w:rsidRDefault="00600499" w:rsidP="00DC0670">
            <w:pPr>
              <w:spacing w:before="60" w:after="60"/>
              <w:ind w:right="-29"/>
              <w:jc w:val="center"/>
              <w:rPr>
                <w:noProof/>
                <w:sz w:val="18"/>
              </w:rPr>
            </w:pPr>
          </w:p>
        </w:tc>
        <w:tc>
          <w:tcPr>
            <w:tcW w:w="720" w:type="dxa"/>
            <w:tcBorders>
              <w:top w:val="nil"/>
              <w:left w:val="nil"/>
              <w:bottom w:val="nil"/>
              <w:right w:val="nil"/>
            </w:tcBorders>
          </w:tcPr>
          <w:p w14:paraId="6547FD93" w14:textId="77777777" w:rsidR="00600499" w:rsidRDefault="00600499" w:rsidP="00DC0670">
            <w:pPr>
              <w:spacing w:before="60" w:after="60"/>
              <w:ind w:right="-29"/>
              <w:jc w:val="center"/>
              <w:rPr>
                <w:noProof/>
                <w:sz w:val="18"/>
              </w:rPr>
            </w:pPr>
          </w:p>
        </w:tc>
        <w:tc>
          <w:tcPr>
            <w:tcW w:w="720" w:type="dxa"/>
            <w:tcBorders>
              <w:top w:val="nil"/>
              <w:left w:val="nil"/>
              <w:bottom w:val="nil"/>
              <w:right w:val="nil"/>
            </w:tcBorders>
          </w:tcPr>
          <w:p w14:paraId="15D7EC90" w14:textId="77777777" w:rsidR="00600499" w:rsidRDefault="00600499" w:rsidP="00DC0670">
            <w:pPr>
              <w:spacing w:before="60" w:after="60"/>
              <w:ind w:right="-29"/>
              <w:jc w:val="center"/>
              <w:rPr>
                <w:noProof/>
                <w:sz w:val="18"/>
              </w:rPr>
            </w:pPr>
          </w:p>
        </w:tc>
        <w:tc>
          <w:tcPr>
            <w:tcW w:w="900" w:type="dxa"/>
            <w:tcBorders>
              <w:top w:val="nil"/>
              <w:left w:val="nil"/>
              <w:bottom w:val="nil"/>
              <w:right w:val="nil"/>
            </w:tcBorders>
          </w:tcPr>
          <w:p w14:paraId="179B02F8" w14:textId="77777777" w:rsidR="00600499" w:rsidRDefault="00600499" w:rsidP="00DC0670">
            <w:pPr>
              <w:spacing w:before="60" w:after="60"/>
              <w:ind w:right="-29"/>
              <w:jc w:val="center"/>
              <w:rPr>
                <w:noProof/>
                <w:sz w:val="18"/>
              </w:rPr>
            </w:pPr>
          </w:p>
        </w:tc>
        <w:tc>
          <w:tcPr>
            <w:tcW w:w="720" w:type="dxa"/>
            <w:gridSpan w:val="2"/>
            <w:tcBorders>
              <w:top w:val="nil"/>
              <w:left w:val="nil"/>
              <w:bottom w:val="nil"/>
              <w:right w:val="nil"/>
            </w:tcBorders>
          </w:tcPr>
          <w:p w14:paraId="30CD8F7A" w14:textId="77777777" w:rsidR="00600499" w:rsidRDefault="00600499" w:rsidP="00DC0670">
            <w:pPr>
              <w:spacing w:before="60" w:after="60"/>
              <w:ind w:right="-29"/>
              <w:jc w:val="center"/>
              <w:rPr>
                <w:noProof/>
                <w:sz w:val="18"/>
              </w:rPr>
            </w:pPr>
          </w:p>
        </w:tc>
        <w:tc>
          <w:tcPr>
            <w:tcW w:w="540" w:type="dxa"/>
            <w:tcBorders>
              <w:top w:val="nil"/>
              <w:left w:val="nil"/>
              <w:bottom w:val="nil"/>
              <w:right w:val="nil"/>
            </w:tcBorders>
          </w:tcPr>
          <w:p w14:paraId="59061BAD" w14:textId="77777777" w:rsidR="00600499" w:rsidRDefault="00600499" w:rsidP="00DC0670">
            <w:pPr>
              <w:spacing w:before="60" w:after="60"/>
              <w:ind w:right="-29"/>
              <w:jc w:val="center"/>
              <w:rPr>
                <w:noProof/>
                <w:sz w:val="18"/>
              </w:rPr>
            </w:pPr>
          </w:p>
        </w:tc>
        <w:tc>
          <w:tcPr>
            <w:tcW w:w="648" w:type="dxa"/>
            <w:tcBorders>
              <w:top w:val="nil"/>
              <w:left w:val="nil"/>
              <w:bottom w:val="nil"/>
              <w:right w:val="nil"/>
            </w:tcBorders>
          </w:tcPr>
          <w:p w14:paraId="5A60AC50" w14:textId="77777777" w:rsidR="00600499" w:rsidRDefault="00600499" w:rsidP="00DC0670">
            <w:pPr>
              <w:spacing w:before="60" w:after="60"/>
              <w:ind w:right="-29"/>
              <w:jc w:val="center"/>
              <w:rPr>
                <w:noProof/>
                <w:sz w:val="18"/>
              </w:rPr>
            </w:pPr>
          </w:p>
        </w:tc>
        <w:tc>
          <w:tcPr>
            <w:tcW w:w="432" w:type="dxa"/>
            <w:tcBorders>
              <w:top w:val="nil"/>
              <w:left w:val="nil"/>
              <w:bottom w:val="nil"/>
              <w:right w:val="nil"/>
            </w:tcBorders>
          </w:tcPr>
          <w:p w14:paraId="49BF6B8D" w14:textId="77777777" w:rsidR="00600499" w:rsidRDefault="00600499" w:rsidP="00DC0670">
            <w:pPr>
              <w:spacing w:before="60" w:after="60"/>
              <w:ind w:right="-29"/>
              <w:jc w:val="center"/>
              <w:rPr>
                <w:noProof/>
                <w:sz w:val="18"/>
              </w:rPr>
            </w:pPr>
          </w:p>
        </w:tc>
        <w:tc>
          <w:tcPr>
            <w:tcW w:w="720" w:type="dxa"/>
            <w:tcBorders>
              <w:top w:val="nil"/>
              <w:left w:val="nil"/>
              <w:bottom w:val="nil"/>
              <w:right w:val="nil"/>
            </w:tcBorders>
          </w:tcPr>
          <w:p w14:paraId="4F8DEF0A" w14:textId="77777777" w:rsidR="00600499" w:rsidRDefault="00600499" w:rsidP="00DC0670">
            <w:pPr>
              <w:spacing w:before="60" w:after="60"/>
              <w:ind w:right="-29"/>
              <w:jc w:val="center"/>
              <w:rPr>
                <w:noProof/>
                <w:sz w:val="18"/>
              </w:rPr>
            </w:pPr>
          </w:p>
        </w:tc>
        <w:tc>
          <w:tcPr>
            <w:tcW w:w="540" w:type="dxa"/>
            <w:tcBorders>
              <w:top w:val="nil"/>
              <w:left w:val="nil"/>
              <w:bottom w:val="nil"/>
              <w:right w:val="nil"/>
            </w:tcBorders>
          </w:tcPr>
          <w:p w14:paraId="13184547" w14:textId="77777777" w:rsidR="00600499" w:rsidRDefault="00600499" w:rsidP="00DC0670">
            <w:pPr>
              <w:spacing w:before="60" w:after="60"/>
              <w:ind w:right="-29"/>
              <w:jc w:val="center"/>
              <w:rPr>
                <w:noProof/>
                <w:sz w:val="18"/>
              </w:rPr>
            </w:pPr>
          </w:p>
        </w:tc>
        <w:tc>
          <w:tcPr>
            <w:tcW w:w="720" w:type="dxa"/>
            <w:tcBorders>
              <w:top w:val="nil"/>
              <w:left w:val="nil"/>
              <w:bottom w:val="nil"/>
              <w:right w:val="nil"/>
            </w:tcBorders>
          </w:tcPr>
          <w:p w14:paraId="252664D3" w14:textId="77777777" w:rsidR="00600499" w:rsidRDefault="00600499" w:rsidP="00DC0670">
            <w:pPr>
              <w:spacing w:before="60" w:after="60"/>
              <w:ind w:right="-29"/>
              <w:jc w:val="center"/>
              <w:rPr>
                <w:noProof/>
                <w:sz w:val="18"/>
              </w:rPr>
            </w:pPr>
          </w:p>
        </w:tc>
        <w:tc>
          <w:tcPr>
            <w:tcW w:w="720" w:type="dxa"/>
            <w:tcBorders>
              <w:top w:val="nil"/>
              <w:left w:val="nil"/>
              <w:bottom w:val="nil"/>
              <w:right w:val="nil"/>
            </w:tcBorders>
          </w:tcPr>
          <w:p w14:paraId="4CF6B6B0" w14:textId="77777777" w:rsidR="00600499" w:rsidRDefault="00600499" w:rsidP="00DC0670">
            <w:pPr>
              <w:spacing w:before="60" w:after="60"/>
              <w:ind w:right="-29"/>
              <w:jc w:val="center"/>
              <w:rPr>
                <w:noProof/>
                <w:sz w:val="18"/>
              </w:rPr>
            </w:pPr>
          </w:p>
        </w:tc>
        <w:tc>
          <w:tcPr>
            <w:tcW w:w="900" w:type="dxa"/>
            <w:tcBorders>
              <w:top w:val="nil"/>
              <w:left w:val="nil"/>
              <w:bottom w:val="nil"/>
              <w:right w:val="nil"/>
            </w:tcBorders>
          </w:tcPr>
          <w:p w14:paraId="2FCB5515" w14:textId="77777777" w:rsidR="00600499" w:rsidRDefault="00600499" w:rsidP="00DC0670">
            <w:pPr>
              <w:spacing w:before="60" w:after="60"/>
              <w:ind w:right="-29"/>
              <w:jc w:val="center"/>
              <w:rPr>
                <w:noProof/>
                <w:sz w:val="18"/>
              </w:rPr>
            </w:pPr>
          </w:p>
        </w:tc>
      </w:tr>
      <w:tr w:rsidR="00600499" w14:paraId="731CE0E6" w14:textId="77777777" w:rsidTr="00DC0670">
        <w:trPr>
          <w:trHeight w:hRule="exact" w:val="369"/>
          <w:jc w:val="center"/>
        </w:trPr>
        <w:tc>
          <w:tcPr>
            <w:tcW w:w="1423" w:type="dxa"/>
          </w:tcPr>
          <w:p w14:paraId="5ADC7F0E" w14:textId="77777777" w:rsidR="00600499" w:rsidRDefault="00600499" w:rsidP="00DC0670">
            <w:pPr>
              <w:ind w:right="-29"/>
              <w:jc w:val="center"/>
              <w:rPr>
                <w:noProof/>
                <w:sz w:val="18"/>
              </w:rPr>
            </w:pPr>
            <w:r>
              <w:rPr>
                <w:noProof/>
                <w:sz w:val="18"/>
              </w:rPr>
              <w:t>- Output</w:t>
            </w:r>
          </w:p>
        </w:tc>
        <w:tc>
          <w:tcPr>
            <w:tcW w:w="720" w:type="dxa"/>
          </w:tcPr>
          <w:p w14:paraId="58032330" w14:textId="77777777" w:rsidR="00600499" w:rsidRDefault="00600499" w:rsidP="00DC0670">
            <w:pPr>
              <w:ind w:right="-29"/>
              <w:jc w:val="center"/>
              <w:rPr>
                <w:noProof/>
                <w:sz w:val="18"/>
              </w:rPr>
            </w:pPr>
          </w:p>
        </w:tc>
        <w:tc>
          <w:tcPr>
            <w:tcW w:w="701" w:type="dxa"/>
          </w:tcPr>
          <w:p w14:paraId="0B69BFE2" w14:textId="77777777" w:rsidR="00600499" w:rsidRDefault="00600499" w:rsidP="00DC0670">
            <w:pPr>
              <w:ind w:right="-29"/>
              <w:jc w:val="center"/>
              <w:rPr>
                <w:noProof/>
                <w:sz w:val="18"/>
              </w:rPr>
            </w:pPr>
          </w:p>
        </w:tc>
        <w:tc>
          <w:tcPr>
            <w:tcW w:w="504" w:type="dxa"/>
            <w:tcBorders>
              <w:right w:val="dashSmallGap" w:sz="4" w:space="0" w:color="auto"/>
            </w:tcBorders>
          </w:tcPr>
          <w:p w14:paraId="72F2F39A" w14:textId="77777777" w:rsidR="00600499" w:rsidRDefault="00600499" w:rsidP="00DC0670">
            <w:pPr>
              <w:ind w:right="-29"/>
              <w:jc w:val="center"/>
              <w:rPr>
                <w:noProof/>
                <w:sz w:val="18"/>
              </w:rPr>
            </w:pPr>
          </w:p>
        </w:tc>
        <w:tc>
          <w:tcPr>
            <w:tcW w:w="720" w:type="dxa"/>
            <w:tcBorders>
              <w:left w:val="dashSmallGap" w:sz="4" w:space="0" w:color="auto"/>
            </w:tcBorders>
          </w:tcPr>
          <w:p w14:paraId="6D78451E" w14:textId="77777777" w:rsidR="00600499" w:rsidRDefault="00600499" w:rsidP="00DC0670">
            <w:pPr>
              <w:ind w:right="-29"/>
              <w:jc w:val="center"/>
              <w:rPr>
                <w:noProof/>
                <w:sz w:val="18"/>
              </w:rPr>
            </w:pPr>
          </w:p>
        </w:tc>
        <w:tc>
          <w:tcPr>
            <w:tcW w:w="540" w:type="dxa"/>
            <w:tcBorders>
              <w:right w:val="dashSmallGap" w:sz="4" w:space="0" w:color="auto"/>
            </w:tcBorders>
          </w:tcPr>
          <w:p w14:paraId="3A007893" w14:textId="77777777" w:rsidR="00600499" w:rsidRDefault="00600499" w:rsidP="00DC0670">
            <w:pPr>
              <w:ind w:right="-29"/>
              <w:jc w:val="center"/>
              <w:rPr>
                <w:noProof/>
                <w:sz w:val="18"/>
              </w:rPr>
            </w:pPr>
          </w:p>
        </w:tc>
        <w:tc>
          <w:tcPr>
            <w:tcW w:w="720" w:type="dxa"/>
            <w:tcBorders>
              <w:left w:val="dashSmallGap" w:sz="4" w:space="0" w:color="auto"/>
            </w:tcBorders>
          </w:tcPr>
          <w:p w14:paraId="3F1E6FCD" w14:textId="77777777" w:rsidR="00600499" w:rsidRDefault="00600499" w:rsidP="00DC0670">
            <w:pPr>
              <w:ind w:right="-29"/>
              <w:jc w:val="center"/>
              <w:rPr>
                <w:noProof/>
                <w:sz w:val="18"/>
              </w:rPr>
            </w:pPr>
          </w:p>
        </w:tc>
        <w:tc>
          <w:tcPr>
            <w:tcW w:w="720" w:type="dxa"/>
            <w:tcBorders>
              <w:right w:val="dashSmallGap" w:sz="4" w:space="0" w:color="auto"/>
            </w:tcBorders>
          </w:tcPr>
          <w:p w14:paraId="0DB3E17E" w14:textId="77777777" w:rsidR="00600499" w:rsidRDefault="00600499" w:rsidP="00DC0670">
            <w:pPr>
              <w:ind w:right="-29"/>
              <w:jc w:val="center"/>
              <w:rPr>
                <w:noProof/>
                <w:sz w:val="18"/>
              </w:rPr>
            </w:pPr>
          </w:p>
        </w:tc>
        <w:tc>
          <w:tcPr>
            <w:tcW w:w="720" w:type="dxa"/>
            <w:tcBorders>
              <w:left w:val="dashSmallGap" w:sz="4" w:space="0" w:color="auto"/>
            </w:tcBorders>
          </w:tcPr>
          <w:p w14:paraId="48DE6654" w14:textId="77777777" w:rsidR="00600499" w:rsidRDefault="00600499" w:rsidP="00DC0670">
            <w:pPr>
              <w:ind w:right="-29"/>
              <w:jc w:val="center"/>
              <w:rPr>
                <w:noProof/>
                <w:sz w:val="18"/>
              </w:rPr>
            </w:pPr>
          </w:p>
        </w:tc>
        <w:tc>
          <w:tcPr>
            <w:tcW w:w="900" w:type="dxa"/>
            <w:tcBorders>
              <w:right w:val="dashSmallGap" w:sz="4" w:space="0" w:color="auto"/>
            </w:tcBorders>
          </w:tcPr>
          <w:p w14:paraId="17089044" w14:textId="77777777" w:rsidR="00600499" w:rsidRDefault="00600499" w:rsidP="00DC0670">
            <w:pPr>
              <w:ind w:right="-29"/>
              <w:jc w:val="center"/>
              <w:rPr>
                <w:noProof/>
                <w:sz w:val="18"/>
              </w:rPr>
            </w:pPr>
          </w:p>
        </w:tc>
        <w:tc>
          <w:tcPr>
            <w:tcW w:w="720" w:type="dxa"/>
            <w:gridSpan w:val="2"/>
            <w:tcBorders>
              <w:left w:val="dashSmallGap" w:sz="4" w:space="0" w:color="auto"/>
            </w:tcBorders>
          </w:tcPr>
          <w:p w14:paraId="3E933BD2" w14:textId="77777777" w:rsidR="00600499" w:rsidRDefault="00600499" w:rsidP="00DC0670">
            <w:pPr>
              <w:ind w:right="-29"/>
              <w:jc w:val="center"/>
              <w:rPr>
                <w:noProof/>
                <w:sz w:val="18"/>
              </w:rPr>
            </w:pPr>
          </w:p>
        </w:tc>
        <w:tc>
          <w:tcPr>
            <w:tcW w:w="540" w:type="dxa"/>
            <w:tcBorders>
              <w:right w:val="dashSmallGap" w:sz="4" w:space="0" w:color="auto"/>
            </w:tcBorders>
          </w:tcPr>
          <w:p w14:paraId="316ACD31" w14:textId="77777777" w:rsidR="00600499" w:rsidRDefault="00600499" w:rsidP="00DC0670">
            <w:pPr>
              <w:ind w:right="-29"/>
              <w:jc w:val="center"/>
              <w:rPr>
                <w:noProof/>
                <w:sz w:val="18"/>
              </w:rPr>
            </w:pPr>
          </w:p>
        </w:tc>
        <w:tc>
          <w:tcPr>
            <w:tcW w:w="648" w:type="dxa"/>
            <w:tcBorders>
              <w:left w:val="dashSmallGap" w:sz="4" w:space="0" w:color="auto"/>
            </w:tcBorders>
          </w:tcPr>
          <w:p w14:paraId="694EABD6" w14:textId="77777777" w:rsidR="00600499" w:rsidRDefault="00600499" w:rsidP="00DC0670">
            <w:pPr>
              <w:ind w:right="-29"/>
              <w:jc w:val="center"/>
              <w:rPr>
                <w:noProof/>
                <w:sz w:val="18"/>
              </w:rPr>
            </w:pPr>
          </w:p>
        </w:tc>
        <w:tc>
          <w:tcPr>
            <w:tcW w:w="432" w:type="dxa"/>
            <w:tcBorders>
              <w:right w:val="dashSmallGap" w:sz="4" w:space="0" w:color="auto"/>
            </w:tcBorders>
          </w:tcPr>
          <w:p w14:paraId="0A23252F" w14:textId="77777777" w:rsidR="00600499" w:rsidRDefault="00600499" w:rsidP="00DC0670">
            <w:pPr>
              <w:ind w:right="-29"/>
              <w:jc w:val="center"/>
              <w:rPr>
                <w:noProof/>
                <w:sz w:val="18"/>
              </w:rPr>
            </w:pPr>
          </w:p>
        </w:tc>
        <w:tc>
          <w:tcPr>
            <w:tcW w:w="720" w:type="dxa"/>
            <w:tcBorders>
              <w:left w:val="dashSmallGap" w:sz="4" w:space="0" w:color="auto"/>
            </w:tcBorders>
          </w:tcPr>
          <w:p w14:paraId="015639E5" w14:textId="77777777" w:rsidR="00600499" w:rsidRDefault="00600499" w:rsidP="00DC0670">
            <w:pPr>
              <w:ind w:right="-29"/>
              <w:jc w:val="center"/>
              <w:rPr>
                <w:noProof/>
                <w:sz w:val="18"/>
              </w:rPr>
            </w:pPr>
          </w:p>
        </w:tc>
        <w:tc>
          <w:tcPr>
            <w:tcW w:w="540" w:type="dxa"/>
            <w:tcBorders>
              <w:right w:val="dashSmallGap" w:sz="4" w:space="0" w:color="auto"/>
            </w:tcBorders>
          </w:tcPr>
          <w:p w14:paraId="63F7B40C" w14:textId="77777777" w:rsidR="00600499" w:rsidRDefault="00600499" w:rsidP="00DC0670">
            <w:pPr>
              <w:ind w:right="-29"/>
              <w:jc w:val="center"/>
              <w:rPr>
                <w:noProof/>
                <w:sz w:val="18"/>
              </w:rPr>
            </w:pPr>
          </w:p>
        </w:tc>
        <w:tc>
          <w:tcPr>
            <w:tcW w:w="720" w:type="dxa"/>
            <w:tcBorders>
              <w:left w:val="dashSmallGap" w:sz="4" w:space="0" w:color="auto"/>
            </w:tcBorders>
          </w:tcPr>
          <w:p w14:paraId="30C3107F" w14:textId="77777777" w:rsidR="00600499" w:rsidRDefault="00600499" w:rsidP="00DC0670">
            <w:pPr>
              <w:ind w:right="-29"/>
              <w:jc w:val="center"/>
              <w:rPr>
                <w:noProof/>
                <w:sz w:val="18"/>
              </w:rPr>
            </w:pPr>
          </w:p>
        </w:tc>
        <w:tc>
          <w:tcPr>
            <w:tcW w:w="720" w:type="dxa"/>
          </w:tcPr>
          <w:p w14:paraId="465C98CD" w14:textId="77777777" w:rsidR="00600499" w:rsidRDefault="00600499" w:rsidP="00DC0670">
            <w:pPr>
              <w:ind w:right="-29"/>
              <w:jc w:val="center"/>
              <w:rPr>
                <w:noProof/>
                <w:sz w:val="18"/>
              </w:rPr>
            </w:pPr>
          </w:p>
        </w:tc>
        <w:tc>
          <w:tcPr>
            <w:tcW w:w="900" w:type="dxa"/>
          </w:tcPr>
          <w:p w14:paraId="695EC0F2" w14:textId="77777777" w:rsidR="00600499" w:rsidRDefault="00600499" w:rsidP="00DC0670">
            <w:pPr>
              <w:ind w:right="-29"/>
              <w:jc w:val="center"/>
              <w:rPr>
                <w:noProof/>
                <w:sz w:val="18"/>
              </w:rPr>
            </w:pPr>
          </w:p>
        </w:tc>
      </w:tr>
      <w:tr w:rsidR="00600499" w14:paraId="772B72BF" w14:textId="77777777" w:rsidTr="00DC0670">
        <w:trPr>
          <w:trHeight w:hRule="exact" w:val="369"/>
          <w:jc w:val="center"/>
        </w:trPr>
        <w:tc>
          <w:tcPr>
            <w:tcW w:w="1423" w:type="dxa"/>
          </w:tcPr>
          <w:p w14:paraId="35ECC15B" w14:textId="77777777" w:rsidR="00600499" w:rsidRDefault="00600499" w:rsidP="00DC0670">
            <w:pPr>
              <w:ind w:right="-29"/>
              <w:jc w:val="center"/>
              <w:rPr>
                <w:noProof/>
                <w:sz w:val="18"/>
              </w:rPr>
            </w:pPr>
            <w:r>
              <w:rPr>
                <w:noProof/>
                <w:sz w:val="18"/>
              </w:rPr>
              <w:t>- Output</w:t>
            </w:r>
          </w:p>
        </w:tc>
        <w:tc>
          <w:tcPr>
            <w:tcW w:w="720" w:type="dxa"/>
          </w:tcPr>
          <w:p w14:paraId="56C285D1" w14:textId="77777777" w:rsidR="00600499" w:rsidRDefault="00600499" w:rsidP="00DC0670">
            <w:pPr>
              <w:ind w:right="-29"/>
              <w:jc w:val="center"/>
              <w:rPr>
                <w:noProof/>
                <w:sz w:val="18"/>
              </w:rPr>
            </w:pPr>
          </w:p>
        </w:tc>
        <w:tc>
          <w:tcPr>
            <w:tcW w:w="701" w:type="dxa"/>
          </w:tcPr>
          <w:p w14:paraId="7F9480E2" w14:textId="77777777" w:rsidR="00600499" w:rsidRDefault="00600499" w:rsidP="00DC0670">
            <w:pPr>
              <w:ind w:right="-29"/>
              <w:jc w:val="center"/>
              <w:rPr>
                <w:noProof/>
                <w:sz w:val="18"/>
              </w:rPr>
            </w:pPr>
          </w:p>
        </w:tc>
        <w:tc>
          <w:tcPr>
            <w:tcW w:w="504" w:type="dxa"/>
            <w:tcBorders>
              <w:right w:val="dashSmallGap" w:sz="4" w:space="0" w:color="auto"/>
            </w:tcBorders>
          </w:tcPr>
          <w:p w14:paraId="7F2155C2" w14:textId="77777777" w:rsidR="00600499" w:rsidRDefault="00600499" w:rsidP="00DC0670">
            <w:pPr>
              <w:ind w:right="-29"/>
              <w:jc w:val="center"/>
              <w:rPr>
                <w:noProof/>
                <w:sz w:val="18"/>
              </w:rPr>
            </w:pPr>
          </w:p>
        </w:tc>
        <w:tc>
          <w:tcPr>
            <w:tcW w:w="720" w:type="dxa"/>
            <w:tcBorders>
              <w:left w:val="dashSmallGap" w:sz="4" w:space="0" w:color="auto"/>
            </w:tcBorders>
          </w:tcPr>
          <w:p w14:paraId="3CE3F6D4" w14:textId="77777777" w:rsidR="00600499" w:rsidRDefault="00600499" w:rsidP="00DC0670">
            <w:pPr>
              <w:ind w:right="-29"/>
              <w:jc w:val="center"/>
              <w:rPr>
                <w:noProof/>
                <w:sz w:val="18"/>
              </w:rPr>
            </w:pPr>
          </w:p>
        </w:tc>
        <w:tc>
          <w:tcPr>
            <w:tcW w:w="540" w:type="dxa"/>
            <w:tcBorders>
              <w:right w:val="dashSmallGap" w:sz="4" w:space="0" w:color="auto"/>
            </w:tcBorders>
          </w:tcPr>
          <w:p w14:paraId="1080E687" w14:textId="77777777" w:rsidR="00600499" w:rsidRDefault="00600499" w:rsidP="00DC0670">
            <w:pPr>
              <w:ind w:right="-29"/>
              <w:jc w:val="center"/>
              <w:rPr>
                <w:noProof/>
                <w:sz w:val="18"/>
              </w:rPr>
            </w:pPr>
          </w:p>
        </w:tc>
        <w:tc>
          <w:tcPr>
            <w:tcW w:w="720" w:type="dxa"/>
            <w:tcBorders>
              <w:left w:val="dashSmallGap" w:sz="4" w:space="0" w:color="auto"/>
            </w:tcBorders>
          </w:tcPr>
          <w:p w14:paraId="3C1895C5" w14:textId="77777777" w:rsidR="00600499" w:rsidRDefault="00600499" w:rsidP="00DC0670">
            <w:pPr>
              <w:ind w:right="-29"/>
              <w:jc w:val="center"/>
              <w:rPr>
                <w:noProof/>
                <w:sz w:val="18"/>
              </w:rPr>
            </w:pPr>
          </w:p>
        </w:tc>
        <w:tc>
          <w:tcPr>
            <w:tcW w:w="720" w:type="dxa"/>
            <w:tcBorders>
              <w:right w:val="dashSmallGap" w:sz="4" w:space="0" w:color="auto"/>
            </w:tcBorders>
          </w:tcPr>
          <w:p w14:paraId="16368069" w14:textId="77777777" w:rsidR="00600499" w:rsidRDefault="00600499" w:rsidP="00DC0670">
            <w:pPr>
              <w:ind w:right="-29"/>
              <w:jc w:val="center"/>
              <w:rPr>
                <w:noProof/>
                <w:sz w:val="18"/>
              </w:rPr>
            </w:pPr>
          </w:p>
        </w:tc>
        <w:tc>
          <w:tcPr>
            <w:tcW w:w="720" w:type="dxa"/>
            <w:tcBorders>
              <w:left w:val="dashSmallGap" w:sz="4" w:space="0" w:color="auto"/>
            </w:tcBorders>
          </w:tcPr>
          <w:p w14:paraId="43E8E774" w14:textId="77777777" w:rsidR="00600499" w:rsidRDefault="00600499" w:rsidP="00DC0670">
            <w:pPr>
              <w:ind w:right="-29"/>
              <w:jc w:val="center"/>
              <w:rPr>
                <w:noProof/>
                <w:sz w:val="18"/>
              </w:rPr>
            </w:pPr>
          </w:p>
        </w:tc>
        <w:tc>
          <w:tcPr>
            <w:tcW w:w="900" w:type="dxa"/>
            <w:tcBorders>
              <w:right w:val="dashSmallGap" w:sz="4" w:space="0" w:color="auto"/>
            </w:tcBorders>
          </w:tcPr>
          <w:p w14:paraId="59042687" w14:textId="77777777" w:rsidR="00600499" w:rsidRDefault="00600499" w:rsidP="00DC0670">
            <w:pPr>
              <w:ind w:right="-29"/>
              <w:jc w:val="center"/>
              <w:rPr>
                <w:noProof/>
                <w:sz w:val="18"/>
              </w:rPr>
            </w:pPr>
          </w:p>
        </w:tc>
        <w:tc>
          <w:tcPr>
            <w:tcW w:w="720" w:type="dxa"/>
            <w:gridSpan w:val="2"/>
            <w:tcBorders>
              <w:left w:val="dashSmallGap" w:sz="4" w:space="0" w:color="auto"/>
            </w:tcBorders>
          </w:tcPr>
          <w:p w14:paraId="0F46FDA2" w14:textId="77777777" w:rsidR="00600499" w:rsidRDefault="00600499" w:rsidP="00DC0670">
            <w:pPr>
              <w:ind w:right="-29"/>
              <w:jc w:val="center"/>
              <w:rPr>
                <w:noProof/>
                <w:sz w:val="18"/>
              </w:rPr>
            </w:pPr>
          </w:p>
        </w:tc>
        <w:tc>
          <w:tcPr>
            <w:tcW w:w="540" w:type="dxa"/>
            <w:tcBorders>
              <w:right w:val="dashSmallGap" w:sz="4" w:space="0" w:color="auto"/>
            </w:tcBorders>
          </w:tcPr>
          <w:p w14:paraId="317CFB9B" w14:textId="77777777" w:rsidR="00600499" w:rsidRDefault="00600499" w:rsidP="00DC0670">
            <w:pPr>
              <w:ind w:right="-29"/>
              <w:jc w:val="center"/>
              <w:rPr>
                <w:noProof/>
                <w:sz w:val="18"/>
              </w:rPr>
            </w:pPr>
          </w:p>
        </w:tc>
        <w:tc>
          <w:tcPr>
            <w:tcW w:w="648" w:type="dxa"/>
            <w:tcBorders>
              <w:left w:val="dashSmallGap" w:sz="4" w:space="0" w:color="auto"/>
            </w:tcBorders>
          </w:tcPr>
          <w:p w14:paraId="22CD354A" w14:textId="77777777" w:rsidR="00600499" w:rsidRDefault="00600499" w:rsidP="00DC0670">
            <w:pPr>
              <w:ind w:right="-29"/>
              <w:jc w:val="center"/>
              <w:rPr>
                <w:noProof/>
                <w:sz w:val="18"/>
              </w:rPr>
            </w:pPr>
          </w:p>
        </w:tc>
        <w:tc>
          <w:tcPr>
            <w:tcW w:w="432" w:type="dxa"/>
            <w:tcBorders>
              <w:right w:val="dashSmallGap" w:sz="4" w:space="0" w:color="auto"/>
            </w:tcBorders>
          </w:tcPr>
          <w:p w14:paraId="35821267" w14:textId="77777777" w:rsidR="00600499" w:rsidRDefault="00600499" w:rsidP="00DC0670">
            <w:pPr>
              <w:ind w:right="-29"/>
              <w:jc w:val="center"/>
              <w:rPr>
                <w:noProof/>
                <w:sz w:val="18"/>
              </w:rPr>
            </w:pPr>
          </w:p>
        </w:tc>
        <w:tc>
          <w:tcPr>
            <w:tcW w:w="720" w:type="dxa"/>
            <w:tcBorders>
              <w:left w:val="dashSmallGap" w:sz="4" w:space="0" w:color="auto"/>
            </w:tcBorders>
          </w:tcPr>
          <w:p w14:paraId="5A08CDF0" w14:textId="77777777" w:rsidR="00600499" w:rsidRDefault="00600499" w:rsidP="00DC0670">
            <w:pPr>
              <w:ind w:right="-29"/>
              <w:jc w:val="center"/>
              <w:rPr>
                <w:noProof/>
                <w:sz w:val="18"/>
              </w:rPr>
            </w:pPr>
          </w:p>
        </w:tc>
        <w:tc>
          <w:tcPr>
            <w:tcW w:w="540" w:type="dxa"/>
            <w:tcBorders>
              <w:right w:val="dashSmallGap" w:sz="4" w:space="0" w:color="auto"/>
            </w:tcBorders>
          </w:tcPr>
          <w:p w14:paraId="1ED145D5" w14:textId="77777777" w:rsidR="00600499" w:rsidRDefault="00600499" w:rsidP="00DC0670">
            <w:pPr>
              <w:ind w:right="-29"/>
              <w:jc w:val="center"/>
              <w:rPr>
                <w:noProof/>
                <w:sz w:val="18"/>
              </w:rPr>
            </w:pPr>
          </w:p>
        </w:tc>
        <w:tc>
          <w:tcPr>
            <w:tcW w:w="720" w:type="dxa"/>
            <w:tcBorders>
              <w:left w:val="dashSmallGap" w:sz="4" w:space="0" w:color="auto"/>
            </w:tcBorders>
          </w:tcPr>
          <w:p w14:paraId="5D70C775" w14:textId="77777777" w:rsidR="00600499" w:rsidRDefault="00600499" w:rsidP="00DC0670">
            <w:pPr>
              <w:ind w:right="-29"/>
              <w:jc w:val="center"/>
              <w:rPr>
                <w:noProof/>
                <w:sz w:val="18"/>
              </w:rPr>
            </w:pPr>
          </w:p>
        </w:tc>
        <w:tc>
          <w:tcPr>
            <w:tcW w:w="720" w:type="dxa"/>
          </w:tcPr>
          <w:p w14:paraId="4AA0AD7E" w14:textId="77777777" w:rsidR="00600499" w:rsidRDefault="00600499" w:rsidP="00DC0670">
            <w:pPr>
              <w:ind w:right="-29"/>
              <w:jc w:val="center"/>
              <w:rPr>
                <w:noProof/>
                <w:sz w:val="18"/>
              </w:rPr>
            </w:pPr>
          </w:p>
        </w:tc>
        <w:tc>
          <w:tcPr>
            <w:tcW w:w="900" w:type="dxa"/>
          </w:tcPr>
          <w:p w14:paraId="112C9A63" w14:textId="77777777" w:rsidR="00600499" w:rsidRDefault="00600499" w:rsidP="00DC0670">
            <w:pPr>
              <w:ind w:right="-29"/>
              <w:jc w:val="center"/>
              <w:rPr>
                <w:noProof/>
                <w:sz w:val="18"/>
              </w:rPr>
            </w:pPr>
          </w:p>
        </w:tc>
      </w:tr>
      <w:tr w:rsidR="00600499" w14:paraId="0B8272B1" w14:textId="77777777" w:rsidTr="00DC0670">
        <w:trPr>
          <w:trHeight w:hRule="exact" w:val="369"/>
          <w:jc w:val="center"/>
        </w:trPr>
        <w:tc>
          <w:tcPr>
            <w:tcW w:w="1423" w:type="dxa"/>
          </w:tcPr>
          <w:p w14:paraId="58DDFEB9" w14:textId="77777777" w:rsidR="00600499" w:rsidRDefault="00600499" w:rsidP="00DC0670">
            <w:pPr>
              <w:ind w:right="-29"/>
              <w:jc w:val="center"/>
              <w:rPr>
                <w:noProof/>
                <w:sz w:val="18"/>
              </w:rPr>
            </w:pPr>
            <w:r>
              <w:rPr>
                <w:noProof/>
                <w:sz w:val="18"/>
              </w:rPr>
              <w:t>- Output</w:t>
            </w:r>
          </w:p>
        </w:tc>
        <w:tc>
          <w:tcPr>
            <w:tcW w:w="720" w:type="dxa"/>
          </w:tcPr>
          <w:p w14:paraId="5781EA6E" w14:textId="77777777" w:rsidR="00600499" w:rsidRDefault="00600499" w:rsidP="00DC0670">
            <w:pPr>
              <w:ind w:right="-29"/>
              <w:jc w:val="center"/>
              <w:rPr>
                <w:noProof/>
                <w:sz w:val="18"/>
              </w:rPr>
            </w:pPr>
          </w:p>
        </w:tc>
        <w:tc>
          <w:tcPr>
            <w:tcW w:w="701" w:type="dxa"/>
          </w:tcPr>
          <w:p w14:paraId="2E0B5507" w14:textId="77777777" w:rsidR="00600499" w:rsidRDefault="00600499" w:rsidP="00DC0670">
            <w:pPr>
              <w:ind w:right="-29"/>
              <w:jc w:val="center"/>
              <w:rPr>
                <w:noProof/>
                <w:sz w:val="18"/>
              </w:rPr>
            </w:pPr>
          </w:p>
        </w:tc>
        <w:tc>
          <w:tcPr>
            <w:tcW w:w="504" w:type="dxa"/>
          </w:tcPr>
          <w:p w14:paraId="03C9C9EF" w14:textId="77777777" w:rsidR="00600499" w:rsidRDefault="00600499" w:rsidP="00DC0670">
            <w:pPr>
              <w:ind w:right="-29"/>
              <w:jc w:val="center"/>
              <w:rPr>
                <w:noProof/>
                <w:sz w:val="18"/>
              </w:rPr>
            </w:pPr>
          </w:p>
        </w:tc>
        <w:tc>
          <w:tcPr>
            <w:tcW w:w="720" w:type="dxa"/>
          </w:tcPr>
          <w:p w14:paraId="6F5487E0" w14:textId="77777777" w:rsidR="00600499" w:rsidRDefault="00600499" w:rsidP="00DC0670">
            <w:pPr>
              <w:ind w:right="-29"/>
              <w:jc w:val="center"/>
              <w:rPr>
                <w:noProof/>
                <w:sz w:val="18"/>
              </w:rPr>
            </w:pPr>
          </w:p>
        </w:tc>
        <w:tc>
          <w:tcPr>
            <w:tcW w:w="540" w:type="dxa"/>
          </w:tcPr>
          <w:p w14:paraId="18ED831B" w14:textId="77777777" w:rsidR="00600499" w:rsidRDefault="00600499" w:rsidP="00DC0670">
            <w:pPr>
              <w:ind w:right="-29"/>
              <w:jc w:val="center"/>
              <w:rPr>
                <w:noProof/>
                <w:sz w:val="18"/>
              </w:rPr>
            </w:pPr>
          </w:p>
        </w:tc>
        <w:tc>
          <w:tcPr>
            <w:tcW w:w="720" w:type="dxa"/>
          </w:tcPr>
          <w:p w14:paraId="6ACB577B" w14:textId="77777777" w:rsidR="00600499" w:rsidRDefault="00600499" w:rsidP="00DC0670">
            <w:pPr>
              <w:ind w:right="-29"/>
              <w:jc w:val="center"/>
              <w:rPr>
                <w:noProof/>
                <w:sz w:val="18"/>
              </w:rPr>
            </w:pPr>
          </w:p>
        </w:tc>
        <w:tc>
          <w:tcPr>
            <w:tcW w:w="720" w:type="dxa"/>
          </w:tcPr>
          <w:p w14:paraId="15E7FE20" w14:textId="77777777" w:rsidR="00600499" w:rsidRDefault="00600499" w:rsidP="00DC0670">
            <w:pPr>
              <w:ind w:right="-29"/>
              <w:jc w:val="center"/>
              <w:rPr>
                <w:noProof/>
                <w:sz w:val="18"/>
              </w:rPr>
            </w:pPr>
          </w:p>
        </w:tc>
        <w:tc>
          <w:tcPr>
            <w:tcW w:w="720" w:type="dxa"/>
          </w:tcPr>
          <w:p w14:paraId="000CCF98" w14:textId="77777777" w:rsidR="00600499" w:rsidRDefault="00600499" w:rsidP="00DC0670">
            <w:pPr>
              <w:ind w:right="-29"/>
              <w:jc w:val="center"/>
              <w:rPr>
                <w:noProof/>
                <w:sz w:val="18"/>
              </w:rPr>
            </w:pPr>
          </w:p>
        </w:tc>
        <w:tc>
          <w:tcPr>
            <w:tcW w:w="900" w:type="dxa"/>
          </w:tcPr>
          <w:p w14:paraId="0684B604" w14:textId="77777777" w:rsidR="00600499" w:rsidRDefault="00600499" w:rsidP="00DC0670">
            <w:pPr>
              <w:ind w:right="-29"/>
              <w:jc w:val="center"/>
              <w:rPr>
                <w:noProof/>
                <w:sz w:val="18"/>
              </w:rPr>
            </w:pPr>
          </w:p>
        </w:tc>
        <w:tc>
          <w:tcPr>
            <w:tcW w:w="720" w:type="dxa"/>
            <w:gridSpan w:val="2"/>
          </w:tcPr>
          <w:p w14:paraId="2C4768FC" w14:textId="77777777" w:rsidR="00600499" w:rsidRDefault="00600499" w:rsidP="00DC0670">
            <w:pPr>
              <w:ind w:right="-29"/>
              <w:jc w:val="center"/>
              <w:rPr>
                <w:noProof/>
                <w:sz w:val="18"/>
              </w:rPr>
            </w:pPr>
          </w:p>
        </w:tc>
        <w:tc>
          <w:tcPr>
            <w:tcW w:w="540" w:type="dxa"/>
          </w:tcPr>
          <w:p w14:paraId="4A934F27" w14:textId="77777777" w:rsidR="00600499" w:rsidRDefault="00600499" w:rsidP="00DC0670">
            <w:pPr>
              <w:ind w:right="-29"/>
              <w:jc w:val="center"/>
              <w:rPr>
                <w:noProof/>
                <w:sz w:val="18"/>
              </w:rPr>
            </w:pPr>
          </w:p>
        </w:tc>
        <w:tc>
          <w:tcPr>
            <w:tcW w:w="648" w:type="dxa"/>
          </w:tcPr>
          <w:p w14:paraId="10505700" w14:textId="77777777" w:rsidR="00600499" w:rsidRDefault="00600499" w:rsidP="00DC0670">
            <w:pPr>
              <w:ind w:right="-29"/>
              <w:jc w:val="center"/>
              <w:rPr>
                <w:noProof/>
                <w:sz w:val="18"/>
              </w:rPr>
            </w:pPr>
          </w:p>
        </w:tc>
        <w:tc>
          <w:tcPr>
            <w:tcW w:w="432" w:type="dxa"/>
          </w:tcPr>
          <w:p w14:paraId="75264794" w14:textId="77777777" w:rsidR="00600499" w:rsidRDefault="00600499" w:rsidP="00DC0670">
            <w:pPr>
              <w:ind w:right="-29"/>
              <w:jc w:val="center"/>
              <w:rPr>
                <w:noProof/>
                <w:sz w:val="18"/>
              </w:rPr>
            </w:pPr>
          </w:p>
        </w:tc>
        <w:tc>
          <w:tcPr>
            <w:tcW w:w="720" w:type="dxa"/>
          </w:tcPr>
          <w:p w14:paraId="5894FBE4" w14:textId="77777777" w:rsidR="00600499" w:rsidRDefault="00600499" w:rsidP="00DC0670">
            <w:pPr>
              <w:ind w:right="-29"/>
              <w:jc w:val="center"/>
              <w:rPr>
                <w:noProof/>
                <w:sz w:val="18"/>
              </w:rPr>
            </w:pPr>
          </w:p>
        </w:tc>
        <w:tc>
          <w:tcPr>
            <w:tcW w:w="540" w:type="dxa"/>
          </w:tcPr>
          <w:p w14:paraId="66902EDF" w14:textId="77777777" w:rsidR="00600499" w:rsidRDefault="00600499" w:rsidP="00DC0670">
            <w:pPr>
              <w:ind w:right="-29"/>
              <w:jc w:val="center"/>
              <w:rPr>
                <w:noProof/>
                <w:sz w:val="18"/>
              </w:rPr>
            </w:pPr>
          </w:p>
        </w:tc>
        <w:tc>
          <w:tcPr>
            <w:tcW w:w="720" w:type="dxa"/>
          </w:tcPr>
          <w:p w14:paraId="44630112" w14:textId="77777777" w:rsidR="00600499" w:rsidRDefault="00600499" w:rsidP="00DC0670">
            <w:pPr>
              <w:ind w:right="-29"/>
              <w:jc w:val="center"/>
              <w:rPr>
                <w:noProof/>
                <w:sz w:val="18"/>
              </w:rPr>
            </w:pPr>
          </w:p>
        </w:tc>
        <w:tc>
          <w:tcPr>
            <w:tcW w:w="720" w:type="dxa"/>
          </w:tcPr>
          <w:p w14:paraId="252CE423" w14:textId="77777777" w:rsidR="00600499" w:rsidRDefault="00600499" w:rsidP="00DC0670">
            <w:pPr>
              <w:ind w:right="-29"/>
              <w:jc w:val="center"/>
              <w:rPr>
                <w:noProof/>
                <w:sz w:val="18"/>
              </w:rPr>
            </w:pPr>
          </w:p>
        </w:tc>
        <w:tc>
          <w:tcPr>
            <w:tcW w:w="900" w:type="dxa"/>
          </w:tcPr>
          <w:p w14:paraId="4638C8F6" w14:textId="77777777" w:rsidR="00600499" w:rsidRDefault="00600499" w:rsidP="00DC0670">
            <w:pPr>
              <w:ind w:right="-29"/>
              <w:jc w:val="center"/>
              <w:rPr>
                <w:noProof/>
                <w:sz w:val="18"/>
              </w:rPr>
            </w:pPr>
          </w:p>
        </w:tc>
      </w:tr>
      <w:tr w:rsidR="00600499" w14:paraId="576A4A16" w14:textId="77777777" w:rsidTr="00DC0670">
        <w:trPr>
          <w:jc w:val="center"/>
        </w:trPr>
        <w:tc>
          <w:tcPr>
            <w:tcW w:w="2844" w:type="dxa"/>
            <w:gridSpan w:val="3"/>
            <w:tcBorders>
              <w:bottom w:val="single" w:sz="12" w:space="0" w:color="auto"/>
            </w:tcBorders>
            <w:vAlign w:val="center"/>
          </w:tcPr>
          <w:p w14:paraId="2676A44E" w14:textId="77777777" w:rsidR="00600499" w:rsidRDefault="00600499" w:rsidP="00DC0670">
            <w:pPr>
              <w:ind w:right="-29"/>
              <w:jc w:val="center"/>
              <w:rPr>
                <w:noProof/>
                <w:sz w:val="18"/>
              </w:rPr>
            </w:pPr>
            <w:r>
              <w:rPr>
                <w:noProof/>
                <w:sz w:val="18"/>
              </w:rPr>
              <w:t>Subtotal for specific objective No 1</w:t>
            </w:r>
          </w:p>
        </w:tc>
        <w:tc>
          <w:tcPr>
            <w:tcW w:w="504" w:type="dxa"/>
            <w:tcBorders>
              <w:bottom w:val="single" w:sz="12" w:space="0" w:color="auto"/>
            </w:tcBorders>
          </w:tcPr>
          <w:p w14:paraId="3089FA10" w14:textId="77777777" w:rsidR="00600499" w:rsidRDefault="00600499" w:rsidP="00DC0670">
            <w:pPr>
              <w:ind w:right="-29"/>
              <w:jc w:val="center"/>
              <w:rPr>
                <w:noProof/>
                <w:sz w:val="18"/>
              </w:rPr>
            </w:pPr>
          </w:p>
        </w:tc>
        <w:tc>
          <w:tcPr>
            <w:tcW w:w="720" w:type="dxa"/>
            <w:tcBorders>
              <w:bottom w:val="single" w:sz="12" w:space="0" w:color="auto"/>
            </w:tcBorders>
          </w:tcPr>
          <w:p w14:paraId="384AF45B" w14:textId="77777777" w:rsidR="00600499" w:rsidRDefault="00600499" w:rsidP="00DC0670">
            <w:pPr>
              <w:ind w:right="-29"/>
              <w:jc w:val="center"/>
              <w:rPr>
                <w:noProof/>
                <w:sz w:val="18"/>
              </w:rPr>
            </w:pPr>
          </w:p>
        </w:tc>
        <w:tc>
          <w:tcPr>
            <w:tcW w:w="540" w:type="dxa"/>
            <w:tcBorders>
              <w:bottom w:val="single" w:sz="12" w:space="0" w:color="auto"/>
            </w:tcBorders>
          </w:tcPr>
          <w:p w14:paraId="2E8D17E8" w14:textId="77777777" w:rsidR="00600499" w:rsidRDefault="00600499" w:rsidP="00DC0670">
            <w:pPr>
              <w:ind w:right="-29"/>
              <w:jc w:val="center"/>
              <w:rPr>
                <w:noProof/>
                <w:sz w:val="18"/>
              </w:rPr>
            </w:pPr>
          </w:p>
        </w:tc>
        <w:tc>
          <w:tcPr>
            <w:tcW w:w="720" w:type="dxa"/>
            <w:tcBorders>
              <w:bottom w:val="single" w:sz="12" w:space="0" w:color="auto"/>
            </w:tcBorders>
          </w:tcPr>
          <w:p w14:paraId="75DAF8BE" w14:textId="77777777" w:rsidR="00600499" w:rsidRDefault="00600499" w:rsidP="00DC0670">
            <w:pPr>
              <w:ind w:right="-29"/>
              <w:jc w:val="center"/>
              <w:rPr>
                <w:noProof/>
                <w:sz w:val="18"/>
              </w:rPr>
            </w:pPr>
          </w:p>
        </w:tc>
        <w:tc>
          <w:tcPr>
            <w:tcW w:w="720" w:type="dxa"/>
            <w:tcBorders>
              <w:bottom w:val="single" w:sz="12" w:space="0" w:color="auto"/>
            </w:tcBorders>
          </w:tcPr>
          <w:p w14:paraId="6C858C94" w14:textId="77777777" w:rsidR="00600499" w:rsidRDefault="00600499" w:rsidP="00DC0670">
            <w:pPr>
              <w:ind w:right="-29"/>
              <w:jc w:val="center"/>
              <w:rPr>
                <w:noProof/>
                <w:sz w:val="18"/>
              </w:rPr>
            </w:pPr>
          </w:p>
        </w:tc>
        <w:tc>
          <w:tcPr>
            <w:tcW w:w="720" w:type="dxa"/>
            <w:tcBorders>
              <w:bottom w:val="single" w:sz="12" w:space="0" w:color="auto"/>
            </w:tcBorders>
          </w:tcPr>
          <w:p w14:paraId="5A6EF7D6" w14:textId="77777777" w:rsidR="00600499" w:rsidRDefault="00600499" w:rsidP="00DC0670">
            <w:pPr>
              <w:ind w:right="-29"/>
              <w:jc w:val="center"/>
              <w:rPr>
                <w:noProof/>
                <w:sz w:val="18"/>
              </w:rPr>
            </w:pPr>
          </w:p>
        </w:tc>
        <w:tc>
          <w:tcPr>
            <w:tcW w:w="900" w:type="dxa"/>
            <w:tcBorders>
              <w:bottom w:val="single" w:sz="12" w:space="0" w:color="auto"/>
            </w:tcBorders>
          </w:tcPr>
          <w:p w14:paraId="6E26A023" w14:textId="77777777" w:rsidR="00600499" w:rsidRDefault="00600499" w:rsidP="00DC0670">
            <w:pPr>
              <w:ind w:right="-29"/>
              <w:jc w:val="center"/>
              <w:rPr>
                <w:noProof/>
                <w:sz w:val="18"/>
              </w:rPr>
            </w:pPr>
          </w:p>
        </w:tc>
        <w:tc>
          <w:tcPr>
            <w:tcW w:w="720" w:type="dxa"/>
            <w:gridSpan w:val="2"/>
            <w:tcBorders>
              <w:bottom w:val="single" w:sz="12" w:space="0" w:color="auto"/>
            </w:tcBorders>
          </w:tcPr>
          <w:p w14:paraId="5ADA3EEC" w14:textId="77777777" w:rsidR="00600499" w:rsidRDefault="00600499" w:rsidP="00DC0670">
            <w:pPr>
              <w:ind w:right="-29"/>
              <w:jc w:val="center"/>
              <w:rPr>
                <w:noProof/>
                <w:sz w:val="18"/>
              </w:rPr>
            </w:pPr>
          </w:p>
        </w:tc>
        <w:tc>
          <w:tcPr>
            <w:tcW w:w="540" w:type="dxa"/>
            <w:tcBorders>
              <w:bottom w:val="single" w:sz="12" w:space="0" w:color="auto"/>
            </w:tcBorders>
          </w:tcPr>
          <w:p w14:paraId="01ACC645" w14:textId="77777777" w:rsidR="00600499" w:rsidRDefault="00600499" w:rsidP="00DC0670">
            <w:pPr>
              <w:ind w:right="-29"/>
              <w:jc w:val="center"/>
              <w:rPr>
                <w:noProof/>
                <w:sz w:val="18"/>
              </w:rPr>
            </w:pPr>
          </w:p>
        </w:tc>
        <w:tc>
          <w:tcPr>
            <w:tcW w:w="648" w:type="dxa"/>
            <w:tcBorders>
              <w:bottom w:val="single" w:sz="12" w:space="0" w:color="auto"/>
            </w:tcBorders>
          </w:tcPr>
          <w:p w14:paraId="5C3EF312" w14:textId="77777777" w:rsidR="00600499" w:rsidRDefault="00600499" w:rsidP="00DC0670">
            <w:pPr>
              <w:ind w:right="-29"/>
              <w:jc w:val="center"/>
              <w:rPr>
                <w:noProof/>
                <w:sz w:val="18"/>
              </w:rPr>
            </w:pPr>
          </w:p>
        </w:tc>
        <w:tc>
          <w:tcPr>
            <w:tcW w:w="432" w:type="dxa"/>
            <w:tcBorders>
              <w:bottom w:val="single" w:sz="12" w:space="0" w:color="auto"/>
            </w:tcBorders>
          </w:tcPr>
          <w:p w14:paraId="75FFE79C" w14:textId="77777777" w:rsidR="00600499" w:rsidRDefault="00600499" w:rsidP="00DC0670">
            <w:pPr>
              <w:ind w:right="-29"/>
              <w:jc w:val="center"/>
              <w:rPr>
                <w:noProof/>
                <w:sz w:val="18"/>
              </w:rPr>
            </w:pPr>
          </w:p>
        </w:tc>
        <w:tc>
          <w:tcPr>
            <w:tcW w:w="720" w:type="dxa"/>
            <w:tcBorders>
              <w:bottom w:val="single" w:sz="12" w:space="0" w:color="auto"/>
            </w:tcBorders>
          </w:tcPr>
          <w:p w14:paraId="756535FE" w14:textId="77777777" w:rsidR="00600499" w:rsidRDefault="00600499" w:rsidP="00DC0670">
            <w:pPr>
              <w:ind w:right="-29"/>
              <w:jc w:val="center"/>
              <w:rPr>
                <w:noProof/>
                <w:sz w:val="18"/>
              </w:rPr>
            </w:pPr>
          </w:p>
        </w:tc>
        <w:tc>
          <w:tcPr>
            <w:tcW w:w="540" w:type="dxa"/>
            <w:tcBorders>
              <w:bottom w:val="single" w:sz="12" w:space="0" w:color="auto"/>
            </w:tcBorders>
          </w:tcPr>
          <w:p w14:paraId="46D547E3" w14:textId="77777777" w:rsidR="00600499" w:rsidRDefault="00600499" w:rsidP="00DC0670">
            <w:pPr>
              <w:ind w:right="-29"/>
              <w:jc w:val="center"/>
              <w:rPr>
                <w:noProof/>
                <w:sz w:val="18"/>
              </w:rPr>
            </w:pPr>
          </w:p>
        </w:tc>
        <w:tc>
          <w:tcPr>
            <w:tcW w:w="720" w:type="dxa"/>
            <w:tcBorders>
              <w:bottom w:val="single" w:sz="12" w:space="0" w:color="auto"/>
            </w:tcBorders>
          </w:tcPr>
          <w:p w14:paraId="7F33979E" w14:textId="77777777" w:rsidR="00600499" w:rsidRDefault="00600499" w:rsidP="00DC0670">
            <w:pPr>
              <w:ind w:right="-29"/>
              <w:jc w:val="center"/>
              <w:rPr>
                <w:noProof/>
                <w:sz w:val="18"/>
              </w:rPr>
            </w:pPr>
          </w:p>
        </w:tc>
        <w:tc>
          <w:tcPr>
            <w:tcW w:w="720" w:type="dxa"/>
            <w:tcBorders>
              <w:bottom w:val="single" w:sz="12" w:space="0" w:color="auto"/>
            </w:tcBorders>
          </w:tcPr>
          <w:p w14:paraId="794C8587" w14:textId="77777777" w:rsidR="00600499" w:rsidRDefault="00600499" w:rsidP="00DC0670">
            <w:pPr>
              <w:ind w:right="-29"/>
              <w:jc w:val="center"/>
              <w:rPr>
                <w:noProof/>
                <w:sz w:val="18"/>
              </w:rPr>
            </w:pPr>
          </w:p>
        </w:tc>
        <w:tc>
          <w:tcPr>
            <w:tcW w:w="900" w:type="dxa"/>
            <w:tcBorders>
              <w:bottom w:val="single" w:sz="12" w:space="0" w:color="auto"/>
            </w:tcBorders>
          </w:tcPr>
          <w:p w14:paraId="07AB7313" w14:textId="77777777" w:rsidR="00600499" w:rsidRDefault="00600499" w:rsidP="00DC0670">
            <w:pPr>
              <w:ind w:right="-29"/>
              <w:jc w:val="center"/>
              <w:rPr>
                <w:noProof/>
                <w:sz w:val="18"/>
              </w:rPr>
            </w:pPr>
          </w:p>
        </w:tc>
      </w:tr>
      <w:tr w:rsidR="00600499" w14:paraId="55119F07" w14:textId="77777777" w:rsidTr="00DC0670">
        <w:trPr>
          <w:jc w:val="center"/>
        </w:trPr>
        <w:tc>
          <w:tcPr>
            <w:tcW w:w="2844" w:type="dxa"/>
            <w:gridSpan w:val="3"/>
            <w:vAlign w:val="center"/>
          </w:tcPr>
          <w:p w14:paraId="23A911F3" w14:textId="77777777" w:rsidR="00600499" w:rsidRDefault="00600499" w:rsidP="00DC0670">
            <w:pPr>
              <w:spacing w:before="60" w:after="60"/>
              <w:ind w:right="-29"/>
              <w:jc w:val="center"/>
              <w:rPr>
                <w:noProof/>
                <w:sz w:val="18"/>
              </w:rPr>
            </w:pPr>
            <w:r>
              <w:rPr>
                <w:noProof/>
                <w:sz w:val="18"/>
              </w:rPr>
              <w:t>SPECIFIC OBJECTIVE No 2 ...</w:t>
            </w:r>
          </w:p>
        </w:tc>
        <w:tc>
          <w:tcPr>
            <w:tcW w:w="504" w:type="dxa"/>
            <w:tcBorders>
              <w:top w:val="nil"/>
              <w:left w:val="nil"/>
              <w:bottom w:val="nil"/>
              <w:right w:val="nil"/>
            </w:tcBorders>
          </w:tcPr>
          <w:p w14:paraId="28225698" w14:textId="77777777" w:rsidR="00600499" w:rsidRDefault="00600499" w:rsidP="00DC0670">
            <w:pPr>
              <w:spacing w:before="60" w:after="60"/>
              <w:ind w:right="-29"/>
              <w:jc w:val="center"/>
              <w:rPr>
                <w:noProof/>
                <w:sz w:val="18"/>
              </w:rPr>
            </w:pPr>
          </w:p>
        </w:tc>
        <w:tc>
          <w:tcPr>
            <w:tcW w:w="720" w:type="dxa"/>
            <w:tcBorders>
              <w:top w:val="nil"/>
              <w:left w:val="nil"/>
              <w:bottom w:val="nil"/>
              <w:right w:val="nil"/>
            </w:tcBorders>
          </w:tcPr>
          <w:p w14:paraId="4860CB5A" w14:textId="77777777" w:rsidR="00600499" w:rsidRDefault="00600499" w:rsidP="00DC0670">
            <w:pPr>
              <w:spacing w:before="60" w:after="60"/>
              <w:ind w:right="-29"/>
              <w:jc w:val="center"/>
              <w:rPr>
                <w:noProof/>
                <w:sz w:val="18"/>
              </w:rPr>
            </w:pPr>
          </w:p>
        </w:tc>
        <w:tc>
          <w:tcPr>
            <w:tcW w:w="540" w:type="dxa"/>
            <w:tcBorders>
              <w:top w:val="nil"/>
              <w:left w:val="nil"/>
              <w:bottom w:val="nil"/>
              <w:right w:val="nil"/>
            </w:tcBorders>
          </w:tcPr>
          <w:p w14:paraId="44661622" w14:textId="77777777" w:rsidR="00600499" w:rsidRDefault="00600499" w:rsidP="00DC0670">
            <w:pPr>
              <w:spacing w:before="60" w:after="60"/>
              <w:ind w:right="-29"/>
              <w:jc w:val="center"/>
              <w:rPr>
                <w:noProof/>
                <w:sz w:val="18"/>
              </w:rPr>
            </w:pPr>
          </w:p>
        </w:tc>
        <w:tc>
          <w:tcPr>
            <w:tcW w:w="720" w:type="dxa"/>
            <w:tcBorders>
              <w:top w:val="nil"/>
              <w:left w:val="nil"/>
              <w:bottom w:val="nil"/>
              <w:right w:val="nil"/>
            </w:tcBorders>
          </w:tcPr>
          <w:p w14:paraId="1B6BF969" w14:textId="77777777" w:rsidR="00600499" w:rsidRDefault="00600499" w:rsidP="00DC0670">
            <w:pPr>
              <w:spacing w:before="60" w:after="60"/>
              <w:ind w:right="-29"/>
              <w:jc w:val="center"/>
              <w:rPr>
                <w:noProof/>
                <w:sz w:val="18"/>
              </w:rPr>
            </w:pPr>
          </w:p>
        </w:tc>
        <w:tc>
          <w:tcPr>
            <w:tcW w:w="720" w:type="dxa"/>
            <w:tcBorders>
              <w:top w:val="nil"/>
              <w:left w:val="nil"/>
              <w:bottom w:val="nil"/>
              <w:right w:val="nil"/>
            </w:tcBorders>
          </w:tcPr>
          <w:p w14:paraId="184BE991" w14:textId="77777777" w:rsidR="00600499" w:rsidRDefault="00600499" w:rsidP="00DC0670">
            <w:pPr>
              <w:spacing w:before="60" w:after="60"/>
              <w:ind w:right="-29"/>
              <w:jc w:val="center"/>
              <w:rPr>
                <w:noProof/>
                <w:sz w:val="18"/>
              </w:rPr>
            </w:pPr>
          </w:p>
        </w:tc>
        <w:tc>
          <w:tcPr>
            <w:tcW w:w="720" w:type="dxa"/>
            <w:tcBorders>
              <w:top w:val="nil"/>
              <w:left w:val="nil"/>
              <w:bottom w:val="nil"/>
              <w:right w:val="nil"/>
            </w:tcBorders>
          </w:tcPr>
          <w:p w14:paraId="334C30E6" w14:textId="77777777" w:rsidR="00600499" w:rsidRDefault="00600499" w:rsidP="00DC0670">
            <w:pPr>
              <w:spacing w:before="60" w:after="60"/>
              <w:ind w:right="-29"/>
              <w:jc w:val="center"/>
              <w:rPr>
                <w:noProof/>
                <w:sz w:val="18"/>
              </w:rPr>
            </w:pPr>
          </w:p>
        </w:tc>
        <w:tc>
          <w:tcPr>
            <w:tcW w:w="900" w:type="dxa"/>
            <w:tcBorders>
              <w:top w:val="nil"/>
              <w:left w:val="nil"/>
              <w:bottom w:val="nil"/>
              <w:right w:val="nil"/>
            </w:tcBorders>
          </w:tcPr>
          <w:p w14:paraId="0CFCBD80" w14:textId="77777777" w:rsidR="00600499" w:rsidRDefault="00600499" w:rsidP="00DC0670">
            <w:pPr>
              <w:spacing w:before="60" w:after="60"/>
              <w:ind w:right="-29"/>
              <w:jc w:val="center"/>
              <w:rPr>
                <w:noProof/>
                <w:sz w:val="18"/>
              </w:rPr>
            </w:pPr>
          </w:p>
        </w:tc>
        <w:tc>
          <w:tcPr>
            <w:tcW w:w="720" w:type="dxa"/>
            <w:gridSpan w:val="2"/>
            <w:tcBorders>
              <w:top w:val="nil"/>
              <w:left w:val="nil"/>
              <w:bottom w:val="nil"/>
              <w:right w:val="nil"/>
            </w:tcBorders>
          </w:tcPr>
          <w:p w14:paraId="56FE9816" w14:textId="77777777" w:rsidR="00600499" w:rsidRDefault="00600499" w:rsidP="00DC0670">
            <w:pPr>
              <w:spacing w:before="60" w:after="60"/>
              <w:ind w:right="-29"/>
              <w:jc w:val="center"/>
              <w:rPr>
                <w:noProof/>
                <w:sz w:val="18"/>
              </w:rPr>
            </w:pPr>
          </w:p>
        </w:tc>
        <w:tc>
          <w:tcPr>
            <w:tcW w:w="540" w:type="dxa"/>
            <w:tcBorders>
              <w:top w:val="nil"/>
              <w:left w:val="nil"/>
              <w:bottom w:val="nil"/>
              <w:right w:val="nil"/>
            </w:tcBorders>
          </w:tcPr>
          <w:p w14:paraId="001D73DD" w14:textId="77777777" w:rsidR="00600499" w:rsidRDefault="00600499" w:rsidP="00DC0670">
            <w:pPr>
              <w:spacing w:before="60" w:after="60"/>
              <w:ind w:right="-29"/>
              <w:jc w:val="center"/>
              <w:rPr>
                <w:noProof/>
                <w:sz w:val="18"/>
              </w:rPr>
            </w:pPr>
          </w:p>
        </w:tc>
        <w:tc>
          <w:tcPr>
            <w:tcW w:w="648" w:type="dxa"/>
            <w:tcBorders>
              <w:top w:val="nil"/>
              <w:left w:val="nil"/>
              <w:bottom w:val="nil"/>
              <w:right w:val="nil"/>
            </w:tcBorders>
          </w:tcPr>
          <w:p w14:paraId="04F2A008" w14:textId="77777777" w:rsidR="00600499" w:rsidRDefault="00600499" w:rsidP="00DC0670">
            <w:pPr>
              <w:spacing w:before="60" w:after="60"/>
              <w:ind w:right="-29"/>
              <w:jc w:val="center"/>
              <w:rPr>
                <w:noProof/>
                <w:sz w:val="18"/>
              </w:rPr>
            </w:pPr>
          </w:p>
        </w:tc>
        <w:tc>
          <w:tcPr>
            <w:tcW w:w="432" w:type="dxa"/>
            <w:tcBorders>
              <w:top w:val="nil"/>
              <w:left w:val="nil"/>
              <w:bottom w:val="nil"/>
              <w:right w:val="nil"/>
            </w:tcBorders>
          </w:tcPr>
          <w:p w14:paraId="6AF215F7" w14:textId="77777777" w:rsidR="00600499" w:rsidRDefault="00600499" w:rsidP="00DC0670">
            <w:pPr>
              <w:spacing w:before="60" w:after="60"/>
              <w:ind w:right="-29"/>
              <w:jc w:val="center"/>
              <w:rPr>
                <w:noProof/>
                <w:sz w:val="18"/>
              </w:rPr>
            </w:pPr>
          </w:p>
        </w:tc>
        <w:tc>
          <w:tcPr>
            <w:tcW w:w="720" w:type="dxa"/>
            <w:tcBorders>
              <w:top w:val="nil"/>
              <w:left w:val="nil"/>
              <w:bottom w:val="nil"/>
              <w:right w:val="nil"/>
            </w:tcBorders>
          </w:tcPr>
          <w:p w14:paraId="6441A2BE" w14:textId="77777777" w:rsidR="00600499" w:rsidRDefault="00600499" w:rsidP="00DC0670">
            <w:pPr>
              <w:spacing w:before="60" w:after="60"/>
              <w:ind w:right="-29"/>
              <w:jc w:val="center"/>
              <w:rPr>
                <w:noProof/>
                <w:sz w:val="18"/>
              </w:rPr>
            </w:pPr>
          </w:p>
        </w:tc>
        <w:tc>
          <w:tcPr>
            <w:tcW w:w="540" w:type="dxa"/>
            <w:tcBorders>
              <w:top w:val="nil"/>
              <w:left w:val="nil"/>
              <w:bottom w:val="nil"/>
              <w:right w:val="nil"/>
            </w:tcBorders>
          </w:tcPr>
          <w:p w14:paraId="450D5061" w14:textId="77777777" w:rsidR="00600499" w:rsidRDefault="00600499" w:rsidP="00DC0670">
            <w:pPr>
              <w:spacing w:before="60" w:after="60"/>
              <w:ind w:right="-29"/>
              <w:jc w:val="center"/>
              <w:rPr>
                <w:noProof/>
                <w:sz w:val="18"/>
              </w:rPr>
            </w:pPr>
          </w:p>
        </w:tc>
        <w:tc>
          <w:tcPr>
            <w:tcW w:w="720" w:type="dxa"/>
            <w:tcBorders>
              <w:top w:val="nil"/>
              <w:left w:val="nil"/>
              <w:bottom w:val="nil"/>
              <w:right w:val="nil"/>
            </w:tcBorders>
          </w:tcPr>
          <w:p w14:paraId="2AD16EA8" w14:textId="77777777" w:rsidR="00600499" w:rsidRDefault="00600499" w:rsidP="00DC0670">
            <w:pPr>
              <w:spacing w:before="60" w:after="60"/>
              <w:ind w:right="-29"/>
              <w:jc w:val="center"/>
              <w:rPr>
                <w:noProof/>
                <w:sz w:val="18"/>
              </w:rPr>
            </w:pPr>
          </w:p>
        </w:tc>
        <w:tc>
          <w:tcPr>
            <w:tcW w:w="720" w:type="dxa"/>
            <w:tcBorders>
              <w:top w:val="nil"/>
              <w:left w:val="nil"/>
              <w:bottom w:val="nil"/>
              <w:right w:val="nil"/>
            </w:tcBorders>
          </w:tcPr>
          <w:p w14:paraId="3F8EFF91" w14:textId="77777777" w:rsidR="00600499" w:rsidRDefault="00600499" w:rsidP="00DC0670">
            <w:pPr>
              <w:spacing w:before="60" w:after="60"/>
              <w:ind w:right="-29"/>
              <w:jc w:val="center"/>
              <w:rPr>
                <w:noProof/>
                <w:sz w:val="18"/>
              </w:rPr>
            </w:pPr>
          </w:p>
        </w:tc>
        <w:tc>
          <w:tcPr>
            <w:tcW w:w="900" w:type="dxa"/>
            <w:tcBorders>
              <w:top w:val="nil"/>
              <w:left w:val="nil"/>
              <w:bottom w:val="nil"/>
              <w:right w:val="nil"/>
            </w:tcBorders>
          </w:tcPr>
          <w:p w14:paraId="6BEF4407" w14:textId="77777777" w:rsidR="00600499" w:rsidRDefault="00600499" w:rsidP="00DC0670">
            <w:pPr>
              <w:spacing w:before="60" w:after="60"/>
              <w:ind w:right="-29"/>
              <w:jc w:val="center"/>
              <w:rPr>
                <w:noProof/>
                <w:sz w:val="18"/>
              </w:rPr>
            </w:pPr>
          </w:p>
        </w:tc>
      </w:tr>
      <w:tr w:rsidR="00600499" w14:paraId="47BB3593" w14:textId="77777777" w:rsidTr="00DC0670">
        <w:trPr>
          <w:trHeight w:hRule="exact" w:val="369"/>
          <w:jc w:val="center"/>
        </w:trPr>
        <w:tc>
          <w:tcPr>
            <w:tcW w:w="1423" w:type="dxa"/>
          </w:tcPr>
          <w:p w14:paraId="200EAB55" w14:textId="77777777" w:rsidR="00600499" w:rsidRDefault="00600499" w:rsidP="00DC0670">
            <w:pPr>
              <w:ind w:right="-29"/>
              <w:jc w:val="center"/>
              <w:rPr>
                <w:noProof/>
                <w:sz w:val="18"/>
              </w:rPr>
            </w:pPr>
            <w:r>
              <w:rPr>
                <w:noProof/>
                <w:sz w:val="18"/>
              </w:rPr>
              <w:t>- Output</w:t>
            </w:r>
          </w:p>
        </w:tc>
        <w:tc>
          <w:tcPr>
            <w:tcW w:w="720" w:type="dxa"/>
          </w:tcPr>
          <w:p w14:paraId="6DCFA2E9" w14:textId="77777777" w:rsidR="00600499" w:rsidRDefault="00600499" w:rsidP="00DC0670">
            <w:pPr>
              <w:ind w:right="-29"/>
              <w:jc w:val="center"/>
              <w:rPr>
                <w:noProof/>
                <w:sz w:val="18"/>
              </w:rPr>
            </w:pPr>
          </w:p>
        </w:tc>
        <w:tc>
          <w:tcPr>
            <w:tcW w:w="701" w:type="dxa"/>
          </w:tcPr>
          <w:p w14:paraId="51A9A5FA" w14:textId="77777777" w:rsidR="00600499" w:rsidRDefault="00600499" w:rsidP="00DC0670">
            <w:pPr>
              <w:ind w:right="-29"/>
              <w:jc w:val="center"/>
              <w:rPr>
                <w:noProof/>
                <w:sz w:val="18"/>
              </w:rPr>
            </w:pPr>
          </w:p>
        </w:tc>
        <w:tc>
          <w:tcPr>
            <w:tcW w:w="504" w:type="dxa"/>
          </w:tcPr>
          <w:p w14:paraId="74513FDC" w14:textId="77777777" w:rsidR="00600499" w:rsidRDefault="00600499" w:rsidP="00DC0670">
            <w:pPr>
              <w:ind w:right="-29"/>
              <w:jc w:val="center"/>
              <w:rPr>
                <w:noProof/>
                <w:sz w:val="18"/>
              </w:rPr>
            </w:pPr>
          </w:p>
        </w:tc>
        <w:tc>
          <w:tcPr>
            <w:tcW w:w="720" w:type="dxa"/>
          </w:tcPr>
          <w:p w14:paraId="6C0BC52B" w14:textId="77777777" w:rsidR="00600499" w:rsidRDefault="00600499" w:rsidP="00DC0670">
            <w:pPr>
              <w:ind w:right="-29"/>
              <w:jc w:val="center"/>
              <w:rPr>
                <w:noProof/>
                <w:sz w:val="18"/>
              </w:rPr>
            </w:pPr>
          </w:p>
        </w:tc>
        <w:tc>
          <w:tcPr>
            <w:tcW w:w="540" w:type="dxa"/>
          </w:tcPr>
          <w:p w14:paraId="1A97F257" w14:textId="77777777" w:rsidR="00600499" w:rsidRDefault="00600499" w:rsidP="00DC0670">
            <w:pPr>
              <w:ind w:right="-29"/>
              <w:jc w:val="center"/>
              <w:rPr>
                <w:noProof/>
                <w:sz w:val="18"/>
              </w:rPr>
            </w:pPr>
          </w:p>
        </w:tc>
        <w:tc>
          <w:tcPr>
            <w:tcW w:w="720" w:type="dxa"/>
          </w:tcPr>
          <w:p w14:paraId="5238C6DA" w14:textId="77777777" w:rsidR="00600499" w:rsidRDefault="00600499" w:rsidP="00DC0670">
            <w:pPr>
              <w:ind w:right="-29"/>
              <w:jc w:val="center"/>
              <w:rPr>
                <w:noProof/>
                <w:sz w:val="18"/>
              </w:rPr>
            </w:pPr>
          </w:p>
        </w:tc>
        <w:tc>
          <w:tcPr>
            <w:tcW w:w="720" w:type="dxa"/>
          </w:tcPr>
          <w:p w14:paraId="67316B77" w14:textId="77777777" w:rsidR="00600499" w:rsidRDefault="00600499" w:rsidP="00DC0670">
            <w:pPr>
              <w:ind w:right="-29"/>
              <w:jc w:val="center"/>
              <w:rPr>
                <w:noProof/>
                <w:sz w:val="18"/>
              </w:rPr>
            </w:pPr>
          </w:p>
        </w:tc>
        <w:tc>
          <w:tcPr>
            <w:tcW w:w="720" w:type="dxa"/>
          </w:tcPr>
          <w:p w14:paraId="6DF49F00" w14:textId="77777777" w:rsidR="00600499" w:rsidRDefault="00600499" w:rsidP="00DC0670">
            <w:pPr>
              <w:ind w:right="-29"/>
              <w:jc w:val="center"/>
              <w:rPr>
                <w:noProof/>
                <w:sz w:val="18"/>
              </w:rPr>
            </w:pPr>
          </w:p>
        </w:tc>
        <w:tc>
          <w:tcPr>
            <w:tcW w:w="900" w:type="dxa"/>
          </w:tcPr>
          <w:p w14:paraId="5C84BCFB" w14:textId="77777777" w:rsidR="00600499" w:rsidRDefault="00600499" w:rsidP="00DC0670">
            <w:pPr>
              <w:ind w:right="-29"/>
              <w:jc w:val="center"/>
              <w:rPr>
                <w:noProof/>
                <w:sz w:val="18"/>
              </w:rPr>
            </w:pPr>
          </w:p>
        </w:tc>
        <w:tc>
          <w:tcPr>
            <w:tcW w:w="720" w:type="dxa"/>
            <w:gridSpan w:val="2"/>
          </w:tcPr>
          <w:p w14:paraId="6B52DE4B" w14:textId="77777777" w:rsidR="00600499" w:rsidRDefault="00600499" w:rsidP="00DC0670">
            <w:pPr>
              <w:ind w:right="-29"/>
              <w:jc w:val="center"/>
              <w:rPr>
                <w:noProof/>
                <w:sz w:val="18"/>
              </w:rPr>
            </w:pPr>
          </w:p>
        </w:tc>
        <w:tc>
          <w:tcPr>
            <w:tcW w:w="540" w:type="dxa"/>
          </w:tcPr>
          <w:p w14:paraId="6526DFC6" w14:textId="77777777" w:rsidR="00600499" w:rsidRDefault="00600499" w:rsidP="00DC0670">
            <w:pPr>
              <w:ind w:right="-29"/>
              <w:jc w:val="center"/>
              <w:rPr>
                <w:noProof/>
                <w:sz w:val="18"/>
              </w:rPr>
            </w:pPr>
          </w:p>
        </w:tc>
        <w:tc>
          <w:tcPr>
            <w:tcW w:w="648" w:type="dxa"/>
          </w:tcPr>
          <w:p w14:paraId="1F63AAF0" w14:textId="77777777" w:rsidR="00600499" w:rsidRDefault="00600499" w:rsidP="00DC0670">
            <w:pPr>
              <w:ind w:right="-29"/>
              <w:jc w:val="center"/>
              <w:rPr>
                <w:noProof/>
                <w:sz w:val="18"/>
              </w:rPr>
            </w:pPr>
          </w:p>
        </w:tc>
        <w:tc>
          <w:tcPr>
            <w:tcW w:w="432" w:type="dxa"/>
          </w:tcPr>
          <w:p w14:paraId="4DA18444" w14:textId="77777777" w:rsidR="00600499" w:rsidRDefault="00600499" w:rsidP="00DC0670">
            <w:pPr>
              <w:ind w:right="-29"/>
              <w:jc w:val="center"/>
              <w:rPr>
                <w:noProof/>
                <w:sz w:val="18"/>
              </w:rPr>
            </w:pPr>
          </w:p>
        </w:tc>
        <w:tc>
          <w:tcPr>
            <w:tcW w:w="720" w:type="dxa"/>
          </w:tcPr>
          <w:p w14:paraId="485BFEB1" w14:textId="77777777" w:rsidR="00600499" w:rsidRDefault="00600499" w:rsidP="00DC0670">
            <w:pPr>
              <w:ind w:right="-29"/>
              <w:jc w:val="center"/>
              <w:rPr>
                <w:noProof/>
                <w:sz w:val="18"/>
              </w:rPr>
            </w:pPr>
          </w:p>
        </w:tc>
        <w:tc>
          <w:tcPr>
            <w:tcW w:w="540" w:type="dxa"/>
          </w:tcPr>
          <w:p w14:paraId="0C46ABEA" w14:textId="77777777" w:rsidR="00600499" w:rsidRDefault="00600499" w:rsidP="00DC0670">
            <w:pPr>
              <w:ind w:right="-29"/>
              <w:jc w:val="center"/>
              <w:rPr>
                <w:noProof/>
                <w:sz w:val="18"/>
              </w:rPr>
            </w:pPr>
          </w:p>
        </w:tc>
        <w:tc>
          <w:tcPr>
            <w:tcW w:w="720" w:type="dxa"/>
          </w:tcPr>
          <w:p w14:paraId="0E3DDACC" w14:textId="77777777" w:rsidR="00600499" w:rsidRDefault="00600499" w:rsidP="00DC0670">
            <w:pPr>
              <w:ind w:right="-29"/>
              <w:jc w:val="center"/>
              <w:rPr>
                <w:noProof/>
                <w:sz w:val="18"/>
              </w:rPr>
            </w:pPr>
          </w:p>
        </w:tc>
        <w:tc>
          <w:tcPr>
            <w:tcW w:w="720" w:type="dxa"/>
          </w:tcPr>
          <w:p w14:paraId="75FF6CB8" w14:textId="77777777" w:rsidR="00600499" w:rsidRDefault="00600499" w:rsidP="00DC0670">
            <w:pPr>
              <w:ind w:right="-29"/>
              <w:jc w:val="center"/>
              <w:rPr>
                <w:noProof/>
                <w:sz w:val="18"/>
              </w:rPr>
            </w:pPr>
          </w:p>
        </w:tc>
        <w:tc>
          <w:tcPr>
            <w:tcW w:w="900" w:type="dxa"/>
          </w:tcPr>
          <w:p w14:paraId="62FAB9EA" w14:textId="77777777" w:rsidR="00600499" w:rsidRDefault="00600499" w:rsidP="00DC0670">
            <w:pPr>
              <w:ind w:right="-29"/>
              <w:jc w:val="center"/>
              <w:rPr>
                <w:noProof/>
                <w:sz w:val="18"/>
              </w:rPr>
            </w:pPr>
          </w:p>
        </w:tc>
      </w:tr>
      <w:tr w:rsidR="00600499" w14:paraId="005EDB78" w14:textId="77777777" w:rsidTr="00DC0670">
        <w:trPr>
          <w:jc w:val="center"/>
        </w:trPr>
        <w:tc>
          <w:tcPr>
            <w:tcW w:w="2844" w:type="dxa"/>
            <w:gridSpan w:val="3"/>
            <w:tcBorders>
              <w:bottom w:val="single" w:sz="12" w:space="0" w:color="auto"/>
            </w:tcBorders>
            <w:vAlign w:val="center"/>
          </w:tcPr>
          <w:p w14:paraId="740333FF" w14:textId="77777777" w:rsidR="00600499" w:rsidRDefault="00600499" w:rsidP="00DC0670">
            <w:pPr>
              <w:jc w:val="center"/>
              <w:rPr>
                <w:noProof/>
                <w:sz w:val="18"/>
              </w:rPr>
            </w:pPr>
            <w:r>
              <w:rPr>
                <w:noProof/>
                <w:sz w:val="18"/>
              </w:rPr>
              <w:t>Subtotal for specific objective No 2</w:t>
            </w:r>
          </w:p>
        </w:tc>
        <w:tc>
          <w:tcPr>
            <w:tcW w:w="504" w:type="dxa"/>
            <w:tcBorders>
              <w:bottom w:val="single" w:sz="12" w:space="0" w:color="auto"/>
            </w:tcBorders>
          </w:tcPr>
          <w:p w14:paraId="39EEB78C" w14:textId="77777777" w:rsidR="00600499" w:rsidRDefault="00600499" w:rsidP="00DC0670">
            <w:pPr>
              <w:ind w:right="-29"/>
              <w:jc w:val="center"/>
              <w:rPr>
                <w:noProof/>
                <w:sz w:val="18"/>
              </w:rPr>
            </w:pPr>
          </w:p>
        </w:tc>
        <w:tc>
          <w:tcPr>
            <w:tcW w:w="720" w:type="dxa"/>
            <w:tcBorders>
              <w:bottom w:val="single" w:sz="12" w:space="0" w:color="auto"/>
            </w:tcBorders>
          </w:tcPr>
          <w:p w14:paraId="16043DB8" w14:textId="77777777" w:rsidR="00600499" w:rsidRDefault="00600499" w:rsidP="00DC0670">
            <w:pPr>
              <w:ind w:right="-29"/>
              <w:jc w:val="center"/>
              <w:rPr>
                <w:noProof/>
                <w:sz w:val="18"/>
              </w:rPr>
            </w:pPr>
          </w:p>
        </w:tc>
        <w:tc>
          <w:tcPr>
            <w:tcW w:w="540" w:type="dxa"/>
            <w:tcBorders>
              <w:bottom w:val="single" w:sz="12" w:space="0" w:color="auto"/>
            </w:tcBorders>
          </w:tcPr>
          <w:p w14:paraId="3BC076BD" w14:textId="77777777" w:rsidR="00600499" w:rsidRDefault="00600499" w:rsidP="00DC0670">
            <w:pPr>
              <w:ind w:right="-29"/>
              <w:jc w:val="center"/>
              <w:rPr>
                <w:noProof/>
                <w:sz w:val="18"/>
              </w:rPr>
            </w:pPr>
          </w:p>
        </w:tc>
        <w:tc>
          <w:tcPr>
            <w:tcW w:w="720" w:type="dxa"/>
            <w:tcBorders>
              <w:bottom w:val="single" w:sz="12" w:space="0" w:color="auto"/>
            </w:tcBorders>
          </w:tcPr>
          <w:p w14:paraId="619801A8" w14:textId="77777777" w:rsidR="00600499" w:rsidRDefault="00600499" w:rsidP="00DC0670">
            <w:pPr>
              <w:ind w:right="-29"/>
              <w:jc w:val="center"/>
              <w:rPr>
                <w:noProof/>
                <w:sz w:val="18"/>
              </w:rPr>
            </w:pPr>
          </w:p>
        </w:tc>
        <w:tc>
          <w:tcPr>
            <w:tcW w:w="720" w:type="dxa"/>
            <w:tcBorders>
              <w:bottom w:val="single" w:sz="12" w:space="0" w:color="auto"/>
            </w:tcBorders>
          </w:tcPr>
          <w:p w14:paraId="1F84716F" w14:textId="77777777" w:rsidR="00600499" w:rsidRDefault="00600499" w:rsidP="00DC0670">
            <w:pPr>
              <w:ind w:right="-29"/>
              <w:jc w:val="center"/>
              <w:rPr>
                <w:noProof/>
                <w:sz w:val="18"/>
              </w:rPr>
            </w:pPr>
          </w:p>
        </w:tc>
        <w:tc>
          <w:tcPr>
            <w:tcW w:w="720" w:type="dxa"/>
            <w:tcBorders>
              <w:bottom w:val="single" w:sz="12" w:space="0" w:color="auto"/>
            </w:tcBorders>
          </w:tcPr>
          <w:p w14:paraId="37007C47" w14:textId="77777777" w:rsidR="00600499" w:rsidRDefault="00600499" w:rsidP="00DC0670">
            <w:pPr>
              <w:ind w:right="-29"/>
              <w:jc w:val="center"/>
              <w:rPr>
                <w:noProof/>
                <w:sz w:val="18"/>
              </w:rPr>
            </w:pPr>
          </w:p>
        </w:tc>
        <w:tc>
          <w:tcPr>
            <w:tcW w:w="951" w:type="dxa"/>
            <w:gridSpan w:val="2"/>
            <w:tcBorders>
              <w:bottom w:val="single" w:sz="12" w:space="0" w:color="auto"/>
            </w:tcBorders>
          </w:tcPr>
          <w:p w14:paraId="28AC782D" w14:textId="77777777" w:rsidR="00600499" w:rsidRDefault="00600499" w:rsidP="00DC0670">
            <w:pPr>
              <w:ind w:right="-29"/>
              <w:jc w:val="center"/>
              <w:rPr>
                <w:noProof/>
                <w:sz w:val="18"/>
              </w:rPr>
            </w:pPr>
          </w:p>
        </w:tc>
        <w:tc>
          <w:tcPr>
            <w:tcW w:w="669" w:type="dxa"/>
            <w:tcBorders>
              <w:bottom w:val="single" w:sz="12" w:space="0" w:color="auto"/>
            </w:tcBorders>
          </w:tcPr>
          <w:p w14:paraId="7B8B1BA7" w14:textId="77777777" w:rsidR="00600499" w:rsidRDefault="00600499" w:rsidP="00DC0670">
            <w:pPr>
              <w:ind w:right="-29"/>
              <w:jc w:val="center"/>
              <w:rPr>
                <w:noProof/>
                <w:sz w:val="18"/>
              </w:rPr>
            </w:pPr>
          </w:p>
        </w:tc>
        <w:tc>
          <w:tcPr>
            <w:tcW w:w="540" w:type="dxa"/>
            <w:tcBorders>
              <w:bottom w:val="single" w:sz="12" w:space="0" w:color="auto"/>
            </w:tcBorders>
          </w:tcPr>
          <w:p w14:paraId="22B0D68C" w14:textId="77777777" w:rsidR="00600499" w:rsidRDefault="00600499" w:rsidP="00DC0670">
            <w:pPr>
              <w:ind w:right="-29"/>
              <w:jc w:val="center"/>
              <w:rPr>
                <w:noProof/>
                <w:sz w:val="18"/>
              </w:rPr>
            </w:pPr>
          </w:p>
        </w:tc>
        <w:tc>
          <w:tcPr>
            <w:tcW w:w="648" w:type="dxa"/>
            <w:tcBorders>
              <w:bottom w:val="single" w:sz="12" w:space="0" w:color="auto"/>
            </w:tcBorders>
          </w:tcPr>
          <w:p w14:paraId="75237C84" w14:textId="77777777" w:rsidR="00600499" w:rsidRDefault="00600499" w:rsidP="00DC0670">
            <w:pPr>
              <w:ind w:right="-29"/>
              <w:jc w:val="center"/>
              <w:rPr>
                <w:noProof/>
                <w:sz w:val="18"/>
              </w:rPr>
            </w:pPr>
          </w:p>
        </w:tc>
        <w:tc>
          <w:tcPr>
            <w:tcW w:w="432" w:type="dxa"/>
            <w:tcBorders>
              <w:bottom w:val="single" w:sz="12" w:space="0" w:color="auto"/>
            </w:tcBorders>
          </w:tcPr>
          <w:p w14:paraId="6D6CD4FA" w14:textId="77777777" w:rsidR="00600499" w:rsidRDefault="00600499" w:rsidP="00DC0670">
            <w:pPr>
              <w:ind w:right="-29"/>
              <w:jc w:val="center"/>
              <w:rPr>
                <w:noProof/>
                <w:sz w:val="18"/>
              </w:rPr>
            </w:pPr>
          </w:p>
        </w:tc>
        <w:tc>
          <w:tcPr>
            <w:tcW w:w="720" w:type="dxa"/>
            <w:tcBorders>
              <w:bottom w:val="single" w:sz="12" w:space="0" w:color="auto"/>
            </w:tcBorders>
          </w:tcPr>
          <w:p w14:paraId="033372EF" w14:textId="77777777" w:rsidR="00600499" w:rsidRDefault="00600499" w:rsidP="00DC0670">
            <w:pPr>
              <w:ind w:right="-29"/>
              <w:jc w:val="center"/>
              <w:rPr>
                <w:noProof/>
                <w:sz w:val="18"/>
              </w:rPr>
            </w:pPr>
          </w:p>
        </w:tc>
        <w:tc>
          <w:tcPr>
            <w:tcW w:w="540" w:type="dxa"/>
            <w:tcBorders>
              <w:bottom w:val="single" w:sz="12" w:space="0" w:color="auto"/>
            </w:tcBorders>
          </w:tcPr>
          <w:p w14:paraId="67CCF4E4" w14:textId="77777777" w:rsidR="00600499" w:rsidRDefault="00600499" w:rsidP="00DC0670">
            <w:pPr>
              <w:ind w:right="-29"/>
              <w:jc w:val="center"/>
              <w:rPr>
                <w:noProof/>
                <w:sz w:val="18"/>
              </w:rPr>
            </w:pPr>
          </w:p>
        </w:tc>
        <w:tc>
          <w:tcPr>
            <w:tcW w:w="720" w:type="dxa"/>
            <w:tcBorders>
              <w:bottom w:val="single" w:sz="12" w:space="0" w:color="auto"/>
            </w:tcBorders>
          </w:tcPr>
          <w:p w14:paraId="3CDBC644" w14:textId="77777777" w:rsidR="00600499" w:rsidRDefault="00600499" w:rsidP="00DC0670">
            <w:pPr>
              <w:ind w:right="-29"/>
              <w:jc w:val="center"/>
              <w:rPr>
                <w:noProof/>
                <w:sz w:val="18"/>
              </w:rPr>
            </w:pPr>
          </w:p>
        </w:tc>
        <w:tc>
          <w:tcPr>
            <w:tcW w:w="720" w:type="dxa"/>
            <w:tcBorders>
              <w:bottom w:val="single" w:sz="12" w:space="0" w:color="auto"/>
            </w:tcBorders>
          </w:tcPr>
          <w:p w14:paraId="5651FDB6" w14:textId="77777777" w:rsidR="00600499" w:rsidRDefault="00600499" w:rsidP="00DC0670">
            <w:pPr>
              <w:ind w:right="-29"/>
              <w:jc w:val="center"/>
              <w:rPr>
                <w:noProof/>
                <w:sz w:val="18"/>
              </w:rPr>
            </w:pPr>
          </w:p>
        </w:tc>
        <w:tc>
          <w:tcPr>
            <w:tcW w:w="900" w:type="dxa"/>
            <w:tcBorders>
              <w:bottom w:val="single" w:sz="12" w:space="0" w:color="auto"/>
            </w:tcBorders>
          </w:tcPr>
          <w:p w14:paraId="227F153F" w14:textId="77777777" w:rsidR="00600499" w:rsidRDefault="00600499" w:rsidP="00DC0670">
            <w:pPr>
              <w:ind w:right="-29"/>
              <w:jc w:val="center"/>
              <w:rPr>
                <w:noProof/>
                <w:sz w:val="18"/>
              </w:rPr>
            </w:pPr>
          </w:p>
        </w:tc>
      </w:tr>
      <w:tr w:rsidR="00600499" w14:paraId="7B165AE8" w14:textId="77777777" w:rsidTr="00DC0670">
        <w:trPr>
          <w:jc w:val="center"/>
        </w:trPr>
        <w:tc>
          <w:tcPr>
            <w:tcW w:w="2844" w:type="dxa"/>
            <w:gridSpan w:val="3"/>
            <w:tcBorders>
              <w:top w:val="single" w:sz="12" w:space="0" w:color="auto"/>
              <w:left w:val="single" w:sz="12" w:space="0" w:color="auto"/>
              <w:bottom w:val="single" w:sz="12" w:space="0" w:color="auto"/>
            </w:tcBorders>
            <w:vAlign w:val="center"/>
          </w:tcPr>
          <w:p w14:paraId="52164C4E" w14:textId="77777777" w:rsidR="00600499" w:rsidRDefault="00600499" w:rsidP="00DC0670">
            <w:pPr>
              <w:ind w:right="-29"/>
              <w:jc w:val="center"/>
              <w:rPr>
                <w:noProof/>
                <w:sz w:val="18"/>
              </w:rPr>
            </w:pPr>
            <w:r>
              <w:rPr>
                <w:b/>
                <w:noProof/>
                <w:sz w:val="18"/>
              </w:rPr>
              <w:t>TOTAL COST</w:t>
            </w:r>
          </w:p>
        </w:tc>
        <w:tc>
          <w:tcPr>
            <w:tcW w:w="504" w:type="dxa"/>
            <w:tcBorders>
              <w:top w:val="single" w:sz="12" w:space="0" w:color="auto"/>
              <w:bottom w:val="single" w:sz="12" w:space="0" w:color="auto"/>
            </w:tcBorders>
          </w:tcPr>
          <w:p w14:paraId="3C7A31A4" w14:textId="77777777" w:rsidR="00600499" w:rsidRDefault="00600499" w:rsidP="00DC0670">
            <w:pPr>
              <w:spacing w:before="180" w:after="180"/>
              <w:ind w:right="-29"/>
              <w:jc w:val="center"/>
              <w:rPr>
                <w:noProof/>
                <w:sz w:val="18"/>
              </w:rPr>
            </w:pPr>
          </w:p>
        </w:tc>
        <w:tc>
          <w:tcPr>
            <w:tcW w:w="720" w:type="dxa"/>
            <w:tcBorders>
              <w:top w:val="single" w:sz="12" w:space="0" w:color="auto"/>
              <w:bottom w:val="single" w:sz="12" w:space="0" w:color="auto"/>
            </w:tcBorders>
          </w:tcPr>
          <w:p w14:paraId="36CF389F" w14:textId="77777777" w:rsidR="00600499" w:rsidRDefault="00600499" w:rsidP="00DC0670">
            <w:pPr>
              <w:spacing w:before="180" w:after="180"/>
              <w:ind w:right="-29"/>
              <w:jc w:val="center"/>
              <w:rPr>
                <w:noProof/>
                <w:sz w:val="18"/>
              </w:rPr>
            </w:pPr>
          </w:p>
        </w:tc>
        <w:tc>
          <w:tcPr>
            <w:tcW w:w="540" w:type="dxa"/>
            <w:tcBorders>
              <w:top w:val="single" w:sz="12" w:space="0" w:color="auto"/>
              <w:bottom w:val="single" w:sz="12" w:space="0" w:color="auto"/>
            </w:tcBorders>
          </w:tcPr>
          <w:p w14:paraId="46BBEFA6" w14:textId="77777777" w:rsidR="00600499" w:rsidRDefault="00600499" w:rsidP="00DC0670">
            <w:pPr>
              <w:spacing w:before="180" w:after="180"/>
              <w:ind w:right="-29"/>
              <w:jc w:val="center"/>
              <w:rPr>
                <w:noProof/>
                <w:sz w:val="18"/>
              </w:rPr>
            </w:pPr>
          </w:p>
        </w:tc>
        <w:tc>
          <w:tcPr>
            <w:tcW w:w="720" w:type="dxa"/>
            <w:tcBorders>
              <w:top w:val="single" w:sz="12" w:space="0" w:color="auto"/>
              <w:bottom w:val="single" w:sz="12" w:space="0" w:color="auto"/>
            </w:tcBorders>
          </w:tcPr>
          <w:p w14:paraId="32E57C83" w14:textId="77777777" w:rsidR="00600499" w:rsidRDefault="00600499" w:rsidP="00DC0670">
            <w:pPr>
              <w:spacing w:before="180" w:after="180"/>
              <w:ind w:right="-29"/>
              <w:jc w:val="center"/>
              <w:rPr>
                <w:noProof/>
                <w:sz w:val="18"/>
              </w:rPr>
            </w:pPr>
          </w:p>
        </w:tc>
        <w:tc>
          <w:tcPr>
            <w:tcW w:w="720" w:type="dxa"/>
            <w:tcBorders>
              <w:top w:val="single" w:sz="12" w:space="0" w:color="auto"/>
              <w:bottom w:val="single" w:sz="12" w:space="0" w:color="auto"/>
            </w:tcBorders>
          </w:tcPr>
          <w:p w14:paraId="28E672D3" w14:textId="77777777" w:rsidR="00600499" w:rsidRDefault="00600499" w:rsidP="00DC0670">
            <w:pPr>
              <w:spacing w:before="180" w:after="180"/>
              <w:ind w:right="-29"/>
              <w:jc w:val="center"/>
              <w:rPr>
                <w:noProof/>
                <w:sz w:val="18"/>
              </w:rPr>
            </w:pPr>
          </w:p>
        </w:tc>
        <w:tc>
          <w:tcPr>
            <w:tcW w:w="720" w:type="dxa"/>
            <w:tcBorders>
              <w:top w:val="single" w:sz="12" w:space="0" w:color="auto"/>
              <w:bottom w:val="single" w:sz="12" w:space="0" w:color="auto"/>
            </w:tcBorders>
          </w:tcPr>
          <w:p w14:paraId="2BCFDC33" w14:textId="77777777" w:rsidR="00600499" w:rsidRDefault="00600499" w:rsidP="00DC0670">
            <w:pPr>
              <w:spacing w:before="180" w:after="180"/>
              <w:ind w:right="-29"/>
              <w:jc w:val="center"/>
              <w:rPr>
                <w:noProof/>
                <w:sz w:val="18"/>
              </w:rPr>
            </w:pPr>
          </w:p>
        </w:tc>
        <w:tc>
          <w:tcPr>
            <w:tcW w:w="900" w:type="dxa"/>
            <w:tcBorders>
              <w:top w:val="single" w:sz="12" w:space="0" w:color="auto"/>
              <w:bottom w:val="single" w:sz="12" w:space="0" w:color="auto"/>
            </w:tcBorders>
          </w:tcPr>
          <w:p w14:paraId="603F584F" w14:textId="77777777" w:rsidR="00600499" w:rsidRDefault="00600499" w:rsidP="00DC0670">
            <w:pPr>
              <w:spacing w:before="180" w:after="180"/>
              <w:ind w:right="-29"/>
              <w:jc w:val="center"/>
              <w:rPr>
                <w:noProof/>
                <w:sz w:val="18"/>
              </w:rPr>
            </w:pPr>
          </w:p>
        </w:tc>
        <w:tc>
          <w:tcPr>
            <w:tcW w:w="720" w:type="dxa"/>
            <w:gridSpan w:val="2"/>
            <w:tcBorders>
              <w:top w:val="single" w:sz="12" w:space="0" w:color="auto"/>
              <w:bottom w:val="single" w:sz="12" w:space="0" w:color="auto"/>
            </w:tcBorders>
          </w:tcPr>
          <w:p w14:paraId="792BA8FC" w14:textId="77777777" w:rsidR="00600499" w:rsidRDefault="00600499" w:rsidP="00DC0670">
            <w:pPr>
              <w:spacing w:before="180" w:after="180"/>
              <w:ind w:right="-29"/>
              <w:jc w:val="center"/>
              <w:rPr>
                <w:noProof/>
                <w:sz w:val="18"/>
              </w:rPr>
            </w:pPr>
          </w:p>
        </w:tc>
        <w:tc>
          <w:tcPr>
            <w:tcW w:w="540" w:type="dxa"/>
            <w:tcBorders>
              <w:top w:val="single" w:sz="12" w:space="0" w:color="auto"/>
              <w:bottom w:val="single" w:sz="12" w:space="0" w:color="auto"/>
            </w:tcBorders>
          </w:tcPr>
          <w:p w14:paraId="1AFEC708" w14:textId="77777777" w:rsidR="00600499" w:rsidRDefault="00600499" w:rsidP="00DC0670">
            <w:pPr>
              <w:spacing w:before="180" w:after="180"/>
              <w:ind w:right="-29"/>
              <w:jc w:val="center"/>
              <w:rPr>
                <w:noProof/>
                <w:sz w:val="18"/>
              </w:rPr>
            </w:pPr>
          </w:p>
        </w:tc>
        <w:tc>
          <w:tcPr>
            <w:tcW w:w="648" w:type="dxa"/>
            <w:tcBorders>
              <w:top w:val="single" w:sz="12" w:space="0" w:color="auto"/>
              <w:bottom w:val="single" w:sz="12" w:space="0" w:color="auto"/>
            </w:tcBorders>
          </w:tcPr>
          <w:p w14:paraId="3B263E92" w14:textId="77777777" w:rsidR="00600499" w:rsidRDefault="00600499" w:rsidP="00DC0670">
            <w:pPr>
              <w:spacing w:before="180" w:after="180"/>
              <w:ind w:right="-29"/>
              <w:jc w:val="center"/>
              <w:rPr>
                <w:noProof/>
                <w:sz w:val="18"/>
              </w:rPr>
            </w:pPr>
          </w:p>
        </w:tc>
        <w:tc>
          <w:tcPr>
            <w:tcW w:w="432" w:type="dxa"/>
            <w:tcBorders>
              <w:top w:val="single" w:sz="12" w:space="0" w:color="auto"/>
              <w:bottom w:val="single" w:sz="12" w:space="0" w:color="auto"/>
            </w:tcBorders>
          </w:tcPr>
          <w:p w14:paraId="453B3783" w14:textId="77777777" w:rsidR="00600499" w:rsidRDefault="00600499" w:rsidP="00DC0670">
            <w:pPr>
              <w:spacing w:before="180" w:after="180"/>
              <w:ind w:right="-29"/>
              <w:jc w:val="center"/>
              <w:rPr>
                <w:noProof/>
                <w:sz w:val="18"/>
              </w:rPr>
            </w:pPr>
          </w:p>
        </w:tc>
        <w:tc>
          <w:tcPr>
            <w:tcW w:w="720" w:type="dxa"/>
            <w:tcBorders>
              <w:top w:val="single" w:sz="12" w:space="0" w:color="auto"/>
              <w:bottom w:val="single" w:sz="12" w:space="0" w:color="auto"/>
            </w:tcBorders>
          </w:tcPr>
          <w:p w14:paraId="0BCD7994" w14:textId="77777777" w:rsidR="00600499" w:rsidRDefault="00600499" w:rsidP="00DC0670">
            <w:pPr>
              <w:spacing w:before="180" w:after="180"/>
              <w:ind w:right="-29"/>
              <w:jc w:val="center"/>
              <w:rPr>
                <w:noProof/>
                <w:sz w:val="18"/>
              </w:rPr>
            </w:pPr>
          </w:p>
        </w:tc>
        <w:tc>
          <w:tcPr>
            <w:tcW w:w="540" w:type="dxa"/>
            <w:tcBorders>
              <w:top w:val="single" w:sz="12" w:space="0" w:color="auto"/>
              <w:bottom w:val="single" w:sz="12" w:space="0" w:color="auto"/>
            </w:tcBorders>
          </w:tcPr>
          <w:p w14:paraId="64BDE633" w14:textId="77777777" w:rsidR="00600499" w:rsidRDefault="00600499" w:rsidP="00DC0670">
            <w:pPr>
              <w:spacing w:before="180" w:after="180"/>
              <w:ind w:right="-29"/>
              <w:jc w:val="center"/>
              <w:rPr>
                <w:noProof/>
                <w:sz w:val="18"/>
              </w:rPr>
            </w:pPr>
          </w:p>
        </w:tc>
        <w:tc>
          <w:tcPr>
            <w:tcW w:w="720" w:type="dxa"/>
            <w:tcBorders>
              <w:top w:val="single" w:sz="12" w:space="0" w:color="auto"/>
              <w:bottom w:val="single" w:sz="12" w:space="0" w:color="auto"/>
            </w:tcBorders>
          </w:tcPr>
          <w:p w14:paraId="64351EA6" w14:textId="77777777" w:rsidR="00600499" w:rsidRDefault="00600499" w:rsidP="00DC0670">
            <w:pPr>
              <w:spacing w:before="180" w:after="180"/>
              <w:ind w:right="-29"/>
              <w:jc w:val="center"/>
              <w:rPr>
                <w:noProof/>
                <w:sz w:val="18"/>
              </w:rPr>
            </w:pPr>
          </w:p>
        </w:tc>
        <w:tc>
          <w:tcPr>
            <w:tcW w:w="720" w:type="dxa"/>
            <w:tcBorders>
              <w:top w:val="single" w:sz="12" w:space="0" w:color="auto"/>
              <w:bottom w:val="single" w:sz="12" w:space="0" w:color="auto"/>
            </w:tcBorders>
          </w:tcPr>
          <w:p w14:paraId="64E5A443" w14:textId="77777777" w:rsidR="00600499" w:rsidRDefault="00600499" w:rsidP="00DC0670">
            <w:pPr>
              <w:spacing w:before="180" w:after="180"/>
              <w:ind w:right="-29"/>
              <w:jc w:val="center"/>
              <w:rPr>
                <w:noProof/>
                <w:sz w:val="18"/>
              </w:rPr>
            </w:pPr>
          </w:p>
        </w:tc>
        <w:tc>
          <w:tcPr>
            <w:tcW w:w="900" w:type="dxa"/>
            <w:tcBorders>
              <w:top w:val="single" w:sz="12" w:space="0" w:color="auto"/>
              <w:bottom w:val="single" w:sz="12" w:space="0" w:color="auto"/>
              <w:right w:val="single" w:sz="12" w:space="0" w:color="auto"/>
            </w:tcBorders>
          </w:tcPr>
          <w:p w14:paraId="58DB9600" w14:textId="77777777" w:rsidR="00600499" w:rsidRDefault="00600499" w:rsidP="00DC0670">
            <w:pPr>
              <w:spacing w:before="180" w:after="180"/>
              <w:ind w:right="-29"/>
              <w:jc w:val="center"/>
              <w:rPr>
                <w:noProof/>
                <w:sz w:val="18"/>
              </w:rPr>
            </w:pPr>
          </w:p>
        </w:tc>
      </w:tr>
    </w:tbl>
    <w:p w14:paraId="23AA7F7A" w14:textId="77777777" w:rsidR="00600499" w:rsidRPr="00E23122" w:rsidRDefault="00600499" w:rsidP="00600499">
      <w:pPr>
        <w:jc w:val="left"/>
        <w:rPr>
          <w:noProof/>
          <w:sz w:val="20"/>
          <w:szCs w:val="20"/>
        </w:rPr>
        <w:sectPr w:rsidR="00600499" w:rsidRPr="00E23122" w:rsidSect="00F530FA">
          <w:pgSz w:w="15840" w:h="12240" w:orient="landscape"/>
          <w:pgMar w:top="1418" w:right="902" w:bottom="902" w:left="567" w:header="709" w:footer="709" w:gutter="0"/>
          <w:cols w:space="720"/>
          <w:docGrid w:linePitch="326"/>
        </w:sectPr>
      </w:pPr>
      <w:r w:rsidRPr="00E23122">
        <w:rPr>
          <w:noProof/>
          <w:sz w:val="20"/>
          <w:szCs w:val="20"/>
        </w:rPr>
        <w:t>Where applicable, amounts reflect the sum of the Union contribution to the agency and other revenue of the agency (fees and charges)</w:t>
      </w:r>
      <w:r>
        <w:rPr>
          <w:noProof/>
          <w:sz w:val="20"/>
          <w:szCs w:val="20"/>
        </w:rPr>
        <w:t>.</w:t>
      </w:r>
    </w:p>
    <w:p w14:paraId="5EE93546" w14:textId="77777777" w:rsidR="00600499" w:rsidRDefault="00600499" w:rsidP="00600499">
      <w:pPr>
        <w:pStyle w:val="ManualHeading3"/>
        <w:rPr>
          <w:bCs/>
          <w:noProof/>
          <w:szCs w:val="24"/>
        </w:rPr>
      </w:pPr>
      <w:bookmarkStart w:id="63" w:name="_Toc514938688"/>
      <w:bookmarkStart w:id="64" w:name="_Toc520485447"/>
      <w:r w:rsidRPr="006D222F">
        <w:rPr>
          <w:noProof/>
        </w:rPr>
        <w:t>3.2.3.</w:t>
      </w:r>
      <w:r w:rsidRPr="006D222F">
        <w:rPr>
          <w:noProof/>
        </w:rPr>
        <w:tab/>
      </w:r>
      <w:r>
        <w:rPr>
          <w:noProof/>
        </w:rPr>
        <w:t>Estimated impact on EMSA's human resources</w:t>
      </w:r>
      <w:bookmarkEnd w:id="63"/>
      <w:bookmarkEnd w:id="64"/>
      <w:r>
        <w:rPr>
          <w:noProof/>
        </w:rPr>
        <w:t xml:space="preserve"> </w:t>
      </w:r>
    </w:p>
    <w:p w14:paraId="33ADA2FC" w14:textId="77777777" w:rsidR="00600499" w:rsidRDefault="00600499" w:rsidP="00600499">
      <w:pPr>
        <w:pStyle w:val="ManualHeading4"/>
        <w:rPr>
          <w:bCs/>
          <w:noProof/>
          <w:szCs w:val="24"/>
        </w:rPr>
      </w:pPr>
      <w:r w:rsidRPr="006D222F">
        <w:rPr>
          <w:noProof/>
        </w:rPr>
        <w:t>3.2.3.1.</w:t>
      </w:r>
      <w:r w:rsidRPr="006D222F">
        <w:rPr>
          <w:noProof/>
        </w:rPr>
        <w:tab/>
      </w:r>
      <w:r>
        <w:rPr>
          <w:noProof/>
        </w:rPr>
        <w:t xml:space="preserve">Summary </w:t>
      </w:r>
    </w:p>
    <w:p w14:paraId="27526E3F" w14:textId="77777777" w:rsidR="00600499" w:rsidRDefault="00600499" w:rsidP="00E37235">
      <w:pPr>
        <w:pStyle w:val="ListDash1"/>
        <w:rPr>
          <w:noProof/>
        </w:rPr>
      </w:pPr>
      <w:r>
        <w:rPr>
          <w:noProof/>
        </w:rPr>
        <w:sym w:font="Wingdings" w:char="F0A8"/>
      </w:r>
      <w:r>
        <w:rPr>
          <w:noProof/>
        </w:rPr>
        <w:tab/>
        <w:t xml:space="preserve">The proposal/initiative does not require the use of appropriations of an administrative nature </w:t>
      </w:r>
    </w:p>
    <w:p w14:paraId="205C326B" w14:textId="77777777" w:rsidR="00600499" w:rsidRDefault="00600499" w:rsidP="00E37235">
      <w:pPr>
        <w:pStyle w:val="ListDash1"/>
        <w:rPr>
          <w:noProof/>
        </w:rPr>
      </w:pPr>
      <w:r>
        <w:rPr>
          <w:noProof/>
        </w:rPr>
        <w:sym w:font="Wingdings" w:char="F0FE"/>
      </w:r>
      <w:r>
        <w:rPr>
          <w:noProof/>
        </w:rPr>
        <w:tab/>
        <w:t>The proposal/initiative requires the use of appropriations of an administrative nature, as explained below:</w:t>
      </w:r>
    </w:p>
    <w:p w14:paraId="0C06E9F2" w14:textId="77777777" w:rsidR="00600499" w:rsidRDefault="00600499" w:rsidP="00600499">
      <w:pPr>
        <w:rPr>
          <w:noProof/>
          <w:sz w:val="20"/>
        </w:rPr>
      </w:pPr>
      <w:r>
        <w:rPr>
          <w:noProof/>
          <w:sz w:val="20"/>
        </w:rPr>
        <w:t xml:space="preserve">EUR million (to three decimal places) Where applicable, </w:t>
      </w:r>
      <w:r>
        <w:rPr>
          <w:noProof/>
          <w:sz w:val="20"/>
          <w:szCs w:val="20"/>
        </w:rPr>
        <w:t>amounts reflect the sum of the Union contribution to the agency and other revenue of the agency (fees and charges).</w:t>
      </w:r>
    </w:p>
    <w:tbl>
      <w:tblPr>
        <w:tblW w:w="0" w:type="auto"/>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312"/>
        <w:gridCol w:w="1276"/>
      </w:tblGrid>
      <w:tr w:rsidR="00600499" w14:paraId="71431CF2" w14:textId="77777777" w:rsidTr="00DC0670">
        <w:trPr>
          <w:trHeight w:val="585"/>
        </w:trPr>
        <w:tc>
          <w:tcPr>
            <w:tcW w:w="1980" w:type="dxa"/>
          </w:tcPr>
          <w:p w14:paraId="0049AFCD" w14:textId="77777777" w:rsidR="00600499" w:rsidRDefault="00600499" w:rsidP="00DC0670">
            <w:pPr>
              <w:spacing w:before="60" w:after="60"/>
              <w:rPr>
                <w:noProof/>
                <w:sz w:val="20"/>
              </w:rPr>
            </w:pPr>
          </w:p>
        </w:tc>
        <w:tc>
          <w:tcPr>
            <w:tcW w:w="1080" w:type="dxa"/>
            <w:vAlign w:val="center"/>
          </w:tcPr>
          <w:p w14:paraId="25E9F882" w14:textId="77777777" w:rsidR="00600499" w:rsidRDefault="00600499" w:rsidP="00DC0670">
            <w:pPr>
              <w:spacing w:before="60" w:after="60"/>
              <w:jc w:val="center"/>
              <w:rPr>
                <w:noProof/>
                <w:sz w:val="20"/>
              </w:rPr>
            </w:pPr>
            <w:r>
              <w:rPr>
                <w:noProof/>
                <w:sz w:val="20"/>
              </w:rPr>
              <w:t>Year</w:t>
            </w:r>
            <w:r>
              <w:rPr>
                <w:noProof/>
                <w:sz w:val="22"/>
              </w:rPr>
              <w:br/>
            </w:r>
            <w:r>
              <w:rPr>
                <w:b/>
                <w:noProof/>
                <w:sz w:val="20"/>
              </w:rPr>
              <w:t>2025</w:t>
            </w:r>
          </w:p>
        </w:tc>
        <w:tc>
          <w:tcPr>
            <w:tcW w:w="1080" w:type="dxa"/>
            <w:vAlign w:val="center"/>
          </w:tcPr>
          <w:p w14:paraId="1BEF4D13" w14:textId="77777777" w:rsidR="00600499" w:rsidRDefault="00600499" w:rsidP="00DC0670">
            <w:pPr>
              <w:spacing w:before="60" w:after="60"/>
              <w:jc w:val="center"/>
              <w:rPr>
                <w:noProof/>
                <w:sz w:val="20"/>
              </w:rPr>
            </w:pPr>
            <w:r>
              <w:rPr>
                <w:noProof/>
                <w:sz w:val="20"/>
              </w:rPr>
              <w:t>Year</w:t>
            </w:r>
            <w:r>
              <w:rPr>
                <w:noProof/>
                <w:sz w:val="22"/>
              </w:rPr>
              <w:br/>
            </w:r>
            <w:r>
              <w:rPr>
                <w:b/>
                <w:noProof/>
                <w:sz w:val="20"/>
              </w:rPr>
              <w:t>2026</w:t>
            </w:r>
          </w:p>
        </w:tc>
        <w:tc>
          <w:tcPr>
            <w:tcW w:w="1080" w:type="dxa"/>
            <w:vAlign w:val="center"/>
          </w:tcPr>
          <w:p w14:paraId="466C9C75" w14:textId="77777777" w:rsidR="00600499" w:rsidRDefault="00600499" w:rsidP="00DC0670">
            <w:pPr>
              <w:spacing w:before="60" w:after="60"/>
              <w:jc w:val="center"/>
              <w:rPr>
                <w:noProof/>
                <w:sz w:val="20"/>
              </w:rPr>
            </w:pPr>
            <w:r>
              <w:rPr>
                <w:noProof/>
                <w:sz w:val="20"/>
              </w:rPr>
              <w:t>Year</w:t>
            </w:r>
            <w:r>
              <w:rPr>
                <w:noProof/>
                <w:sz w:val="22"/>
              </w:rPr>
              <w:br/>
            </w:r>
            <w:r>
              <w:rPr>
                <w:b/>
                <w:noProof/>
                <w:sz w:val="20"/>
              </w:rPr>
              <w:t>2027</w:t>
            </w:r>
          </w:p>
        </w:tc>
        <w:tc>
          <w:tcPr>
            <w:tcW w:w="1312" w:type="dxa"/>
          </w:tcPr>
          <w:p w14:paraId="4FBB0414" w14:textId="77777777" w:rsidR="00600499" w:rsidRDefault="00600499" w:rsidP="00DC0670">
            <w:pPr>
              <w:spacing w:before="60" w:after="60"/>
              <w:jc w:val="center"/>
              <w:rPr>
                <w:noProof/>
                <w:sz w:val="20"/>
              </w:rPr>
            </w:pPr>
            <w:r w:rsidRPr="002A4CF4">
              <w:rPr>
                <w:noProof/>
                <w:sz w:val="20"/>
              </w:rPr>
              <w:t>Year</w:t>
            </w:r>
            <w:r w:rsidRPr="002A4CF4">
              <w:rPr>
                <w:noProof/>
                <w:sz w:val="22"/>
              </w:rPr>
              <w:br/>
            </w:r>
            <w:r>
              <w:rPr>
                <w:b/>
                <w:noProof/>
                <w:sz w:val="20"/>
              </w:rPr>
              <w:t>2028-2034</w:t>
            </w:r>
          </w:p>
        </w:tc>
        <w:tc>
          <w:tcPr>
            <w:tcW w:w="1276" w:type="dxa"/>
            <w:vAlign w:val="center"/>
          </w:tcPr>
          <w:p w14:paraId="5498495B" w14:textId="77777777" w:rsidR="00600499" w:rsidRDefault="00600499" w:rsidP="00DC0670">
            <w:pPr>
              <w:spacing w:before="60" w:after="60"/>
              <w:jc w:val="center"/>
              <w:rPr>
                <w:b/>
                <w:noProof/>
                <w:sz w:val="20"/>
              </w:rPr>
            </w:pPr>
            <w:r>
              <w:rPr>
                <w:b/>
                <w:noProof/>
                <w:sz w:val="20"/>
              </w:rPr>
              <w:t>TOTAL</w:t>
            </w:r>
          </w:p>
        </w:tc>
      </w:tr>
    </w:tbl>
    <w:p w14:paraId="36BA578A" w14:textId="77777777" w:rsidR="00600499" w:rsidRDefault="00600499" w:rsidP="00600499">
      <w:pPr>
        <w:rPr>
          <w:noProof/>
          <w:sz w:val="20"/>
        </w:rPr>
      </w:pPr>
    </w:p>
    <w:tbl>
      <w:tblPr>
        <w:tblW w:w="7808"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312"/>
        <w:gridCol w:w="1276"/>
      </w:tblGrid>
      <w:tr w:rsidR="00202A4C" w:rsidRPr="0073539D" w14:paraId="0BD3D33F" w14:textId="77777777" w:rsidTr="00DC0670">
        <w:trPr>
          <w:trHeight w:val="585"/>
        </w:trPr>
        <w:tc>
          <w:tcPr>
            <w:tcW w:w="1980" w:type="dxa"/>
            <w:shd w:val="clear" w:color="auto" w:fill="D9D9D9" w:themeFill="background1" w:themeFillShade="D9"/>
            <w:vAlign w:val="center"/>
          </w:tcPr>
          <w:p w14:paraId="25BD2B11" w14:textId="77777777" w:rsidR="00202A4C" w:rsidRDefault="00202A4C" w:rsidP="00202A4C">
            <w:pPr>
              <w:spacing w:before="60" w:after="60"/>
              <w:jc w:val="center"/>
              <w:rPr>
                <w:noProof/>
              </w:rPr>
            </w:pPr>
            <w:r>
              <w:rPr>
                <w:noProof/>
                <w:sz w:val="18"/>
              </w:rPr>
              <w:t>Temporary agents (AD Grades)</w:t>
            </w:r>
          </w:p>
        </w:tc>
        <w:tc>
          <w:tcPr>
            <w:tcW w:w="1080" w:type="dxa"/>
          </w:tcPr>
          <w:p w14:paraId="6529EE29" w14:textId="77777777" w:rsidR="00202A4C" w:rsidRPr="000E7351" w:rsidRDefault="00202A4C" w:rsidP="00202A4C">
            <w:pPr>
              <w:spacing w:before="60" w:after="60"/>
              <w:jc w:val="right"/>
              <w:rPr>
                <w:noProof/>
                <w:sz w:val="20"/>
                <w:szCs w:val="20"/>
              </w:rPr>
            </w:pPr>
            <w:r w:rsidRPr="00033346">
              <w:rPr>
                <w:noProof/>
              </w:rPr>
              <w:t>1.368</w:t>
            </w:r>
          </w:p>
        </w:tc>
        <w:tc>
          <w:tcPr>
            <w:tcW w:w="1080" w:type="dxa"/>
          </w:tcPr>
          <w:p w14:paraId="14A28393" w14:textId="77777777" w:rsidR="00202A4C" w:rsidRPr="00BB4B0B" w:rsidRDefault="00202A4C" w:rsidP="00202A4C">
            <w:pPr>
              <w:spacing w:before="60" w:after="60"/>
              <w:jc w:val="right"/>
              <w:rPr>
                <w:noProof/>
                <w:sz w:val="20"/>
                <w:szCs w:val="20"/>
              </w:rPr>
            </w:pPr>
            <w:r w:rsidRPr="00033346">
              <w:rPr>
                <w:noProof/>
              </w:rPr>
              <w:t>4.104</w:t>
            </w:r>
          </w:p>
        </w:tc>
        <w:tc>
          <w:tcPr>
            <w:tcW w:w="1080" w:type="dxa"/>
          </w:tcPr>
          <w:p w14:paraId="399E485D" w14:textId="77777777" w:rsidR="00202A4C" w:rsidRPr="00BB4B0B" w:rsidRDefault="00202A4C" w:rsidP="00202A4C">
            <w:pPr>
              <w:spacing w:before="60" w:after="60"/>
              <w:jc w:val="right"/>
              <w:rPr>
                <w:noProof/>
                <w:sz w:val="20"/>
                <w:szCs w:val="20"/>
              </w:rPr>
            </w:pPr>
            <w:r w:rsidRPr="00033346">
              <w:rPr>
                <w:noProof/>
              </w:rPr>
              <w:t>4.275</w:t>
            </w:r>
          </w:p>
        </w:tc>
        <w:tc>
          <w:tcPr>
            <w:tcW w:w="1312" w:type="dxa"/>
          </w:tcPr>
          <w:p w14:paraId="084AE6D7" w14:textId="77777777" w:rsidR="00202A4C" w:rsidRPr="00BB4B0B" w:rsidRDefault="00202A4C" w:rsidP="00202A4C">
            <w:pPr>
              <w:spacing w:before="60" w:after="60"/>
              <w:jc w:val="right"/>
              <w:rPr>
                <w:noProof/>
                <w:sz w:val="20"/>
                <w:szCs w:val="20"/>
              </w:rPr>
            </w:pPr>
            <w:r w:rsidRPr="00033346">
              <w:rPr>
                <w:noProof/>
              </w:rPr>
              <w:t>35.910</w:t>
            </w:r>
          </w:p>
        </w:tc>
        <w:tc>
          <w:tcPr>
            <w:tcW w:w="1276" w:type="dxa"/>
          </w:tcPr>
          <w:p w14:paraId="3C866B6C" w14:textId="77777777" w:rsidR="00202A4C" w:rsidRPr="000E7351" w:rsidRDefault="00202A4C" w:rsidP="00202A4C">
            <w:pPr>
              <w:spacing w:before="60" w:after="60"/>
              <w:jc w:val="right"/>
              <w:rPr>
                <w:b/>
                <w:noProof/>
                <w:sz w:val="20"/>
                <w:szCs w:val="20"/>
              </w:rPr>
            </w:pPr>
            <w:r w:rsidRPr="00033346">
              <w:rPr>
                <w:noProof/>
              </w:rPr>
              <w:t>45.657</w:t>
            </w:r>
          </w:p>
        </w:tc>
      </w:tr>
      <w:tr w:rsidR="00202A4C" w:rsidRPr="0073539D" w14:paraId="486A4B57" w14:textId="77777777" w:rsidTr="00DC0670">
        <w:trPr>
          <w:trHeight w:val="585"/>
        </w:trPr>
        <w:tc>
          <w:tcPr>
            <w:tcW w:w="1980" w:type="dxa"/>
            <w:shd w:val="clear" w:color="auto" w:fill="BFBFBF" w:themeFill="background1" w:themeFillShade="BF"/>
            <w:vAlign w:val="center"/>
          </w:tcPr>
          <w:p w14:paraId="585BD687" w14:textId="77777777" w:rsidR="00202A4C" w:rsidRDefault="00202A4C" w:rsidP="00202A4C">
            <w:pPr>
              <w:spacing w:before="60" w:after="60"/>
              <w:ind w:left="72"/>
              <w:rPr>
                <w:noProof/>
              </w:rPr>
            </w:pPr>
            <w:r>
              <w:rPr>
                <w:noProof/>
                <w:sz w:val="20"/>
              </w:rPr>
              <w:t>Temporary agents (AST grades)</w:t>
            </w:r>
          </w:p>
        </w:tc>
        <w:tc>
          <w:tcPr>
            <w:tcW w:w="1080" w:type="dxa"/>
          </w:tcPr>
          <w:p w14:paraId="5641CD30" w14:textId="77777777" w:rsidR="00202A4C" w:rsidRPr="00BB4B0B" w:rsidRDefault="00202A4C" w:rsidP="00202A4C">
            <w:pPr>
              <w:spacing w:before="60" w:after="60"/>
              <w:jc w:val="right"/>
              <w:rPr>
                <w:noProof/>
                <w:sz w:val="20"/>
                <w:szCs w:val="20"/>
              </w:rPr>
            </w:pPr>
            <w:r w:rsidRPr="00033346">
              <w:rPr>
                <w:noProof/>
              </w:rPr>
              <w:t>0.086</w:t>
            </w:r>
          </w:p>
        </w:tc>
        <w:tc>
          <w:tcPr>
            <w:tcW w:w="1080" w:type="dxa"/>
          </w:tcPr>
          <w:p w14:paraId="3569839A" w14:textId="77777777" w:rsidR="00202A4C" w:rsidRPr="00BB4B0B" w:rsidRDefault="00202A4C" w:rsidP="00202A4C">
            <w:pPr>
              <w:spacing w:before="60" w:after="60"/>
              <w:jc w:val="right"/>
              <w:rPr>
                <w:noProof/>
                <w:sz w:val="20"/>
                <w:szCs w:val="20"/>
              </w:rPr>
            </w:pPr>
            <w:r w:rsidRPr="00033346">
              <w:rPr>
                <w:noProof/>
              </w:rPr>
              <w:t>0.342</w:t>
            </w:r>
          </w:p>
        </w:tc>
        <w:tc>
          <w:tcPr>
            <w:tcW w:w="1080" w:type="dxa"/>
          </w:tcPr>
          <w:p w14:paraId="2BEA8AA1" w14:textId="77777777" w:rsidR="00202A4C" w:rsidRPr="00BB4B0B" w:rsidRDefault="00202A4C" w:rsidP="00202A4C">
            <w:pPr>
              <w:spacing w:before="60" w:after="60"/>
              <w:jc w:val="right"/>
              <w:rPr>
                <w:noProof/>
                <w:sz w:val="20"/>
                <w:szCs w:val="20"/>
              </w:rPr>
            </w:pPr>
            <w:r w:rsidRPr="00033346">
              <w:rPr>
                <w:noProof/>
              </w:rPr>
              <w:t>0.342</w:t>
            </w:r>
          </w:p>
        </w:tc>
        <w:tc>
          <w:tcPr>
            <w:tcW w:w="1312" w:type="dxa"/>
          </w:tcPr>
          <w:p w14:paraId="5FD51A9A" w14:textId="77777777" w:rsidR="00202A4C" w:rsidRPr="00BB4B0B" w:rsidRDefault="00202A4C" w:rsidP="00202A4C">
            <w:pPr>
              <w:spacing w:before="60" w:after="60"/>
              <w:jc w:val="right"/>
              <w:rPr>
                <w:noProof/>
                <w:sz w:val="20"/>
                <w:szCs w:val="20"/>
              </w:rPr>
            </w:pPr>
            <w:r w:rsidRPr="00033346">
              <w:rPr>
                <w:noProof/>
              </w:rPr>
              <w:t>3.591</w:t>
            </w:r>
          </w:p>
        </w:tc>
        <w:tc>
          <w:tcPr>
            <w:tcW w:w="1276" w:type="dxa"/>
          </w:tcPr>
          <w:p w14:paraId="0D6A772A" w14:textId="77777777" w:rsidR="00202A4C" w:rsidRPr="000E7351" w:rsidRDefault="00202A4C" w:rsidP="00202A4C">
            <w:pPr>
              <w:spacing w:before="60" w:after="60"/>
              <w:jc w:val="right"/>
              <w:rPr>
                <w:b/>
                <w:noProof/>
                <w:sz w:val="20"/>
                <w:szCs w:val="20"/>
              </w:rPr>
            </w:pPr>
            <w:r w:rsidRPr="00033346">
              <w:rPr>
                <w:noProof/>
              </w:rPr>
              <w:t>4.361</w:t>
            </w:r>
          </w:p>
        </w:tc>
      </w:tr>
      <w:tr w:rsidR="00202A4C" w14:paraId="73DBAAC1" w14:textId="77777777" w:rsidTr="00DC0670">
        <w:trPr>
          <w:trHeight w:val="585"/>
        </w:trPr>
        <w:tc>
          <w:tcPr>
            <w:tcW w:w="1980" w:type="dxa"/>
            <w:shd w:val="clear" w:color="auto" w:fill="BFBFBF" w:themeFill="background1" w:themeFillShade="BF"/>
            <w:vAlign w:val="center"/>
          </w:tcPr>
          <w:p w14:paraId="30D93494" w14:textId="77777777" w:rsidR="00202A4C" w:rsidRDefault="00202A4C" w:rsidP="00202A4C">
            <w:pPr>
              <w:spacing w:before="60" w:after="60"/>
              <w:ind w:left="72"/>
              <w:rPr>
                <w:noProof/>
              </w:rPr>
            </w:pPr>
            <w:r>
              <w:rPr>
                <w:noProof/>
                <w:sz w:val="20"/>
              </w:rPr>
              <w:t>Contract staff</w:t>
            </w:r>
          </w:p>
        </w:tc>
        <w:tc>
          <w:tcPr>
            <w:tcW w:w="1080" w:type="dxa"/>
            <w:shd w:val="clear" w:color="auto" w:fill="BFBFBF" w:themeFill="background1" w:themeFillShade="BF"/>
          </w:tcPr>
          <w:p w14:paraId="17C2E1CB" w14:textId="77777777" w:rsidR="00202A4C" w:rsidRPr="00760702" w:rsidRDefault="00202A4C" w:rsidP="00202A4C">
            <w:pPr>
              <w:spacing w:before="60" w:after="60"/>
              <w:jc w:val="right"/>
              <w:rPr>
                <w:noProof/>
                <w:sz w:val="20"/>
                <w:szCs w:val="20"/>
              </w:rPr>
            </w:pPr>
            <w:r w:rsidRPr="00033346">
              <w:rPr>
                <w:noProof/>
              </w:rPr>
              <w:t>0.273</w:t>
            </w:r>
          </w:p>
        </w:tc>
        <w:tc>
          <w:tcPr>
            <w:tcW w:w="1080" w:type="dxa"/>
            <w:shd w:val="clear" w:color="auto" w:fill="BFBFBF" w:themeFill="background1" w:themeFillShade="BF"/>
          </w:tcPr>
          <w:p w14:paraId="2A5CDBEC" w14:textId="77777777" w:rsidR="00202A4C" w:rsidRPr="00760702" w:rsidRDefault="00202A4C" w:rsidP="00202A4C">
            <w:pPr>
              <w:spacing w:before="60" w:after="60"/>
              <w:jc w:val="right"/>
              <w:rPr>
                <w:noProof/>
                <w:sz w:val="20"/>
                <w:szCs w:val="20"/>
              </w:rPr>
            </w:pPr>
            <w:r w:rsidRPr="00033346">
              <w:rPr>
                <w:noProof/>
              </w:rPr>
              <w:t>0.546</w:t>
            </w:r>
          </w:p>
        </w:tc>
        <w:tc>
          <w:tcPr>
            <w:tcW w:w="1080" w:type="dxa"/>
            <w:shd w:val="clear" w:color="auto" w:fill="BFBFBF" w:themeFill="background1" w:themeFillShade="BF"/>
          </w:tcPr>
          <w:p w14:paraId="476DC8E5" w14:textId="77777777" w:rsidR="00202A4C" w:rsidRPr="00760702" w:rsidRDefault="00202A4C" w:rsidP="00202A4C">
            <w:pPr>
              <w:spacing w:before="60" w:after="60"/>
              <w:jc w:val="right"/>
              <w:rPr>
                <w:noProof/>
                <w:sz w:val="20"/>
                <w:szCs w:val="20"/>
              </w:rPr>
            </w:pPr>
            <w:r w:rsidRPr="00033346">
              <w:rPr>
                <w:noProof/>
              </w:rPr>
              <w:t>0.546</w:t>
            </w:r>
          </w:p>
        </w:tc>
        <w:tc>
          <w:tcPr>
            <w:tcW w:w="1312" w:type="dxa"/>
            <w:shd w:val="clear" w:color="auto" w:fill="BFBFBF" w:themeFill="background1" w:themeFillShade="BF"/>
          </w:tcPr>
          <w:p w14:paraId="59C0E310" w14:textId="77777777" w:rsidR="00202A4C" w:rsidRPr="00760702" w:rsidRDefault="00202A4C" w:rsidP="00202A4C">
            <w:pPr>
              <w:spacing w:before="60" w:after="60"/>
              <w:jc w:val="right"/>
              <w:rPr>
                <w:noProof/>
                <w:sz w:val="20"/>
                <w:szCs w:val="20"/>
              </w:rPr>
            </w:pPr>
            <w:r w:rsidRPr="00033346">
              <w:rPr>
                <w:noProof/>
              </w:rPr>
              <w:t>3.822</w:t>
            </w:r>
          </w:p>
        </w:tc>
        <w:tc>
          <w:tcPr>
            <w:tcW w:w="1276" w:type="dxa"/>
            <w:shd w:val="clear" w:color="auto" w:fill="BFBFBF" w:themeFill="background1" w:themeFillShade="BF"/>
          </w:tcPr>
          <w:p w14:paraId="57D3CFE7" w14:textId="77777777" w:rsidR="00202A4C" w:rsidRPr="000E7351" w:rsidRDefault="00202A4C" w:rsidP="00202A4C">
            <w:pPr>
              <w:spacing w:before="60" w:after="60"/>
              <w:jc w:val="right"/>
              <w:rPr>
                <w:b/>
                <w:noProof/>
                <w:sz w:val="20"/>
                <w:szCs w:val="20"/>
              </w:rPr>
            </w:pPr>
            <w:r w:rsidRPr="00033346">
              <w:rPr>
                <w:noProof/>
              </w:rPr>
              <w:t>5.187</w:t>
            </w:r>
          </w:p>
        </w:tc>
      </w:tr>
      <w:tr w:rsidR="00600499" w14:paraId="28739322" w14:textId="77777777" w:rsidTr="00DC0670">
        <w:trPr>
          <w:trHeight w:val="585"/>
        </w:trPr>
        <w:tc>
          <w:tcPr>
            <w:tcW w:w="1980" w:type="dxa"/>
            <w:shd w:val="clear" w:color="auto" w:fill="CCCCCC"/>
            <w:vAlign w:val="center"/>
          </w:tcPr>
          <w:p w14:paraId="4D32A626" w14:textId="77777777" w:rsidR="00600499" w:rsidRDefault="00600499" w:rsidP="00DC0670">
            <w:pPr>
              <w:spacing w:before="60" w:after="60"/>
              <w:jc w:val="center"/>
              <w:rPr>
                <w:noProof/>
              </w:rPr>
            </w:pPr>
            <w:r>
              <w:rPr>
                <w:noProof/>
                <w:sz w:val="18"/>
              </w:rPr>
              <w:t>Seconded National Experts</w:t>
            </w:r>
          </w:p>
        </w:tc>
        <w:tc>
          <w:tcPr>
            <w:tcW w:w="1080" w:type="dxa"/>
            <w:vAlign w:val="center"/>
          </w:tcPr>
          <w:p w14:paraId="2B1CD958" w14:textId="77777777" w:rsidR="00600499" w:rsidRDefault="00600499" w:rsidP="00DC0670">
            <w:pPr>
              <w:spacing w:before="60" w:after="60"/>
              <w:jc w:val="right"/>
              <w:rPr>
                <w:noProof/>
                <w:sz w:val="20"/>
              </w:rPr>
            </w:pPr>
          </w:p>
        </w:tc>
        <w:tc>
          <w:tcPr>
            <w:tcW w:w="1080" w:type="dxa"/>
            <w:vAlign w:val="center"/>
          </w:tcPr>
          <w:p w14:paraId="0CCAE122" w14:textId="77777777" w:rsidR="00600499" w:rsidRDefault="00600499" w:rsidP="00DC0670">
            <w:pPr>
              <w:spacing w:before="60" w:after="60"/>
              <w:jc w:val="right"/>
              <w:rPr>
                <w:noProof/>
                <w:sz w:val="20"/>
              </w:rPr>
            </w:pPr>
          </w:p>
        </w:tc>
        <w:tc>
          <w:tcPr>
            <w:tcW w:w="1080" w:type="dxa"/>
            <w:vAlign w:val="center"/>
          </w:tcPr>
          <w:p w14:paraId="5E2B98DC" w14:textId="77777777" w:rsidR="00600499" w:rsidRDefault="00600499" w:rsidP="00DC0670">
            <w:pPr>
              <w:spacing w:before="60" w:after="60"/>
              <w:jc w:val="right"/>
              <w:rPr>
                <w:noProof/>
                <w:sz w:val="20"/>
              </w:rPr>
            </w:pPr>
          </w:p>
        </w:tc>
        <w:tc>
          <w:tcPr>
            <w:tcW w:w="1312" w:type="dxa"/>
            <w:vAlign w:val="center"/>
          </w:tcPr>
          <w:p w14:paraId="49942303" w14:textId="77777777" w:rsidR="00600499" w:rsidRDefault="00600499" w:rsidP="00DC0670">
            <w:pPr>
              <w:spacing w:before="60" w:after="60"/>
              <w:jc w:val="right"/>
              <w:rPr>
                <w:noProof/>
                <w:sz w:val="20"/>
              </w:rPr>
            </w:pPr>
          </w:p>
        </w:tc>
        <w:tc>
          <w:tcPr>
            <w:tcW w:w="1276" w:type="dxa"/>
            <w:vAlign w:val="center"/>
          </w:tcPr>
          <w:p w14:paraId="531003EE" w14:textId="77777777" w:rsidR="00600499" w:rsidRDefault="00600499" w:rsidP="00DC0670">
            <w:pPr>
              <w:spacing w:before="60" w:after="60"/>
              <w:jc w:val="right"/>
              <w:rPr>
                <w:noProof/>
                <w:sz w:val="20"/>
              </w:rPr>
            </w:pPr>
          </w:p>
        </w:tc>
      </w:tr>
    </w:tbl>
    <w:p w14:paraId="74E058BD" w14:textId="77777777" w:rsidR="00600499" w:rsidRDefault="00600499" w:rsidP="00600499">
      <w:pPr>
        <w:rPr>
          <w:noProof/>
          <w:sz w:val="20"/>
        </w:rPr>
      </w:pPr>
    </w:p>
    <w:tbl>
      <w:tblPr>
        <w:tblW w:w="7808" w:type="dxa"/>
        <w:tblInd w:w="-612" w:type="dxa"/>
        <w:tblLayout w:type="fixed"/>
        <w:tblLook w:val="01E0" w:firstRow="1" w:lastRow="1" w:firstColumn="1" w:lastColumn="1" w:noHBand="0" w:noVBand="0"/>
      </w:tblPr>
      <w:tblGrid>
        <w:gridCol w:w="1980"/>
        <w:gridCol w:w="1080"/>
        <w:gridCol w:w="1080"/>
        <w:gridCol w:w="1080"/>
        <w:gridCol w:w="1312"/>
        <w:gridCol w:w="1276"/>
      </w:tblGrid>
      <w:tr w:rsidR="00202A4C" w14:paraId="5AFF8FE3" w14:textId="77777777" w:rsidTr="00DC0670">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14:paraId="5DB93F3F" w14:textId="77777777" w:rsidR="00202A4C" w:rsidRDefault="00202A4C" w:rsidP="00202A4C">
            <w:pPr>
              <w:spacing w:before="60" w:after="60"/>
              <w:jc w:val="center"/>
              <w:rPr>
                <w:noProof/>
                <w:sz w:val="20"/>
              </w:rPr>
            </w:pPr>
            <w:r>
              <w:rPr>
                <w:b/>
                <w:noProof/>
                <w:sz w:val="20"/>
              </w:rPr>
              <w:t>TOTAL</w:t>
            </w:r>
          </w:p>
        </w:tc>
        <w:tc>
          <w:tcPr>
            <w:tcW w:w="1080" w:type="dxa"/>
            <w:tcBorders>
              <w:top w:val="single" w:sz="12" w:space="0" w:color="auto"/>
              <w:left w:val="single" w:sz="2" w:space="0" w:color="auto"/>
              <w:bottom w:val="single" w:sz="12" w:space="0" w:color="auto"/>
              <w:right w:val="single" w:sz="2" w:space="0" w:color="auto"/>
            </w:tcBorders>
          </w:tcPr>
          <w:p w14:paraId="26BC4601" w14:textId="77777777" w:rsidR="00202A4C" w:rsidRDefault="00202A4C" w:rsidP="00202A4C">
            <w:pPr>
              <w:spacing w:before="60" w:after="60"/>
              <w:jc w:val="right"/>
              <w:rPr>
                <w:b/>
                <w:noProof/>
                <w:sz w:val="20"/>
              </w:rPr>
            </w:pPr>
            <w:r w:rsidRPr="00EC63D0">
              <w:rPr>
                <w:noProof/>
              </w:rPr>
              <w:t>1.727</w:t>
            </w:r>
          </w:p>
        </w:tc>
        <w:tc>
          <w:tcPr>
            <w:tcW w:w="1080" w:type="dxa"/>
            <w:tcBorders>
              <w:top w:val="single" w:sz="12" w:space="0" w:color="auto"/>
              <w:left w:val="single" w:sz="2" w:space="0" w:color="auto"/>
              <w:bottom w:val="single" w:sz="12" w:space="0" w:color="auto"/>
              <w:right w:val="single" w:sz="2" w:space="0" w:color="auto"/>
            </w:tcBorders>
          </w:tcPr>
          <w:p w14:paraId="1FD66058" w14:textId="77777777" w:rsidR="00202A4C" w:rsidRDefault="00202A4C" w:rsidP="00202A4C">
            <w:pPr>
              <w:spacing w:before="60" w:after="60"/>
              <w:jc w:val="right"/>
              <w:rPr>
                <w:b/>
                <w:noProof/>
                <w:sz w:val="20"/>
              </w:rPr>
            </w:pPr>
            <w:r w:rsidRPr="00EC63D0">
              <w:rPr>
                <w:noProof/>
              </w:rPr>
              <w:t>4.992</w:t>
            </w:r>
          </w:p>
        </w:tc>
        <w:tc>
          <w:tcPr>
            <w:tcW w:w="1080" w:type="dxa"/>
            <w:tcBorders>
              <w:top w:val="single" w:sz="12" w:space="0" w:color="auto"/>
              <w:left w:val="single" w:sz="2" w:space="0" w:color="auto"/>
              <w:bottom w:val="single" w:sz="12" w:space="0" w:color="auto"/>
              <w:right w:val="single" w:sz="2" w:space="0" w:color="auto"/>
            </w:tcBorders>
          </w:tcPr>
          <w:p w14:paraId="7E3ACA7C" w14:textId="77777777" w:rsidR="00202A4C" w:rsidRDefault="00202A4C" w:rsidP="00202A4C">
            <w:pPr>
              <w:spacing w:before="60" w:after="60"/>
              <w:jc w:val="right"/>
              <w:rPr>
                <w:b/>
                <w:noProof/>
                <w:sz w:val="20"/>
              </w:rPr>
            </w:pPr>
            <w:r w:rsidRPr="00EC63D0">
              <w:rPr>
                <w:noProof/>
              </w:rPr>
              <w:t>5.163</w:t>
            </w:r>
          </w:p>
        </w:tc>
        <w:tc>
          <w:tcPr>
            <w:tcW w:w="1312" w:type="dxa"/>
            <w:tcBorders>
              <w:top w:val="single" w:sz="12" w:space="0" w:color="auto"/>
              <w:left w:val="single" w:sz="2" w:space="0" w:color="auto"/>
              <w:bottom w:val="single" w:sz="12" w:space="0" w:color="auto"/>
              <w:right w:val="single" w:sz="2" w:space="0" w:color="auto"/>
            </w:tcBorders>
          </w:tcPr>
          <w:p w14:paraId="3076F1EE" w14:textId="77777777" w:rsidR="00202A4C" w:rsidRDefault="00202A4C" w:rsidP="00202A4C">
            <w:pPr>
              <w:spacing w:before="60" w:after="60"/>
              <w:jc w:val="right"/>
              <w:rPr>
                <w:b/>
                <w:noProof/>
                <w:sz w:val="20"/>
              </w:rPr>
            </w:pPr>
            <w:r w:rsidRPr="00EC63D0">
              <w:rPr>
                <w:noProof/>
              </w:rPr>
              <w:t>43.323</w:t>
            </w:r>
          </w:p>
        </w:tc>
        <w:tc>
          <w:tcPr>
            <w:tcW w:w="1276" w:type="dxa"/>
            <w:tcBorders>
              <w:top w:val="single" w:sz="12" w:space="0" w:color="auto"/>
              <w:left w:val="single" w:sz="2" w:space="0" w:color="auto"/>
              <w:bottom w:val="single" w:sz="12" w:space="0" w:color="auto"/>
              <w:right w:val="single" w:sz="12" w:space="0" w:color="auto"/>
            </w:tcBorders>
          </w:tcPr>
          <w:p w14:paraId="5E2C0D1A" w14:textId="77777777" w:rsidR="00202A4C" w:rsidRPr="00202A4C" w:rsidRDefault="00202A4C" w:rsidP="00202A4C">
            <w:pPr>
              <w:spacing w:before="60" w:after="60"/>
              <w:jc w:val="right"/>
              <w:rPr>
                <w:b/>
                <w:noProof/>
                <w:sz w:val="20"/>
              </w:rPr>
            </w:pPr>
            <w:r w:rsidRPr="00202A4C">
              <w:rPr>
                <w:b/>
                <w:noProof/>
              </w:rPr>
              <w:t>55.205</w:t>
            </w:r>
          </w:p>
        </w:tc>
      </w:tr>
    </w:tbl>
    <w:p w14:paraId="193FD175" w14:textId="77777777" w:rsidR="00600499" w:rsidRDefault="004F7FB7" w:rsidP="00600499">
      <w:pPr>
        <w:rPr>
          <w:noProof/>
          <w:u w:val="single"/>
        </w:rPr>
      </w:pPr>
      <w:r>
        <w:rPr>
          <w:b/>
          <w:bCs/>
          <w:noProof/>
        </w:rPr>
        <w:t>The budget impact beyond the current MFF is an indicative overview, without prejudice to the future MFF Agreement.</w:t>
      </w:r>
    </w:p>
    <w:p w14:paraId="40532EC0" w14:textId="77777777" w:rsidR="00600499" w:rsidRDefault="00600499" w:rsidP="00600499">
      <w:pPr>
        <w:rPr>
          <w:noProof/>
          <w:sz w:val="20"/>
        </w:rPr>
      </w:pPr>
      <w:r>
        <w:rPr>
          <w:noProof/>
          <w:sz w:val="20"/>
        </w:rPr>
        <w:t>Staff requirements (FTE):</w:t>
      </w:r>
    </w:p>
    <w:tbl>
      <w:tblPr>
        <w:tblW w:w="0" w:type="auto"/>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312"/>
        <w:gridCol w:w="1276"/>
      </w:tblGrid>
      <w:tr w:rsidR="00600499" w14:paraId="0E9F0214" w14:textId="77777777" w:rsidTr="00DC0670">
        <w:trPr>
          <w:trHeight w:val="585"/>
        </w:trPr>
        <w:tc>
          <w:tcPr>
            <w:tcW w:w="1980" w:type="dxa"/>
          </w:tcPr>
          <w:p w14:paraId="52354CE6" w14:textId="77777777" w:rsidR="00600499" w:rsidRDefault="00600499" w:rsidP="00DC0670">
            <w:pPr>
              <w:spacing w:before="60" w:after="60"/>
              <w:rPr>
                <w:noProof/>
                <w:sz w:val="20"/>
              </w:rPr>
            </w:pPr>
          </w:p>
        </w:tc>
        <w:tc>
          <w:tcPr>
            <w:tcW w:w="1080" w:type="dxa"/>
            <w:vAlign w:val="center"/>
          </w:tcPr>
          <w:p w14:paraId="61D3E287" w14:textId="77777777" w:rsidR="00600499" w:rsidRDefault="00600499" w:rsidP="00DC0670">
            <w:pPr>
              <w:spacing w:before="60" w:after="60"/>
              <w:jc w:val="center"/>
              <w:rPr>
                <w:noProof/>
                <w:sz w:val="20"/>
              </w:rPr>
            </w:pPr>
            <w:r>
              <w:rPr>
                <w:noProof/>
                <w:sz w:val="20"/>
              </w:rPr>
              <w:t>Year</w:t>
            </w:r>
            <w:r>
              <w:rPr>
                <w:noProof/>
                <w:sz w:val="22"/>
              </w:rPr>
              <w:br/>
            </w:r>
            <w:r>
              <w:rPr>
                <w:b/>
                <w:noProof/>
                <w:sz w:val="20"/>
              </w:rPr>
              <w:t>2025</w:t>
            </w:r>
          </w:p>
        </w:tc>
        <w:tc>
          <w:tcPr>
            <w:tcW w:w="1080" w:type="dxa"/>
            <w:vAlign w:val="center"/>
          </w:tcPr>
          <w:p w14:paraId="18A6401E" w14:textId="77777777" w:rsidR="00600499" w:rsidRDefault="00600499" w:rsidP="00DC0670">
            <w:pPr>
              <w:spacing w:before="60" w:after="60"/>
              <w:jc w:val="center"/>
              <w:rPr>
                <w:noProof/>
                <w:sz w:val="20"/>
              </w:rPr>
            </w:pPr>
            <w:r>
              <w:rPr>
                <w:noProof/>
                <w:sz w:val="20"/>
              </w:rPr>
              <w:t>Year</w:t>
            </w:r>
            <w:r>
              <w:rPr>
                <w:noProof/>
                <w:sz w:val="22"/>
              </w:rPr>
              <w:br/>
            </w:r>
            <w:r>
              <w:rPr>
                <w:b/>
                <w:noProof/>
                <w:sz w:val="20"/>
              </w:rPr>
              <w:t>2026</w:t>
            </w:r>
          </w:p>
        </w:tc>
        <w:tc>
          <w:tcPr>
            <w:tcW w:w="1080" w:type="dxa"/>
            <w:vAlign w:val="center"/>
          </w:tcPr>
          <w:p w14:paraId="3CF68807" w14:textId="77777777" w:rsidR="00600499" w:rsidRDefault="00600499" w:rsidP="00DC0670">
            <w:pPr>
              <w:spacing w:before="60" w:after="60"/>
              <w:jc w:val="center"/>
              <w:rPr>
                <w:noProof/>
                <w:sz w:val="20"/>
              </w:rPr>
            </w:pPr>
            <w:r>
              <w:rPr>
                <w:noProof/>
                <w:sz w:val="20"/>
              </w:rPr>
              <w:t>Year</w:t>
            </w:r>
            <w:r>
              <w:rPr>
                <w:noProof/>
                <w:sz w:val="22"/>
              </w:rPr>
              <w:br/>
            </w:r>
            <w:r>
              <w:rPr>
                <w:b/>
                <w:noProof/>
                <w:sz w:val="20"/>
              </w:rPr>
              <w:t>2027</w:t>
            </w:r>
          </w:p>
        </w:tc>
        <w:tc>
          <w:tcPr>
            <w:tcW w:w="1312" w:type="dxa"/>
          </w:tcPr>
          <w:p w14:paraId="58CD592C" w14:textId="77777777" w:rsidR="00600499" w:rsidRDefault="00600499" w:rsidP="00DC0670">
            <w:pPr>
              <w:spacing w:before="60" w:after="60"/>
              <w:jc w:val="center"/>
              <w:rPr>
                <w:noProof/>
                <w:sz w:val="20"/>
              </w:rPr>
            </w:pPr>
            <w:r w:rsidRPr="002A4CF4">
              <w:rPr>
                <w:noProof/>
                <w:sz w:val="20"/>
              </w:rPr>
              <w:t>Year</w:t>
            </w:r>
            <w:r w:rsidRPr="002A4CF4">
              <w:rPr>
                <w:noProof/>
                <w:sz w:val="22"/>
              </w:rPr>
              <w:br/>
            </w:r>
            <w:r>
              <w:rPr>
                <w:b/>
                <w:noProof/>
                <w:sz w:val="20"/>
              </w:rPr>
              <w:t>2028-2034</w:t>
            </w:r>
          </w:p>
        </w:tc>
        <w:tc>
          <w:tcPr>
            <w:tcW w:w="1276" w:type="dxa"/>
            <w:vAlign w:val="center"/>
          </w:tcPr>
          <w:p w14:paraId="58E2C4A6" w14:textId="77777777" w:rsidR="00600499" w:rsidRDefault="00600499" w:rsidP="00DC0670">
            <w:pPr>
              <w:spacing w:before="60" w:after="60"/>
              <w:jc w:val="center"/>
              <w:rPr>
                <w:b/>
                <w:noProof/>
                <w:sz w:val="20"/>
              </w:rPr>
            </w:pPr>
            <w:r>
              <w:rPr>
                <w:b/>
                <w:noProof/>
                <w:sz w:val="20"/>
              </w:rPr>
              <w:t>TOTAL</w:t>
            </w:r>
          </w:p>
        </w:tc>
      </w:tr>
    </w:tbl>
    <w:p w14:paraId="051F70B7" w14:textId="77777777" w:rsidR="00600499" w:rsidRDefault="00600499" w:rsidP="00600499">
      <w:pPr>
        <w:rPr>
          <w:noProof/>
          <w:sz w:val="20"/>
        </w:rPr>
      </w:pPr>
    </w:p>
    <w:tbl>
      <w:tblPr>
        <w:tblW w:w="7808"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312"/>
        <w:gridCol w:w="1276"/>
      </w:tblGrid>
      <w:tr w:rsidR="00600499" w:rsidRPr="0073539D" w14:paraId="4F5187EA" w14:textId="77777777" w:rsidTr="00DC0670">
        <w:trPr>
          <w:trHeight w:val="585"/>
        </w:trPr>
        <w:tc>
          <w:tcPr>
            <w:tcW w:w="1980" w:type="dxa"/>
            <w:shd w:val="clear" w:color="auto" w:fill="D9D9D9" w:themeFill="background1" w:themeFillShade="D9"/>
            <w:vAlign w:val="center"/>
          </w:tcPr>
          <w:p w14:paraId="2233DFD8" w14:textId="77777777" w:rsidR="00600499" w:rsidRDefault="00600499" w:rsidP="00DC0670">
            <w:pPr>
              <w:spacing w:before="60" w:after="60"/>
              <w:jc w:val="center"/>
              <w:rPr>
                <w:noProof/>
              </w:rPr>
            </w:pPr>
            <w:r>
              <w:rPr>
                <w:noProof/>
                <w:sz w:val="18"/>
              </w:rPr>
              <w:t>Temporary agents (AD Grades)</w:t>
            </w:r>
          </w:p>
        </w:tc>
        <w:tc>
          <w:tcPr>
            <w:tcW w:w="1080" w:type="dxa"/>
          </w:tcPr>
          <w:p w14:paraId="3B1F2042" w14:textId="77777777" w:rsidR="00600499" w:rsidRPr="000E7351" w:rsidRDefault="00600499" w:rsidP="00DC0670">
            <w:pPr>
              <w:spacing w:before="60" w:after="60"/>
              <w:jc w:val="right"/>
              <w:rPr>
                <w:noProof/>
                <w:sz w:val="20"/>
                <w:szCs w:val="20"/>
              </w:rPr>
            </w:pPr>
            <w:r w:rsidRPr="000E7351">
              <w:rPr>
                <w:noProof/>
                <w:sz w:val="20"/>
                <w:szCs w:val="20"/>
              </w:rPr>
              <w:t>1</w:t>
            </w:r>
            <w:r>
              <w:rPr>
                <w:noProof/>
                <w:sz w:val="20"/>
                <w:szCs w:val="20"/>
              </w:rPr>
              <w:t>6</w:t>
            </w:r>
          </w:p>
        </w:tc>
        <w:tc>
          <w:tcPr>
            <w:tcW w:w="1080" w:type="dxa"/>
          </w:tcPr>
          <w:p w14:paraId="3425660F" w14:textId="77777777" w:rsidR="00600499" w:rsidRPr="000E7351" w:rsidRDefault="00600499" w:rsidP="00DC0670">
            <w:pPr>
              <w:spacing w:before="60" w:after="60"/>
              <w:jc w:val="right"/>
              <w:rPr>
                <w:noProof/>
                <w:sz w:val="20"/>
                <w:szCs w:val="20"/>
              </w:rPr>
            </w:pPr>
            <w:r w:rsidRPr="000E7351">
              <w:rPr>
                <w:noProof/>
                <w:sz w:val="20"/>
                <w:szCs w:val="20"/>
              </w:rPr>
              <w:t>2</w:t>
            </w:r>
            <w:r>
              <w:rPr>
                <w:noProof/>
                <w:sz w:val="20"/>
                <w:szCs w:val="20"/>
              </w:rPr>
              <w:t>4</w:t>
            </w:r>
          </w:p>
        </w:tc>
        <w:tc>
          <w:tcPr>
            <w:tcW w:w="1080" w:type="dxa"/>
          </w:tcPr>
          <w:p w14:paraId="19C91E60" w14:textId="77777777" w:rsidR="00600499" w:rsidRPr="000E7351" w:rsidRDefault="00600499" w:rsidP="00DC0670">
            <w:pPr>
              <w:spacing w:before="60" w:after="60"/>
              <w:jc w:val="right"/>
              <w:rPr>
                <w:noProof/>
                <w:sz w:val="20"/>
                <w:szCs w:val="20"/>
              </w:rPr>
            </w:pPr>
            <w:r w:rsidRPr="000E7351">
              <w:rPr>
                <w:noProof/>
                <w:sz w:val="20"/>
                <w:szCs w:val="20"/>
              </w:rPr>
              <w:t>2</w:t>
            </w:r>
            <w:r>
              <w:rPr>
                <w:noProof/>
                <w:sz w:val="20"/>
                <w:szCs w:val="20"/>
              </w:rPr>
              <w:t>5</w:t>
            </w:r>
          </w:p>
        </w:tc>
        <w:tc>
          <w:tcPr>
            <w:tcW w:w="1312" w:type="dxa"/>
            <w:vAlign w:val="center"/>
          </w:tcPr>
          <w:p w14:paraId="539F02F2" w14:textId="77777777" w:rsidR="00600499" w:rsidRPr="000E7351" w:rsidRDefault="00600499" w:rsidP="00DC0670">
            <w:pPr>
              <w:spacing w:before="60" w:after="60"/>
              <w:jc w:val="right"/>
              <w:rPr>
                <w:noProof/>
                <w:sz w:val="20"/>
                <w:szCs w:val="20"/>
              </w:rPr>
            </w:pPr>
            <w:r w:rsidRPr="000E7351">
              <w:rPr>
                <w:noProof/>
                <w:sz w:val="20"/>
                <w:szCs w:val="20"/>
              </w:rPr>
              <w:t>3</w:t>
            </w:r>
            <w:r>
              <w:rPr>
                <w:noProof/>
                <w:sz w:val="20"/>
                <w:szCs w:val="20"/>
              </w:rPr>
              <w:t>0</w:t>
            </w:r>
          </w:p>
        </w:tc>
        <w:tc>
          <w:tcPr>
            <w:tcW w:w="1276" w:type="dxa"/>
            <w:vAlign w:val="center"/>
          </w:tcPr>
          <w:p w14:paraId="1640CEFD" w14:textId="77777777" w:rsidR="00600499" w:rsidRPr="000E7351" w:rsidRDefault="00600499" w:rsidP="00DC0670">
            <w:pPr>
              <w:spacing w:before="60" w:after="60"/>
              <w:jc w:val="right"/>
              <w:rPr>
                <w:b/>
                <w:noProof/>
                <w:sz w:val="20"/>
              </w:rPr>
            </w:pPr>
            <w:r w:rsidRPr="000E7351">
              <w:rPr>
                <w:b/>
                <w:noProof/>
                <w:sz w:val="20"/>
              </w:rPr>
              <w:t>3</w:t>
            </w:r>
            <w:r>
              <w:rPr>
                <w:b/>
                <w:noProof/>
                <w:sz w:val="20"/>
              </w:rPr>
              <w:t>0</w:t>
            </w:r>
          </w:p>
        </w:tc>
      </w:tr>
      <w:tr w:rsidR="00600499" w14:paraId="61814675" w14:textId="77777777" w:rsidTr="00DC0670">
        <w:trPr>
          <w:trHeight w:val="585"/>
        </w:trPr>
        <w:tc>
          <w:tcPr>
            <w:tcW w:w="1980" w:type="dxa"/>
            <w:shd w:val="clear" w:color="auto" w:fill="BFBFBF" w:themeFill="background1" w:themeFillShade="BF"/>
            <w:vAlign w:val="center"/>
          </w:tcPr>
          <w:p w14:paraId="05D80B35" w14:textId="77777777" w:rsidR="00600499" w:rsidRDefault="00600499" w:rsidP="00DC0670">
            <w:pPr>
              <w:spacing w:before="60" w:after="60"/>
              <w:ind w:left="72"/>
              <w:rPr>
                <w:noProof/>
              </w:rPr>
            </w:pPr>
            <w:r>
              <w:rPr>
                <w:noProof/>
                <w:sz w:val="20"/>
              </w:rPr>
              <w:t>Temporary agents (AST grades)</w:t>
            </w:r>
          </w:p>
        </w:tc>
        <w:tc>
          <w:tcPr>
            <w:tcW w:w="1080" w:type="dxa"/>
            <w:vAlign w:val="center"/>
          </w:tcPr>
          <w:p w14:paraId="4C3292A5" w14:textId="77777777" w:rsidR="00600499" w:rsidRDefault="00600499" w:rsidP="00DC0670">
            <w:pPr>
              <w:spacing w:before="60" w:after="60"/>
              <w:jc w:val="right"/>
              <w:rPr>
                <w:noProof/>
                <w:sz w:val="20"/>
              </w:rPr>
            </w:pPr>
            <w:r>
              <w:rPr>
                <w:noProof/>
                <w:sz w:val="20"/>
              </w:rPr>
              <w:t>1</w:t>
            </w:r>
          </w:p>
        </w:tc>
        <w:tc>
          <w:tcPr>
            <w:tcW w:w="1080" w:type="dxa"/>
            <w:vAlign w:val="center"/>
          </w:tcPr>
          <w:p w14:paraId="4B30AC17" w14:textId="77777777" w:rsidR="00600499" w:rsidRDefault="00600499" w:rsidP="00DC0670">
            <w:pPr>
              <w:spacing w:before="60" w:after="60"/>
              <w:jc w:val="right"/>
              <w:rPr>
                <w:noProof/>
                <w:sz w:val="20"/>
              </w:rPr>
            </w:pPr>
            <w:r>
              <w:rPr>
                <w:noProof/>
                <w:sz w:val="20"/>
              </w:rPr>
              <w:t>2</w:t>
            </w:r>
          </w:p>
        </w:tc>
        <w:tc>
          <w:tcPr>
            <w:tcW w:w="1080" w:type="dxa"/>
            <w:vAlign w:val="center"/>
          </w:tcPr>
          <w:p w14:paraId="2546DAA1" w14:textId="77777777" w:rsidR="00600499" w:rsidRDefault="00600499" w:rsidP="00DC0670">
            <w:pPr>
              <w:spacing w:before="60" w:after="60"/>
              <w:jc w:val="right"/>
              <w:rPr>
                <w:noProof/>
                <w:sz w:val="20"/>
              </w:rPr>
            </w:pPr>
            <w:r>
              <w:rPr>
                <w:noProof/>
                <w:sz w:val="20"/>
              </w:rPr>
              <w:t>2</w:t>
            </w:r>
          </w:p>
        </w:tc>
        <w:tc>
          <w:tcPr>
            <w:tcW w:w="1312" w:type="dxa"/>
            <w:vAlign w:val="center"/>
          </w:tcPr>
          <w:p w14:paraId="2A3E1806" w14:textId="77777777" w:rsidR="00600499" w:rsidRDefault="00600499" w:rsidP="00DC0670">
            <w:pPr>
              <w:spacing w:before="60" w:after="60"/>
              <w:jc w:val="right"/>
              <w:rPr>
                <w:noProof/>
                <w:sz w:val="20"/>
              </w:rPr>
            </w:pPr>
            <w:r>
              <w:rPr>
                <w:noProof/>
                <w:sz w:val="20"/>
              </w:rPr>
              <w:t>3</w:t>
            </w:r>
          </w:p>
        </w:tc>
        <w:tc>
          <w:tcPr>
            <w:tcW w:w="1276" w:type="dxa"/>
            <w:vAlign w:val="center"/>
          </w:tcPr>
          <w:p w14:paraId="2B2C673D" w14:textId="77777777" w:rsidR="00600499" w:rsidRPr="000E7351" w:rsidRDefault="00600499" w:rsidP="00DC0670">
            <w:pPr>
              <w:spacing w:before="60" w:after="60"/>
              <w:jc w:val="right"/>
              <w:rPr>
                <w:b/>
                <w:noProof/>
                <w:sz w:val="20"/>
              </w:rPr>
            </w:pPr>
            <w:r>
              <w:rPr>
                <w:b/>
                <w:noProof/>
                <w:sz w:val="20"/>
              </w:rPr>
              <w:t>3</w:t>
            </w:r>
          </w:p>
        </w:tc>
      </w:tr>
      <w:tr w:rsidR="00600499" w14:paraId="7A4A1881" w14:textId="77777777" w:rsidTr="00DC0670">
        <w:trPr>
          <w:trHeight w:val="585"/>
        </w:trPr>
        <w:tc>
          <w:tcPr>
            <w:tcW w:w="1980" w:type="dxa"/>
            <w:shd w:val="clear" w:color="auto" w:fill="BFBFBF" w:themeFill="background1" w:themeFillShade="BF"/>
            <w:vAlign w:val="center"/>
          </w:tcPr>
          <w:p w14:paraId="3778D24B" w14:textId="77777777" w:rsidR="00600499" w:rsidRDefault="00600499" w:rsidP="00DC0670">
            <w:pPr>
              <w:spacing w:before="60" w:after="60"/>
              <w:ind w:left="72"/>
              <w:rPr>
                <w:noProof/>
              </w:rPr>
            </w:pPr>
            <w:r>
              <w:rPr>
                <w:noProof/>
                <w:sz w:val="20"/>
              </w:rPr>
              <w:t>Contract staff</w:t>
            </w:r>
          </w:p>
        </w:tc>
        <w:tc>
          <w:tcPr>
            <w:tcW w:w="1080" w:type="dxa"/>
            <w:shd w:val="clear" w:color="auto" w:fill="BFBFBF" w:themeFill="background1" w:themeFillShade="BF"/>
            <w:vAlign w:val="center"/>
          </w:tcPr>
          <w:p w14:paraId="31284E48" w14:textId="77777777" w:rsidR="00600499" w:rsidRDefault="00600499" w:rsidP="00DC0670">
            <w:pPr>
              <w:spacing w:before="60" w:after="60"/>
              <w:jc w:val="right"/>
              <w:rPr>
                <w:noProof/>
                <w:sz w:val="20"/>
              </w:rPr>
            </w:pPr>
            <w:r>
              <w:rPr>
                <w:noProof/>
                <w:sz w:val="20"/>
              </w:rPr>
              <w:t>6</w:t>
            </w:r>
          </w:p>
        </w:tc>
        <w:tc>
          <w:tcPr>
            <w:tcW w:w="1080" w:type="dxa"/>
            <w:shd w:val="clear" w:color="auto" w:fill="BFBFBF" w:themeFill="background1" w:themeFillShade="BF"/>
            <w:vAlign w:val="center"/>
          </w:tcPr>
          <w:p w14:paraId="724FDB1F" w14:textId="77777777" w:rsidR="00600499" w:rsidRDefault="00600499" w:rsidP="00DC0670">
            <w:pPr>
              <w:spacing w:before="60" w:after="60"/>
              <w:jc w:val="right"/>
              <w:rPr>
                <w:noProof/>
                <w:sz w:val="20"/>
              </w:rPr>
            </w:pPr>
            <w:r>
              <w:rPr>
                <w:noProof/>
                <w:sz w:val="20"/>
              </w:rPr>
              <w:t>6</w:t>
            </w:r>
          </w:p>
        </w:tc>
        <w:tc>
          <w:tcPr>
            <w:tcW w:w="1080" w:type="dxa"/>
            <w:shd w:val="clear" w:color="auto" w:fill="BFBFBF" w:themeFill="background1" w:themeFillShade="BF"/>
            <w:vAlign w:val="center"/>
          </w:tcPr>
          <w:p w14:paraId="7C963296" w14:textId="77777777" w:rsidR="00600499" w:rsidRDefault="00600499" w:rsidP="00DC0670">
            <w:pPr>
              <w:spacing w:before="60" w:after="60"/>
              <w:jc w:val="right"/>
              <w:rPr>
                <w:noProof/>
                <w:sz w:val="20"/>
              </w:rPr>
            </w:pPr>
            <w:r>
              <w:rPr>
                <w:noProof/>
                <w:sz w:val="20"/>
              </w:rPr>
              <w:t>6</w:t>
            </w:r>
          </w:p>
        </w:tc>
        <w:tc>
          <w:tcPr>
            <w:tcW w:w="1312" w:type="dxa"/>
            <w:shd w:val="clear" w:color="auto" w:fill="BFBFBF" w:themeFill="background1" w:themeFillShade="BF"/>
            <w:vAlign w:val="center"/>
          </w:tcPr>
          <w:p w14:paraId="291FAE49" w14:textId="77777777" w:rsidR="00600499" w:rsidRDefault="00600499" w:rsidP="00DC0670">
            <w:pPr>
              <w:spacing w:before="60" w:after="60"/>
              <w:jc w:val="right"/>
              <w:rPr>
                <w:noProof/>
                <w:sz w:val="20"/>
              </w:rPr>
            </w:pPr>
            <w:r>
              <w:rPr>
                <w:noProof/>
                <w:sz w:val="20"/>
              </w:rPr>
              <w:t>6</w:t>
            </w:r>
          </w:p>
        </w:tc>
        <w:tc>
          <w:tcPr>
            <w:tcW w:w="1276" w:type="dxa"/>
            <w:shd w:val="clear" w:color="auto" w:fill="BFBFBF" w:themeFill="background1" w:themeFillShade="BF"/>
            <w:vAlign w:val="center"/>
          </w:tcPr>
          <w:p w14:paraId="3F6E01DC" w14:textId="77777777" w:rsidR="00600499" w:rsidRDefault="00600499" w:rsidP="00DC0670">
            <w:pPr>
              <w:spacing w:before="60" w:after="60"/>
              <w:jc w:val="right"/>
              <w:rPr>
                <w:noProof/>
                <w:sz w:val="20"/>
              </w:rPr>
            </w:pPr>
            <w:r w:rsidRPr="00407155">
              <w:rPr>
                <w:b/>
                <w:noProof/>
                <w:sz w:val="20"/>
              </w:rPr>
              <w:t>6</w:t>
            </w:r>
          </w:p>
        </w:tc>
      </w:tr>
      <w:tr w:rsidR="00600499" w14:paraId="162AD526" w14:textId="77777777" w:rsidTr="00DC0670">
        <w:trPr>
          <w:trHeight w:val="585"/>
        </w:trPr>
        <w:tc>
          <w:tcPr>
            <w:tcW w:w="1980" w:type="dxa"/>
            <w:shd w:val="clear" w:color="auto" w:fill="CCCCCC"/>
            <w:vAlign w:val="center"/>
          </w:tcPr>
          <w:p w14:paraId="079B06ED" w14:textId="77777777" w:rsidR="00600499" w:rsidRDefault="00600499" w:rsidP="00DC0670">
            <w:pPr>
              <w:spacing w:before="60" w:after="60"/>
              <w:jc w:val="center"/>
              <w:rPr>
                <w:noProof/>
              </w:rPr>
            </w:pPr>
            <w:r>
              <w:rPr>
                <w:noProof/>
                <w:sz w:val="18"/>
              </w:rPr>
              <w:t>Seconded National Experts</w:t>
            </w:r>
          </w:p>
        </w:tc>
        <w:tc>
          <w:tcPr>
            <w:tcW w:w="1080" w:type="dxa"/>
            <w:vAlign w:val="center"/>
          </w:tcPr>
          <w:p w14:paraId="61656187" w14:textId="77777777" w:rsidR="00600499" w:rsidRDefault="00600499" w:rsidP="00DC0670">
            <w:pPr>
              <w:spacing w:before="60" w:after="60"/>
              <w:jc w:val="right"/>
              <w:rPr>
                <w:noProof/>
                <w:sz w:val="20"/>
              </w:rPr>
            </w:pPr>
          </w:p>
        </w:tc>
        <w:tc>
          <w:tcPr>
            <w:tcW w:w="1080" w:type="dxa"/>
            <w:vAlign w:val="center"/>
          </w:tcPr>
          <w:p w14:paraId="095B5110" w14:textId="77777777" w:rsidR="00600499" w:rsidRDefault="00600499" w:rsidP="00DC0670">
            <w:pPr>
              <w:spacing w:before="60" w:after="60"/>
              <w:jc w:val="right"/>
              <w:rPr>
                <w:noProof/>
                <w:sz w:val="20"/>
              </w:rPr>
            </w:pPr>
          </w:p>
        </w:tc>
        <w:tc>
          <w:tcPr>
            <w:tcW w:w="1080" w:type="dxa"/>
            <w:vAlign w:val="center"/>
          </w:tcPr>
          <w:p w14:paraId="0F417E33" w14:textId="77777777" w:rsidR="00600499" w:rsidRDefault="00600499" w:rsidP="00DC0670">
            <w:pPr>
              <w:spacing w:before="60" w:after="60"/>
              <w:jc w:val="right"/>
              <w:rPr>
                <w:noProof/>
                <w:sz w:val="20"/>
              </w:rPr>
            </w:pPr>
          </w:p>
        </w:tc>
        <w:tc>
          <w:tcPr>
            <w:tcW w:w="1312" w:type="dxa"/>
            <w:vAlign w:val="center"/>
          </w:tcPr>
          <w:p w14:paraId="5E932485" w14:textId="77777777" w:rsidR="00600499" w:rsidRDefault="00600499" w:rsidP="00DC0670">
            <w:pPr>
              <w:spacing w:before="60" w:after="60"/>
              <w:jc w:val="right"/>
              <w:rPr>
                <w:noProof/>
                <w:sz w:val="20"/>
              </w:rPr>
            </w:pPr>
          </w:p>
        </w:tc>
        <w:tc>
          <w:tcPr>
            <w:tcW w:w="1276" w:type="dxa"/>
            <w:vAlign w:val="center"/>
          </w:tcPr>
          <w:p w14:paraId="4DECF2C9" w14:textId="77777777" w:rsidR="00600499" w:rsidRDefault="00600499" w:rsidP="00DC0670">
            <w:pPr>
              <w:spacing w:before="60" w:after="60"/>
              <w:jc w:val="right"/>
              <w:rPr>
                <w:noProof/>
                <w:sz w:val="20"/>
              </w:rPr>
            </w:pPr>
          </w:p>
        </w:tc>
      </w:tr>
    </w:tbl>
    <w:p w14:paraId="043FDB44" w14:textId="77777777" w:rsidR="00600499" w:rsidRDefault="00600499" w:rsidP="00600499">
      <w:pPr>
        <w:rPr>
          <w:noProof/>
          <w:sz w:val="20"/>
        </w:rPr>
      </w:pPr>
    </w:p>
    <w:tbl>
      <w:tblPr>
        <w:tblW w:w="7808" w:type="dxa"/>
        <w:tblInd w:w="-612" w:type="dxa"/>
        <w:tblLayout w:type="fixed"/>
        <w:tblLook w:val="01E0" w:firstRow="1" w:lastRow="1" w:firstColumn="1" w:lastColumn="1" w:noHBand="0" w:noVBand="0"/>
      </w:tblPr>
      <w:tblGrid>
        <w:gridCol w:w="1980"/>
        <w:gridCol w:w="1080"/>
        <w:gridCol w:w="1080"/>
        <w:gridCol w:w="1080"/>
        <w:gridCol w:w="1312"/>
        <w:gridCol w:w="1276"/>
      </w:tblGrid>
      <w:tr w:rsidR="00600499" w14:paraId="2680CBC8" w14:textId="77777777" w:rsidTr="00DC0670">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14:paraId="20CB659E" w14:textId="77777777" w:rsidR="00600499" w:rsidRDefault="00600499" w:rsidP="00DC0670">
            <w:pPr>
              <w:spacing w:before="60" w:after="60"/>
              <w:jc w:val="center"/>
              <w:rPr>
                <w:noProof/>
                <w:sz w:val="20"/>
              </w:rPr>
            </w:pPr>
            <w:r>
              <w:rPr>
                <w:b/>
                <w:noProof/>
                <w:sz w:val="20"/>
              </w:rPr>
              <w:t>TOTAL</w:t>
            </w:r>
          </w:p>
        </w:tc>
        <w:tc>
          <w:tcPr>
            <w:tcW w:w="1080" w:type="dxa"/>
            <w:tcBorders>
              <w:top w:val="single" w:sz="12" w:space="0" w:color="auto"/>
              <w:left w:val="single" w:sz="2" w:space="0" w:color="auto"/>
              <w:bottom w:val="single" w:sz="12" w:space="0" w:color="auto"/>
              <w:right w:val="single" w:sz="2" w:space="0" w:color="auto"/>
            </w:tcBorders>
          </w:tcPr>
          <w:p w14:paraId="360634CB" w14:textId="77777777" w:rsidR="00600499" w:rsidRPr="00760702" w:rsidRDefault="00600499" w:rsidP="00DC0670">
            <w:pPr>
              <w:spacing w:before="60" w:after="60"/>
              <w:jc w:val="right"/>
              <w:rPr>
                <w:b/>
                <w:noProof/>
                <w:sz w:val="20"/>
                <w:szCs w:val="20"/>
              </w:rPr>
            </w:pPr>
            <w:r w:rsidRPr="000E7351">
              <w:rPr>
                <w:b/>
                <w:noProof/>
                <w:sz w:val="20"/>
                <w:szCs w:val="20"/>
              </w:rPr>
              <w:t>23</w:t>
            </w:r>
          </w:p>
        </w:tc>
        <w:tc>
          <w:tcPr>
            <w:tcW w:w="1080" w:type="dxa"/>
            <w:tcBorders>
              <w:top w:val="single" w:sz="12" w:space="0" w:color="auto"/>
              <w:left w:val="single" w:sz="2" w:space="0" w:color="auto"/>
              <w:bottom w:val="single" w:sz="12" w:space="0" w:color="auto"/>
              <w:right w:val="single" w:sz="2" w:space="0" w:color="auto"/>
            </w:tcBorders>
          </w:tcPr>
          <w:p w14:paraId="272413C8" w14:textId="77777777" w:rsidR="00600499" w:rsidRPr="00760702" w:rsidRDefault="00600499" w:rsidP="00DC0670">
            <w:pPr>
              <w:spacing w:before="60" w:after="60"/>
              <w:jc w:val="right"/>
              <w:rPr>
                <w:b/>
                <w:noProof/>
                <w:sz w:val="20"/>
                <w:szCs w:val="20"/>
              </w:rPr>
            </w:pPr>
            <w:r w:rsidRPr="000E7351">
              <w:rPr>
                <w:b/>
                <w:noProof/>
                <w:sz w:val="20"/>
                <w:szCs w:val="20"/>
              </w:rPr>
              <w:t>32</w:t>
            </w:r>
          </w:p>
        </w:tc>
        <w:tc>
          <w:tcPr>
            <w:tcW w:w="1080" w:type="dxa"/>
            <w:tcBorders>
              <w:top w:val="single" w:sz="12" w:space="0" w:color="auto"/>
              <w:left w:val="single" w:sz="2" w:space="0" w:color="auto"/>
              <w:bottom w:val="single" w:sz="12" w:space="0" w:color="auto"/>
              <w:right w:val="single" w:sz="2" w:space="0" w:color="auto"/>
            </w:tcBorders>
          </w:tcPr>
          <w:p w14:paraId="2E17B6CD" w14:textId="77777777" w:rsidR="00600499" w:rsidRPr="00760702" w:rsidRDefault="00600499" w:rsidP="00DC0670">
            <w:pPr>
              <w:spacing w:before="60" w:after="60"/>
              <w:jc w:val="right"/>
              <w:rPr>
                <w:b/>
                <w:noProof/>
                <w:sz w:val="20"/>
                <w:szCs w:val="20"/>
              </w:rPr>
            </w:pPr>
            <w:r w:rsidRPr="000E7351">
              <w:rPr>
                <w:b/>
                <w:noProof/>
                <w:sz w:val="20"/>
                <w:szCs w:val="20"/>
              </w:rPr>
              <w:t>33</w:t>
            </w:r>
          </w:p>
        </w:tc>
        <w:tc>
          <w:tcPr>
            <w:tcW w:w="1312" w:type="dxa"/>
            <w:tcBorders>
              <w:top w:val="single" w:sz="12" w:space="0" w:color="auto"/>
              <w:left w:val="single" w:sz="2" w:space="0" w:color="auto"/>
              <w:bottom w:val="single" w:sz="12" w:space="0" w:color="auto"/>
              <w:right w:val="single" w:sz="2" w:space="0" w:color="auto"/>
            </w:tcBorders>
          </w:tcPr>
          <w:p w14:paraId="5ECC9376" w14:textId="77777777" w:rsidR="00600499" w:rsidRPr="00760702" w:rsidRDefault="00600499" w:rsidP="00DC0670">
            <w:pPr>
              <w:spacing w:before="60" w:after="60"/>
              <w:jc w:val="right"/>
              <w:rPr>
                <w:b/>
                <w:noProof/>
                <w:sz w:val="20"/>
                <w:szCs w:val="20"/>
              </w:rPr>
            </w:pPr>
            <w:r w:rsidRPr="000E7351">
              <w:rPr>
                <w:b/>
                <w:noProof/>
                <w:sz w:val="20"/>
                <w:szCs w:val="20"/>
              </w:rPr>
              <w:t>39</w:t>
            </w:r>
          </w:p>
        </w:tc>
        <w:tc>
          <w:tcPr>
            <w:tcW w:w="1276" w:type="dxa"/>
            <w:tcBorders>
              <w:top w:val="single" w:sz="12" w:space="0" w:color="auto"/>
              <w:left w:val="single" w:sz="2" w:space="0" w:color="auto"/>
              <w:bottom w:val="single" w:sz="12" w:space="0" w:color="auto"/>
              <w:right w:val="single" w:sz="12" w:space="0" w:color="auto"/>
            </w:tcBorders>
          </w:tcPr>
          <w:p w14:paraId="69421086" w14:textId="77777777" w:rsidR="00600499" w:rsidRPr="00760702" w:rsidRDefault="00600499" w:rsidP="00DC0670">
            <w:pPr>
              <w:spacing w:before="60" w:after="60"/>
              <w:jc w:val="right"/>
              <w:rPr>
                <w:b/>
                <w:noProof/>
                <w:sz w:val="20"/>
                <w:szCs w:val="20"/>
              </w:rPr>
            </w:pPr>
            <w:r w:rsidRPr="000E7351">
              <w:rPr>
                <w:b/>
                <w:noProof/>
                <w:sz w:val="20"/>
                <w:szCs w:val="20"/>
              </w:rPr>
              <w:t>39</w:t>
            </w:r>
          </w:p>
        </w:tc>
      </w:tr>
    </w:tbl>
    <w:p w14:paraId="36168F19" w14:textId="77777777" w:rsidR="00600499" w:rsidRDefault="00600499" w:rsidP="00600499">
      <w:pPr>
        <w:rPr>
          <w:noProof/>
          <w:u w:val="single"/>
        </w:rPr>
      </w:pPr>
    </w:p>
    <w:p w14:paraId="1A7C8AF3" w14:textId="77777777" w:rsidR="004F7FB7" w:rsidRDefault="004F7FB7" w:rsidP="004F7FB7">
      <w:pPr>
        <w:rPr>
          <w:noProof/>
          <w:u w:val="single"/>
        </w:rPr>
      </w:pPr>
      <w:r>
        <w:rPr>
          <w:b/>
          <w:bCs/>
          <w:noProof/>
        </w:rPr>
        <w:t>The budget impact beyond the current MFF is an indicative overview, without prejudice to the future MFF Agreement.</w:t>
      </w:r>
    </w:p>
    <w:p w14:paraId="36EB5017" w14:textId="2616E798" w:rsidR="00600499" w:rsidRPr="00202A4C" w:rsidRDefault="00202A4C" w:rsidP="00202A4C">
      <w:pPr>
        <w:rPr>
          <w:noProof/>
        </w:rPr>
        <w:sectPr w:rsidR="00600499" w:rsidRPr="00202A4C" w:rsidSect="00F530FA">
          <w:headerReference w:type="default" r:id="rId19"/>
          <w:footerReference w:type="default" r:id="rId20"/>
          <w:headerReference w:type="first" r:id="rId21"/>
          <w:footerReference w:type="first" r:id="rId22"/>
          <w:pgSz w:w="11907" w:h="16839"/>
          <w:pgMar w:top="1134" w:right="1417" w:bottom="1134" w:left="1417" w:header="709" w:footer="709" w:gutter="0"/>
          <w:cols w:space="720"/>
          <w:docGrid w:linePitch="326"/>
        </w:sectPr>
      </w:pPr>
      <w:r w:rsidRPr="00202A4C">
        <w:rPr>
          <w:noProof/>
        </w:rPr>
        <w:t>EMSA will start preparing the recruitment as soon as the proposal is adopted The costs are estimated based on the assumption that the 23 FTEs are recruited as of 1st July 2025. So only 50% of the HR costs are needed for the first year.</w:t>
      </w:r>
      <w:r w:rsidR="00F6184E">
        <w:rPr>
          <w:noProof/>
        </w:rPr>
        <w:tab/>
      </w:r>
    </w:p>
    <w:p w14:paraId="7C6C4497" w14:textId="77777777" w:rsidR="00600499" w:rsidRDefault="00600499" w:rsidP="00600499">
      <w:pPr>
        <w:pStyle w:val="ManualHeading4"/>
        <w:rPr>
          <w:bCs/>
          <w:noProof/>
          <w:szCs w:val="24"/>
        </w:rPr>
      </w:pPr>
      <w:r w:rsidRPr="006D222F">
        <w:rPr>
          <w:noProof/>
        </w:rPr>
        <w:t>3.2.3.2.</w:t>
      </w:r>
      <w:r w:rsidRPr="006D222F">
        <w:rPr>
          <w:noProof/>
        </w:rPr>
        <w:tab/>
      </w:r>
      <w:r>
        <w:rPr>
          <w:noProof/>
        </w:rPr>
        <w:t>Estimated requirements of human resources for the parent DG</w:t>
      </w:r>
    </w:p>
    <w:p w14:paraId="60904492" w14:textId="77777777" w:rsidR="00600499" w:rsidRDefault="00600499" w:rsidP="00E37235">
      <w:pPr>
        <w:pStyle w:val="ListDash1"/>
        <w:rPr>
          <w:noProof/>
        </w:rPr>
      </w:pPr>
      <w:r>
        <w:rPr>
          <w:noProof/>
        </w:rPr>
        <w:sym w:font="Wingdings" w:char="F0FE"/>
      </w:r>
      <w:r>
        <w:rPr>
          <w:noProof/>
        </w:rPr>
        <w:tab/>
        <w:t xml:space="preserve">The proposal/initiative does not require the use of human resources. </w:t>
      </w:r>
    </w:p>
    <w:p w14:paraId="19A38EA6" w14:textId="77777777" w:rsidR="00600499" w:rsidRDefault="00600499" w:rsidP="00E37235">
      <w:pPr>
        <w:pStyle w:val="ListDash1"/>
        <w:rPr>
          <w:noProof/>
        </w:rPr>
      </w:pPr>
      <w:r>
        <w:rPr>
          <w:noProof/>
        </w:rPr>
        <w:sym w:font="Wingdings" w:char="F0A8"/>
      </w:r>
      <w:r>
        <w:rPr>
          <w:noProof/>
        </w:rPr>
        <w:tab/>
        <w:t>The proposal/initiative requires the use of human resources, as explained below:</w:t>
      </w:r>
    </w:p>
    <w:p w14:paraId="32A44894" w14:textId="77777777" w:rsidR="00600499" w:rsidRDefault="00600499" w:rsidP="00600499">
      <w:pPr>
        <w:spacing w:after="60"/>
        <w:jc w:val="right"/>
        <w:rPr>
          <w:i/>
          <w:noProof/>
          <w:sz w:val="20"/>
        </w:rPr>
      </w:pPr>
      <w:r>
        <w:rPr>
          <w:i/>
          <w:noProof/>
          <w:sz w:val="20"/>
        </w:rPr>
        <w:t>Estimate to be expressed in full amounts (or at most to one decimal place)</w:t>
      </w:r>
    </w:p>
    <w:tbl>
      <w:tblPr>
        <w:tblW w:w="540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44"/>
        <w:gridCol w:w="2058"/>
        <w:gridCol w:w="757"/>
        <w:gridCol w:w="757"/>
        <w:gridCol w:w="815"/>
        <w:gridCol w:w="998"/>
        <w:gridCol w:w="851"/>
        <w:gridCol w:w="849"/>
        <w:gridCol w:w="897"/>
        <w:gridCol w:w="10"/>
      </w:tblGrid>
      <w:tr w:rsidR="00600499" w14:paraId="1BC3426A" w14:textId="77777777" w:rsidTr="00DC0670">
        <w:trPr>
          <w:gridAfter w:val="1"/>
          <w:wAfter w:w="5" w:type="pct"/>
          <w:trHeight w:val="289"/>
          <w:jc w:val="center"/>
        </w:trPr>
        <w:tc>
          <w:tcPr>
            <w:tcW w:w="2043" w:type="pct"/>
            <w:gridSpan w:val="2"/>
            <w:shd w:val="clear" w:color="auto" w:fill="auto"/>
          </w:tcPr>
          <w:p w14:paraId="63811A2C" w14:textId="77777777" w:rsidR="00600499" w:rsidRDefault="00600499" w:rsidP="00DC0670">
            <w:pPr>
              <w:pStyle w:val="Text1"/>
              <w:spacing w:before="40" w:after="40"/>
              <w:ind w:left="0"/>
              <w:jc w:val="center"/>
              <w:rPr>
                <w:i/>
                <w:noProof/>
                <w:sz w:val="20"/>
              </w:rPr>
            </w:pPr>
          </w:p>
        </w:tc>
        <w:tc>
          <w:tcPr>
            <w:tcW w:w="377" w:type="pct"/>
            <w:shd w:val="clear" w:color="auto" w:fill="auto"/>
            <w:vAlign w:val="center"/>
          </w:tcPr>
          <w:p w14:paraId="6AD603F7" w14:textId="77777777" w:rsidR="00600499" w:rsidRDefault="00600499" w:rsidP="00DC0670">
            <w:pPr>
              <w:spacing w:before="20" w:after="20"/>
              <w:jc w:val="center"/>
              <w:rPr>
                <w:noProof/>
                <w:sz w:val="20"/>
              </w:rPr>
            </w:pPr>
            <w:r>
              <w:rPr>
                <w:noProof/>
                <w:sz w:val="20"/>
              </w:rPr>
              <w:t>Year</w:t>
            </w:r>
            <w:r>
              <w:rPr>
                <w:noProof/>
                <w:sz w:val="20"/>
              </w:rPr>
              <w:br/>
            </w:r>
            <w:r>
              <w:rPr>
                <w:b/>
                <w:noProof/>
                <w:sz w:val="20"/>
              </w:rPr>
              <w:t>N</w:t>
            </w:r>
          </w:p>
        </w:tc>
        <w:tc>
          <w:tcPr>
            <w:tcW w:w="377" w:type="pct"/>
            <w:shd w:val="clear" w:color="auto" w:fill="auto"/>
            <w:vAlign w:val="center"/>
          </w:tcPr>
          <w:p w14:paraId="2F630FD8" w14:textId="77777777" w:rsidR="00600499" w:rsidRDefault="00600499" w:rsidP="00DC0670">
            <w:pPr>
              <w:spacing w:before="20" w:after="20"/>
              <w:jc w:val="center"/>
              <w:rPr>
                <w:noProof/>
                <w:sz w:val="20"/>
              </w:rPr>
            </w:pPr>
            <w:r>
              <w:rPr>
                <w:noProof/>
                <w:sz w:val="20"/>
              </w:rPr>
              <w:t>Year</w:t>
            </w:r>
            <w:r>
              <w:rPr>
                <w:noProof/>
                <w:sz w:val="20"/>
              </w:rPr>
              <w:br/>
            </w:r>
            <w:r>
              <w:rPr>
                <w:b/>
                <w:noProof/>
                <w:sz w:val="20"/>
              </w:rPr>
              <w:t>N+1</w:t>
            </w:r>
          </w:p>
        </w:tc>
        <w:tc>
          <w:tcPr>
            <w:tcW w:w="406" w:type="pct"/>
            <w:shd w:val="clear" w:color="auto" w:fill="auto"/>
            <w:vAlign w:val="center"/>
          </w:tcPr>
          <w:p w14:paraId="0663A7B7" w14:textId="77777777" w:rsidR="00600499" w:rsidRDefault="00600499" w:rsidP="00DC0670">
            <w:pPr>
              <w:spacing w:before="20" w:after="20"/>
              <w:jc w:val="center"/>
              <w:rPr>
                <w:noProof/>
                <w:sz w:val="20"/>
              </w:rPr>
            </w:pPr>
            <w:r>
              <w:rPr>
                <w:noProof/>
                <w:sz w:val="20"/>
              </w:rPr>
              <w:t xml:space="preserve">Year </w:t>
            </w:r>
            <w:r>
              <w:rPr>
                <w:b/>
                <w:noProof/>
                <w:sz w:val="20"/>
              </w:rPr>
              <w:t>N+2</w:t>
            </w:r>
          </w:p>
        </w:tc>
        <w:tc>
          <w:tcPr>
            <w:tcW w:w="497" w:type="pct"/>
            <w:shd w:val="clear" w:color="auto" w:fill="auto"/>
            <w:vAlign w:val="center"/>
          </w:tcPr>
          <w:p w14:paraId="3825CD94" w14:textId="77777777" w:rsidR="00600499" w:rsidRDefault="00600499" w:rsidP="00DC0670">
            <w:pPr>
              <w:spacing w:before="20" w:after="20"/>
              <w:jc w:val="center"/>
              <w:rPr>
                <w:noProof/>
                <w:sz w:val="20"/>
              </w:rPr>
            </w:pPr>
            <w:r>
              <w:rPr>
                <w:noProof/>
                <w:sz w:val="20"/>
              </w:rPr>
              <w:t xml:space="preserve">Year </w:t>
            </w:r>
            <w:r>
              <w:rPr>
                <w:b/>
                <w:noProof/>
                <w:sz w:val="20"/>
              </w:rPr>
              <w:t>N+3</w:t>
            </w:r>
          </w:p>
        </w:tc>
        <w:tc>
          <w:tcPr>
            <w:tcW w:w="1294" w:type="pct"/>
            <w:gridSpan w:val="3"/>
            <w:shd w:val="clear" w:color="auto" w:fill="auto"/>
            <w:vAlign w:val="center"/>
          </w:tcPr>
          <w:p w14:paraId="1D4C8627" w14:textId="77777777" w:rsidR="00600499" w:rsidRDefault="00600499" w:rsidP="00DC0670">
            <w:pPr>
              <w:tabs>
                <w:tab w:val="left" w:pos="685"/>
              </w:tabs>
              <w:jc w:val="center"/>
              <w:rPr>
                <w:b/>
                <w:noProof/>
                <w:sz w:val="20"/>
              </w:rPr>
            </w:pPr>
            <w:r>
              <w:rPr>
                <w:noProof/>
                <w:sz w:val="20"/>
              </w:rPr>
              <w:t>Enter as many years as necessary to show the duration of the impact (see point 1.6)</w:t>
            </w:r>
          </w:p>
        </w:tc>
      </w:tr>
      <w:tr w:rsidR="00600499" w14:paraId="7CF6E5DD" w14:textId="77777777" w:rsidTr="00DC0670">
        <w:trPr>
          <w:trHeight w:val="289"/>
          <w:jc w:val="center"/>
        </w:trPr>
        <w:tc>
          <w:tcPr>
            <w:tcW w:w="2043" w:type="pct"/>
            <w:gridSpan w:val="2"/>
            <w:shd w:val="clear" w:color="auto" w:fill="auto"/>
            <w:vAlign w:val="center"/>
          </w:tcPr>
          <w:p w14:paraId="2CD7917C" w14:textId="77777777" w:rsidR="00600499" w:rsidRDefault="00600499" w:rsidP="00E37235">
            <w:pPr>
              <w:pStyle w:val="Text1"/>
              <w:numPr>
                <w:ilvl w:val="0"/>
                <w:numId w:val="28"/>
              </w:numPr>
              <w:tabs>
                <w:tab w:val="left" w:pos="208"/>
              </w:tabs>
              <w:spacing w:beforeLines="20" w:before="48" w:afterLines="20" w:after="48"/>
              <w:ind w:left="208" w:hanging="120"/>
              <w:jc w:val="left"/>
              <w:rPr>
                <w:b/>
                <w:noProof/>
                <w:sz w:val="20"/>
              </w:rPr>
            </w:pPr>
            <w:r>
              <w:rPr>
                <w:b/>
                <w:noProof/>
                <w:sz w:val="20"/>
              </w:rPr>
              <w:t>Establishment plan posts (officials and temporary staff)</w:t>
            </w:r>
          </w:p>
        </w:tc>
        <w:tc>
          <w:tcPr>
            <w:tcW w:w="377" w:type="pct"/>
            <w:shd w:val="clear" w:color="auto" w:fill="auto"/>
            <w:vAlign w:val="center"/>
          </w:tcPr>
          <w:p w14:paraId="64F505A1" w14:textId="77777777" w:rsidR="00600499" w:rsidRDefault="00600499" w:rsidP="00DC0670">
            <w:pPr>
              <w:spacing w:beforeLines="20" w:before="48" w:afterLines="20" w:after="48"/>
              <w:jc w:val="center"/>
              <w:rPr>
                <w:noProof/>
                <w:sz w:val="20"/>
              </w:rPr>
            </w:pPr>
          </w:p>
        </w:tc>
        <w:tc>
          <w:tcPr>
            <w:tcW w:w="377" w:type="pct"/>
            <w:shd w:val="clear" w:color="auto" w:fill="auto"/>
            <w:vAlign w:val="center"/>
          </w:tcPr>
          <w:p w14:paraId="26E5EB8C" w14:textId="77777777" w:rsidR="00600499" w:rsidRDefault="00600499" w:rsidP="00DC0670">
            <w:pPr>
              <w:spacing w:beforeLines="20" w:before="48" w:afterLines="20" w:after="48"/>
              <w:jc w:val="center"/>
              <w:rPr>
                <w:noProof/>
                <w:sz w:val="20"/>
              </w:rPr>
            </w:pPr>
          </w:p>
        </w:tc>
        <w:tc>
          <w:tcPr>
            <w:tcW w:w="406" w:type="pct"/>
            <w:shd w:val="clear" w:color="auto" w:fill="auto"/>
            <w:vAlign w:val="center"/>
          </w:tcPr>
          <w:p w14:paraId="5D8A2F93" w14:textId="77777777" w:rsidR="00600499" w:rsidRDefault="00600499" w:rsidP="00DC0670">
            <w:pPr>
              <w:spacing w:beforeLines="20" w:before="48" w:afterLines="20" w:after="48"/>
              <w:jc w:val="center"/>
              <w:rPr>
                <w:noProof/>
                <w:sz w:val="20"/>
              </w:rPr>
            </w:pPr>
          </w:p>
        </w:tc>
        <w:tc>
          <w:tcPr>
            <w:tcW w:w="497" w:type="pct"/>
            <w:shd w:val="clear" w:color="auto" w:fill="auto"/>
            <w:vAlign w:val="center"/>
          </w:tcPr>
          <w:p w14:paraId="195012D1" w14:textId="77777777" w:rsidR="00600499" w:rsidRDefault="00600499" w:rsidP="00DC0670">
            <w:pPr>
              <w:spacing w:beforeLines="20" w:before="48" w:afterLines="20" w:after="48"/>
              <w:jc w:val="center"/>
              <w:rPr>
                <w:noProof/>
                <w:sz w:val="20"/>
              </w:rPr>
            </w:pPr>
          </w:p>
        </w:tc>
        <w:tc>
          <w:tcPr>
            <w:tcW w:w="424" w:type="pct"/>
            <w:shd w:val="clear" w:color="auto" w:fill="auto"/>
            <w:vAlign w:val="center"/>
          </w:tcPr>
          <w:p w14:paraId="2FEE8B6E" w14:textId="77777777" w:rsidR="00600499" w:rsidRDefault="00600499" w:rsidP="00DC0670">
            <w:pPr>
              <w:spacing w:beforeLines="20" w:before="48" w:afterLines="20" w:after="48"/>
              <w:jc w:val="center"/>
              <w:rPr>
                <w:noProof/>
                <w:sz w:val="20"/>
              </w:rPr>
            </w:pPr>
          </w:p>
        </w:tc>
        <w:tc>
          <w:tcPr>
            <w:tcW w:w="423" w:type="pct"/>
            <w:shd w:val="clear" w:color="auto" w:fill="auto"/>
            <w:vAlign w:val="center"/>
          </w:tcPr>
          <w:p w14:paraId="6D67DAF1" w14:textId="77777777" w:rsidR="00600499" w:rsidRDefault="00600499" w:rsidP="00DC0670">
            <w:pPr>
              <w:spacing w:beforeLines="20" w:before="48" w:afterLines="20" w:after="48"/>
              <w:jc w:val="center"/>
              <w:rPr>
                <w:noProof/>
                <w:sz w:val="20"/>
              </w:rPr>
            </w:pPr>
          </w:p>
        </w:tc>
        <w:tc>
          <w:tcPr>
            <w:tcW w:w="452" w:type="pct"/>
            <w:gridSpan w:val="2"/>
            <w:shd w:val="clear" w:color="auto" w:fill="auto"/>
            <w:vAlign w:val="center"/>
          </w:tcPr>
          <w:p w14:paraId="4447438A" w14:textId="77777777" w:rsidR="00600499" w:rsidRDefault="00600499" w:rsidP="00DC0670">
            <w:pPr>
              <w:spacing w:beforeLines="20" w:before="48" w:afterLines="20" w:after="48"/>
              <w:jc w:val="center"/>
              <w:rPr>
                <w:noProof/>
                <w:sz w:val="20"/>
              </w:rPr>
            </w:pPr>
          </w:p>
        </w:tc>
      </w:tr>
      <w:tr w:rsidR="00600499" w14:paraId="009CED59" w14:textId="77777777" w:rsidTr="00DC0670">
        <w:trPr>
          <w:trHeight w:val="289"/>
          <w:jc w:val="center"/>
        </w:trPr>
        <w:tc>
          <w:tcPr>
            <w:tcW w:w="2043" w:type="pct"/>
            <w:gridSpan w:val="2"/>
            <w:shd w:val="clear" w:color="auto" w:fill="auto"/>
            <w:vAlign w:val="center"/>
          </w:tcPr>
          <w:p w14:paraId="26DD3C3C" w14:textId="77777777" w:rsidR="00600499" w:rsidRDefault="00600499" w:rsidP="00DC0670">
            <w:pPr>
              <w:pStyle w:val="Text1"/>
              <w:spacing w:beforeLines="20" w:before="48" w:afterLines="20" w:after="48"/>
              <w:ind w:left="984"/>
              <w:jc w:val="left"/>
              <w:rPr>
                <w:b/>
                <w:noProof/>
                <w:sz w:val="20"/>
              </w:rPr>
            </w:pPr>
            <w:r>
              <w:rPr>
                <w:noProof/>
                <w:sz w:val="20"/>
              </w:rPr>
              <w:t>20 01 02 01 and 20 01 02 02 (Headquarters and Commission’s Representation Offices)</w:t>
            </w:r>
          </w:p>
        </w:tc>
        <w:tc>
          <w:tcPr>
            <w:tcW w:w="377" w:type="pct"/>
            <w:shd w:val="clear" w:color="auto" w:fill="auto"/>
            <w:vAlign w:val="center"/>
          </w:tcPr>
          <w:p w14:paraId="105C8179" w14:textId="77777777" w:rsidR="00600499" w:rsidRDefault="00600499" w:rsidP="00DC0670">
            <w:pPr>
              <w:spacing w:beforeLines="20" w:before="48" w:afterLines="20" w:after="48"/>
              <w:jc w:val="center"/>
              <w:rPr>
                <w:noProof/>
                <w:sz w:val="20"/>
              </w:rPr>
            </w:pPr>
          </w:p>
        </w:tc>
        <w:tc>
          <w:tcPr>
            <w:tcW w:w="377" w:type="pct"/>
            <w:shd w:val="clear" w:color="auto" w:fill="auto"/>
            <w:vAlign w:val="center"/>
          </w:tcPr>
          <w:p w14:paraId="47DFB0DC" w14:textId="77777777" w:rsidR="00600499" w:rsidRDefault="00600499" w:rsidP="00DC0670">
            <w:pPr>
              <w:spacing w:beforeLines="20" w:before="48" w:afterLines="20" w:after="48"/>
              <w:jc w:val="center"/>
              <w:rPr>
                <w:noProof/>
                <w:sz w:val="20"/>
              </w:rPr>
            </w:pPr>
          </w:p>
        </w:tc>
        <w:tc>
          <w:tcPr>
            <w:tcW w:w="406" w:type="pct"/>
            <w:shd w:val="clear" w:color="auto" w:fill="auto"/>
            <w:vAlign w:val="center"/>
          </w:tcPr>
          <w:p w14:paraId="6B90C0B6" w14:textId="77777777" w:rsidR="00600499" w:rsidRDefault="00600499" w:rsidP="00DC0670">
            <w:pPr>
              <w:spacing w:beforeLines="20" w:before="48" w:afterLines="20" w:after="48"/>
              <w:jc w:val="center"/>
              <w:rPr>
                <w:noProof/>
                <w:sz w:val="20"/>
              </w:rPr>
            </w:pPr>
          </w:p>
        </w:tc>
        <w:tc>
          <w:tcPr>
            <w:tcW w:w="497" w:type="pct"/>
            <w:shd w:val="clear" w:color="auto" w:fill="auto"/>
            <w:vAlign w:val="center"/>
          </w:tcPr>
          <w:p w14:paraId="2B3DE953" w14:textId="77777777" w:rsidR="00600499" w:rsidRDefault="00600499" w:rsidP="00DC0670">
            <w:pPr>
              <w:spacing w:beforeLines="20" w:before="48" w:afterLines="20" w:after="48"/>
              <w:jc w:val="center"/>
              <w:rPr>
                <w:noProof/>
                <w:sz w:val="20"/>
              </w:rPr>
            </w:pPr>
          </w:p>
        </w:tc>
        <w:tc>
          <w:tcPr>
            <w:tcW w:w="424" w:type="pct"/>
            <w:shd w:val="clear" w:color="auto" w:fill="auto"/>
            <w:vAlign w:val="center"/>
          </w:tcPr>
          <w:p w14:paraId="012CDB84" w14:textId="77777777" w:rsidR="00600499" w:rsidRDefault="00600499" w:rsidP="00DC0670">
            <w:pPr>
              <w:spacing w:beforeLines="20" w:before="48" w:afterLines="20" w:after="48"/>
              <w:jc w:val="center"/>
              <w:rPr>
                <w:noProof/>
                <w:sz w:val="20"/>
              </w:rPr>
            </w:pPr>
          </w:p>
        </w:tc>
        <w:tc>
          <w:tcPr>
            <w:tcW w:w="423" w:type="pct"/>
            <w:shd w:val="clear" w:color="auto" w:fill="auto"/>
            <w:vAlign w:val="center"/>
          </w:tcPr>
          <w:p w14:paraId="30EDF992" w14:textId="77777777" w:rsidR="00600499" w:rsidRDefault="00600499" w:rsidP="00DC0670">
            <w:pPr>
              <w:spacing w:beforeLines="20" w:before="48" w:afterLines="20" w:after="48"/>
              <w:jc w:val="center"/>
              <w:rPr>
                <w:noProof/>
                <w:sz w:val="20"/>
              </w:rPr>
            </w:pPr>
          </w:p>
        </w:tc>
        <w:tc>
          <w:tcPr>
            <w:tcW w:w="452" w:type="pct"/>
            <w:gridSpan w:val="2"/>
            <w:shd w:val="clear" w:color="auto" w:fill="auto"/>
            <w:vAlign w:val="center"/>
          </w:tcPr>
          <w:p w14:paraId="348C2CBC" w14:textId="77777777" w:rsidR="00600499" w:rsidRDefault="00600499" w:rsidP="00DC0670">
            <w:pPr>
              <w:spacing w:beforeLines="20" w:before="48" w:afterLines="20" w:after="48"/>
              <w:jc w:val="center"/>
              <w:rPr>
                <w:noProof/>
                <w:sz w:val="20"/>
              </w:rPr>
            </w:pPr>
          </w:p>
        </w:tc>
      </w:tr>
      <w:tr w:rsidR="00600499" w14:paraId="6FC9BF5C" w14:textId="77777777" w:rsidTr="00DC0670">
        <w:trPr>
          <w:trHeight w:val="289"/>
          <w:jc w:val="center"/>
        </w:trPr>
        <w:tc>
          <w:tcPr>
            <w:tcW w:w="2043" w:type="pct"/>
            <w:gridSpan w:val="2"/>
            <w:shd w:val="clear" w:color="auto" w:fill="auto"/>
            <w:vAlign w:val="center"/>
          </w:tcPr>
          <w:p w14:paraId="1F4A1E47" w14:textId="77777777" w:rsidR="00600499" w:rsidRDefault="00600499" w:rsidP="00DC0670">
            <w:pPr>
              <w:pStyle w:val="Text1"/>
              <w:spacing w:beforeLines="20" w:before="48" w:afterLines="20" w:after="48"/>
              <w:ind w:left="984"/>
              <w:jc w:val="left"/>
              <w:rPr>
                <w:noProof/>
                <w:sz w:val="20"/>
              </w:rPr>
            </w:pPr>
            <w:r>
              <w:rPr>
                <w:noProof/>
                <w:sz w:val="20"/>
              </w:rPr>
              <w:t>20 01 02 03 (Delegations)</w:t>
            </w:r>
          </w:p>
        </w:tc>
        <w:tc>
          <w:tcPr>
            <w:tcW w:w="377" w:type="pct"/>
            <w:shd w:val="clear" w:color="auto" w:fill="auto"/>
            <w:vAlign w:val="center"/>
          </w:tcPr>
          <w:p w14:paraId="797848B1" w14:textId="77777777" w:rsidR="00600499" w:rsidRDefault="00600499" w:rsidP="00DC0670">
            <w:pPr>
              <w:spacing w:beforeLines="20" w:before="48" w:afterLines="20" w:after="48"/>
              <w:jc w:val="center"/>
              <w:rPr>
                <w:noProof/>
                <w:sz w:val="20"/>
              </w:rPr>
            </w:pPr>
          </w:p>
        </w:tc>
        <w:tc>
          <w:tcPr>
            <w:tcW w:w="377" w:type="pct"/>
            <w:shd w:val="clear" w:color="auto" w:fill="auto"/>
            <w:vAlign w:val="center"/>
          </w:tcPr>
          <w:p w14:paraId="1689B985" w14:textId="77777777" w:rsidR="00600499" w:rsidRDefault="00600499" w:rsidP="00DC0670">
            <w:pPr>
              <w:spacing w:beforeLines="20" w:before="48" w:afterLines="20" w:after="48"/>
              <w:jc w:val="center"/>
              <w:rPr>
                <w:noProof/>
                <w:sz w:val="20"/>
              </w:rPr>
            </w:pPr>
          </w:p>
        </w:tc>
        <w:tc>
          <w:tcPr>
            <w:tcW w:w="406" w:type="pct"/>
            <w:shd w:val="clear" w:color="auto" w:fill="auto"/>
            <w:vAlign w:val="center"/>
          </w:tcPr>
          <w:p w14:paraId="3C9EE9AD" w14:textId="77777777" w:rsidR="00600499" w:rsidRDefault="00600499" w:rsidP="00DC0670">
            <w:pPr>
              <w:spacing w:beforeLines="20" w:before="48" w:afterLines="20" w:after="48"/>
              <w:jc w:val="center"/>
              <w:rPr>
                <w:noProof/>
                <w:sz w:val="20"/>
              </w:rPr>
            </w:pPr>
          </w:p>
        </w:tc>
        <w:tc>
          <w:tcPr>
            <w:tcW w:w="497" w:type="pct"/>
            <w:shd w:val="clear" w:color="auto" w:fill="auto"/>
            <w:vAlign w:val="center"/>
          </w:tcPr>
          <w:p w14:paraId="37775AD4" w14:textId="77777777" w:rsidR="00600499" w:rsidRDefault="00600499" w:rsidP="00DC0670">
            <w:pPr>
              <w:spacing w:beforeLines="20" w:before="48" w:afterLines="20" w:after="48"/>
              <w:jc w:val="center"/>
              <w:rPr>
                <w:noProof/>
                <w:sz w:val="20"/>
              </w:rPr>
            </w:pPr>
          </w:p>
        </w:tc>
        <w:tc>
          <w:tcPr>
            <w:tcW w:w="424" w:type="pct"/>
            <w:shd w:val="clear" w:color="auto" w:fill="auto"/>
            <w:vAlign w:val="center"/>
          </w:tcPr>
          <w:p w14:paraId="78E44DB4" w14:textId="77777777" w:rsidR="00600499" w:rsidRDefault="00600499" w:rsidP="00DC0670">
            <w:pPr>
              <w:spacing w:beforeLines="20" w:before="48" w:afterLines="20" w:after="48"/>
              <w:jc w:val="center"/>
              <w:rPr>
                <w:noProof/>
                <w:sz w:val="20"/>
              </w:rPr>
            </w:pPr>
          </w:p>
        </w:tc>
        <w:tc>
          <w:tcPr>
            <w:tcW w:w="423" w:type="pct"/>
            <w:shd w:val="clear" w:color="auto" w:fill="auto"/>
            <w:vAlign w:val="center"/>
          </w:tcPr>
          <w:p w14:paraId="6985F8A9" w14:textId="77777777" w:rsidR="00600499" w:rsidRDefault="00600499" w:rsidP="00DC0670">
            <w:pPr>
              <w:spacing w:beforeLines="20" w:before="48" w:afterLines="20" w:after="48"/>
              <w:jc w:val="center"/>
              <w:rPr>
                <w:noProof/>
                <w:sz w:val="20"/>
              </w:rPr>
            </w:pPr>
          </w:p>
        </w:tc>
        <w:tc>
          <w:tcPr>
            <w:tcW w:w="452" w:type="pct"/>
            <w:gridSpan w:val="2"/>
            <w:shd w:val="clear" w:color="auto" w:fill="auto"/>
            <w:vAlign w:val="center"/>
          </w:tcPr>
          <w:p w14:paraId="53A1586A" w14:textId="77777777" w:rsidR="00600499" w:rsidRDefault="00600499" w:rsidP="00DC0670">
            <w:pPr>
              <w:spacing w:beforeLines="20" w:before="48" w:afterLines="20" w:after="48"/>
              <w:jc w:val="center"/>
              <w:rPr>
                <w:noProof/>
                <w:sz w:val="20"/>
              </w:rPr>
            </w:pPr>
          </w:p>
        </w:tc>
      </w:tr>
      <w:tr w:rsidR="00600499" w14:paraId="3C8952F1" w14:textId="77777777" w:rsidTr="00DC0670">
        <w:trPr>
          <w:trHeight w:val="953"/>
          <w:jc w:val="center"/>
        </w:trPr>
        <w:tc>
          <w:tcPr>
            <w:tcW w:w="2043" w:type="pct"/>
            <w:gridSpan w:val="2"/>
            <w:shd w:val="clear" w:color="auto" w:fill="auto"/>
            <w:vAlign w:val="center"/>
          </w:tcPr>
          <w:p w14:paraId="29BF18FF" w14:textId="77777777" w:rsidR="00600499" w:rsidRDefault="00600499" w:rsidP="00DC0670">
            <w:pPr>
              <w:pStyle w:val="Text1"/>
              <w:spacing w:beforeLines="20" w:before="48" w:afterLines="20" w:after="48"/>
              <w:ind w:left="984"/>
              <w:jc w:val="left"/>
              <w:rPr>
                <w:noProof/>
                <w:sz w:val="20"/>
              </w:rPr>
            </w:pPr>
            <w:r>
              <w:rPr>
                <w:noProof/>
                <w:sz w:val="20"/>
              </w:rPr>
              <w:t>01 01 01 01 (Indirect research)</w:t>
            </w:r>
          </w:p>
        </w:tc>
        <w:tc>
          <w:tcPr>
            <w:tcW w:w="377" w:type="pct"/>
            <w:shd w:val="clear" w:color="auto" w:fill="auto"/>
            <w:vAlign w:val="center"/>
          </w:tcPr>
          <w:p w14:paraId="232EA9C2" w14:textId="77777777" w:rsidR="00600499" w:rsidRDefault="00600499" w:rsidP="00DC0670">
            <w:pPr>
              <w:spacing w:beforeLines="20" w:before="48" w:afterLines="20" w:after="48"/>
              <w:jc w:val="center"/>
              <w:rPr>
                <w:noProof/>
                <w:sz w:val="20"/>
              </w:rPr>
            </w:pPr>
          </w:p>
        </w:tc>
        <w:tc>
          <w:tcPr>
            <w:tcW w:w="377" w:type="pct"/>
            <w:shd w:val="clear" w:color="auto" w:fill="auto"/>
            <w:vAlign w:val="center"/>
          </w:tcPr>
          <w:p w14:paraId="50333704" w14:textId="77777777" w:rsidR="00600499" w:rsidRDefault="00600499" w:rsidP="00DC0670">
            <w:pPr>
              <w:spacing w:beforeLines="20" w:before="48" w:afterLines="20" w:after="48"/>
              <w:jc w:val="center"/>
              <w:rPr>
                <w:noProof/>
                <w:sz w:val="20"/>
              </w:rPr>
            </w:pPr>
          </w:p>
        </w:tc>
        <w:tc>
          <w:tcPr>
            <w:tcW w:w="406" w:type="pct"/>
            <w:shd w:val="clear" w:color="auto" w:fill="auto"/>
            <w:vAlign w:val="center"/>
          </w:tcPr>
          <w:p w14:paraId="57D26F7D" w14:textId="77777777" w:rsidR="00600499" w:rsidRDefault="00600499" w:rsidP="00DC0670">
            <w:pPr>
              <w:spacing w:beforeLines="20" w:before="48" w:afterLines="20" w:after="48"/>
              <w:jc w:val="center"/>
              <w:rPr>
                <w:noProof/>
                <w:sz w:val="20"/>
              </w:rPr>
            </w:pPr>
          </w:p>
        </w:tc>
        <w:tc>
          <w:tcPr>
            <w:tcW w:w="497" w:type="pct"/>
            <w:shd w:val="clear" w:color="auto" w:fill="auto"/>
            <w:vAlign w:val="center"/>
          </w:tcPr>
          <w:p w14:paraId="3F0C02D9" w14:textId="77777777" w:rsidR="00600499" w:rsidRDefault="00600499" w:rsidP="00DC0670">
            <w:pPr>
              <w:spacing w:beforeLines="20" w:before="48" w:afterLines="20" w:after="48"/>
              <w:jc w:val="center"/>
              <w:rPr>
                <w:noProof/>
                <w:sz w:val="20"/>
              </w:rPr>
            </w:pPr>
          </w:p>
        </w:tc>
        <w:tc>
          <w:tcPr>
            <w:tcW w:w="424" w:type="pct"/>
            <w:shd w:val="clear" w:color="auto" w:fill="auto"/>
            <w:vAlign w:val="center"/>
          </w:tcPr>
          <w:p w14:paraId="4AD62303" w14:textId="77777777" w:rsidR="00600499" w:rsidRDefault="00600499" w:rsidP="00DC0670">
            <w:pPr>
              <w:spacing w:beforeLines="20" w:before="48" w:afterLines="20" w:after="48"/>
              <w:jc w:val="center"/>
              <w:rPr>
                <w:noProof/>
                <w:sz w:val="20"/>
              </w:rPr>
            </w:pPr>
          </w:p>
        </w:tc>
        <w:tc>
          <w:tcPr>
            <w:tcW w:w="423" w:type="pct"/>
            <w:shd w:val="clear" w:color="auto" w:fill="auto"/>
            <w:vAlign w:val="center"/>
          </w:tcPr>
          <w:p w14:paraId="1409FE50" w14:textId="77777777" w:rsidR="00600499" w:rsidRDefault="00600499" w:rsidP="00DC0670">
            <w:pPr>
              <w:spacing w:beforeLines="20" w:before="48" w:afterLines="20" w:after="48"/>
              <w:jc w:val="center"/>
              <w:rPr>
                <w:noProof/>
                <w:sz w:val="20"/>
              </w:rPr>
            </w:pPr>
          </w:p>
        </w:tc>
        <w:tc>
          <w:tcPr>
            <w:tcW w:w="452" w:type="pct"/>
            <w:gridSpan w:val="2"/>
            <w:shd w:val="clear" w:color="auto" w:fill="auto"/>
            <w:vAlign w:val="center"/>
          </w:tcPr>
          <w:p w14:paraId="5E6DFCD5" w14:textId="77777777" w:rsidR="00600499" w:rsidRDefault="00600499" w:rsidP="00DC0670">
            <w:pPr>
              <w:spacing w:beforeLines="20" w:before="48" w:afterLines="20" w:after="48"/>
              <w:jc w:val="center"/>
              <w:rPr>
                <w:noProof/>
                <w:sz w:val="20"/>
              </w:rPr>
            </w:pPr>
          </w:p>
        </w:tc>
      </w:tr>
      <w:tr w:rsidR="00600499" w14:paraId="5D8B9BF4" w14:textId="77777777" w:rsidTr="00DC0670">
        <w:trPr>
          <w:trHeight w:val="289"/>
          <w:jc w:val="center"/>
        </w:trPr>
        <w:tc>
          <w:tcPr>
            <w:tcW w:w="2043" w:type="pct"/>
            <w:gridSpan w:val="2"/>
            <w:shd w:val="clear" w:color="auto" w:fill="auto"/>
            <w:vAlign w:val="center"/>
          </w:tcPr>
          <w:p w14:paraId="7B3FC00A" w14:textId="77777777" w:rsidR="00600499" w:rsidRDefault="00600499" w:rsidP="00DC0670">
            <w:pPr>
              <w:pStyle w:val="Text1"/>
              <w:spacing w:beforeLines="20" w:before="48" w:afterLines="20" w:after="48"/>
              <w:ind w:left="984"/>
              <w:jc w:val="left"/>
              <w:rPr>
                <w:noProof/>
                <w:sz w:val="20"/>
              </w:rPr>
            </w:pPr>
            <w:r w:rsidRPr="001D4F31">
              <w:rPr>
                <w:noProof/>
                <w:sz w:val="20"/>
              </w:rPr>
              <w:t>10 01 05 01</w:t>
            </w:r>
            <w:r>
              <w:rPr>
                <w:noProof/>
                <w:sz w:val="20"/>
              </w:rPr>
              <w:t xml:space="preserve"> (Direct research)</w:t>
            </w:r>
          </w:p>
        </w:tc>
        <w:tc>
          <w:tcPr>
            <w:tcW w:w="377" w:type="pct"/>
            <w:shd w:val="clear" w:color="auto" w:fill="auto"/>
            <w:vAlign w:val="center"/>
          </w:tcPr>
          <w:p w14:paraId="57B72D54" w14:textId="77777777" w:rsidR="00600499" w:rsidRDefault="00600499" w:rsidP="00DC0670">
            <w:pPr>
              <w:spacing w:beforeLines="20" w:before="48" w:afterLines="20" w:after="48"/>
              <w:jc w:val="center"/>
              <w:rPr>
                <w:noProof/>
                <w:sz w:val="20"/>
              </w:rPr>
            </w:pPr>
          </w:p>
        </w:tc>
        <w:tc>
          <w:tcPr>
            <w:tcW w:w="377" w:type="pct"/>
            <w:shd w:val="clear" w:color="auto" w:fill="auto"/>
            <w:vAlign w:val="center"/>
          </w:tcPr>
          <w:p w14:paraId="2952C65C" w14:textId="77777777" w:rsidR="00600499" w:rsidRDefault="00600499" w:rsidP="00DC0670">
            <w:pPr>
              <w:spacing w:beforeLines="20" w:before="48" w:afterLines="20" w:after="48"/>
              <w:jc w:val="center"/>
              <w:rPr>
                <w:noProof/>
                <w:sz w:val="20"/>
              </w:rPr>
            </w:pPr>
          </w:p>
        </w:tc>
        <w:tc>
          <w:tcPr>
            <w:tcW w:w="406" w:type="pct"/>
            <w:shd w:val="clear" w:color="auto" w:fill="auto"/>
            <w:vAlign w:val="center"/>
          </w:tcPr>
          <w:p w14:paraId="67907EE7" w14:textId="77777777" w:rsidR="00600499" w:rsidRDefault="00600499" w:rsidP="00DC0670">
            <w:pPr>
              <w:spacing w:beforeLines="20" w:before="48" w:afterLines="20" w:after="48"/>
              <w:jc w:val="center"/>
              <w:rPr>
                <w:noProof/>
                <w:sz w:val="20"/>
              </w:rPr>
            </w:pPr>
          </w:p>
        </w:tc>
        <w:tc>
          <w:tcPr>
            <w:tcW w:w="497" w:type="pct"/>
            <w:shd w:val="clear" w:color="auto" w:fill="auto"/>
            <w:vAlign w:val="center"/>
          </w:tcPr>
          <w:p w14:paraId="2D6148B3" w14:textId="77777777" w:rsidR="00600499" w:rsidRDefault="00600499" w:rsidP="00DC0670">
            <w:pPr>
              <w:spacing w:beforeLines="20" w:before="48" w:afterLines="20" w:after="48"/>
              <w:jc w:val="center"/>
              <w:rPr>
                <w:noProof/>
                <w:sz w:val="20"/>
              </w:rPr>
            </w:pPr>
          </w:p>
        </w:tc>
        <w:tc>
          <w:tcPr>
            <w:tcW w:w="424" w:type="pct"/>
            <w:shd w:val="clear" w:color="auto" w:fill="auto"/>
            <w:vAlign w:val="center"/>
          </w:tcPr>
          <w:p w14:paraId="082EBA45" w14:textId="77777777" w:rsidR="00600499" w:rsidRDefault="00600499" w:rsidP="00DC0670">
            <w:pPr>
              <w:spacing w:beforeLines="20" w:before="48" w:afterLines="20" w:after="48"/>
              <w:jc w:val="center"/>
              <w:rPr>
                <w:noProof/>
                <w:sz w:val="20"/>
              </w:rPr>
            </w:pPr>
          </w:p>
        </w:tc>
        <w:tc>
          <w:tcPr>
            <w:tcW w:w="423" w:type="pct"/>
            <w:shd w:val="clear" w:color="auto" w:fill="auto"/>
            <w:vAlign w:val="center"/>
          </w:tcPr>
          <w:p w14:paraId="03ACA83C" w14:textId="77777777" w:rsidR="00600499" w:rsidRDefault="00600499" w:rsidP="00DC0670">
            <w:pPr>
              <w:spacing w:beforeLines="20" w:before="48" w:afterLines="20" w:after="48"/>
              <w:jc w:val="center"/>
              <w:rPr>
                <w:noProof/>
                <w:sz w:val="20"/>
              </w:rPr>
            </w:pPr>
          </w:p>
        </w:tc>
        <w:tc>
          <w:tcPr>
            <w:tcW w:w="452" w:type="pct"/>
            <w:gridSpan w:val="2"/>
            <w:shd w:val="clear" w:color="auto" w:fill="auto"/>
            <w:vAlign w:val="center"/>
          </w:tcPr>
          <w:p w14:paraId="11BEBDFF" w14:textId="77777777" w:rsidR="00600499" w:rsidRDefault="00600499" w:rsidP="00DC0670">
            <w:pPr>
              <w:spacing w:beforeLines="20" w:before="48" w:afterLines="20" w:after="48"/>
              <w:jc w:val="center"/>
              <w:rPr>
                <w:noProof/>
                <w:sz w:val="20"/>
              </w:rPr>
            </w:pPr>
          </w:p>
        </w:tc>
      </w:tr>
      <w:tr w:rsidR="00600499" w14:paraId="6FBA27D2" w14:textId="77777777" w:rsidTr="00DC0670">
        <w:trPr>
          <w:trHeight w:val="289"/>
          <w:jc w:val="center"/>
        </w:trPr>
        <w:tc>
          <w:tcPr>
            <w:tcW w:w="2043" w:type="pct"/>
            <w:gridSpan w:val="2"/>
            <w:shd w:val="clear" w:color="auto" w:fill="auto"/>
            <w:vAlign w:val="center"/>
          </w:tcPr>
          <w:p w14:paraId="4FEAC1F2" w14:textId="77777777" w:rsidR="00600499" w:rsidRDefault="00600499" w:rsidP="00DC0670">
            <w:pPr>
              <w:pStyle w:val="Text1"/>
              <w:spacing w:beforeLines="20" w:before="48" w:afterLines="20" w:after="48"/>
              <w:ind w:left="984"/>
              <w:jc w:val="left"/>
              <w:rPr>
                <w:noProof/>
                <w:sz w:val="20"/>
              </w:rPr>
            </w:pPr>
          </w:p>
        </w:tc>
        <w:tc>
          <w:tcPr>
            <w:tcW w:w="377" w:type="pct"/>
            <w:shd w:val="clear" w:color="auto" w:fill="auto"/>
            <w:vAlign w:val="center"/>
          </w:tcPr>
          <w:p w14:paraId="7C1F46BD" w14:textId="77777777" w:rsidR="00600499" w:rsidRDefault="00600499" w:rsidP="00DC0670">
            <w:pPr>
              <w:spacing w:beforeLines="20" w:before="48" w:afterLines="20" w:after="48"/>
              <w:jc w:val="center"/>
              <w:rPr>
                <w:noProof/>
                <w:sz w:val="20"/>
              </w:rPr>
            </w:pPr>
          </w:p>
        </w:tc>
        <w:tc>
          <w:tcPr>
            <w:tcW w:w="377" w:type="pct"/>
            <w:shd w:val="clear" w:color="auto" w:fill="auto"/>
            <w:vAlign w:val="center"/>
          </w:tcPr>
          <w:p w14:paraId="56E9BB18" w14:textId="77777777" w:rsidR="00600499" w:rsidRDefault="00600499" w:rsidP="00DC0670">
            <w:pPr>
              <w:spacing w:beforeLines="20" w:before="48" w:afterLines="20" w:after="48"/>
              <w:jc w:val="center"/>
              <w:rPr>
                <w:noProof/>
                <w:sz w:val="20"/>
              </w:rPr>
            </w:pPr>
          </w:p>
        </w:tc>
        <w:tc>
          <w:tcPr>
            <w:tcW w:w="406" w:type="pct"/>
            <w:shd w:val="clear" w:color="auto" w:fill="auto"/>
            <w:vAlign w:val="center"/>
          </w:tcPr>
          <w:p w14:paraId="5FBB5A10" w14:textId="77777777" w:rsidR="00600499" w:rsidRDefault="00600499" w:rsidP="00DC0670">
            <w:pPr>
              <w:spacing w:beforeLines="20" w:before="48" w:afterLines="20" w:after="48"/>
              <w:jc w:val="center"/>
              <w:rPr>
                <w:noProof/>
                <w:sz w:val="20"/>
              </w:rPr>
            </w:pPr>
          </w:p>
        </w:tc>
        <w:tc>
          <w:tcPr>
            <w:tcW w:w="497" w:type="pct"/>
            <w:shd w:val="clear" w:color="auto" w:fill="auto"/>
            <w:vAlign w:val="center"/>
          </w:tcPr>
          <w:p w14:paraId="317B098E" w14:textId="77777777" w:rsidR="00600499" w:rsidRDefault="00600499" w:rsidP="00DC0670">
            <w:pPr>
              <w:spacing w:beforeLines="20" w:before="48" w:afterLines="20" w:after="48"/>
              <w:jc w:val="center"/>
              <w:rPr>
                <w:noProof/>
                <w:sz w:val="20"/>
              </w:rPr>
            </w:pPr>
          </w:p>
        </w:tc>
        <w:tc>
          <w:tcPr>
            <w:tcW w:w="424" w:type="pct"/>
            <w:shd w:val="clear" w:color="auto" w:fill="auto"/>
            <w:vAlign w:val="center"/>
          </w:tcPr>
          <w:p w14:paraId="582A5C15" w14:textId="77777777" w:rsidR="00600499" w:rsidRDefault="00600499" w:rsidP="00DC0670">
            <w:pPr>
              <w:spacing w:beforeLines="20" w:before="48" w:afterLines="20" w:after="48"/>
              <w:jc w:val="center"/>
              <w:rPr>
                <w:noProof/>
                <w:sz w:val="20"/>
              </w:rPr>
            </w:pPr>
          </w:p>
        </w:tc>
        <w:tc>
          <w:tcPr>
            <w:tcW w:w="423" w:type="pct"/>
            <w:shd w:val="clear" w:color="auto" w:fill="auto"/>
            <w:vAlign w:val="center"/>
          </w:tcPr>
          <w:p w14:paraId="6C1B871D" w14:textId="77777777" w:rsidR="00600499" w:rsidRDefault="00600499" w:rsidP="00DC0670">
            <w:pPr>
              <w:spacing w:beforeLines="20" w:before="48" w:afterLines="20" w:after="48"/>
              <w:jc w:val="center"/>
              <w:rPr>
                <w:noProof/>
                <w:sz w:val="20"/>
              </w:rPr>
            </w:pPr>
          </w:p>
        </w:tc>
        <w:tc>
          <w:tcPr>
            <w:tcW w:w="452" w:type="pct"/>
            <w:gridSpan w:val="2"/>
            <w:shd w:val="clear" w:color="auto" w:fill="auto"/>
            <w:vAlign w:val="center"/>
          </w:tcPr>
          <w:p w14:paraId="771B5C8B" w14:textId="77777777" w:rsidR="00600499" w:rsidRDefault="00600499" w:rsidP="00DC0670">
            <w:pPr>
              <w:spacing w:beforeLines="20" w:before="48" w:afterLines="20" w:after="48"/>
              <w:jc w:val="center"/>
              <w:rPr>
                <w:noProof/>
                <w:sz w:val="20"/>
              </w:rPr>
            </w:pPr>
          </w:p>
        </w:tc>
      </w:tr>
      <w:tr w:rsidR="00600499" w14:paraId="5DCA9909" w14:textId="77777777" w:rsidTr="00DC0670">
        <w:trPr>
          <w:trHeight w:val="289"/>
          <w:jc w:val="center"/>
        </w:trPr>
        <w:tc>
          <w:tcPr>
            <w:tcW w:w="2043" w:type="pct"/>
            <w:gridSpan w:val="2"/>
            <w:shd w:val="clear" w:color="auto" w:fill="auto"/>
            <w:vAlign w:val="center"/>
          </w:tcPr>
          <w:p w14:paraId="53968FB6" w14:textId="77777777" w:rsidR="00600499" w:rsidRDefault="00600499" w:rsidP="00DC0670">
            <w:pPr>
              <w:pStyle w:val="Text1"/>
              <w:spacing w:beforeLines="20" w:before="48" w:afterLines="20" w:after="48"/>
              <w:ind w:left="208" w:hanging="120"/>
              <w:jc w:val="left"/>
              <w:rPr>
                <w:noProof/>
                <w:sz w:val="20"/>
              </w:rPr>
            </w:pPr>
            <w:r>
              <w:rPr>
                <w:b/>
                <w:noProof/>
                <w:sz w:val="20"/>
              </w:rPr>
              <w:sym w:font="Wingdings" w:char="F09F"/>
            </w:r>
            <w:r>
              <w:rPr>
                <w:b/>
                <w:noProof/>
                <w:sz w:val="20"/>
              </w:rPr>
              <w:t xml:space="preserve"> External staff (in Full Time Equivalent unit: FTE)</w:t>
            </w:r>
            <w:r>
              <w:rPr>
                <w:rStyle w:val="FootnoteReference"/>
                <w:b/>
                <w:noProof/>
                <w:sz w:val="20"/>
              </w:rPr>
              <w:footnoteReference w:id="60"/>
            </w:r>
          </w:p>
        </w:tc>
        <w:tc>
          <w:tcPr>
            <w:tcW w:w="377" w:type="pct"/>
            <w:shd w:val="clear" w:color="auto" w:fill="auto"/>
            <w:vAlign w:val="center"/>
          </w:tcPr>
          <w:p w14:paraId="52140CA9" w14:textId="77777777" w:rsidR="00600499" w:rsidRDefault="00600499" w:rsidP="00DC0670">
            <w:pPr>
              <w:spacing w:beforeLines="20" w:before="48" w:afterLines="20" w:after="48"/>
              <w:jc w:val="center"/>
              <w:rPr>
                <w:noProof/>
                <w:sz w:val="20"/>
              </w:rPr>
            </w:pPr>
          </w:p>
        </w:tc>
        <w:tc>
          <w:tcPr>
            <w:tcW w:w="377" w:type="pct"/>
            <w:shd w:val="clear" w:color="auto" w:fill="auto"/>
            <w:vAlign w:val="center"/>
          </w:tcPr>
          <w:p w14:paraId="66369D8A" w14:textId="77777777" w:rsidR="00600499" w:rsidRDefault="00600499" w:rsidP="00DC0670">
            <w:pPr>
              <w:spacing w:beforeLines="20" w:before="48" w:afterLines="20" w:after="48"/>
              <w:jc w:val="center"/>
              <w:rPr>
                <w:noProof/>
                <w:sz w:val="20"/>
              </w:rPr>
            </w:pPr>
          </w:p>
        </w:tc>
        <w:tc>
          <w:tcPr>
            <w:tcW w:w="406" w:type="pct"/>
            <w:shd w:val="clear" w:color="auto" w:fill="auto"/>
            <w:vAlign w:val="center"/>
          </w:tcPr>
          <w:p w14:paraId="5846916C" w14:textId="77777777" w:rsidR="00600499" w:rsidRDefault="00600499" w:rsidP="00DC0670">
            <w:pPr>
              <w:spacing w:beforeLines="20" w:before="48" w:afterLines="20" w:after="48"/>
              <w:jc w:val="center"/>
              <w:rPr>
                <w:noProof/>
                <w:sz w:val="20"/>
              </w:rPr>
            </w:pPr>
          </w:p>
        </w:tc>
        <w:tc>
          <w:tcPr>
            <w:tcW w:w="497" w:type="pct"/>
            <w:shd w:val="clear" w:color="auto" w:fill="auto"/>
            <w:vAlign w:val="center"/>
          </w:tcPr>
          <w:p w14:paraId="2645B15B" w14:textId="77777777" w:rsidR="00600499" w:rsidRDefault="00600499" w:rsidP="00DC0670">
            <w:pPr>
              <w:spacing w:beforeLines="20" w:before="48" w:afterLines="20" w:after="48"/>
              <w:jc w:val="center"/>
              <w:rPr>
                <w:noProof/>
                <w:sz w:val="20"/>
              </w:rPr>
            </w:pPr>
          </w:p>
        </w:tc>
        <w:tc>
          <w:tcPr>
            <w:tcW w:w="424" w:type="pct"/>
            <w:shd w:val="clear" w:color="auto" w:fill="auto"/>
            <w:vAlign w:val="center"/>
          </w:tcPr>
          <w:p w14:paraId="5AB1B0B8" w14:textId="77777777" w:rsidR="00600499" w:rsidRDefault="00600499" w:rsidP="00DC0670">
            <w:pPr>
              <w:spacing w:beforeLines="20" w:before="48" w:afterLines="20" w:after="48"/>
              <w:jc w:val="center"/>
              <w:rPr>
                <w:noProof/>
                <w:sz w:val="20"/>
              </w:rPr>
            </w:pPr>
          </w:p>
        </w:tc>
        <w:tc>
          <w:tcPr>
            <w:tcW w:w="423" w:type="pct"/>
            <w:shd w:val="clear" w:color="auto" w:fill="auto"/>
            <w:vAlign w:val="center"/>
          </w:tcPr>
          <w:p w14:paraId="6DD579AD" w14:textId="77777777" w:rsidR="00600499" w:rsidRDefault="00600499" w:rsidP="00DC0670">
            <w:pPr>
              <w:spacing w:beforeLines="20" w:before="48" w:afterLines="20" w:after="48"/>
              <w:jc w:val="center"/>
              <w:rPr>
                <w:noProof/>
                <w:sz w:val="20"/>
              </w:rPr>
            </w:pPr>
          </w:p>
        </w:tc>
        <w:tc>
          <w:tcPr>
            <w:tcW w:w="452" w:type="pct"/>
            <w:gridSpan w:val="2"/>
            <w:shd w:val="clear" w:color="auto" w:fill="auto"/>
            <w:vAlign w:val="center"/>
          </w:tcPr>
          <w:p w14:paraId="31A9E533" w14:textId="77777777" w:rsidR="00600499" w:rsidRDefault="00600499" w:rsidP="00DC0670">
            <w:pPr>
              <w:spacing w:beforeLines="20" w:before="48" w:afterLines="20" w:after="48"/>
              <w:jc w:val="center"/>
              <w:rPr>
                <w:noProof/>
                <w:sz w:val="20"/>
              </w:rPr>
            </w:pPr>
          </w:p>
        </w:tc>
      </w:tr>
      <w:tr w:rsidR="00600499" w14:paraId="2948E632" w14:textId="77777777" w:rsidTr="00DC0670">
        <w:trPr>
          <w:trHeight w:val="289"/>
          <w:jc w:val="center"/>
        </w:trPr>
        <w:tc>
          <w:tcPr>
            <w:tcW w:w="2043" w:type="pct"/>
            <w:gridSpan w:val="2"/>
            <w:shd w:val="clear" w:color="auto" w:fill="auto"/>
            <w:vAlign w:val="center"/>
          </w:tcPr>
          <w:p w14:paraId="405DE15C" w14:textId="77777777" w:rsidR="00600499" w:rsidRDefault="00600499" w:rsidP="00DC0670">
            <w:pPr>
              <w:pStyle w:val="Text1"/>
              <w:spacing w:beforeLines="20" w:before="48" w:afterLines="20" w:after="48"/>
              <w:ind w:left="986"/>
              <w:jc w:val="left"/>
              <w:rPr>
                <w:b/>
                <w:noProof/>
                <w:sz w:val="20"/>
              </w:rPr>
            </w:pPr>
            <w:r>
              <w:rPr>
                <w:noProof/>
                <w:sz w:val="20"/>
              </w:rPr>
              <w:t>20 02 01 (AC, END, INT from the ‘global envelope’)</w:t>
            </w:r>
          </w:p>
        </w:tc>
        <w:tc>
          <w:tcPr>
            <w:tcW w:w="377" w:type="pct"/>
            <w:shd w:val="clear" w:color="auto" w:fill="auto"/>
            <w:vAlign w:val="center"/>
          </w:tcPr>
          <w:p w14:paraId="6C9B6042" w14:textId="77777777" w:rsidR="00600499" w:rsidRDefault="00600499" w:rsidP="00DC0670">
            <w:pPr>
              <w:spacing w:beforeLines="20" w:before="48" w:afterLines="20" w:after="48"/>
              <w:jc w:val="center"/>
              <w:rPr>
                <w:noProof/>
                <w:sz w:val="20"/>
              </w:rPr>
            </w:pPr>
          </w:p>
        </w:tc>
        <w:tc>
          <w:tcPr>
            <w:tcW w:w="377" w:type="pct"/>
            <w:shd w:val="clear" w:color="auto" w:fill="auto"/>
            <w:vAlign w:val="center"/>
          </w:tcPr>
          <w:p w14:paraId="1FC8BC04" w14:textId="77777777" w:rsidR="00600499" w:rsidRDefault="00600499" w:rsidP="00DC0670">
            <w:pPr>
              <w:spacing w:beforeLines="20" w:before="48" w:afterLines="20" w:after="48"/>
              <w:jc w:val="center"/>
              <w:rPr>
                <w:noProof/>
                <w:sz w:val="20"/>
              </w:rPr>
            </w:pPr>
          </w:p>
        </w:tc>
        <w:tc>
          <w:tcPr>
            <w:tcW w:w="406" w:type="pct"/>
            <w:shd w:val="clear" w:color="auto" w:fill="auto"/>
            <w:vAlign w:val="center"/>
          </w:tcPr>
          <w:p w14:paraId="72E198A0" w14:textId="77777777" w:rsidR="00600499" w:rsidRDefault="00600499" w:rsidP="00DC0670">
            <w:pPr>
              <w:spacing w:beforeLines="20" w:before="48" w:afterLines="20" w:after="48"/>
              <w:jc w:val="center"/>
              <w:rPr>
                <w:noProof/>
                <w:sz w:val="20"/>
              </w:rPr>
            </w:pPr>
          </w:p>
        </w:tc>
        <w:tc>
          <w:tcPr>
            <w:tcW w:w="497" w:type="pct"/>
            <w:shd w:val="clear" w:color="auto" w:fill="auto"/>
            <w:vAlign w:val="center"/>
          </w:tcPr>
          <w:p w14:paraId="53A934A6" w14:textId="77777777" w:rsidR="00600499" w:rsidRDefault="00600499" w:rsidP="00DC0670">
            <w:pPr>
              <w:spacing w:beforeLines="20" w:before="48" w:afterLines="20" w:after="48"/>
              <w:jc w:val="center"/>
              <w:rPr>
                <w:noProof/>
                <w:sz w:val="20"/>
              </w:rPr>
            </w:pPr>
          </w:p>
        </w:tc>
        <w:tc>
          <w:tcPr>
            <w:tcW w:w="424" w:type="pct"/>
            <w:shd w:val="clear" w:color="auto" w:fill="auto"/>
            <w:vAlign w:val="center"/>
          </w:tcPr>
          <w:p w14:paraId="1D55AE55" w14:textId="77777777" w:rsidR="00600499" w:rsidRDefault="00600499" w:rsidP="00DC0670">
            <w:pPr>
              <w:spacing w:beforeLines="20" w:before="48" w:afterLines="20" w:after="48"/>
              <w:jc w:val="center"/>
              <w:rPr>
                <w:noProof/>
                <w:sz w:val="20"/>
              </w:rPr>
            </w:pPr>
          </w:p>
        </w:tc>
        <w:tc>
          <w:tcPr>
            <w:tcW w:w="423" w:type="pct"/>
            <w:shd w:val="clear" w:color="auto" w:fill="auto"/>
            <w:vAlign w:val="center"/>
          </w:tcPr>
          <w:p w14:paraId="7B0DA72D" w14:textId="77777777" w:rsidR="00600499" w:rsidRDefault="00600499" w:rsidP="00DC0670">
            <w:pPr>
              <w:spacing w:beforeLines="20" w:before="48" w:afterLines="20" w:after="48"/>
              <w:jc w:val="center"/>
              <w:rPr>
                <w:noProof/>
                <w:sz w:val="20"/>
              </w:rPr>
            </w:pPr>
          </w:p>
        </w:tc>
        <w:tc>
          <w:tcPr>
            <w:tcW w:w="452" w:type="pct"/>
            <w:gridSpan w:val="2"/>
            <w:shd w:val="clear" w:color="auto" w:fill="auto"/>
            <w:vAlign w:val="center"/>
          </w:tcPr>
          <w:p w14:paraId="55D3614F" w14:textId="77777777" w:rsidR="00600499" w:rsidRDefault="00600499" w:rsidP="00DC0670">
            <w:pPr>
              <w:spacing w:beforeLines="20" w:before="48" w:afterLines="20" w:after="48"/>
              <w:jc w:val="center"/>
              <w:rPr>
                <w:noProof/>
                <w:sz w:val="20"/>
              </w:rPr>
            </w:pPr>
          </w:p>
        </w:tc>
      </w:tr>
      <w:tr w:rsidR="00600499" w14:paraId="7B22BA9F" w14:textId="77777777" w:rsidTr="00DC0670">
        <w:trPr>
          <w:trHeight w:val="289"/>
          <w:jc w:val="center"/>
        </w:trPr>
        <w:tc>
          <w:tcPr>
            <w:tcW w:w="2043" w:type="pct"/>
            <w:gridSpan w:val="2"/>
            <w:shd w:val="clear" w:color="auto" w:fill="auto"/>
            <w:vAlign w:val="center"/>
          </w:tcPr>
          <w:p w14:paraId="6CB3E57A" w14:textId="77777777" w:rsidR="00600499" w:rsidRDefault="00600499" w:rsidP="00DC0670">
            <w:pPr>
              <w:pStyle w:val="Text1"/>
              <w:spacing w:beforeLines="20" w:before="48" w:afterLines="20" w:after="48"/>
              <w:ind w:left="986"/>
              <w:jc w:val="left"/>
              <w:rPr>
                <w:noProof/>
                <w:sz w:val="20"/>
              </w:rPr>
            </w:pPr>
            <w:r>
              <w:rPr>
                <w:noProof/>
                <w:sz w:val="20"/>
              </w:rPr>
              <w:t>20 02 03 (AC, AL, END, INT and JPD in the Delegations)</w:t>
            </w:r>
          </w:p>
        </w:tc>
        <w:tc>
          <w:tcPr>
            <w:tcW w:w="377" w:type="pct"/>
            <w:shd w:val="clear" w:color="auto" w:fill="auto"/>
            <w:vAlign w:val="center"/>
          </w:tcPr>
          <w:p w14:paraId="4C7766F1" w14:textId="77777777" w:rsidR="00600499" w:rsidRDefault="00600499" w:rsidP="00DC0670">
            <w:pPr>
              <w:spacing w:beforeLines="20" w:before="48" w:afterLines="20" w:after="48"/>
              <w:jc w:val="center"/>
              <w:rPr>
                <w:noProof/>
                <w:sz w:val="20"/>
              </w:rPr>
            </w:pPr>
          </w:p>
        </w:tc>
        <w:tc>
          <w:tcPr>
            <w:tcW w:w="377" w:type="pct"/>
            <w:shd w:val="clear" w:color="auto" w:fill="auto"/>
            <w:vAlign w:val="center"/>
          </w:tcPr>
          <w:p w14:paraId="1BB4FB80" w14:textId="77777777" w:rsidR="00600499" w:rsidRDefault="00600499" w:rsidP="00DC0670">
            <w:pPr>
              <w:spacing w:beforeLines="20" w:before="48" w:afterLines="20" w:after="48"/>
              <w:jc w:val="center"/>
              <w:rPr>
                <w:noProof/>
                <w:sz w:val="20"/>
              </w:rPr>
            </w:pPr>
          </w:p>
        </w:tc>
        <w:tc>
          <w:tcPr>
            <w:tcW w:w="406" w:type="pct"/>
            <w:shd w:val="clear" w:color="auto" w:fill="auto"/>
            <w:vAlign w:val="center"/>
          </w:tcPr>
          <w:p w14:paraId="09213013" w14:textId="77777777" w:rsidR="00600499" w:rsidRDefault="00600499" w:rsidP="00DC0670">
            <w:pPr>
              <w:spacing w:beforeLines="20" w:before="48" w:afterLines="20" w:after="48"/>
              <w:jc w:val="center"/>
              <w:rPr>
                <w:noProof/>
                <w:sz w:val="20"/>
              </w:rPr>
            </w:pPr>
          </w:p>
        </w:tc>
        <w:tc>
          <w:tcPr>
            <w:tcW w:w="497" w:type="pct"/>
            <w:shd w:val="clear" w:color="auto" w:fill="auto"/>
            <w:vAlign w:val="center"/>
          </w:tcPr>
          <w:p w14:paraId="593E02D2" w14:textId="77777777" w:rsidR="00600499" w:rsidRDefault="00600499" w:rsidP="00DC0670">
            <w:pPr>
              <w:spacing w:beforeLines="20" w:before="48" w:afterLines="20" w:after="48"/>
              <w:jc w:val="center"/>
              <w:rPr>
                <w:noProof/>
                <w:sz w:val="20"/>
              </w:rPr>
            </w:pPr>
          </w:p>
        </w:tc>
        <w:tc>
          <w:tcPr>
            <w:tcW w:w="424" w:type="pct"/>
            <w:shd w:val="clear" w:color="auto" w:fill="auto"/>
            <w:vAlign w:val="center"/>
          </w:tcPr>
          <w:p w14:paraId="3AFF1BCA" w14:textId="77777777" w:rsidR="00600499" w:rsidRDefault="00600499" w:rsidP="00DC0670">
            <w:pPr>
              <w:spacing w:beforeLines="20" w:before="48" w:afterLines="20" w:after="48"/>
              <w:jc w:val="center"/>
              <w:rPr>
                <w:noProof/>
                <w:sz w:val="20"/>
              </w:rPr>
            </w:pPr>
          </w:p>
        </w:tc>
        <w:tc>
          <w:tcPr>
            <w:tcW w:w="423" w:type="pct"/>
            <w:shd w:val="clear" w:color="auto" w:fill="auto"/>
            <w:vAlign w:val="center"/>
          </w:tcPr>
          <w:p w14:paraId="67D9E4A1" w14:textId="77777777" w:rsidR="00600499" w:rsidRDefault="00600499" w:rsidP="00DC0670">
            <w:pPr>
              <w:spacing w:beforeLines="20" w:before="48" w:afterLines="20" w:after="48"/>
              <w:jc w:val="center"/>
              <w:rPr>
                <w:noProof/>
                <w:sz w:val="20"/>
              </w:rPr>
            </w:pPr>
          </w:p>
        </w:tc>
        <w:tc>
          <w:tcPr>
            <w:tcW w:w="452" w:type="pct"/>
            <w:gridSpan w:val="2"/>
            <w:shd w:val="clear" w:color="auto" w:fill="auto"/>
            <w:vAlign w:val="center"/>
          </w:tcPr>
          <w:p w14:paraId="2D24E2EF" w14:textId="77777777" w:rsidR="00600499" w:rsidRDefault="00600499" w:rsidP="00DC0670">
            <w:pPr>
              <w:spacing w:beforeLines="20" w:before="48" w:afterLines="20" w:after="48"/>
              <w:jc w:val="center"/>
              <w:rPr>
                <w:noProof/>
                <w:sz w:val="20"/>
              </w:rPr>
            </w:pPr>
          </w:p>
        </w:tc>
      </w:tr>
      <w:tr w:rsidR="00600499" w14:paraId="4254A4F1" w14:textId="77777777" w:rsidTr="00DC0670">
        <w:trPr>
          <w:trHeight w:val="289"/>
          <w:jc w:val="center"/>
        </w:trPr>
        <w:tc>
          <w:tcPr>
            <w:tcW w:w="1018" w:type="pct"/>
            <w:vMerge w:val="restart"/>
            <w:shd w:val="clear" w:color="auto" w:fill="auto"/>
            <w:vAlign w:val="center"/>
          </w:tcPr>
          <w:p w14:paraId="7E5E50C1" w14:textId="77777777" w:rsidR="00600499" w:rsidRDefault="00600499" w:rsidP="00DC0670">
            <w:pPr>
              <w:pStyle w:val="Text1"/>
              <w:spacing w:beforeLines="20" w:before="48" w:afterLines="20" w:after="48"/>
              <w:ind w:left="986"/>
              <w:jc w:val="left"/>
              <w:rPr>
                <w:b/>
                <w:noProof/>
                <w:sz w:val="20"/>
              </w:rPr>
            </w:pPr>
            <w:r w:rsidRPr="005A76B6">
              <w:rPr>
                <w:noProof/>
                <w:sz w:val="20"/>
              </w:rPr>
              <w:t>B</w:t>
            </w:r>
            <w:r w:rsidRPr="001D4F31">
              <w:rPr>
                <w:noProof/>
                <w:sz w:val="20"/>
              </w:rPr>
              <w:t>udget line</w:t>
            </w:r>
            <w:r>
              <w:rPr>
                <w:noProof/>
                <w:sz w:val="20"/>
              </w:rPr>
              <w:t>(</w:t>
            </w:r>
            <w:r w:rsidRPr="001D4F31">
              <w:rPr>
                <w:noProof/>
                <w:sz w:val="20"/>
              </w:rPr>
              <w:t>s</w:t>
            </w:r>
            <w:r>
              <w:rPr>
                <w:noProof/>
                <w:sz w:val="20"/>
              </w:rPr>
              <w:t>) (specify)</w:t>
            </w:r>
            <w:r w:rsidRPr="005A76B6">
              <w:rPr>
                <w:b/>
                <w:noProof/>
                <w:sz w:val="20"/>
              </w:rPr>
              <w:t xml:space="preserve"> </w:t>
            </w:r>
            <w:r w:rsidRPr="009E26C4">
              <w:rPr>
                <w:rStyle w:val="FootnoteReference"/>
                <w:b/>
                <w:noProof/>
                <w:sz w:val="20"/>
              </w:rPr>
              <w:footnoteReference w:id="61"/>
            </w:r>
          </w:p>
        </w:tc>
        <w:tc>
          <w:tcPr>
            <w:tcW w:w="1025" w:type="pct"/>
            <w:shd w:val="clear" w:color="auto" w:fill="auto"/>
            <w:vAlign w:val="center"/>
          </w:tcPr>
          <w:p w14:paraId="034D0B01" w14:textId="77777777" w:rsidR="00600499" w:rsidRDefault="00600499" w:rsidP="00DC0670">
            <w:pPr>
              <w:pStyle w:val="Text1"/>
              <w:spacing w:beforeLines="20" w:before="48" w:afterLines="20" w:after="48"/>
              <w:ind w:left="598"/>
              <w:jc w:val="left"/>
              <w:rPr>
                <w:b/>
                <w:noProof/>
                <w:sz w:val="20"/>
              </w:rPr>
            </w:pPr>
            <w:r>
              <w:rPr>
                <w:noProof/>
                <w:sz w:val="20"/>
              </w:rPr>
              <w:t>- at Headquarters</w:t>
            </w:r>
            <w:r>
              <w:rPr>
                <w:rStyle w:val="FootnoteReference"/>
                <w:noProof/>
                <w:sz w:val="20"/>
              </w:rPr>
              <w:footnoteReference w:id="62"/>
            </w:r>
            <w:r>
              <w:rPr>
                <w:noProof/>
                <w:sz w:val="20"/>
              </w:rPr>
              <w:br/>
            </w:r>
          </w:p>
        </w:tc>
        <w:tc>
          <w:tcPr>
            <w:tcW w:w="377" w:type="pct"/>
            <w:shd w:val="clear" w:color="auto" w:fill="auto"/>
            <w:vAlign w:val="center"/>
          </w:tcPr>
          <w:p w14:paraId="3DABE7D3" w14:textId="77777777" w:rsidR="00600499" w:rsidRDefault="00600499" w:rsidP="00DC0670">
            <w:pPr>
              <w:pStyle w:val="Text1"/>
              <w:spacing w:beforeLines="20" w:before="48" w:afterLines="20" w:after="48"/>
              <w:rPr>
                <w:noProof/>
                <w:sz w:val="20"/>
              </w:rPr>
            </w:pPr>
          </w:p>
        </w:tc>
        <w:tc>
          <w:tcPr>
            <w:tcW w:w="377" w:type="pct"/>
            <w:shd w:val="clear" w:color="auto" w:fill="auto"/>
            <w:vAlign w:val="center"/>
          </w:tcPr>
          <w:p w14:paraId="06E967EB" w14:textId="77777777" w:rsidR="00600499" w:rsidRDefault="00600499" w:rsidP="00DC0670">
            <w:pPr>
              <w:spacing w:beforeLines="20" w:before="48" w:afterLines="20" w:after="48"/>
              <w:jc w:val="center"/>
              <w:rPr>
                <w:noProof/>
                <w:sz w:val="20"/>
              </w:rPr>
            </w:pPr>
          </w:p>
        </w:tc>
        <w:tc>
          <w:tcPr>
            <w:tcW w:w="406" w:type="pct"/>
            <w:shd w:val="clear" w:color="auto" w:fill="auto"/>
            <w:vAlign w:val="center"/>
          </w:tcPr>
          <w:p w14:paraId="434459D1" w14:textId="77777777" w:rsidR="00600499" w:rsidRDefault="00600499" w:rsidP="00DC0670">
            <w:pPr>
              <w:spacing w:beforeLines="20" w:before="48" w:afterLines="20" w:after="48"/>
              <w:jc w:val="center"/>
              <w:rPr>
                <w:noProof/>
                <w:sz w:val="20"/>
              </w:rPr>
            </w:pPr>
          </w:p>
        </w:tc>
        <w:tc>
          <w:tcPr>
            <w:tcW w:w="497" w:type="pct"/>
            <w:shd w:val="clear" w:color="auto" w:fill="auto"/>
            <w:vAlign w:val="center"/>
          </w:tcPr>
          <w:p w14:paraId="303690A7" w14:textId="77777777" w:rsidR="00600499" w:rsidRDefault="00600499" w:rsidP="00DC0670">
            <w:pPr>
              <w:spacing w:beforeLines="20" w:before="48" w:afterLines="20" w:after="48"/>
              <w:jc w:val="center"/>
              <w:rPr>
                <w:noProof/>
                <w:sz w:val="20"/>
              </w:rPr>
            </w:pPr>
          </w:p>
        </w:tc>
        <w:tc>
          <w:tcPr>
            <w:tcW w:w="424" w:type="pct"/>
            <w:shd w:val="clear" w:color="auto" w:fill="auto"/>
            <w:vAlign w:val="center"/>
          </w:tcPr>
          <w:p w14:paraId="38581575" w14:textId="77777777" w:rsidR="00600499" w:rsidRDefault="00600499" w:rsidP="00DC0670">
            <w:pPr>
              <w:spacing w:beforeLines="20" w:before="48" w:afterLines="20" w:after="48"/>
              <w:jc w:val="center"/>
              <w:rPr>
                <w:noProof/>
                <w:sz w:val="20"/>
              </w:rPr>
            </w:pPr>
          </w:p>
        </w:tc>
        <w:tc>
          <w:tcPr>
            <w:tcW w:w="423" w:type="pct"/>
            <w:shd w:val="clear" w:color="auto" w:fill="auto"/>
            <w:vAlign w:val="center"/>
          </w:tcPr>
          <w:p w14:paraId="263C0B96" w14:textId="77777777" w:rsidR="00600499" w:rsidRDefault="00600499" w:rsidP="00DC0670">
            <w:pPr>
              <w:spacing w:beforeLines="20" w:before="48" w:afterLines="20" w:after="48"/>
              <w:jc w:val="center"/>
              <w:rPr>
                <w:noProof/>
                <w:sz w:val="20"/>
              </w:rPr>
            </w:pPr>
          </w:p>
        </w:tc>
        <w:tc>
          <w:tcPr>
            <w:tcW w:w="452" w:type="pct"/>
            <w:gridSpan w:val="2"/>
            <w:shd w:val="clear" w:color="auto" w:fill="auto"/>
            <w:vAlign w:val="center"/>
          </w:tcPr>
          <w:p w14:paraId="68954A6A" w14:textId="77777777" w:rsidR="00600499" w:rsidRDefault="00600499" w:rsidP="00DC0670">
            <w:pPr>
              <w:spacing w:beforeLines="20" w:before="48" w:afterLines="20" w:after="48"/>
              <w:jc w:val="center"/>
              <w:rPr>
                <w:noProof/>
                <w:sz w:val="20"/>
              </w:rPr>
            </w:pPr>
          </w:p>
        </w:tc>
      </w:tr>
      <w:tr w:rsidR="00600499" w14:paraId="012550E3" w14:textId="77777777" w:rsidTr="00DC0670">
        <w:trPr>
          <w:trHeight w:val="289"/>
          <w:jc w:val="center"/>
        </w:trPr>
        <w:tc>
          <w:tcPr>
            <w:tcW w:w="1018" w:type="pct"/>
            <w:vMerge/>
            <w:shd w:val="clear" w:color="auto" w:fill="auto"/>
            <w:vAlign w:val="center"/>
          </w:tcPr>
          <w:p w14:paraId="444882A0" w14:textId="77777777" w:rsidR="00600499" w:rsidRDefault="00600499" w:rsidP="00DC0670">
            <w:pPr>
              <w:rPr>
                <w:b/>
                <w:noProof/>
                <w:sz w:val="20"/>
              </w:rPr>
            </w:pPr>
          </w:p>
        </w:tc>
        <w:tc>
          <w:tcPr>
            <w:tcW w:w="1025" w:type="pct"/>
            <w:shd w:val="clear" w:color="auto" w:fill="auto"/>
            <w:vAlign w:val="center"/>
          </w:tcPr>
          <w:p w14:paraId="2CC7FC22" w14:textId="77777777" w:rsidR="00600499" w:rsidRDefault="00600499" w:rsidP="00DC0670">
            <w:pPr>
              <w:pStyle w:val="Text1"/>
              <w:spacing w:beforeLines="20" w:before="48" w:afterLines="20" w:after="48"/>
              <w:ind w:left="598"/>
              <w:jc w:val="left"/>
              <w:rPr>
                <w:b/>
                <w:noProof/>
                <w:sz w:val="20"/>
              </w:rPr>
            </w:pPr>
            <w:r>
              <w:rPr>
                <w:noProof/>
                <w:sz w:val="20"/>
              </w:rPr>
              <w:t xml:space="preserve">- in Delegations </w:t>
            </w:r>
          </w:p>
        </w:tc>
        <w:tc>
          <w:tcPr>
            <w:tcW w:w="377" w:type="pct"/>
            <w:shd w:val="clear" w:color="auto" w:fill="auto"/>
            <w:vAlign w:val="center"/>
          </w:tcPr>
          <w:p w14:paraId="0F206D2F" w14:textId="77777777" w:rsidR="00600499" w:rsidRDefault="00600499" w:rsidP="00DC0670">
            <w:pPr>
              <w:pStyle w:val="Text1"/>
              <w:spacing w:beforeLines="20" w:before="48" w:afterLines="20" w:after="48"/>
              <w:rPr>
                <w:noProof/>
                <w:sz w:val="20"/>
              </w:rPr>
            </w:pPr>
          </w:p>
        </w:tc>
        <w:tc>
          <w:tcPr>
            <w:tcW w:w="377" w:type="pct"/>
            <w:shd w:val="clear" w:color="auto" w:fill="auto"/>
            <w:vAlign w:val="center"/>
          </w:tcPr>
          <w:p w14:paraId="6A096CD4" w14:textId="77777777" w:rsidR="00600499" w:rsidRDefault="00600499" w:rsidP="00DC0670">
            <w:pPr>
              <w:spacing w:beforeLines="20" w:before="48" w:afterLines="20" w:after="48"/>
              <w:jc w:val="center"/>
              <w:rPr>
                <w:noProof/>
                <w:sz w:val="20"/>
              </w:rPr>
            </w:pPr>
          </w:p>
        </w:tc>
        <w:tc>
          <w:tcPr>
            <w:tcW w:w="406" w:type="pct"/>
            <w:shd w:val="clear" w:color="auto" w:fill="auto"/>
            <w:vAlign w:val="center"/>
          </w:tcPr>
          <w:p w14:paraId="06A0E92B" w14:textId="77777777" w:rsidR="00600499" w:rsidRDefault="00600499" w:rsidP="00DC0670">
            <w:pPr>
              <w:spacing w:beforeLines="20" w:before="48" w:afterLines="20" w:after="48"/>
              <w:jc w:val="center"/>
              <w:rPr>
                <w:noProof/>
                <w:sz w:val="20"/>
              </w:rPr>
            </w:pPr>
          </w:p>
        </w:tc>
        <w:tc>
          <w:tcPr>
            <w:tcW w:w="497" w:type="pct"/>
            <w:shd w:val="clear" w:color="auto" w:fill="auto"/>
            <w:vAlign w:val="center"/>
          </w:tcPr>
          <w:p w14:paraId="661DDC87" w14:textId="77777777" w:rsidR="00600499" w:rsidRDefault="00600499" w:rsidP="00DC0670">
            <w:pPr>
              <w:spacing w:beforeLines="20" w:before="48" w:afterLines="20" w:after="48"/>
              <w:jc w:val="center"/>
              <w:rPr>
                <w:noProof/>
                <w:sz w:val="20"/>
              </w:rPr>
            </w:pPr>
          </w:p>
        </w:tc>
        <w:tc>
          <w:tcPr>
            <w:tcW w:w="424" w:type="pct"/>
            <w:shd w:val="clear" w:color="auto" w:fill="auto"/>
            <w:vAlign w:val="center"/>
          </w:tcPr>
          <w:p w14:paraId="22A212F1" w14:textId="77777777" w:rsidR="00600499" w:rsidRDefault="00600499" w:rsidP="00DC0670">
            <w:pPr>
              <w:spacing w:beforeLines="20" w:before="48" w:afterLines="20" w:after="48"/>
              <w:jc w:val="center"/>
              <w:rPr>
                <w:noProof/>
                <w:sz w:val="20"/>
              </w:rPr>
            </w:pPr>
          </w:p>
        </w:tc>
        <w:tc>
          <w:tcPr>
            <w:tcW w:w="423" w:type="pct"/>
            <w:shd w:val="clear" w:color="auto" w:fill="auto"/>
            <w:vAlign w:val="center"/>
          </w:tcPr>
          <w:p w14:paraId="3EBD709B" w14:textId="77777777" w:rsidR="00600499" w:rsidRDefault="00600499" w:rsidP="00DC0670">
            <w:pPr>
              <w:spacing w:beforeLines="20" w:before="48" w:afterLines="20" w:after="48"/>
              <w:jc w:val="center"/>
              <w:rPr>
                <w:noProof/>
                <w:sz w:val="20"/>
              </w:rPr>
            </w:pPr>
          </w:p>
        </w:tc>
        <w:tc>
          <w:tcPr>
            <w:tcW w:w="452" w:type="pct"/>
            <w:gridSpan w:val="2"/>
            <w:shd w:val="clear" w:color="auto" w:fill="auto"/>
            <w:vAlign w:val="center"/>
          </w:tcPr>
          <w:p w14:paraId="0495C7F9" w14:textId="77777777" w:rsidR="00600499" w:rsidRDefault="00600499" w:rsidP="00DC0670">
            <w:pPr>
              <w:spacing w:beforeLines="20" w:before="48" w:afterLines="20" w:after="48"/>
              <w:jc w:val="center"/>
              <w:rPr>
                <w:noProof/>
                <w:sz w:val="20"/>
              </w:rPr>
            </w:pPr>
          </w:p>
        </w:tc>
      </w:tr>
      <w:tr w:rsidR="00600499" w14:paraId="65A2EB8B" w14:textId="77777777" w:rsidTr="00DC0670">
        <w:trPr>
          <w:trHeight w:val="289"/>
          <w:jc w:val="center"/>
        </w:trPr>
        <w:tc>
          <w:tcPr>
            <w:tcW w:w="2043" w:type="pct"/>
            <w:gridSpan w:val="2"/>
            <w:shd w:val="clear" w:color="auto" w:fill="auto"/>
            <w:vAlign w:val="center"/>
          </w:tcPr>
          <w:p w14:paraId="0F9CB523" w14:textId="77777777" w:rsidR="00600499" w:rsidRDefault="00600499" w:rsidP="00DC0670">
            <w:pPr>
              <w:pStyle w:val="Text1"/>
              <w:spacing w:beforeLines="20" w:before="48" w:afterLines="20" w:after="48"/>
              <w:ind w:left="986"/>
              <w:jc w:val="left"/>
              <w:rPr>
                <w:noProof/>
                <w:sz w:val="20"/>
              </w:rPr>
            </w:pPr>
            <w:r>
              <w:rPr>
                <w:b/>
                <w:noProof/>
                <w:sz w:val="20"/>
              </w:rPr>
              <w:t>01 01 01 02</w:t>
            </w:r>
            <w:r>
              <w:rPr>
                <w:noProof/>
                <w:sz w:val="20"/>
              </w:rPr>
              <w:t xml:space="preserve"> (AC, END, INT – Indirect research)</w:t>
            </w:r>
          </w:p>
        </w:tc>
        <w:tc>
          <w:tcPr>
            <w:tcW w:w="377" w:type="pct"/>
            <w:shd w:val="clear" w:color="auto" w:fill="auto"/>
            <w:vAlign w:val="center"/>
          </w:tcPr>
          <w:p w14:paraId="09DDBAB0" w14:textId="77777777" w:rsidR="00600499" w:rsidRDefault="00600499" w:rsidP="00DC0670">
            <w:pPr>
              <w:spacing w:beforeLines="20" w:before="48" w:afterLines="20" w:after="48"/>
              <w:jc w:val="center"/>
              <w:rPr>
                <w:noProof/>
                <w:sz w:val="20"/>
              </w:rPr>
            </w:pPr>
          </w:p>
        </w:tc>
        <w:tc>
          <w:tcPr>
            <w:tcW w:w="377" w:type="pct"/>
            <w:shd w:val="clear" w:color="auto" w:fill="auto"/>
            <w:vAlign w:val="center"/>
          </w:tcPr>
          <w:p w14:paraId="1A4FAF0B" w14:textId="77777777" w:rsidR="00600499" w:rsidRDefault="00600499" w:rsidP="00DC0670">
            <w:pPr>
              <w:spacing w:beforeLines="20" w:before="48" w:afterLines="20" w:after="48"/>
              <w:jc w:val="center"/>
              <w:rPr>
                <w:noProof/>
                <w:sz w:val="20"/>
              </w:rPr>
            </w:pPr>
          </w:p>
        </w:tc>
        <w:tc>
          <w:tcPr>
            <w:tcW w:w="406" w:type="pct"/>
            <w:shd w:val="clear" w:color="auto" w:fill="auto"/>
            <w:vAlign w:val="center"/>
          </w:tcPr>
          <w:p w14:paraId="7DFB048F" w14:textId="77777777" w:rsidR="00600499" w:rsidRDefault="00600499" w:rsidP="00DC0670">
            <w:pPr>
              <w:spacing w:beforeLines="20" w:before="48" w:afterLines="20" w:after="48"/>
              <w:jc w:val="center"/>
              <w:rPr>
                <w:noProof/>
                <w:sz w:val="20"/>
              </w:rPr>
            </w:pPr>
          </w:p>
        </w:tc>
        <w:tc>
          <w:tcPr>
            <w:tcW w:w="497" w:type="pct"/>
            <w:shd w:val="clear" w:color="auto" w:fill="auto"/>
            <w:vAlign w:val="center"/>
          </w:tcPr>
          <w:p w14:paraId="21EAD60E" w14:textId="77777777" w:rsidR="00600499" w:rsidRDefault="00600499" w:rsidP="00DC0670">
            <w:pPr>
              <w:spacing w:beforeLines="20" w:before="48" w:afterLines="20" w:after="48"/>
              <w:jc w:val="center"/>
              <w:rPr>
                <w:noProof/>
                <w:sz w:val="20"/>
              </w:rPr>
            </w:pPr>
          </w:p>
        </w:tc>
        <w:tc>
          <w:tcPr>
            <w:tcW w:w="424" w:type="pct"/>
            <w:shd w:val="clear" w:color="auto" w:fill="auto"/>
            <w:vAlign w:val="center"/>
          </w:tcPr>
          <w:p w14:paraId="492288C3" w14:textId="77777777" w:rsidR="00600499" w:rsidRDefault="00600499" w:rsidP="00DC0670">
            <w:pPr>
              <w:spacing w:beforeLines="20" w:before="48" w:afterLines="20" w:after="48"/>
              <w:jc w:val="center"/>
              <w:rPr>
                <w:noProof/>
                <w:sz w:val="20"/>
              </w:rPr>
            </w:pPr>
          </w:p>
        </w:tc>
        <w:tc>
          <w:tcPr>
            <w:tcW w:w="423" w:type="pct"/>
            <w:shd w:val="clear" w:color="auto" w:fill="auto"/>
            <w:vAlign w:val="center"/>
          </w:tcPr>
          <w:p w14:paraId="4CE58B16" w14:textId="77777777" w:rsidR="00600499" w:rsidRDefault="00600499" w:rsidP="00DC0670">
            <w:pPr>
              <w:spacing w:beforeLines="20" w:before="48" w:afterLines="20" w:after="48"/>
              <w:jc w:val="center"/>
              <w:rPr>
                <w:noProof/>
                <w:sz w:val="20"/>
              </w:rPr>
            </w:pPr>
          </w:p>
        </w:tc>
        <w:tc>
          <w:tcPr>
            <w:tcW w:w="452" w:type="pct"/>
            <w:gridSpan w:val="2"/>
            <w:shd w:val="clear" w:color="auto" w:fill="auto"/>
            <w:vAlign w:val="center"/>
          </w:tcPr>
          <w:p w14:paraId="1D15BA90" w14:textId="77777777" w:rsidR="00600499" w:rsidRDefault="00600499" w:rsidP="00DC0670">
            <w:pPr>
              <w:spacing w:beforeLines="20" w:before="48" w:afterLines="20" w:after="48"/>
              <w:jc w:val="center"/>
              <w:rPr>
                <w:noProof/>
                <w:sz w:val="20"/>
              </w:rPr>
            </w:pPr>
          </w:p>
        </w:tc>
      </w:tr>
      <w:tr w:rsidR="00600499" w14:paraId="5F9FC8DA" w14:textId="77777777" w:rsidTr="00DC0670">
        <w:trPr>
          <w:trHeight w:val="289"/>
          <w:jc w:val="center"/>
        </w:trPr>
        <w:tc>
          <w:tcPr>
            <w:tcW w:w="2043" w:type="pct"/>
            <w:gridSpan w:val="2"/>
            <w:shd w:val="clear" w:color="auto" w:fill="auto"/>
            <w:vAlign w:val="center"/>
          </w:tcPr>
          <w:p w14:paraId="36332D68" w14:textId="77777777" w:rsidR="00600499" w:rsidRDefault="00600499" w:rsidP="00DC0670">
            <w:pPr>
              <w:pStyle w:val="Text1"/>
              <w:spacing w:beforeLines="20" w:before="48" w:afterLines="20" w:after="48"/>
              <w:ind w:left="986"/>
              <w:jc w:val="left"/>
              <w:rPr>
                <w:noProof/>
                <w:sz w:val="20"/>
              </w:rPr>
            </w:pPr>
            <w:r w:rsidRPr="001D4F31">
              <w:rPr>
                <w:noProof/>
                <w:sz w:val="20"/>
              </w:rPr>
              <w:t>10 01 05 02</w:t>
            </w:r>
            <w:r>
              <w:rPr>
                <w:noProof/>
                <w:sz w:val="20"/>
              </w:rPr>
              <w:t xml:space="preserve"> (AC, END, INT – Direct research)</w:t>
            </w:r>
          </w:p>
        </w:tc>
        <w:tc>
          <w:tcPr>
            <w:tcW w:w="377" w:type="pct"/>
            <w:shd w:val="clear" w:color="auto" w:fill="auto"/>
            <w:vAlign w:val="center"/>
          </w:tcPr>
          <w:p w14:paraId="6461B690" w14:textId="77777777" w:rsidR="00600499" w:rsidRDefault="00600499" w:rsidP="00DC0670">
            <w:pPr>
              <w:spacing w:beforeLines="20" w:before="48" w:afterLines="20" w:after="48"/>
              <w:jc w:val="center"/>
              <w:rPr>
                <w:noProof/>
                <w:sz w:val="20"/>
              </w:rPr>
            </w:pPr>
          </w:p>
        </w:tc>
        <w:tc>
          <w:tcPr>
            <w:tcW w:w="377" w:type="pct"/>
            <w:shd w:val="clear" w:color="auto" w:fill="auto"/>
            <w:vAlign w:val="center"/>
          </w:tcPr>
          <w:p w14:paraId="13A58C9B" w14:textId="77777777" w:rsidR="00600499" w:rsidRDefault="00600499" w:rsidP="00DC0670">
            <w:pPr>
              <w:spacing w:beforeLines="20" w:before="48" w:afterLines="20" w:after="48"/>
              <w:jc w:val="center"/>
              <w:rPr>
                <w:noProof/>
                <w:sz w:val="20"/>
              </w:rPr>
            </w:pPr>
          </w:p>
        </w:tc>
        <w:tc>
          <w:tcPr>
            <w:tcW w:w="406" w:type="pct"/>
            <w:shd w:val="clear" w:color="auto" w:fill="auto"/>
            <w:vAlign w:val="center"/>
          </w:tcPr>
          <w:p w14:paraId="510FC510" w14:textId="77777777" w:rsidR="00600499" w:rsidRDefault="00600499" w:rsidP="00DC0670">
            <w:pPr>
              <w:spacing w:beforeLines="20" w:before="48" w:afterLines="20" w:after="48"/>
              <w:jc w:val="center"/>
              <w:rPr>
                <w:noProof/>
                <w:sz w:val="20"/>
              </w:rPr>
            </w:pPr>
          </w:p>
        </w:tc>
        <w:tc>
          <w:tcPr>
            <w:tcW w:w="497" w:type="pct"/>
            <w:shd w:val="clear" w:color="auto" w:fill="auto"/>
            <w:vAlign w:val="center"/>
          </w:tcPr>
          <w:p w14:paraId="6507DDD6" w14:textId="77777777" w:rsidR="00600499" w:rsidRDefault="00600499" w:rsidP="00DC0670">
            <w:pPr>
              <w:spacing w:beforeLines="20" w:before="48" w:afterLines="20" w:after="48"/>
              <w:jc w:val="center"/>
              <w:rPr>
                <w:noProof/>
                <w:sz w:val="20"/>
              </w:rPr>
            </w:pPr>
          </w:p>
        </w:tc>
        <w:tc>
          <w:tcPr>
            <w:tcW w:w="424" w:type="pct"/>
            <w:shd w:val="clear" w:color="auto" w:fill="auto"/>
            <w:vAlign w:val="center"/>
          </w:tcPr>
          <w:p w14:paraId="79D65193" w14:textId="77777777" w:rsidR="00600499" w:rsidRDefault="00600499" w:rsidP="00DC0670">
            <w:pPr>
              <w:spacing w:beforeLines="20" w:before="48" w:afterLines="20" w:after="48"/>
              <w:jc w:val="center"/>
              <w:rPr>
                <w:noProof/>
                <w:sz w:val="20"/>
              </w:rPr>
            </w:pPr>
          </w:p>
        </w:tc>
        <w:tc>
          <w:tcPr>
            <w:tcW w:w="423" w:type="pct"/>
            <w:shd w:val="clear" w:color="auto" w:fill="auto"/>
            <w:vAlign w:val="center"/>
          </w:tcPr>
          <w:p w14:paraId="2E0477C1" w14:textId="77777777" w:rsidR="00600499" w:rsidRDefault="00600499" w:rsidP="00DC0670">
            <w:pPr>
              <w:spacing w:beforeLines="20" w:before="48" w:afterLines="20" w:after="48"/>
              <w:jc w:val="center"/>
              <w:rPr>
                <w:noProof/>
                <w:sz w:val="20"/>
              </w:rPr>
            </w:pPr>
          </w:p>
        </w:tc>
        <w:tc>
          <w:tcPr>
            <w:tcW w:w="452" w:type="pct"/>
            <w:gridSpan w:val="2"/>
            <w:shd w:val="clear" w:color="auto" w:fill="auto"/>
            <w:vAlign w:val="center"/>
          </w:tcPr>
          <w:p w14:paraId="7C72EA9F" w14:textId="77777777" w:rsidR="00600499" w:rsidRDefault="00600499" w:rsidP="00DC0670">
            <w:pPr>
              <w:spacing w:beforeLines="20" w:before="48" w:afterLines="20" w:after="48"/>
              <w:jc w:val="center"/>
              <w:rPr>
                <w:noProof/>
                <w:sz w:val="20"/>
              </w:rPr>
            </w:pPr>
          </w:p>
        </w:tc>
      </w:tr>
      <w:tr w:rsidR="00600499" w14:paraId="237D5BE2" w14:textId="77777777" w:rsidTr="00DC0670">
        <w:trPr>
          <w:trHeight w:val="289"/>
          <w:jc w:val="center"/>
        </w:trPr>
        <w:tc>
          <w:tcPr>
            <w:tcW w:w="2043" w:type="pct"/>
            <w:gridSpan w:val="2"/>
            <w:tcBorders>
              <w:bottom w:val="double" w:sz="4" w:space="0" w:color="auto"/>
            </w:tcBorders>
            <w:shd w:val="clear" w:color="auto" w:fill="auto"/>
            <w:vAlign w:val="center"/>
          </w:tcPr>
          <w:p w14:paraId="0FE92D0A" w14:textId="77777777" w:rsidR="00600499" w:rsidRDefault="00600499" w:rsidP="00DC0670">
            <w:pPr>
              <w:pStyle w:val="Text1"/>
              <w:spacing w:beforeLines="20" w:before="48" w:afterLines="20" w:after="48"/>
              <w:ind w:left="984"/>
              <w:jc w:val="left"/>
              <w:rPr>
                <w:noProof/>
                <w:sz w:val="20"/>
              </w:rPr>
            </w:pPr>
            <w:r>
              <w:rPr>
                <w:noProof/>
                <w:sz w:val="20"/>
              </w:rPr>
              <w:t>Other budget lines (specify)</w:t>
            </w:r>
          </w:p>
        </w:tc>
        <w:tc>
          <w:tcPr>
            <w:tcW w:w="377" w:type="pct"/>
            <w:tcBorders>
              <w:bottom w:val="double" w:sz="4" w:space="0" w:color="auto"/>
            </w:tcBorders>
            <w:shd w:val="clear" w:color="auto" w:fill="auto"/>
            <w:vAlign w:val="center"/>
          </w:tcPr>
          <w:p w14:paraId="7F7183F0" w14:textId="77777777" w:rsidR="00600499" w:rsidRDefault="00600499" w:rsidP="00DC0670">
            <w:pPr>
              <w:spacing w:beforeLines="20" w:before="48" w:afterLines="20" w:after="48"/>
              <w:jc w:val="center"/>
              <w:rPr>
                <w:noProof/>
                <w:sz w:val="20"/>
              </w:rPr>
            </w:pPr>
          </w:p>
        </w:tc>
        <w:tc>
          <w:tcPr>
            <w:tcW w:w="377" w:type="pct"/>
            <w:tcBorders>
              <w:bottom w:val="double" w:sz="4" w:space="0" w:color="auto"/>
            </w:tcBorders>
            <w:shd w:val="clear" w:color="auto" w:fill="auto"/>
            <w:vAlign w:val="center"/>
          </w:tcPr>
          <w:p w14:paraId="40DF8DF1" w14:textId="77777777" w:rsidR="00600499" w:rsidRDefault="00600499" w:rsidP="00DC0670">
            <w:pPr>
              <w:spacing w:beforeLines="20" w:before="48" w:afterLines="20" w:after="48"/>
              <w:jc w:val="center"/>
              <w:rPr>
                <w:noProof/>
                <w:sz w:val="20"/>
              </w:rPr>
            </w:pPr>
          </w:p>
        </w:tc>
        <w:tc>
          <w:tcPr>
            <w:tcW w:w="406" w:type="pct"/>
            <w:tcBorders>
              <w:bottom w:val="double" w:sz="4" w:space="0" w:color="auto"/>
            </w:tcBorders>
            <w:shd w:val="clear" w:color="auto" w:fill="auto"/>
            <w:vAlign w:val="center"/>
          </w:tcPr>
          <w:p w14:paraId="5B5524D9" w14:textId="77777777" w:rsidR="00600499" w:rsidRDefault="00600499" w:rsidP="00DC0670">
            <w:pPr>
              <w:spacing w:beforeLines="20" w:before="48" w:afterLines="20" w:after="48"/>
              <w:jc w:val="center"/>
              <w:rPr>
                <w:noProof/>
                <w:sz w:val="20"/>
              </w:rPr>
            </w:pPr>
          </w:p>
        </w:tc>
        <w:tc>
          <w:tcPr>
            <w:tcW w:w="497" w:type="pct"/>
            <w:tcBorders>
              <w:bottom w:val="double" w:sz="4" w:space="0" w:color="auto"/>
            </w:tcBorders>
            <w:shd w:val="clear" w:color="auto" w:fill="auto"/>
            <w:vAlign w:val="center"/>
          </w:tcPr>
          <w:p w14:paraId="6C7391EA" w14:textId="77777777" w:rsidR="00600499" w:rsidRDefault="00600499" w:rsidP="00DC0670">
            <w:pPr>
              <w:spacing w:beforeLines="20" w:before="48" w:afterLines="20" w:after="48"/>
              <w:jc w:val="center"/>
              <w:rPr>
                <w:noProof/>
                <w:sz w:val="20"/>
              </w:rPr>
            </w:pPr>
          </w:p>
        </w:tc>
        <w:tc>
          <w:tcPr>
            <w:tcW w:w="424" w:type="pct"/>
            <w:tcBorders>
              <w:bottom w:val="double" w:sz="4" w:space="0" w:color="auto"/>
            </w:tcBorders>
            <w:shd w:val="clear" w:color="auto" w:fill="auto"/>
            <w:vAlign w:val="center"/>
          </w:tcPr>
          <w:p w14:paraId="28B1AC3B" w14:textId="77777777" w:rsidR="00600499" w:rsidRDefault="00600499" w:rsidP="00DC0670">
            <w:pPr>
              <w:spacing w:beforeLines="20" w:before="48" w:afterLines="20" w:after="48"/>
              <w:jc w:val="center"/>
              <w:rPr>
                <w:noProof/>
                <w:sz w:val="20"/>
              </w:rPr>
            </w:pPr>
          </w:p>
        </w:tc>
        <w:tc>
          <w:tcPr>
            <w:tcW w:w="423" w:type="pct"/>
            <w:tcBorders>
              <w:bottom w:val="double" w:sz="4" w:space="0" w:color="auto"/>
            </w:tcBorders>
            <w:shd w:val="clear" w:color="auto" w:fill="auto"/>
            <w:vAlign w:val="center"/>
          </w:tcPr>
          <w:p w14:paraId="43290E67" w14:textId="77777777" w:rsidR="00600499" w:rsidRDefault="00600499" w:rsidP="00DC0670">
            <w:pPr>
              <w:spacing w:beforeLines="20" w:before="48" w:afterLines="20" w:after="48"/>
              <w:jc w:val="center"/>
              <w:rPr>
                <w:noProof/>
                <w:sz w:val="20"/>
              </w:rPr>
            </w:pPr>
          </w:p>
        </w:tc>
        <w:tc>
          <w:tcPr>
            <w:tcW w:w="452" w:type="pct"/>
            <w:gridSpan w:val="2"/>
            <w:tcBorders>
              <w:bottom w:val="double" w:sz="4" w:space="0" w:color="auto"/>
            </w:tcBorders>
            <w:shd w:val="clear" w:color="auto" w:fill="auto"/>
            <w:vAlign w:val="center"/>
          </w:tcPr>
          <w:p w14:paraId="191A5D63" w14:textId="77777777" w:rsidR="00600499" w:rsidRDefault="00600499" w:rsidP="00DC0670">
            <w:pPr>
              <w:spacing w:beforeLines="20" w:before="48" w:afterLines="20" w:after="48"/>
              <w:jc w:val="center"/>
              <w:rPr>
                <w:noProof/>
                <w:sz w:val="20"/>
              </w:rPr>
            </w:pPr>
          </w:p>
        </w:tc>
      </w:tr>
      <w:tr w:rsidR="00600499" w14:paraId="1A12117F" w14:textId="77777777" w:rsidTr="00DC0670">
        <w:trPr>
          <w:trHeight w:val="289"/>
          <w:jc w:val="center"/>
        </w:trPr>
        <w:tc>
          <w:tcPr>
            <w:tcW w:w="2043" w:type="pct"/>
            <w:gridSpan w:val="2"/>
            <w:tcBorders>
              <w:top w:val="double" w:sz="4" w:space="0" w:color="auto"/>
            </w:tcBorders>
            <w:shd w:val="clear" w:color="auto" w:fill="auto"/>
            <w:vAlign w:val="center"/>
          </w:tcPr>
          <w:p w14:paraId="1B3ABA6E" w14:textId="77777777" w:rsidR="00600499" w:rsidRDefault="00600499" w:rsidP="00DC0670">
            <w:pPr>
              <w:pStyle w:val="Text1"/>
              <w:spacing w:beforeLines="20" w:before="48" w:afterLines="20" w:after="48"/>
              <w:ind w:left="986"/>
              <w:jc w:val="left"/>
              <w:rPr>
                <w:noProof/>
                <w:sz w:val="20"/>
              </w:rPr>
            </w:pPr>
            <w:r>
              <w:rPr>
                <w:b/>
                <w:noProof/>
                <w:sz w:val="20"/>
              </w:rPr>
              <w:t>TOTAL</w:t>
            </w:r>
          </w:p>
        </w:tc>
        <w:tc>
          <w:tcPr>
            <w:tcW w:w="377" w:type="pct"/>
            <w:tcBorders>
              <w:top w:val="double" w:sz="4" w:space="0" w:color="auto"/>
            </w:tcBorders>
            <w:shd w:val="clear" w:color="auto" w:fill="auto"/>
            <w:vAlign w:val="center"/>
          </w:tcPr>
          <w:p w14:paraId="370ED2D2" w14:textId="77777777" w:rsidR="00600499" w:rsidRDefault="00600499" w:rsidP="00DC0670">
            <w:pPr>
              <w:spacing w:beforeLines="20" w:before="48" w:afterLines="20" w:after="48"/>
              <w:jc w:val="center"/>
              <w:rPr>
                <w:b/>
                <w:noProof/>
                <w:sz w:val="20"/>
              </w:rPr>
            </w:pPr>
          </w:p>
        </w:tc>
        <w:tc>
          <w:tcPr>
            <w:tcW w:w="377" w:type="pct"/>
            <w:tcBorders>
              <w:top w:val="double" w:sz="4" w:space="0" w:color="auto"/>
            </w:tcBorders>
            <w:shd w:val="clear" w:color="auto" w:fill="auto"/>
            <w:vAlign w:val="center"/>
          </w:tcPr>
          <w:p w14:paraId="4EBA995B" w14:textId="77777777" w:rsidR="00600499" w:rsidRDefault="00600499" w:rsidP="00DC0670">
            <w:pPr>
              <w:spacing w:beforeLines="20" w:before="48" w:afterLines="20" w:after="48"/>
              <w:jc w:val="center"/>
              <w:rPr>
                <w:b/>
                <w:noProof/>
                <w:sz w:val="20"/>
              </w:rPr>
            </w:pPr>
          </w:p>
        </w:tc>
        <w:tc>
          <w:tcPr>
            <w:tcW w:w="406" w:type="pct"/>
            <w:tcBorders>
              <w:top w:val="double" w:sz="4" w:space="0" w:color="auto"/>
            </w:tcBorders>
            <w:shd w:val="clear" w:color="auto" w:fill="auto"/>
            <w:vAlign w:val="center"/>
          </w:tcPr>
          <w:p w14:paraId="679A1471" w14:textId="77777777" w:rsidR="00600499" w:rsidRDefault="00600499" w:rsidP="00DC0670">
            <w:pPr>
              <w:spacing w:beforeLines="20" w:before="48" w:afterLines="20" w:after="48"/>
              <w:jc w:val="center"/>
              <w:rPr>
                <w:b/>
                <w:noProof/>
                <w:sz w:val="20"/>
              </w:rPr>
            </w:pPr>
          </w:p>
        </w:tc>
        <w:tc>
          <w:tcPr>
            <w:tcW w:w="497" w:type="pct"/>
            <w:tcBorders>
              <w:top w:val="double" w:sz="4" w:space="0" w:color="auto"/>
            </w:tcBorders>
            <w:shd w:val="clear" w:color="auto" w:fill="auto"/>
            <w:vAlign w:val="center"/>
          </w:tcPr>
          <w:p w14:paraId="1D0F31D5" w14:textId="77777777" w:rsidR="00600499" w:rsidRDefault="00600499" w:rsidP="00DC0670">
            <w:pPr>
              <w:spacing w:beforeLines="20" w:before="48" w:afterLines="20" w:after="48"/>
              <w:jc w:val="center"/>
              <w:rPr>
                <w:b/>
                <w:noProof/>
                <w:sz w:val="20"/>
              </w:rPr>
            </w:pPr>
          </w:p>
        </w:tc>
        <w:tc>
          <w:tcPr>
            <w:tcW w:w="424" w:type="pct"/>
            <w:tcBorders>
              <w:top w:val="double" w:sz="4" w:space="0" w:color="auto"/>
            </w:tcBorders>
            <w:shd w:val="clear" w:color="auto" w:fill="auto"/>
            <w:vAlign w:val="center"/>
          </w:tcPr>
          <w:p w14:paraId="6AF778BD" w14:textId="77777777" w:rsidR="00600499" w:rsidRDefault="00600499" w:rsidP="00DC0670">
            <w:pPr>
              <w:spacing w:beforeLines="20" w:before="48" w:afterLines="20" w:after="48"/>
              <w:jc w:val="center"/>
              <w:rPr>
                <w:b/>
                <w:noProof/>
                <w:sz w:val="20"/>
              </w:rPr>
            </w:pPr>
          </w:p>
        </w:tc>
        <w:tc>
          <w:tcPr>
            <w:tcW w:w="423" w:type="pct"/>
            <w:tcBorders>
              <w:top w:val="double" w:sz="4" w:space="0" w:color="auto"/>
            </w:tcBorders>
            <w:shd w:val="clear" w:color="auto" w:fill="auto"/>
            <w:vAlign w:val="center"/>
          </w:tcPr>
          <w:p w14:paraId="32DFEBFD" w14:textId="77777777" w:rsidR="00600499" w:rsidRDefault="00600499" w:rsidP="00DC0670">
            <w:pPr>
              <w:spacing w:beforeLines="20" w:before="48" w:afterLines="20" w:after="48"/>
              <w:jc w:val="center"/>
              <w:rPr>
                <w:b/>
                <w:noProof/>
                <w:sz w:val="20"/>
              </w:rPr>
            </w:pPr>
          </w:p>
        </w:tc>
        <w:tc>
          <w:tcPr>
            <w:tcW w:w="452" w:type="pct"/>
            <w:gridSpan w:val="2"/>
            <w:tcBorders>
              <w:top w:val="double" w:sz="4" w:space="0" w:color="auto"/>
            </w:tcBorders>
            <w:shd w:val="clear" w:color="auto" w:fill="auto"/>
            <w:vAlign w:val="center"/>
          </w:tcPr>
          <w:p w14:paraId="536D102B" w14:textId="77777777" w:rsidR="00600499" w:rsidRDefault="00600499" w:rsidP="00DC0670">
            <w:pPr>
              <w:spacing w:beforeLines="20" w:before="48" w:afterLines="20" w:after="48"/>
              <w:jc w:val="center"/>
              <w:rPr>
                <w:b/>
                <w:noProof/>
                <w:sz w:val="20"/>
              </w:rPr>
            </w:pPr>
          </w:p>
        </w:tc>
      </w:tr>
    </w:tbl>
    <w:p w14:paraId="423600BD" w14:textId="77777777" w:rsidR="00600499" w:rsidRDefault="00600499" w:rsidP="00600499">
      <w:pPr>
        <w:pStyle w:val="Text1"/>
        <w:rPr>
          <w:noProof/>
          <w:sz w:val="22"/>
        </w:rPr>
      </w:pPr>
      <w:r>
        <w:rPr>
          <w:noProof/>
          <w:sz w:val="22"/>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14:paraId="2CC73711" w14:textId="77777777" w:rsidR="00600499" w:rsidRDefault="00600499" w:rsidP="00600499">
      <w:pPr>
        <w:rPr>
          <w:noProof/>
          <w:sz w:val="20"/>
        </w:rPr>
      </w:pPr>
      <w:r>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600499" w14:paraId="4F5D46D7" w14:textId="77777777" w:rsidTr="00DC0670">
        <w:tc>
          <w:tcPr>
            <w:tcW w:w="3240" w:type="dxa"/>
          </w:tcPr>
          <w:p w14:paraId="719849EF" w14:textId="77777777" w:rsidR="00600499" w:rsidRDefault="00600499" w:rsidP="00DC0670">
            <w:pPr>
              <w:rPr>
                <w:noProof/>
                <w:sz w:val="20"/>
              </w:rPr>
            </w:pPr>
            <w:r>
              <w:rPr>
                <w:noProof/>
                <w:sz w:val="20"/>
              </w:rPr>
              <w:t>Officials and temporary staff</w:t>
            </w:r>
          </w:p>
        </w:tc>
        <w:tc>
          <w:tcPr>
            <w:tcW w:w="7200" w:type="dxa"/>
          </w:tcPr>
          <w:p w14:paraId="7A594FF4" w14:textId="77777777" w:rsidR="00600499" w:rsidRDefault="00600499" w:rsidP="00DC0670">
            <w:pPr>
              <w:rPr>
                <w:noProof/>
                <w:sz w:val="20"/>
              </w:rPr>
            </w:pPr>
          </w:p>
        </w:tc>
      </w:tr>
      <w:tr w:rsidR="00600499" w14:paraId="3D3B40D2" w14:textId="77777777" w:rsidTr="00DC0670">
        <w:tc>
          <w:tcPr>
            <w:tcW w:w="3240" w:type="dxa"/>
          </w:tcPr>
          <w:p w14:paraId="4873820B" w14:textId="77777777" w:rsidR="00600499" w:rsidRDefault="00600499" w:rsidP="00DC0670">
            <w:pPr>
              <w:spacing w:before="60" w:after="60"/>
              <w:rPr>
                <w:noProof/>
                <w:sz w:val="20"/>
              </w:rPr>
            </w:pPr>
            <w:r>
              <w:rPr>
                <w:noProof/>
                <w:sz w:val="20"/>
              </w:rPr>
              <w:t>External staff</w:t>
            </w:r>
          </w:p>
        </w:tc>
        <w:tc>
          <w:tcPr>
            <w:tcW w:w="7200" w:type="dxa"/>
          </w:tcPr>
          <w:p w14:paraId="1250B4F8" w14:textId="77777777" w:rsidR="00600499" w:rsidRDefault="00600499" w:rsidP="00DC0670">
            <w:pPr>
              <w:rPr>
                <w:noProof/>
                <w:sz w:val="20"/>
              </w:rPr>
            </w:pPr>
          </w:p>
        </w:tc>
      </w:tr>
    </w:tbl>
    <w:p w14:paraId="25329102" w14:textId="77777777" w:rsidR="00600499" w:rsidRDefault="00600499" w:rsidP="00600499">
      <w:pPr>
        <w:rPr>
          <w:noProof/>
        </w:rPr>
      </w:pPr>
    </w:p>
    <w:p w14:paraId="1FF1AF9A" w14:textId="77777777" w:rsidR="00600499" w:rsidRDefault="00600499" w:rsidP="00600499">
      <w:pPr>
        <w:rPr>
          <w:noProof/>
        </w:rPr>
      </w:pPr>
      <w:r>
        <w:rPr>
          <w:noProof/>
        </w:rPr>
        <w:t xml:space="preserve">Description of the calculation of cost for FTE units should be included in the Annex V, section 3. </w:t>
      </w:r>
    </w:p>
    <w:p w14:paraId="15EA716D" w14:textId="77777777" w:rsidR="00600499" w:rsidRDefault="00600499" w:rsidP="00600499">
      <w:pPr>
        <w:rPr>
          <w:noProof/>
        </w:rPr>
        <w:sectPr w:rsidR="00600499" w:rsidSect="00F530FA">
          <w:pgSz w:w="11907" w:h="16839"/>
          <w:pgMar w:top="1134" w:right="1417" w:bottom="1134" w:left="1417" w:header="709" w:footer="709" w:gutter="0"/>
          <w:cols w:space="720"/>
          <w:docGrid w:linePitch="326"/>
        </w:sectPr>
      </w:pPr>
    </w:p>
    <w:p w14:paraId="5E0E2B34" w14:textId="77777777" w:rsidR="00600499" w:rsidRDefault="00600499" w:rsidP="00600499">
      <w:pPr>
        <w:pStyle w:val="ManualHeading3"/>
        <w:rPr>
          <w:bCs/>
          <w:noProof/>
          <w:szCs w:val="24"/>
        </w:rPr>
      </w:pPr>
      <w:bookmarkStart w:id="65" w:name="_Toc514938689"/>
      <w:bookmarkStart w:id="66" w:name="_Toc520485448"/>
      <w:r w:rsidRPr="006D222F">
        <w:rPr>
          <w:noProof/>
        </w:rPr>
        <w:t>3.2.4.</w:t>
      </w:r>
      <w:r w:rsidRPr="006D222F">
        <w:rPr>
          <w:noProof/>
        </w:rPr>
        <w:tab/>
      </w:r>
      <w:r>
        <w:rPr>
          <w:noProof/>
        </w:rPr>
        <w:t>Compatibility with the current multiannual financial framework</w:t>
      </w:r>
      <w:bookmarkEnd w:id="65"/>
      <w:bookmarkEnd w:id="66"/>
      <w:r>
        <w:rPr>
          <w:noProof/>
        </w:rPr>
        <w:t xml:space="preserve"> </w:t>
      </w:r>
    </w:p>
    <w:p w14:paraId="609C441A" w14:textId="77777777" w:rsidR="00600499" w:rsidRDefault="00600499" w:rsidP="00E37235">
      <w:pPr>
        <w:pStyle w:val="ListDash1"/>
        <w:rPr>
          <w:noProof/>
        </w:rPr>
      </w:pPr>
      <w:r>
        <w:rPr>
          <w:noProof/>
        </w:rPr>
        <w:sym w:font="Wingdings" w:char="F0FE"/>
      </w:r>
      <w:r>
        <w:rPr>
          <w:noProof/>
        </w:rPr>
        <w:tab/>
        <w:t>The proposal/initiative is compatible the current multiannual financial framework.</w:t>
      </w:r>
    </w:p>
    <w:p w14:paraId="65ED8DF5" w14:textId="77777777" w:rsidR="00600499" w:rsidRDefault="00600499" w:rsidP="00E37235">
      <w:pPr>
        <w:pStyle w:val="ListDash1"/>
        <w:rPr>
          <w:noProof/>
        </w:rPr>
      </w:pPr>
      <w:r>
        <w:rPr>
          <w:noProof/>
        </w:rPr>
        <w:sym w:font="Wingdings" w:char="F0FE"/>
      </w:r>
      <w:r>
        <w:rPr>
          <w:noProof/>
        </w:rPr>
        <w:tab/>
        <w:t>The proposal/initiative will entail reprogramming of the relevant heading in the multiannual financial framework.</w:t>
      </w:r>
    </w:p>
    <w:p w14:paraId="656BDB26" w14:textId="77777777" w:rsidR="00600499" w:rsidRDefault="00600499" w:rsidP="00600499">
      <w:pPr>
        <w:pStyle w:val="Text1"/>
        <w:pBdr>
          <w:top w:val="single" w:sz="4" w:space="1" w:color="auto"/>
          <w:left w:val="single" w:sz="4" w:space="4" w:color="auto"/>
          <w:bottom w:val="single" w:sz="4" w:space="1" w:color="auto"/>
          <w:right w:val="single" w:sz="4" w:space="4" w:color="auto"/>
        </w:pBdr>
        <w:rPr>
          <w:noProof/>
          <w:sz w:val="20"/>
        </w:rPr>
      </w:pPr>
      <w:r w:rsidRPr="00F22FDD">
        <w:rPr>
          <w:noProof/>
          <w:szCs w:val="24"/>
        </w:rPr>
        <w:t>The tasks allocated to EMSA will require reprogramming of the budget line for the annual contribution to the Agency (02 10 02)</w:t>
      </w:r>
      <w:r>
        <w:rPr>
          <w:noProof/>
          <w:szCs w:val="24"/>
        </w:rPr>
        <w:t xml:space="preserve"> under the current multiannual financial framework</w:t>
      </w:r>
      <w:r w:rsidRPr="00F22FDD">
        <w:rPr>
          <w:noProof/>
          <w:szCs w:val="24"/>
        </w:rPr>
        <w:t>. The increase in appropriations for EMSA will be offset by a compensatory reduction of programmed spending under CEF Transport (02 03 01)</w:t>
      </w:r>
      <w:r>
        <w:rPr>
          <w:noProof/>
          <w:sz w:val="20"/>
        </w:rPr>
        <w:t xml:space="preserve"> </w:t>
      </w:r>
      <w:r>
        <w:rPr>
          <w:noProof/>
          <w:szCs w:val="24"/>
        </w:rPr>
        <w:t>under the current multiannual financial framework</w:t>
      </w:r>
      <w:r>
        <w:rPr>
          <w:noProof/>
          <w:sz w:val="20"/>
        </w:rPr>
        <w:t>.</w:t>
      </w:r>
      <w:r w:rsidR="004F7FB7">
        <w:rPr>
          <w:noProof/>
          <w:sz w:val="20"/>
        </w:rPr>
        <w:t xml:space="preserve"> </w:t>
      </w:r>
      <w:r w:rsidR="004F7FB7" w:rsidRPr="002063E3">
        <w:rPr>
          <w:noProof/>
          <w:szCs w:val="24"/>
        </w:rPr>
        <w:t>The budget impact beyond the current MFF is an indicative overview, without prejudice to the future MFF Agreement.</w:t>
      </w:r>
    </w:p>
    <w:p w14:paraId="75C33743" w14:textId="77777777" w:rsidR="00600499" w:rsidRDefault="00600499" w:rsidP="00E37235">
      <w:pPr>
        <w:pStyle w:val="ListDash1"/>
        <w:rPr>
          <w:noProof/>
        </w:rPr>
      </w:pPr>
      <w:r>
        <w:rPr>
          <w:noProof/>
        </w:rPr>
        <w:sym w:font="Wingdings" w:char="F0A8"/>
      </w:r>
      <w:r>
        <w:rPr>
          <w:noProof/>
        </w:rPr>
        <w:tab/>
        <w:t>The proposal/initiative requires application of the flexibility instrument or revision of the multiannual financial framework</w:t>
      </w:r>
      <w:r>
        <w:rPr>
          <w:rStyle w:val="FootnoteReference"/>
          <w:noProof/>
        </w:rPr>
        <w:footnoteReference w:id="63"/>
      </w:r>
      <w:r>
        <w:rPr>
          <w:noProof/>
        </w:rPr>
        <w:t>.</w:t>
      </w:r>
    </w:p>
    <w:p w14:paraId="5D2C0C36" w14:textId="77777777" w:rsidR="00600499" w:rsidRDefault="00600499" w:rsidP="00600499">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is required, specifying the headings and budget lines concerned and the corresponding amounts.</w:t>
      </w:r>
    </w:p>
    <w:p w14:paraId="7DDD4BA8" w14:textId="77777777" w:rsidR="00600499" w:rsidRDefault="00600499" w:rsidP="00600499">
      <w:pPr>
        <w:pStyle w:val="Text1"/>
        <w:pBdr>
          <w:top w:val="single" w:sz="4" w:space="1" w:color="auto"/>
          <w:left w:val="single" w:sz="4" w:space="4" w:color="auto"/>
          <w:bottom w:val="single" w:sz="4" w:space="1" w:color="auto"/>
          <w:right w:val="single" w:sz="4" w:space="4" w:color="auto"/>
        </w:pBdr>
        <w:rPr>
          <w:noProof/>
          <w:sz w:val="20"/>
        </w:rPr>
      </w:pPr>
    </w:p>
    <w:p w14:paraId="2DAC5648" w14:textId="77777777" w:rsidR="00600499" w:rsidRDefault="00600499" w:rsidP="00600499">
      <w:pPr>
        <w:pStyle w:val="ManualHeading3"/>
        <w:rPr>
          <w:bCs/>
          <w:noProof/>
          <w:szCs w:val="24"/>
        </w:rPr>
      </w:pPr>
      <w:bookmarkStart w:id="67" w:name="_Toc514938690"/>
      <w:bookmarkStart w:id="68" w:name="_Toc520485449"/>
      <w:r w:rsidRPr="006D222F">
        <w:rPr>
          <w:noProof/>
        </w:rPr>
        <w:t>3.2.5.</w:t>
      </w:r>
      <w:r w:rsidRPr="006D222F">
        <w:rPr>
          <w:noProof/>
        </w:rPr>
        <w:tab/>
      </w:r>
      <w:r>
        <w:rPr>
          <w:noProof/>
        </w:rPr>
        <w:t>Third-party contributions</w:t>
      </w:r>
      <w:bookmarkEnd w:id="67"/>
      <w:bookmarkEnd w:id="68"/>
      <w:r>
        <w:rPr>
          <w:noProof/>
        </w:rPr>
        <w:t xml:space="preserve"> </w:t>
      </w:r>
    </w:p>
    <w:p w14:paraId="4776D183" w14:textId="77777777" w:rsidR="00600499" w:rsidRDefault="00600499" w:rsidP="00E37235">
      <w:pPr>
        <w:pStyle w:val="ListDash1"/>
        <w:rPr>
          <w:noProof/>
        </w:rPr>
      </w:pPr>
      <w:r>
        <w:rPr>
          <w:noProof/>
        </w:rPr>
        <w:t xml:space="preserve">The proposal/initiative does not provide for co-financing by third parties. </w:t>
      </w:r>
    </w:p>
    <w:p w14:paraId="345061C3" w14:textId="77777777" w:rsidR="00600499" w:rsidRDefault="00600499" w:rsidP="00E37235">
      <w:pPr>
        <w:pStyle w:val="ListDash1"/>
        <w:rPr>
          <w:noProof/>
        </w:rPr>
      </w:pPr>
      <w:r>
        <w:rPr>
          <w:noProof/>
        </w:rPr>
        <w:t>The proposal/initiative provides for the co-financing estimated below:</w:t>
      </w:r>
    </w:p>
    <w:p w14:paraId="0AC34125" w14:textId="77777777" w:rsidR="00600499" w:rsidRDefault="00600499" w:rsidP="00600499">
      <w:pPr>
        <w:jc w:val="right"/>
        <w:rPr>
          <w:noProof/>
          <w:sz w:val="20"/>
        </w:rPr>
      </w:pPr>
      <w:r>
        <w:rPr>
          <w:noProof/>
          <w:sz w:val="20"/>
        </w:rPr>
        <w:t>EUR million (to three decimal places)</w:t>
      </w:r>
    </w:p>
    <w:tbl>
      <w:tblPr>
        <w:tblW w:w="0" w:type="auto"/>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600499" w14:paraId="1C316F64" w14:textId="77777777" w:rsidTr="00DC0670">
        <w:trPr>
          <w:cantSplit/>
        </w:trPr>
        <w:tc>
          <w:tcPr>
            <w:tcW w:w="2340" w:type="dxa"/>
          </w:tcPr>
          <w:p w14:paraId="7FA6F0F8" w14:textId="77777777" w:rsidR="00600499" w:rsidRDefault="00600499" w:rsidP="00DC0670">
            <w:pPr>
              <w:spacing w:before="60" w:after="60"/>
              <w:rPr>
                <w:noProof/>
                <w:sz w:val="20"/>
              </w:rPr>
            </w:pPr>
          </w:p>
        </w:tc>
        <w:tc>
          <w:tcPr>
            <w:tcW w:w="964" w:type="dxa"/>
            <w:vAlign w:val="center"/>
          </w:tcPr>
          <w:p w14:paraId="427753B4" w14:textId="77777777" w:rsidR="00600499" w:rsidRDefault="00600499" w:rsidP="00DC0670">
            <w:pPr>
              <w:jc w:val="center"/>
              <w:rPr>
                <w:noProof/>
                <w:sz w:val="20"/>
              </w:rPr>
            </w:pPr>
            <w:r>
              <w:rPr>
                <w:noProof/>
                <w:sz w:val="20"/>
              </w:rPr>
              <w:t>Year</w:t>
            </w:r>
            <w:r>
              <w:rPr>
                <w:noProof/>
                <w:sz w:val="22"/>
              </w:rPr>
              <w:br/>
            </w:r>
            <w:r>
              <w:rPr>
                <w:b/>
                <w:noProof/>
                <w:sz w:val="20"/>
              </w:rPr>
              <w:t>N</w:t>
            </w:r>
          </w:p>
        </w:tc>
        <w:tc>
          <w:tcPr>
            <w:tcW w:w="964" w:type="dxa"/>
            <w:vAlign w:val="center"/>
          </w:tcPr>
          <w:p w14:paraId="76D2F2BC" w14:textId="77777777" w:rsidR="00600499" w:rsidRDefault="00600499" w:rsidP="00DC0670">
            <w:pPr>
              <w:jc w:val="center"/>
              <w:rPr>
                <w:noProof/>
                <w:sz w:val="20"/>
              </w:rPr>
            </w:pPr>
            <w:r>
              <w:rPr>
                <w:noProof/>
                <w:sz w:val="20"/>
              </w:rPr>
              <w:t>Year</w:t>
            </w:r>
            <w:r>
              <w:rPr>
                <w:noProof/>
                <w:sz w:val="22"/>
              </w:rPr>
              <w:br/>
            </w:r>
            <w:r>
              <w:rPr>
                <w:b/>
                <w:noProof/>
                <w:sz w:val="20"/>
              </w:rPr>
              <w:t>N+1</w:t>
            </w:r>
          </w:p>
        </w:tc>
        <w:tc>
          <w:tcPr>
            <w:tcW w:w="964" w:type="dxa"/>
            <w:vAlign w:val="center"/>
          </w:tcPr>
          <w:p w14:paraId="15B7080A" w14:textId="77777777" w:rsidR="00600499" w:rsidRDefault="00600499" w:rsidP="00DC0670">
            <w:pPr>
              <w:jc w:val="center"/>
              <w:rPr>
                <w:noProof/>
                <w:sz w:val="20"/>
              </w:rPr>
            </w:pPr>
            <w:r>
              <w:rPr>
                <w:noProof/>
                <w:sz w:val="20"/>
              </w:rPr>
              <w:t>Year</w:t>
            </w:r>
            <w:r>
              <w:rPr>
                <w:noProof/>
                <w:sz w:val="22"/>
              </w:rPr>
              <w:br/>
            </w:r>
            <w:r>
              <w:rPr>
                <w:b/>
                <w:noProof/>
                <w:sz w:val="20"/>
              </w:rPr>
              <w:t>N+2</w:t>
            </w:r>
          </w:p>
        </w:tc>
        <w:tc>
          <w:tcPr>
            <w:tcW w:w="964" w:type="dxa"/>
            <w:vAlign w:val="center"/>
          </w:tcPr>
          <w:p w14:paraId="29BC3749" w14:textId="77777777" w:rsidR="00600499" w:rsidRDefault="00600499" w:rsidP="00DC0670">
            <w:pPr>
              <w:jc w:val="center"/>
              <w:rPr>
                <w:noProof/>
                <w:sz w:val="20"/>
              </w:rPr>
            </w:pPr>
            <w:r>
              <w:rPr>
                <w:noProof/>
                <w:sz w:val="20"/>
              </w:rPr>
              <w:t>Year</w:t>
            </w:r>
            <w:r>
              <w:rPr>
                <w:noProof/>
                <w:sz w:val="22"/>
              </w:rPr>
              <w:br/>
            </w:r>
            <w:r>
              <w:rPr>
                <w:b/>
                <w:noProof/>
                <w:sz w:val="20"/>
              </w:rPr>
              <w:t>N+3</w:t>
            </w:r>
          </w:p>
        </w:tc>
        <w:tc>
          <w:tcPr>
            <w:tcW w:w="2892" w:type="dxa"/>
            <w:gridSpan w:val="3"/>
            <w:vAlign w:val="center"/>
          </w:tcPr>
          <w:p w14:paraId="34A1A238" w14:textId="77777777" w:rsidR="00600499" w:rsidRDefault="00600499" w:rsidP="00DC0670">
            <w:pPr>
              <w:jc w:val="center"/>
              <w:rPr>
                <w:b/>
                <w:noProof/>
                <w:sz w:val="20"/>
              </w:rPr>
            </w:pPr>
            <w:r>
              <w:rPr>
                <w:noProof/>
                <w:sz w:val="20"/>
              </w:rPr>
              <w:t>Enter as many years as necessary to show the duration of the impact (see point 1.6)</w:t>
            </w:r>
          </w:p>
        </w:tc>
        <w:tc>
          <w:tcPr>
            <w:tcW w:w="1158" w:type="dxa"/>
            <w:vAlign w:val="center"/>
          </w:tcPr>
          <w:p w14:paraId="37D908C0" w14:textId="77777777" w:rsidR="00600499" w:rsidRDefault="00600499" w:rsidP="00DC0670">
            <w:pPr>
              <w:spacing w:before="60" w:after="60"/>
              <w:jc w:val="center"/>
              <w:rPr>
                <w:noProof/>
                <w:sz w:val="20"/>
              </w:rPr>
            </w:pPr>
            <w:r>
              <w:rPr>
                <w:noProof/>
                <w:sz w:val="20"/>
              </w:rPr>
              <w:t>Total</w:t>
            </w:r>
          </w:p>
        </w:tc>
      </w:tr>
      <w:tr w:rsidR="00600499" w14:paraId="741F9030" w14:textId="77777777" w:rsidTr="00DC0670">
        <w:trPr>
          <w:cantSplit/>
        </w:trPr>
        <w:tc>
          <w:tcPr>
            <w:tcW w:w="2340" w:type="dxa"/>
          </w:tcPr>
          <w:p w14:paraId="2F8B074D" w14:textId="77777777" w:rsidR="00600499" w:rsidRDefault="00600499" w:rsidP="00DC0670">
            <w:pPr>
              <w:rPr>
                <w:noProof/>
              </w:rPr>
            </w:pPr>
            <w:r>
              <w:rPr>
                <w:noProof/>
                <w:sz w:val="20"/>
              </w:rPr>
              <w:t>Specify the co-financing body</w:t>
            </w:r>
            <w:r>
              <w:rPr>
                <w:i/>
                <w:noProof/>
                <w:sz w:val="20"/>
              </w:rPr>
              <w:t xml:space="preserve"> </w:t>
            </w:r>
          </w:p>
        </w:tc>
        <w:tc>
          <w:tcPr>
            <w:tcW w:w="964" w:type="dxa"/>
            <w:vAlign w:val="center"/>
          </w:tcPr>
          <w:p w14:paraId="03A3E2C1" w14:textId="77777777" w:rsidR="00600499" w:rsidRDefault="00600499" w:rsidP="00DC0670">
            <w:pPr>
              <w:spacing w:before="60" w:after="60"/>
              <w:jc w:val="center"/>
              <w:rPr>
                <w:noProof/>
                <w:sz w:val="20"/>
              </w:rPr>
            </w:pPr>
          </w:p>
        </w:tc>
        <w:tc>
          <w:tcPr>
            <w:tcW w:w="964" w:type="dxa"/>
            <w:vAlign w:val="center"/>
          </w:tcPr>
          <w:p w14:paraId="413EA80E" w14:textId="77777777" w:rsidR="00600499" w:rsidRDefault="00600499" w:rsidP="00DC0670">
            <w:pPr>
              <w:spacing w:before="60" w:after="60"/>
              <w:jc w:val="center"/>
              <w:rPr>
                <w:noProof/>
                <w:sz w:val="20"/>
              </w:rPr>
            </w:pPr>
          </w:p>
        </w:tc>
        <w:tc>
          <w:tcPr>
            <w:tcW w:w="964" w:type="dxa"/>
            <w:vAlign w:val="center"/>
          </w:tcPr>
          <w:p w14:paraId="1BC205CB" w14:textId="77777777" w:rsidR="00600499" w:rsidRDefault="00600499" w:rsidP="00DC0670">
            <w:pPr>
              <w:spacing w:before="60" w:after="60"/>
              <w:jc w:val="center"/>
              <w:rPr>
                <w:noProof/>
                <w:sz w:val="20"/>
              </w:rPr>
            </w:pPr>
          </w:p>
        </w:tc>
        <w:tc>
          <w:tcPr>
            <w:tcW w:w="964" w:type="dxa"/>
            <w:vAlign w:val="center"/>
          </w:tcPr>
          <w:p w14:paraId="7D64F504" w14:textId="77777777" w:rsidR="00600499" w:rsidRDefault="00600499" w:rsidP="00DC0670">
            <w:pPr>
              <w:spacing w:before="60" w:after="60"/>
              <w:jc w:val="center"/>
              <w:rPr>
                <w:noProof/>
                <w:sz w:val="20"/>
              </w:rPr>
            </w:pPr>
          </w:p>
        </w:tc>
        <w:tc>
          <w:tcPr>
            <w:tcW w:w="964" w:type="dxa"/>
            <w:vAlign w:val="center"/>
          </w:tcPr>
          <w:p w14:paraId="2518841B" w14:textId="77777777" w:rsidR="00600499" w:rsidRDefault="00600499" w:rsidP="00DC0670">
            <w:pPr>
              <w:spacing w:before="60" w:after="60"/>
              <w:jc w:val="center"/>
              <w:rPr>
                <w:noProof/>
                <w:sz w:val="20"/>
              </w:rPr>
            </w:pPr>
          </w:p>
        </w:tc>
        <w:tc>
          <w:tcPr>
            <w:tcW w:w="964" w:type="dxa"/>
            <w:vAlign w:val="center"/>
          </w:tcPr>
          <w:p w14:paraId="3890B7C8" w14:textId="77777777" w:rsidR="00600499" w:rsidRDefault="00600499" w:rsidP="00DC0670">
            <w:pPr>
              <w:spacing w:before="60" w:after="60"/>
              <w:jc w:val="center"/>
              <w:rPr>
                <w:noProof/>
                <w:sz w:val="20"/>
              </w:rPr>
            </w:pPr>
          </w:p>
        </w:tc>
        <w:tc>
          <w:tcPr>
            <w:tcW w:w="964" w:type="dxa"/>
            <w:vAlign w:val="center"/>
          </w:tcPr>
          <w:p w14:paraId="22E7416F" w14:textId="77777777" w:rsidR="00600499" w:rsidRDefault="00600499" w:rsidP="00DC0670">
            <w:pPr>
              <w:spacing w:before="60" w:after="60"/>
              <w:jc w:val="center"/>
              <w:rPr>
                <w:noProof/>
                <w:sz w:val="20"/>
              </w:rPr>
            </w:pPr>
          </w:p>
        </w:tc>
        <w:tc>
          <w:tcPr>
            <w:tcW w:w="1158" w:type="dxa"/>
            <w:vAlign w:val="center"/>
          </w:tcPr>
          <w:p w14:paraId="1CC607A2" w14:textId="77777777" w:rsidR="00600499" w:rsidRDefault="00600499" w:rsidP="00DC0670">
            <w:pPr>
              <w:spacing w:before="60" w:after="60"/>
              <w:jc w:val="center"/>
              <w:rPr>
                <w:noProof/>
                <w:sz w:val="20"/>
              </w:rPr>
            </w:pPr>
          </w:p>
        </w:tc>
      </w:tr>
      <w:tr w:rsidR="00600499" w14:paraId="433677F1" w14:textId="77777777" w:rsidTr="00DC0670">
        <w:trPr>
          <w:cantSplit/>
        </w:trPr>
        <w:tc>
          <w:tcPr>
            <w:tcW w:w="2340" w:type="dxa"/>
          </w:tcPr>
          <w:p w14:paraId="79EB866F" w14:textId="77777777" w:rsidR="00600499" w:rsidRDefault="00600499" w:rsidP="00DC0670">
            <w:pPr>
              <w:spacing w:before="60" w:after="60"/>
              <w:rPr>
                <w:noProof/>
                <w:sz w:val="20"/>
              </w:rPr>
            </w:pPr>
            <w:r>
              <w:rPr>
                <w:noProof/>
                <w:sz w:val="20"/>
              </w:rPr>
              <w:t xml:space="preserve">TOTAL appropriations co-financed </w:t>
            </w:r>
          </w:p>
        </w:tc>
        <w:tc>
          <w:tcPr>
            <w:tcW w:w="964" w:type="dxa"/>
            <w:vAlign w:val="center"/>
          </w:tcPr>
          <w:p w14:paraId="5B913A0C" w14:textId="77777777" w:rsidR="00600499" w:rsidRDefault="00600499" w:rsidP="00DC0670">
            <w:pPr>
              <w:spacing w:before="60" w:after="60"/>
              <w:jc w:val="center"/>
              <w:rPr>
                <w:noProof/>
                <w:sz w:val="20"/>
              </w:rPr>
            </w:pPr>
          </w:p>
        </w:tc>
        <w:tc>
          <w:tcPr>
            <w:tcW w:w="964" w:type="dxa"/>
            <w:vAlign w:val="center"/>
          </w:tcPr>
          <w:p w14:paraId="6D6CC396" w14:textId="77777777" w:rsidR="00600499" w:rsidRDefault="00600499" w:rsidP="00DC0670">
            <w:pPr>
              <w:spacing w:before="60" w:after="60"/>
              <w:jc w:val="center"/>
              <w:rPr>
                <w:noProof/>
                <w:sz w:val="20"/>
              </w:rPr>
            </w:pPr>
          </w:p>
        </w:tc>
        <w:tc>
          <w:tcPr>
            <w:tcW w:w="964" w:type="dxa"/>
            <w:vAlign w:val="center"/>
          </w:tcPr>
          <w:p w14:paraId="00983A8C" w14:textId="77777777" w:rsidR="00600499" w:rsidRDefault="00600499" w:rsidP="00DC0670">
            <w:pPr>
              <w:spacing w:before="60" w:after="60"/>
              <w:jc w:val="center"/>
              <w:rPr>
                <w:noProof/>
                <w:sz w:val="20"/>
              </w:rPr>
            </w:pPr>
          </w:p>
        </w:tc>
        <w:tc>
          <w:tcPr>
            <w:tcW w:w="964" w:type="dxa"/>
            <w:vAlign w:val="center"/>
          </w:tcPr>
          <w:p w14:paraId="6B0AB372" w14:textId="77777777" w:rsidR="00600499" w:rsidRDefault="00600499" w:rsidP="00DC0670">
            <w:pPr>
              <w:spacing w:before="60" w:after="60"/>
              <w:jc w:val="center"/>
              <w:rPr>
                <w:noProof/>
                <w:sz w:val="20"/>
              </w:rPr>
            </w:pPr>
          </w:p>
        </w:tc>
        <w:tc>
          <w:tcPr>
            <w:tcW w:w="964" w:type="dxa"/>
            <w:vAlign w:val="center"/>
          </w:tcPr>
          <w:p w14:paraId="14930B2A" w14:textId="77777777" w:rsidR="00600499" w:rsidRDefault="00600499" w:rsidP="00DC0670">
            <w:pPr>
              <w:spacing w:before="60" w:after="60"/>
              <w:jc w:val="center"/>
              <w:rPr>
                <w:noProof/>
                <w:sz w:val="20"/>
              </w:rPr>
            </w:pPr>
          </w:p>
        </w:tc>
        <w:tc>
          <w:tcPr>
            <w:tcW w:w="964" w:type="dxa"/>
            <w:vAlign w:val="center"/>
          </w:tcPr>
          <w:p w14:paraId="681FF4BD" w14:textId="77777777" w:rsidR="00600499" w:rsidRDefault="00600499" w:rsidP="00DC0670">
            <w:pPr>
              <w:spacing w:before="60" w:after="60"/>
              <w:jc w:val="center"/>
              <w:rPr>
                <w:noProof/>
                <w:sz w:val="20"/>
              </w:rPr>
            </w:pPr>
          </w:p>
        </w:tc>
        <w:tc>
          <w:tcPr>
            <w:tcW w:w="964" w:type="dxa"/>
            <w:vAlign w:val="center"/>
          </w:tcPr>
          <w:p w14:paraId="2CFCF67D" w14:textId="77777777" w:rsidR="00600499" w:rsidRDefault="00600499" w:rsidP="00DC0670">
            <w:pPr>
              <w:spacing w:before="60" w:after="60"/>
              <w:jc w:val="center"/>
              <w:rPr>
                <w:noProof/>
                <w:sz w:val="20"/>
              </w:rPr>
            </w:pPr>
          </w:p>
        </w:tc>
        <w:tc>
          <w:tcPr>
            <w:tcW w:w="1158" w:type="dxa"/>
            <w:vAlign w:val="center"/>
          </w:tcPr>
          <w:p w14:paraId="7F88EE9A" w14:textId="77777777" w:rsidR="00600499" w:rsidRDefault="00600499" w:rsidP="00DC0670">
            <w:pPr>
              <w:spacing w:before="60" w:after="60"/>
              <w:jc w:val="center"/>
              <w:rPr>
                <w:noProof/>
                <w:sz w:val="20"/>
              </w:rPr>
            </w:pPr>
          </w:p>
        </w:tc>
      </w:tr>
    </w:tbl>
    <w:p w14:paraId="1BA424E8" w14:textId="77777777" w:rsidR="00600499" w:rsidRDefault="00600499" w:rsidP="00600499">
      <w:pPr>
        <w:rPr>
          <w:noProof/>
        </w:rPr>
      </w:pPr>
      <w:r>
        <w:rPr>
          <w:noProof/>
        </w:rPr>
        <w:br/>
      </w:r>
    </w:p>
    <w:p w14:paraId="03288F48" w14:textId="77777777" w:rsidR="00600499" w:rsidRDefault="00600499" w:rsidP="00600499">
      <w:pPr>
        <w:pStyle w:val="ManualHeading2"/>
        <w:rPr>
          <w:bCs/>
          <w:noProof/>
          <w:szCs w:val="24"/>
        </w:rPr>
      </w:pPr>
      <w:r>
        <w:rPr>
          <w:noProof/>
        </w:rPr>
        <w:br w:type="page"/>
      </w:r>
      <w:bookmarkStart w:id="69" w:name="_Toc514938691"/>
      <w:bookmarkStart w:id="70" w:name="_Toc520485450"/>
      <w:r w:rsidRPr="006D222F">
        <w:rPr>
          <w:noProof/>
        </w:rPr>
        <w:t>3.3.</w:t>
      </w:r>
      <w:r w:rsidRPr="006D222F">
        <w:rPr>
          <w:noProof/>
        </w:rPr>
        <w:tab/>
      </w:r>
      <w:r>
        <w:rPr>
          <w:noProof/>
        </w:rPr>
        <w:t>Estimated impact on revenue</w:t>
      </w:r>
      <w:bookmarkEnd w:id="69"/>
      <w:bookmarkEnd w:id="70"/>
      <w:r>
        <w:rPr>
          <w:noProof/>
        </w:rPr>
        <w:t xml:space="preserve"> </w:t>
      </w:r>
    </w:p>
    <w:p w14:paraId="460D7D12" w14:textId="77777777" w:rsidR="00600499" w:rsidRDefault="00600499" w:rsidP="00E37235">
      <w:pPr>
        <w:pStyle w:val="ListDash1"/>
        <w:rPr>
          <w:noProof/>
        </w:rPr>
      </w:pPr>
      <w:r>
        <w:rPr>
          <w:noProof/>
        </w:rPr>
        <w:sym w:font="Wingdings" w:char="F0FE"/>
      </w:r>
      <w:r>
        <w:rPr>
          <w:noProof/>
        </w:rPr>
        <w:tab/>
        <w:t>The proposal/initiative has no financial impact on revenue.</w:t>
      </w:r>
    </w:p>
    <w:p w14:paraId="0E83F310" w14:textId="77777777" w:rsidR="00600499" w:rsidRDefault="00600499" w:rsidP="00E37235">
      <w:pPr>
        <w:pStyle w:val="ListDash1"/>
        <w:rPr>
          <w:noProof/>
        </w:rPr>
      </w:pPr>
      <w:r>
        <w:rPr>
          <w:noProof/>
        </w:rPr>
        <w:sym w:font="Wingdings" w:char="F0A8"/>
      </w:r>
      <w:r>
        <w:rPr>
          <w:noProof/>
        </w:rPr>
        <w:tab/>
        <w:t>The proposal/initiative has the following financial impact:</w:t>
      </w:r>
    </w:p>
    <w:p w14:paraId="771056EB" w14:textId="77777777" w:rsidR="00600499" w:rsidRDefault="00600499" w:rsidP="0058179D">
      <w:pPr>
        <w:pStyle w:val="ListNumberLevel3"/>
        <w:tabs>
          <w:tab w:val="clear" w:pos="2126"/>
        </w:tabs>
        <w:rPr>
          <w:noProof/>
        </w:rPr>
      </w:pPr>
      <w:r>
        <w:rPr>
          <w:noProof/>
        </w:rPr>
        <w:sym w:font="Wingdings" w:char="F0A8"/>
      </w:r>
      <w:r>
        <w:rPr>
          <w:noProof/>
        </w:rPr>
        <w:tab/>
        <w:t xml:space="preserve">on own resources </w:t>
      </w:r>
    </w:p>
    <w:p w14:paraId="48E378B8" w14:textId="77777777" w:rsidR="00600499" w:rsidRDefault="00600499" w:rsidP="0058179D">
      <w:pPr>
        <w:pStyle w:val="ListNumberLevel3"/>
        <w:tabs>
          <w:tab w:val="clear" w:pos="2126"/>
        </w:tabs>
        <w:rPr>
          <w:noProof/>
        </w:rPr>
      </w:pPr>
      <w:r>
        <w:rPr>
          <w:noProof/>
        </w:rPr>
        <w:sym w:font="Wingdings" w:char="F0A8"/>
      </w:r>
      <w:r>
        <w:rPr>
          <w:noProof/>
        </w:rPr>
        <w:tab/>
        <w:t xml:space="preserve">on other revenue </w:t>
      </w:r>
    </w:p>
    <w:p w14:paraId="599B14B7" w14:textId="77777777" w:rsidR="00600499" w:rsidRPr="005B5680" w:rsidRDefault="00600499" w:rsidP="0058179D">
      <w:pPr>
        <w:pStyle w:val="ListNumberLevel3"/>
        <w:tabs>
          <w:tab w:val="clear" w:pos="2126"/>
        </w:tabs>
        <w:rPr>
          <w:noProof/>
        </w:rPr>
      </w:pPr>
      <w:r>
        <w:rPr>
          <w:noProof/>
        </w:rPr>
        <w:t xml:space="preserve"> </w:t>
      </w:r>
      <w:r w:rsidRPr="005B5680">
        <w:rPr>
          <w:noProof/>
        </w:rPr>
        <w:t xml:space="preserve">please indicate, if the revenue is assigned to expenditure lines </w:t>
      </w:r>
      <w:r w:rsidRPr="005B5680">
        <w:rPr>
          <w:noProof/>
        </w:rPr>
        <w:sym w:font="Wingdings" w:char="F0A8"/>
      </w:r>
    </w:p>
    <w:p w14:paraId="2D76A392" w14:textId="77777777" w:rsidR="00600499" w:rsidRDefault="00600499" w:rsidP="00600499">
      <w:pPr>
        <w:jc w:val="right"/>
        <w:rPr>
          <w:i/>
          <w:noProof/>
          <w:sz w:val="20"/>
        </w:rPr>
      </w:pPr>
      <w:r>
        <w:rPr>
          <w:noProof/>
          <w:sz w:val="20"/>
        </w:rPr>
        <w:t>EUR million (to three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600499" w14:paraId="4CBDBCFF" w14:textId="77777777" w:rsidTr="00DC0670">
        <w:trPr>
          <w:trHeight w:val="388"/>
        </w:trPr>
        <w:tc>
          <w:tcPr>
            <w:tcW w:w="2144" w:type="dxa"/>
            <w:vMerge w:val="restart"/>
            <w:vAlign w:val="center"/>
          </w:tcPr>
          <w:p w14:paraId="3B6DF1E1" w14:textId="77777777" w:rsidR="00600499" w:rsidRDefault="00600499" w:rsidP="00DC0670">
            <w:pPr>
              <w:spacing w:before="40" w:after="40"/>
              <w:rPr>
                <w:noProof/>
                <w:sz w:val="18"/>
              </w:rPr>
            </w:pPr>
            <w:r>
              <w:rPr>
                <w:noProof/>
                <w:sz w:val="18"/>
              </w:rPr>
              <w:t>Budget revenue line:</w:t>
            </w:r>
          </w:p>
        </w:tc>
        <w:tc>
          <w:tcPr>
            <w:tcW w:w="1276" w:type="dxa"/>
            <w:vMerge w:val="restart"/>
            <w:vAlign w:val="center"/>
          </w:tcPr>
          <w:p w14:paraId="03E5166A" w14:textId="77777777" w:rsidR="00600499" w:rsidRDefault="00600499" w:rsidP="00DC0670">
            <w:pPr>
              <w:jc w:val="center"/>
              <w:rPr>
                <w:noProof/>
                <w:sz w:val="18"/>
              </w:rPr>
            </w:pPr>
            <w:r>
              <w:rPr>
                <w:noProof/>
                <w:sz w:val="18"/>
              </w:rPr>
              <w:t>Appropriations available for the current financial year</w:t>
            </w:r>
          </w:p>
        </w:tc>
        <w:tc>
          <w:tcPr>
            <w:tcW w:w="7200" w:type="dxa"/>
            <w:gridSpan w:val="7"/>
            <w:vAlign w:val="center"/>
          </w:tcPr>
          <w:p w14:paraId="0699938A" w14:textId="77777777" w:rsidR="00600499" w:rsidRDefault="00600499" w:rsidP="00DC0670">
            <w:pPr>
              <w:jc w:val="center"/>
              <w:rPr>
                <w:noProof/>
                <w:sz w:val="18"/>
              </w:rPr>
            </w:pPr>
            <w:r>
              <w:rPr>
                <w:noProof/>
                <w:sz w:val="18"/>
              </w:rPr>
              <w:t>Impact of the proposal/initiative</w:t>
            </w:r>
            <w:r>
              <w:rPr>
                <w:rStyle w:val="FootnoteReference"/>
                <w:noProof/>
                <w:sz w:val="18"/>
              </w:rPr>
              <w:footnoteReference w:id="64"/>
            </w:r>
          </w:p>
        </w:tc>
      </w:tr>
      <w:tr w:rsidR="00600499" w14:paraId="34A66BDF" w14:textId="77777777" w:rsidTr="00DC0670">
        <w:trPr>
          <w:trHeight w:val="388"/>
        </w:trPr>
        <w:tc>
          <w:tcPr>
            <w:tcW w:w="2144" w:type="dxa"/>
            <w:vMerge/>
            <w:vAlign w:val="center"/>
          </w:tcPr>
          <w:p w14:paraId="26084E64" w14:textId="77777777" w:rsidR="00600499" w:rsidRDefault="00600499" w:rsidP="00DC0670">
            <w:pPr>
              <w:rPr>
                <w:noProof/>
                <w:sz w:val="18"/>
              </w:rPr>
            </w:pPr>
          </w:p>
        </w:tc>
        <w:tc>
          <w:tcPr>
            <w:tcW w:w="1276" w:type="dxa"/>
            <w:vMerge/>
            <w:vAlign w:val="center"/>
          </w:tcPr>
          <w:p w14:paraId="27B41E4F" w14:textId="77777777" w:rsidR="00600499" w:rsidRDefault="00600499" w:rsidP="00DC0670">
            <w:pPr>
              <w:rPr>
                <w:noProof/>
                <w:sz w:val="18"/>
              </w:rPr>
            </w:pPr>
          </w:p>
        </w:tc>
        <w:tc>
          <w:tcPr>
            <w:tcW w:w="1080" w:type="dxa"/>
            <w:vAlign w:val="center"/>
          </w:tcPr>
          <w:p w14:paraId="43FB7738" w14:textId="77777777" w:rsidR="00600499" w:rsidRDefault="00600499" w:rsidP="00DC0670">
            <w:pPr>
              <w:jc w:val="center"/>
              <w:rPr>
                <w:noProof/>
                <w:sz w:val="18"/>
              </w:rPr>
            </w:pPr>
            <w:r>
              <w:rPr>
                <w:noProof/>
                <w:sz w:val="18"/>
              </w:rPr>
              <w:t>Year</w:t>
            </w:r>
            <w:r>
              <w:rPr>
                <w:noProof/>
                <w:sz w:val="22"/>
              </w:rPr>
              <w:br/>
            </w:r>
            <w:r>
              <w:rPr>
                <w:b/>
                <w:noProof/>
                <w:sz w:val="18"/>
              </w:rPr>
              <w:t>N</w:t>
            </w:r>
          </w:p>
        </w:tc>
        <w:tc>
          <w:tcPr>
            <w:tcW w:w="900" w:type="dxa"/>
            <w:vAlign w:val="center"/>
          </w:tcPr>
          <w:p w14:paraId="211973DD" w14:textId="77777777" w:rsidR="00600499" w:rsidRDefault="00600499" w:rsidP="00DC0670">
            <w:pPr>
              <w:jc w:val="center"/>
              <w:rPr>
                <w:noProof/>
                <w:sz w:val="18"/>
              </w:rPr>
            </w:pPr>
            <w:r>
              <w:rPr>
                <w:noProof/>
                <w:sz w:val="18"/>
              </w:rPr>
              <w:t>Year</w:t>
            </w:r>
            <w:r>
              <w:rPr>
                <w:noProof/>
                <w:sz w:val="22"/>
              </w:rPr>
              <w:br/>
            </w:r>
            <w:r>
              <w:rPr>
                <w:b/>
                <w:noProof/>
                <w:sz w:val="18"/>
              </w:rPr>
              <w:t>N+1</w:t>
            </w:r>
          </w:p>
        </w:tc>
        <w:tc>
          <w:tcPr>
            <w:tcW w:w="900" w:type="dxa"/>
            <w:vAlign w:val="center"/>
          </w:tcPr>
          <w:p w14:paraId="687EBAED" w14:textId="77777777" w:rsidR="00600499" w:rsidRDefault="00600499" w:rsidP="00DC0670">
            <w:pPr>
              <w:jc w:val="center"/>
              <w:rPr>
                <w:noProof/>
                <w:sz w:val="18"/>
              </w:rPr>
            </w:pPr>
            <w:r>
              <w:rPr>
                <w:noProof/>
                <w:sz w:val="18"/>
              </w:rPr>
              <w:t>Year</w:t>
            </w:r>
            <w:r>
              <w:rPr>
                <w:noProof/>
                <w:sz w:val="22"/>
              </w:rPr>
              <w:br/>
            </w:r>
            <w:r>
              <w:rPr>
                <w:b/>
                <w:noProof/>
                <w:sz w:val="18"/>
              </w:rPr>
              <w:t>N+2</w:t>
            </w:r>
          </w:p>
        </w:tc>
        <w:tc>
          <w:tcPr>
            <w:tcW w:w="1080" w:type="dxa"/>
            <w:vAlign w:val="center"/>
          </w:tcPr>
          <w:p w14:paraId="60D6078A" w14:textId="77777777" w:rsidR="00600499" w:rsidRDefault="00600499" w:rsidP="00DC0670">
            <w:pPr>
              <w:jc w:val="center"/>
              <w:rPr>
                <w:noProof/>
                <w:sz w:val="18"/>
              </w:rPr>
            </w:pPr>
            <w:r>
              <w:rPr>
                <w:noProof/>
                <w:sz w:val="18"/>
              </w:rPr>
              <w:t>Year</w:t>
            </w:r>
            <w:r>
              <w:rPr>
                <w:noProof/>
                <w:sz w:val="22"/>
              </w:rPr>
              <w:br/>
            </w:r>
            <w:r>
              <w:rPr>
                <w:b/>
                <w:noProof/>
                <w:sz w:val="18"/>
              </w:rPr>
              <w:t>N+3</w:t>
            </w:r>
          </w:p>
        </w:tc>
        <w:tc>
          <w:tcPr>
            <w:tcW w:w="3240" w:type="dxa"/>
            <w:gridSpan w:val="3"/>
            <w:vAlign w:val="center"/>
          </w:tcPr>
          <w:p w14:paraId="0DEC1320" w14:textId="77777777" w:rsidR="00600499" w:rsidRDefault="00600499" w:rsidP="00DC0670">
            <w:pPr>
              <w:jc w:val="center"/>
              <w:rPr>
                <w:b/>
                <w:noProof/>
                <w:sz w:val="18"/>
              </w:rPr>
            </w:pPr>
            <w:r>
              <w:rPr>
                <w:noProof/>
                <w:sz w:val="18"/>
              </w:rPr>
              <w:t>Enter as many years as necessary to show the duration of the impact (see point 1.6)</w:t>
            </w:r>
          </w:p>
        </w:tc>
      </w:tr>
      <w:tr w:rsidR="00600499" w14:paraId="7DCEF8E4" w14:textId="77777777" w:rsidTr="00DC0670">
        <w:trPr>
          <w:trHeight w:val="388"/>
        </w:trPr>
        <w:tc>
          <w:tcPr>
            <w:tcW w:w="2144" w:type="dxa"/>
            <w:vAlign w:val="center"/>
          </w:tcPr>
          <w:p w14:paraId="6F851B28" w14:textId="77777777" w:rsidR="00600499" w:rsidRDefault="00600499" w:rsidP="00DC0670">
            <w:pPr>
              <w:spacing w:before="40" w:after="40"/>
              <w:rPr>
                <w:noProof/>
                <w:sz w:val="18"/>
              </w:rPr>
            </w:pPr>
            <w:r>
              <w:rPr>
                <w:noProof/>
                <w:sz w:val="18"/>
              </w:rPr>
              <w:t>Article ………….</w:t>
            </w:r>
          </w:p>
        </w:tc>
        <w:tc>
          <w:tcPr>
            <w:tcW w:w="1276" w:type="dxa"/>
          </w:tcPr>
          <w:p w14:paraId="606FC2DE" w14:textId="77777777" w:rsidR="00600499" w:rsidRDefault="00600499" w:rsidP="00DC0670">
            <w:pPr>
              <w:spacing w:beforeLines="40" w:before="96" w:afterLines="40" w:after="96"/>
              <w:jc w:val="center"/>
              <w:rPr>
                <w:i/>
                <w:noProof/>
                <w:sz w:val="18"/>
              </w:rPr>
            </w:pPr>
          </w:p>
        </w:tc>
        <w:tc>
          <w:tcPr>
            <w:tcW w:w="1080" w:type="dxa"/>
          </w:tcPr>
          <w:p w14:paraId="3A93A9DF" w14:textId="77777777" w:rsidR="00600499" w:rsidRDefault="00600499" w:rsidP="00DC0670">
            <w:pPr>
              <w:spacing w:beforeLines="40" w:before="96" w:afterLines="40" w:after="96"/>
              <w:jc w:val="center"/>
              <w:rPr>
                <w:noProof/>
                <w:sz w:val="18"/>
              </w:rPr>
            </w:pPr>
          </w:p>
        </w:tc>
        <w:tc>
          <w:tcPr>
            <w:tcW w:w="900" w:type="dxa"/>
          </w:tcPr>
          <w:p w14:paraId="4DE8A714" w14:textId="77777777" w:rsidR="00600499" w:rsidRDefault="00600499" w:rsidP="00DC0670">
            <w:pPr>
              <w:spacing w:beforeLines="40" w:before="96" w:afterLines="40" w:after="96"/>
              <w:jc w:val="center"/>
              <w:rPr>
                <w:noProof/>
                <w:sz w:val="18"/>
              </w:rPr>
            </w:pPr>
          </w:p>
        </w:tc>
        <w:tc>
          <w:tcPr>
            <w:tcW w:w="900" w:type="dxa"/>
          </w:tcPr>
          <w:p w14:paraId="715E86A6" w14:textId="77777777" w:rsidR="00600499" w:rsidRDefault="00600499" w:rsidP="00DC0670">
            <w:pPr>
              <w:spacing w:beforeLines="40" w:before="96" w:afterLines="40" w:after="96"/>
              <w:jc w:val="center"/>
              <w:rPr>
                <w:noProof/>
                <w:sz w:val="18"/>
              </w:rPr>
            </w:pPr>
          </w:p>
        </w:tc>
        <w:tc>
          <w:tcPr>
            <w:tcW w:w="1080" w:type="dxa"/>
          </w:tcPr>
          <w:p w14:paraId="52608D15" w14:textId="77777777" w:rsidR="00600499" w:rsidRDefault="00600499" w:rsidP="00DC0670">
            <w:pPr>
              <w:spacing w:beforeLines="40" w:before="96" w:afterLines="40" w:after="96"/>
              <w:jc w:val="center"/>
              <w:rPr>
                <w:noProof/>
                <w:sz w:val="18"/>
              </w:rPr>
            </w:pPr>
          </w:p>
        </w:tc>
        <w:tc>
          <w:tcPr>
            <w:tcW w:w="1080" w:type="dxa"/>
          </w:tcPr>
          <w:p w14:paraId="5D11455B" w14:textId="77777777" w:rsidR="00600499" w:rsidRDefault="00600499" w:rsidP="00DC0670">
            <w:pPr>
              <w:spacing w:beforeLines="40" w:before="96" w:afterLines="40" w:after="96"/>
              <w:jc w:val="center"/>
              <w:rPr>
                <w:noProof/>
                <w:sz w:val="18"/>
              </w:rPr>
            </w:pPr>
          </w:p>
        </w:tc>
        <w:tc>
          <w:tcPr>
            <w:tcW w:w="1080" w:type="dxa"/>
          </w:tcPr>
          <w:p w14:paraId="7A9E8F05" w14:textId="77777777" w:rsidR="00600499" w:rsidRDefault="00600499" w:rsidP="00DC0670">
            <w:pPr>
              <w:spacing w:beforeLines="40" w:before="96" w:afterLines="40" w:after="96"/>
              <w:jc w:val="center"/>
              <w:rPr>
                <w:noProof/>
                <w:sz w:val="18"/>
              </w:rPr>
            </w:pPr>
          </w:p>
        </w:tc>
        <w:tc>
          <w:tcPr>
            <w:tcW w:w="1080" w:type="dxa"/>
          </w:tcPr>
          <w:p w14:paraId="2FE1A04A" w14:textId="77777777" w:rsidR="00600499" w:rsidRDefault="00600499" w:rsidP="00DC0670">
            <w:pPr>
              <w:spacing w:beforeLines="40" w:before="96" w:afterLines="40" w:after="96"/>
              <w:jc w:val="center"/>
              <w:rPr>
                <w:noProof/>
                <w:sz w:val="18"/>
              </w:rPr>
            </w:pPr>
          </w:p>
        </w:tc>
      </w:tr>
    </w:tbl>
    <w:p w14:paraId="082F4402" w14:textId="77777777" w:rsidR="00600499" w:rsidRPr="00A32156" w:rsidRDefault="00600499" w:rsidP="00600499">
      <w:pPr>
        <w:pStyle w:val="Text1"/>
        <w:rPr>
          <w:noProof/>
          <w:sz w:val="20"/>
        </w:rPr>
      </w:pPr>
      <w:r w:rsidRPr="00A32156">
        <w:rPr>
          <w:noProof/>
          <w:sz w:val="20"/>
        </w:rPr>
        <w:t>For miscellaneous ‘assigned’ revenue, specify the budget expenditure line(s) affected.</w:t>
      </w:r>
    </w:p>
    <w:p w14:paraId="1850B9E6" w14:textId="77777777" w:rsidR="00600499" w:rsidRDefault="00600499" w:rsidP="00600499">
      <w:pPr>
        <w:pStyle w:val="Text1"/>
        <w:pBdr>
          <w:top w:val="single" w:sz="4" w:space="1" w:color="auto"/>
          <w:left w:val="single" w:sz="4" w:space="4" w:color="auto"/>
          <w:bottom w:val="single" w:sz="4" w:space="1" w:color="auto"/>
          <w:right w:val="single" w:sz="4" w:space="4" w:color="auto"/>
        </w:pBdr>
        <w:rPr>
          <w:noProof/>
        </w:rPr>
      </w:pPr>
    </w:p>
    <w:p w14:paraId="6BF876BB" w14:textId="77777777" w:rsidR="00600499" w:rsidRPr="00A32156" w:rsidRDefault="00600499" w:rsidP="00600499">
      <w:pPr>
        <w:pStyle w:val="Text1"/>
        <w:rPr>
          <w:noProof/>
          <w:sz w:val="20"/>
        </w:rPr>
      </w:pPr>
      <w:r w:rsidRPr="00A32156">
        <w:rPr>
          <w:noProof/>
          <w:sz w:val="20"/>
        </w:rPr>
        <w:t>Specify the method for calculating the impact on revenue.</w:t>
      </w:r>
    </w:p>
    <w:p w14:paraId="35EFDD65" w14:textId="77777777" w:rsidR="00600499" w:rsidRPr="00600499" w:rsidRDefault="00600499" w:rsidP="00DA6FD4">
      <w:pPr>
        <w:pStyle w:val="Text1"/>
        <w:pBdr>
          <w:top w:val="single" w:sz="4" w:space="1" w:color="auto"/>
          <w:left w:val="single" w:sz="4" w:space="4" w:color="auto"/>
          <w:bottom w:val="single" w:sz="4" w:space="1" w:color="auto"/>
          <w:right w:val="single" w:sz="4" w:space="4" w:color="auto"/>
        </w:pBdr>
        <w:rPr>
          <w:noProof/>
        </w:rPr>
      </w:pPr>
    </w:p>
    <w:sectPr w:rsidR="00600499" w:rsidRPr="00600499" w:rsidSect="00F530FA">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68B06" w14:textId="77777777" w:rsidR="00946A57" w:rsidRDefault="00946A57" w:rsidP="00053218">
      <w:pPr>
        <w:spacing w:before="0" w:after="0"/>
      </w:pPr>
      <w:r>
        <w:separator/>
      </w:r>
    </w:p>
  </w:endnote>
  <w:endnote w:type="continuationSeparator" w:id="0">
    <w:p w14:paraId="1ABA0487" w14:textId="77777777" w:rsidR="00946A57" w:rsidRDefault="00946A57" w:rsidP="00053218">
      <w:pPr>
        <w:spacing w:before="0" w:after="0"/>
      </w:pPr>
      <w:r>
        <w:continuationSeparator/>
      </w:r>
    </w:p>
  </w:endnote>
  <w:endnote w:type="continuationNotice" w:id="1">
    <w:p w14:paraId="2832858E" w14:textId="77777777" w:rsidR="00946A57" w:rsidRDefault="00946A5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Roboto">
    <w:altName w:val="Times New Roman"/>
    <w:charset w:val="00"/>
    <w:family w:val="auto"/>
    <w:pitch w:val="variable"/>
    <w:sig w:usb0="00000001" w:usb1="5000217F" w:usb2="00000021"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11E4E" w14:textId="46093E01" w:rsidR="000916D8" w:rsidRPr="00F530FA" w:rsidRDefault="00F530FA" w:rsidP="00F530FA">
    <w:pPr>
      <w:pStyle w:val="Footer"/>
      <w:rPr>
        <w:rFonts w:ascii="Arial" w:hAnsi="Arial" w:cs="Arial"/>
        <w:b/>
        <w:sz w:val="48"/>
      </w:rPr>
    </w:pPr>
    <w:r w:rsidRPr="00F530FA">
      <w:rPr>
        <w:rFonts w:ascii="Arial" w:hAnsi="Arial" w:cs="Arial"/>
        <w:b/>
        <w:sz w:val="48"/>
      </w:rPr>
      <w:t>EN</w:t>
    </w:r>
    <w:r w:rsidRPr="00F530FA">
      <w:rPr>
        <w:rFonts w:ascii="Arial" w:hAnsi="Arial" w:cs="Arial"/>
        <w:b/>
        <w:sz w:val="48"/>
      </w:rPr>
      <w:tab/>
    </w:r>
    <w:r w:rsidRPr="00F530FA">
      <w:rPr>
        <w:rFonts w:ascii="Arial" w:hAnsi="Arial" w:cs="Arial"/>
        <w:b/>
        <w:sz w:val="48"/>
      </w:rPr>
      <w:tab/>
    </w:r>
    <w:r w:rsidRPr="00F530FA">
      <w:tab/>
    </w:r>
    <w:r w:rsidRPr="00F530FA">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484ED" w14:textId="4893B650" w:rsidR="00F530FA" w:rsidRPr="00F530FA" w:rsidRDefault="00F530FA" w:rsidP="00F530FA">
    <w:pPr>
      <w:pStyle w:val="Footer"/>
      <w:rPr>
        <w:rFonts w:ascii="Arial" w:hAnsi="Arial" w:cs="Arial"/>
        <w:b/>
        <w:sz w:val="48"/>
      </w:rPr>
    </w:pPr>
    <w:r w:rsidRPr="00F530FA">
      <w:rPr>
        <w:rFonts w:ascii="Arial" w:hAnsi="Arial" w:cs="Arial"/>
        <w:b/>
        <w:sz w:val="48"/>
      </w:rPr>
      <w:t>EN</w:t>
    </w:r>
    <w:r w:rsidRPr="00F530FA">
      <w:rPr>
        <w:rFonts w:ascii="Arial" w:hAnsi="Arial" w:cs="Arial"/>
        <w:b/>
        <w:sz w:val="48"/>
      </w:rPr>
      <w:tab/>
    </w:r>
    <w:r>
      <w:fldChar w:fldCharType="begin"/>
    </w:r>
    <w:r>
      <w:instrText xml:space="preserve"> PAGE  \* MERGEFORMAT </w:instrText>
    </w:r>
    <w:r>
      <w:fldChar w:fldCharType="separate"/>
    </w:r>
    <w:r w:rsidR="004B45FA">
      <w:rPr>
        <w:noProof/>
      </w:rPr>
      <w:t>46</w:t>
    </w:r>
    <w:r>
      <w:fldChar w:fldCharType="end"/>
    </w:r>
    <w:r>
      <w:tab/>
    </w:r>
    <w:r w:rsidRPr="00F530FA">
      <w:tab/>
    </w:r>
    <w:r w:rsidRPr="00F530FA">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9389A" w14:textId="77777777" w:rsidR="00F530FA" w:rsidRPr="00F530FA" w:rsidRDefault="00F530FA" w:rsidP="00F530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24892" w14:textId="0C602E94" w:rsidR="00841708" w:rsidRPr="00F530FA" w:rsidRDefault="00F530FA" w:rsidP="00F530FA">
    <w:pPr>
      <w:pStyle w:val="FooterLandscape"/>
      <w:rPr>
        <w:rFonts w:ascii="Arial" w:hAnsi="Arial" w:cs="Arial"/>
        <w:b/>
        <w:sz w:val="48"/>
      </w:rPr>
    </w:pPr>
    <w:r w:rsidRPr="00F530FA">
      <w:rPr>
        <w:rFonts w:ascii="Arial" w:hAnsi="Arial" w:cs="Arial"/>
        <w:b/>
        <w:sz w:val="48"/>
      </w:rPr>
      <w:t>EN</w:t>
    </w:r>
    <w:r w:rsidRPr="00F530FA">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F530FA">
      <w:tab/>
    </w:r>
    <w:r w:rsidRPr="00F530FA">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CC423" w14:textId="77777777" w:rsidR="00F530FA" w:rsidRPr="00F530FA" w:rsidRDefault="00F530FA" w:rsidP="00F530FA">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B676D" w14:textId="7B1AA2F9" w:rsidR="00841708" w:rsidRPr="00F530FA" w:rsidRDefault="00F530FA" w:rsidP="00F530FA">
    <w:pPr>
      <w:pStyle w:val="Footer"/>
      <w:rPr>
        <w:rFonts w:ascii="Arial" w:hAnsi="Arial" w:cs="Arial"/>
        <w:b/>
        <w:sz w:val="48"/>
      </w:rPr>
    </w:pPr>
    <w:r w:rsidRPr="00F530FA">
      <w:rPr>
        <w:rFonts w:ascii="Arial" w:hAnsi="Arial" w:cs="Arial"/>
        <w:b/>
        <w:sz w:val="48"/>
      </w:rPr>
      <w:t>EN</w:t>
    </w:r>
    <w:r w:rsidRPr="00F530FA">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F530FA">
      <w:tab/>
    </w:r>
    <w:r w:rsidRPr="00F530FA">
      <w:rPr>
        <w:rFonts w:ascii="Arial" w:hAnsi="Arial" w:cs="Arial"/>
        <w:b/>
        <w:sz w:val="48"/>
      </w:rPr>
      <w:t>EN</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0DE69" w14:textId="77777777" w:rsidR="00F530FA" w:rsidRPr="00F530FA" w:rsidRDefault="00F530FA" w:rsidP="00F530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178D1" w14:textId="77777777" w:rsidR="00946A57" w:rsidRDefault="00946A57" w:rsidP="00053218">
      <w:pPr>
        <w:spacing w:before="0" w:after="0"/>
      </w:pPr>
      <w:r>
        <w:separator/>
      </w:r>
    </w:p>
  </w:footnote>
  <w:footnote w:type="continuationSeparator" w:id="0">
    <w:p w14:paraId="2C1AB0BE" w14:textId="77777777" w:rsidR="00946A57" w:rsidRDefault="00946A57" w:rsidP="00053218">
      <w:pPr>
        <w:spacing w:before="0" w:after="0"/>
      </w:pPr>
      <w:r>
        <w:continuationSeparator/>
      </w:r>
    </w:p>
  </w:footnote>
  <w:footnote w:type="continuationNotice" w:id="1">
    <w:p w14:paraId="3FDF2E5B" w14:textId="77777777" w:rsidR="00946A57" w:rsidRDefault="00946A57">
      <w:pPr>
        <w:spacing w:before="0" w:after="0"/>
      </w:pPr>
    </w:p>
  </w:footnote>
  <w:footnote w:id="2">
    <w:p w14:paraId="72D56DB5" w14:textId="77777777" w:rsidR="00946A57" w:rsidRPr="00DA52F8" w:rsidRDefault="00946A57">
      <w:pPr>
        <w:pStyle w:val="FootnoteText"/>
      </w:pPr>
      <w:r w:rsidRPr="00604C98">
        <w:rPr>
          <w:rStyle w:val="FootnoteReference"/>
        </w:rPr>
        <w:footnoteRef/>
      </w:r>
      <w:r>
        <w:tab/>
      </w:r>
      <w:r w:rsidRPr="00741DC7">
        <w:t>Directive 2012/33/EU of the European Parliament and of the Council of 21 November 2012 amending Council Directive 1999/32/EC as regards the sulphur content of marine fuels</w:t>
      </w:r>
      <w:r>
        <w:t xml:space="preserve">, replaced already by </w:t>
      </w:r>
      <w:r w:rsidRPr="00741DC7">
        <w:t>Directive (EU) 2016/802 of the European Parliament and of the Council of 11 May 2016 relating to a reduction in the sulphur content of certain liquid fuels</w:t>
      </w:r>
    </w:p>
  </w:footnote>
  <w:footnote w:id="3">
    <w:p w14:paraId="00DEA8C7" w14:textId="77777777" w:rsidR="00946A57" w:rsidRPr="00DA52F8" w:rsidRDefault="00946A57">
      <w:pPr>
        <w:pStyle w:val="FootnoteText"/>
      </w:pPr>
      <w:r w:rsidRPr="00604C98">
        <w:rPr>
          <w:rStyle w:val="FootnoteReference"/>
        </w:rPr>
        <w:footnoteRef/>
      </w:r>
      <w:r>
        <w:tab/>
      </w:r>
      <w:r w:rsidRPr="00741DC7">
        <w:t>Regulation (EU) 2015/757 of the European Parliament and of the Council of 29 April 2015 on the monitoring, reporting and verification of carbon dioxide emissions from maritime transport, and amending Directive 2009/16/EC</w:t>
      </w:r>
    </w:p>
  </w:footnote>
  <w:footnote w:id="4">
    <w:p w14:paraId="78FD7CAF" w14:textId="77777777" w:rsidR="00946A57" w:rsidRPr="00DA5CE3" w:rsidRDefault="00946A57" w:rsidP="00010BD9">
      <w:pPr>
        <w:pStyle w:val="FootnoteText"/>
        <w:rPr>
          <w:lang w:val="en-US"/>
        </w:rPr>
      </w:pPr>
      <w:r w:rsidRPr="00604C98">
        <w:rPr>
          <w:rStyle w:val="FootnoteReference"/>
        </w:rPr>
        <w:footnoteRef/>
      </w:r>
      <w:r>
        <w:tab/>
      </w:r>
      <w:r w:rsidRPr="00DA5CE3">
        <w:t>Communication from the Commission to the European Parliament, the Council, the European Economic and Social Committee and the Committee of the Regions, Sustainable and Smart Mobility Strategy – putting European transport on track for the future, COM/2020/789 final</w:t>
      </w:r>
    </w:p>
    <w:p w14:paraId="2FA52DBA" w14:textId="77777777" w:rsidR="00946A57" w:rsidRPr="00DA5CE3" w:rsidRDefault="00946A57" w:rsidP="00010BD9">
      <w:pPr>
        <w:pStyle w:val="FootnoteText"/>
        <w:rPr>
          <w:lang w:val="en-US"/>
        </w:rPr>
      </w:pPr>
    </w:p>
  </w:footnote>
  <w:footnote w:id="5">
    <w:p w14:paraId="6ED80A04" w14:textId="77777777" w:rsidR="00946A57" w:rsidRPr="007E608E" w:rsidRDefault="00946A57" w:rsidP="00890C82">
      <w:pPr>
        <w:pStyle w:val="FootnoteText"/>
        <w:rPr>
          <w:lang w:val="en-IE"/>
        </w:rPr>
      </w:pPr>
      <w:r w:rsidRPr="00604C98">
        <w:rPr>
          <w:rStyle w:val="FootnoteReference"/>
        </w:rPr>
        <w:footnoteRef/>
      </w:r>
      <w:r>
        <w:tab/>
      </w:r>
      <w:r w:rsidRPr="007E608E">
        <w:rPr>
          <w:lang w:val="en-IE"/>
        </w:rPr>
        <w:t>Directive 2005/35/EC of the European Parliament and of the Council of 7 September 2005 on ship-source pollution and on the introduction of penalties for infringements</w:t>
      </w:r>
      <w:r>
        <w:rPr>
          <w:bCs/>
        </w:rPr>
        <w:t xml:space="preserve">, </w:t>
      </w:r>
      <w:r w:rsidRPr="6C141289">
        <w:t>OJ L 255, 30.9.2005, p. 11.</w:t>
      </w:r>
    </w:p>
  </w:footnote>
  <w:footnote w:id="6">
    <w:p w14:paraId="7105264C" w14:textId="77777777" w:rsidR="00946A57" w:rsidRPr="007E608E" w:rsidRDefault="00946A57" w:rsidP="00F4653C">
      <w:pPr>
        <w:pStyle w:val="FootnoteText"/>
        <w:rPr>
          <w:lang w:val="en-IE"/>
        </w:rPr>
      </w:pPr>
      <w:r w:rsidRPr="00604C98">
        <w:rPr>
          <w:rStyle w:val="FootnoteReference"/>
        </w:rPr>
        <w:footnoteRef/>
      </w:r>
      <w:r>
        <w:tab/>
      </w:r>
      <w:r w:rsidRPr="007E608E">
        <w:rPr>
          <w:lang w:val="en-IE"/>
        </w:rPr>
        <w:t>Directive 2003/87/EC of the European Parliament and of the Council of 13 October 2003 establishing a scheme for greenhouse gas emission allowance trading within the Community and amending Council Directive 96/61/EC</w:t>
      </w:r>
      <w:r>
        <w:rPr>
          <w:lang w:val="en-IE"/>
        </w:rPr>
        <w:t xml:space="preserve">, </w:t>
      </w:r>
      <w:r w:rsidRPr="00DA52F8">
        <w:rPr>
          <w:lang w:val="en-IE"/>
        </w:rPr>
        <w:t xml:space="preserve"> </w:t>
      </w:r>
      <w:r w:rsidRPr="007E608E">
        <w:rPr>
          <w:iCs/>
        </w:rPr>
        <w:t>OJ L 275, 25.10.2003, p. 32</w:t>
      </w:r>
      <w:r w:rsidRPr="00DA52F8">
        <w:rPr>
          <w:lang w:val="en-IE"/>
        </w:rPr>
        <w:t xml:space="preserve"> </w:t>
      </w:r>
    </w:p>
  </w:footnote>
  <w:footnote w:id="7">
    <w:p w14:paraId="6D9B32B5" w14:textId="77777777" w:rsidR="00946A57" w:rsidRPr="007E608E" w:rsidRDefault="00946A57">
      <w:pPr>
        <w:pStyle w:val="FootnoteText"/>
        <w:rPr>
          <w:lang w:val="en-US"/>
        </w:rPr>
      </w:pPr>
      <w:r w:rsidRPr="00604C98">
        <w:rPr>
          <w:rStyle w:val="FootnoteReference"/>
        </w:rPr>
        <w:footnoteRef/>
      </w:r>
      <w:r>
        <w:tab/>
        <w:t>Joint communication to the European Parliament and the C</w:t>
      </w:r>
      <w:r w:rsidRPr="00DA52F8">
        <w:t>ouncil on the update of the EU Maritime Security Strategy and its Action Plan "An enhanced EU Maritime Security Strategy for evolving maritime threats</w:t>
      </w:r>
      <w:r w:rsidRPr="00B05F98">
        <w:t>"</w:t>
      </w:r>
      <w:r>
        <w:t>, JOIN(2023) 8 final</w:t>
      </w:r>
    </w:p>
  </w:footnote>
  <w:footnote w:id="8">
    <w:p w14:paraId="75F548C1" w14:textId="77777777" w:rsidR="00946A57" w:rsidRPr="00DC4A56" w:rsidRDefault="00946A57" w:rsidP="008C20AA">
      <w:pPr>
        <w:pStyle w:val="FootnoteText"/>
      </w:pPr>
      <w:r w:rsidRPr="0084666C">
        <w:rPr>
          <w:rStyle w:val="FootnoteReference"/>
        </w:rPr>
        <w:footnoteRef/>
      </w:r>
      <w:r>
        <w:tab/>
      </w:r>
      <w:r w:rsidRPr="00DC4A56">
        <w:t xml:space="preserve">COWI, Evaluation of the European Maritime Safety Agency, April 2008, p. 60 </w:t>
      </w:r>
      <w:hyperlink r:id="rId1" w:history="1">
        <w:r w:rsidRPr="00DC4A56">
          <w:t>pdf</w:t>
        </w:r>
      </w:hyperlink>
    </w:p>
  </w:footnote>
  <w:footnote w:id="9">
    <w:p w14:paraId="5DF50FD2" w14:textId="77777777" w:rsidR="00946A57" w:rsidRPr="00DC4A56" w:rsidRDefault="00946A57" w:rsidP="008C20AA">
      <w:pPr>
        <w:pStyle w:val="FootnoteText"/>
      </w:pPr>
      <w:r w:rsidRPr="0084666C">
        <w:rPr>
          <w:rStyle w:val="FootnoteReference"/>
        </w:rPr>
        <w:footnoteRef/>
      </w:r>
      <w:r>
        <w:tab/>
      </w:r>
      <w:r w:rsidRPr="00DC4A56">
        <w:t xml:space="preserve">Ramboll Management Consulting, Evaluation on the Implementation of the Regulation (EC) No 1406/2002 Establishing EMSA, May 2017, p. 156 </w:t>
      </w:r>
      <w:hyperlink r:id="rId2" w:history="1">
        <w:r w:rsidRPr="00DC4A56">
          <w:t>http://www.emsa.europa.eu/publications/item/3092-emsa-guidance-on-the-inventory-of-hazardous-materials-3092.html</w:t>
        </w:r>
      </w:hyperlink>
    </w:p>
  </w:footnote>
  <w:footnote w:id="10">
    <w:p w14:paraId="1D6CC0EF" w14:textId="77777777" w:rsidR="00946A57" w:rsidRPr="00DC4A56" w:rsidRDefault="00946A57" w:rsidP="00010BD9">
      <w:pPr>
        <w:pStyle w:val="FootnoteText"/>
      </w:pPr>
      <w:r w:rsidRPr="00604C98">
        <w:rPr>
          <w:rStyle w:val="FootnoteReference"/>
        </w:rPr>
        <w:footnoteRef/>
      </w:r>
      <w:r>
        <w:tab/>
      </w:r>
      <w:r w:rsidRPr="00DC4A56">
        <w:t xml:space="preserve">Ramboll Management Consulting, Evaluation on the Implementation of the Regulation (EC) No 1406/2002 Establishing EMSA, May 2017, p. 155 </w:t>
      </w:r>
      <w:hyperlink r:id="rId3" w:history="1">
        <w:r w:rsidRPr="00DC4A56">
          <w:t>http://www.emsa.europa.eu/publications/item/3092-emsa-guidance-on-the-inventory-of-hazardous-materials-3092.html</w:t>
        </w:r>
      </w:hyperlink>
    </w:p>
  </w:footnote>
  <w:footnote w:id="11">
    <w:p w14:paraId="70325BE6" w14:textId="77777777" w:rsidR="00946A57" w:rsidRPr="00DC4A56" w:rsidRDefault="00946A57" w:rsidP="00010BD9">
      <w:pPr>
        <w:pStyle w:val="FootnoteText"/>
      </w:pPr>
      <w:r w:rsidRPr="00604C98">
        <w:rPr>
          <w:rStyle w:val="FootnoteReference"/>
        </w:rPr>
        <w:footnoteRef/>
      </w:r>
      <w:r>
        <w:tab/>
      </w:r>
      <w:r w:rsidRPr="00DC4A56">
        <w:t xml:space="preserve">Ramboll Management Consulting, Study on the Cost Effectiveness and Efficiency of EMSA’s Oil Pollution Response Services, April 2017, </w:t>
      </w:r>
      <w:hyperlink r:id="rId4" w:history="1">
        <w:r w:rsidRPr="00DC4A56">
          <w:t>https://ec.europa.eu/transport/sites/default/files/2018-cost-effectiveness-and-efficiency-of-emsa-oil-pollution-response-services.pdf</w:t>
        </w:r>
      </w:hyperlink>
    </w:p>
  </w:footnote>
  <w:footnote w:id="12">
    <w:p w14:paraId="56FC86E8" w14:textId="77777777" w:rsidR="00946A57" w:rsidRPr="00DC4A56" w:rsidRDefault="00946A57" w:rsidP="00010BD9">
      <w:pPr>
        <w:pStyle w:val="FootnoteText"/>
      </w:pPr>
      <w:r w:rsidRPr="00604C98">
        <w:rPr>
          <w:rStyle w:val="FootnoteReference"/>
        </w:rPr>
        <w:footnoteRef/>
      </w:r>
      <w:r>
        <w:tab/>
      </w:r>
      <w:r w:rsidRPr="00DC4A56">
        <w:t xml:space="preserve">Maritime Transport Fitness Check of the legislation on flag State responsibilities, accident investigation, port State control, the vessel traffic monitoring and information system and, the reporting formalities for ships arriving in and/or departing from ports of Member States, Commission Staff Working Document, May 2018, </w:t>
      </w:r>
      <w:hyperlink r:id="rId5" w:history="1">
        <w:r w:rsidRPr="00DC4A56">
          <w:t>https://ec.europa.eu/transport/sites/default/files/3rd-mobility-pack/swd20180228-fitness-check.pdf</w:t>
        </w:r>
      </w:hyperlink>
    </w:p>
  </w:footnote>
  <w:footnote w:id="13">
    <w:p w14:paraId="30D051F7" w14:textId="77777777" w:rsidR="00946A57" w:rsidRPr="005D7904" w:rsidRDefault="00946A57">
      <w:pPr>
        <w:pStyle w:val="FootnoteText"/>
        <w:rPr>
          <w:lang w:val="en-US"/>
        </w:rPr>
      </w:pPr>
      <w:r w:rsidRPr="0084666C">
        <w:rPr>
          <w:rStyle w:val="FootnoteReference"/>
        </w:rPr>
        <w:footnoteRef/>
      </w:r>
      <w:r>
        <w:tab/>
      </w:r>
      <w:r w:rsidRPr="005D7904">
        <w:rPr>
          <w:lang w:val="en-US"/>
        </w:rPr>
        <w:t xml:space="preserve">Commission Delegated Regulation (EU) 2019/715 of 18 December 2018 on the framework financial regulation for the bodies set up under the TFEU and Euratom Treaty and referred to in Article 70 of Regulation (EU, Euratom) 2018/1046 of the European Parliament and of the Council (OJ L 122, 10.5.2019, p. 1–38).  </w:t>
      </w:r>
    </w:p>
  </w:footnote>
  <w:footnote w:id="14">
    <w:p w14:paraId="42E548D9" w14:textId="3EB39437" w:rsidR="00946A57" w:rsidRPr="00F26CC5" w:rsidRDefault="00946A57" w:rsidP="007D7BFB">
      <w:pPr>
        <w:pStyle w:val="FootnoteText"/>
        <w:rPr>
          <w:lang w:val="es-ES"/>
        </w:rPr>
      </w:pPr>
      <w:r w:rsidRPr="00AD0F94">
        <w:rPr>
          <w:rStyle w:val="FootnoteReference"/>
        </w:rPr>
        <w:footnoteRef/>
      </w:r>
      <w:r w:rsidRPr="00F26CC5">
        <w:rPr>
          <w:lang w:val="es-ES"/>
        </w:rPr>
        <w:tab/>
        <w:t>OJ C , , p. .</w:t>
      </w:r>
    </w:p>
  </w:footnote>
  <w:footnote w:id="15">
    <w:p w14:paraId="712877AF" w14:textId="28467AE4" w:rsidR="00946A57" w:rsidRPr="00F26CC5" w:rsidRDefault="00946A57" w:rsidP="007D7BFB">
      <w:pPr>
        <w:pStyle w:val="FootnoteText"/>
        <w:rPr>
          <w:lang w:val="es-ES"/>
        </w:rPr>
      </w:pPr>
      <w:r w:rsidRPr="00AD0F94">
        <w:rPr>
          <w:rStyle w:val="FootnoteReference"/>
        </w:rPr>
        <w:footnoteRef/>
      </w:r>
      <w:r w:rsidRPr="00F26CC5">
        <w:rPr>
          <w:lang w:val="es-ES"/>
        </w:rPr>
        <w:tab/>
        <w:t>OJ C , , p. .</w:t>
      </w:r>
    </w:p>
  </w:footnote>
  <w:footnote w:id="16">
    <w:p w14:paraId="38846006" w14:textId="71F7C39B" w:rsidR="00946A57" w:rsidRDefault="00946A57" w:rsidP="00AC267E">
      <w:pPr>
        <w:pStyle w:val="FootnoteText"/>
      </w:pPr>
      <w:r w:rsidRPr="00841708">
        <w:rPr>
          <w:rStyle w:val="FootnoteReference"/>
        </w:rPr>
        <w:footnoteRef/>
      </w:r>
      <w:r w:rsidR="00841708">
        <w:tab/>
      </w:r>
      <w:r w:rsidRPr="009079E4">
        <w:t>Regulation (EC) No 1406/2002 of the European Parliament and of the Council of 27 June 2002 establishing a European Maritime Safety Agency (OJ L 208, 5.8.2002, p. 1)</w:t>
      </w:r>
      <w:r>
        <w:t>.</w:t>
      </w:r>
    </w:p>
  </w:footnote>
  <w:footnote w:id="17">
    <w:p w14:paraId="49648BF0" w14:textId="77777777" w:rsidR="00946A57" w:rsidRPr="00843ABC" w:rsidRDefault="00946A57" w:rsidP="00D23046">
      <w:pPr>
        <w:pStyle w:val="FootnoteText"/>
        <w:rPr>
          <w:lang w:val="en-IE"/>
        </w:rPr>
      </w:pPr>
      <w:r>
        <w:rPr>
          <w:rStyle w:val="FootnoteReference"/>
        </w:rPr>
        <w:footnoteRef/>
      </w:r>
      <w:r>
        <w:tab/>
      </w:r>
      <w:r w:rsidRPr="00ED79FA">
        <w:rPr>
          <w:bCs/>
        </w:rPr>
        <w:t>Directive 2005/35/EC</w:t>
      </w:r>
      <w:r>
        <w:rPr>
          <w:bCs/>
        </w:rPr>
        <w:t xml:space="preserve"> </w:t>
      </w:r>
      <w:r w:rsidRPr="00976362">
        <w:t>of the European Parliament and of the Council</w:t>
      </w:r>
      <w:r>
        <w:t xml:space="preserve"> of 7 September 2005 on ship-source pollution and on the introduction of penalties, including criminal penalties, for pollution offences (OJ L 255, 30.9.2005, p. 11).</w:t>
      </w:r>
    </w:p>
  </w:footnote>
  <w:footnote w:id="18">
    <w:p w14:paraId="31595426" w14:textId="77777777" w:rsidR="00946A57" w:rsidRPr="00843ABC" w:rsidRDefault="00946A57" w:rsidP="00D23046">
      <w:pPr>
        <w:pStyle w:val="FootnoteText"/>
        <w:rPr>
          <w:lang w:val="en-IE"/>
        </w:rPr>
      </w:pPr>
      <w:r>
        <w:rPr>
          <w:rStyle w:val="FootnoteReference"/>
        </w:rPr>
        <w:footnoteRef/>
      </w:r>
      <w:r>
        <w:tab/>
        <w:t xml:space="preserve">Directive </w:t>
      </w:r>
      <w:r w:rsidRPr="003F69B2">
        <w:t>2009/16/EC</w:t>
      </w:r>
      <w:r>
        <w:t xml:space="preserve"> </w:t>
      </w:r>
      <w:r w:rsidRPr="00976362">
        <w:t>of the European Parliament and of the Council</w:t>
      </w:r>
      <w:r>
        <w:t xml:space="preserve"> of 23 April 2009 on port State control (OJ L 131, 28.5.2009, p. 57).</w:t>
      </w:r>
    </w:p>
  </w:footnote>
  <w:footnote w:id="19">
    <w:p w14:paraId="4AFE071A" w14:textId="77777777" w:rsidR="00946A57" w:rsidRPr="00843ABC" w:rsidRDefault="00946A57" w:rsidP="00D23046">
      <w:pPr>
        <w:pStyle w:val="FootnoteText"/>
        <w:rPr>
          <w:lang w:val="en-IE"/>
        </w:rPr>
      </w:pPr>
      <w:r>
        <w:rPr>
          <w:rStyle w:val="FootnoteReference"/>
        </w:rPr>
        <w:footnoteRef/>
      </w:r>
      <w:r>
        <w:tab/>
        <w:t>Directive 2009/18/EC of the European Parliament and of the Council of 23 April 2009 establishing the fundamental principles governing the investigation of accidents in the maritime transport sector and amending Council Directive 1999/35/EC and Directive 2002/59/EC of the European Parliament and of the Council (OJ L 131, 28.5.2009, p. 114).</w:t>
      </w:r>
    </w:p>
  </w:footnote>
  <w:footnote w:id="20">
    <w:p w14:paraId="0E634D5C" w14:textId="77777777" w:rsidR="00946A57" w:rsidRPr="00843ABC" w:rsidRDefault="00946A57" w:rsidP="007E51F2">
      <w:pPr>
        <w:pStyle w:val="FootnoteText"/>
        <w:rPr>
          <w:lang w:val="en-IE"/>
        </w:rPr>
      </w:pPr>
      <w:r>
        <w:rPr>
          <w:rStyle w:val="FootnoteReference"/>
        </w:rPr>
        <w:footnoteRef/>
      </w:r>
      <w:r>
        <w:tab/>
        <w:t xml:space="preserve">Directive </w:t>
      </w:r>
      <w:r w:rsidRPr="00ED79FA">
        <w:t xml:space="preserve">2009/21/EC </w:t>
      </w:r>
      <w:r w:rsidRPr="00976362">
        <w:t>of the European Parliament and of the Council</w:t>
      </w:r>
      <w:r>
        <w:t xml:space="preserve"> of 23 April 2009 on compliance with flag State requirements (OJ L 131, 28.5.2009, p. 132).</w:t>
      </w:r>
    </w:p>
  </w:footnote>
  <w:footnote w:id="21">
    <w:p w14:paraId="129B7EE4" w14:textId="77777777" w:rsidR="00946A57" w:rsidRPr="00F26CC5" w:rsidRDefault="00946A57">
      <w:pPr>
        <w:pStyle w:val="FootnoteText"/>
        <w:rPr>
          <w:lang w:val="es-ES"/>
        </w:rPr>
      </w:pPr>
      <w:r w:rsidRPr="0084666C">
        <w:rPr>
          <w:rStyle w:val="FootnoteReference"/>
        </w:rPr>
        <w:footnoteRef/>
      </w:r>
      <w:r w:rsidRPr="00F26CC5">
        <w:rPr>
          <w:lang w:val="es-ES"/>
        </w:rPr>
        <w:tab/>
        <w:t>https://european-union.europa.eu/system/files/2022-06/joint_statement_on_decentralised_agencies_en.pdf</w:t>
      </w:r>
    </w:p>
  </w:footnote>
  <w:footnote w:id="22">
    <w:p w14:paraId="725FBAB4" w14:textId="77777777" w:rsidR="00946A57" w:rsidRPr="00813F2E" w:rsidRDefault="00946A57" w:rsidP="00813F2E">
      <w:pPr>
        <w:pStyle w:val="FootnoteText"/>
      </w:pPr>
      <w:r w:rsidRPr="0084666C">
        <w:rPr>
          <w:rStyle w:val="FootnoteReference"/>
        </w:rPr>
        <w:footnoteRef/>
      </w:r>
      <w:r>
        <w:tab/>
      </w:r>
      <w:r w:rsidRPr="00813F2E">
        <w:t xml:space="preserve">Commission </w:t>
      </w:r>
      <w:r>
        <w:t>D</w:t>
      </w:r>
      <w:r w:rsidRPr="00813F2E">
        <w:t>elegated Regulation (EU) 2019/715  of 18 December 2018 on the</w:t>
      </w:r>
      <w:r>
        <w:t xml:space="preserve"> framework financial R</w:t>
      </w:r>
      <w:r w:rsidRPr="00813F2E">
        <w:t>egulation for the bodies set up under the TFEU and Euratom Treaty and referred to in Article 70 of Regulation (EU, Euratom) 2018/1046 of the European Parliament and of the Council</w:t>
      </w:r>
      <w:r>
        <w:t>, (OJ L 122,</w:t>
      </w:r>
      <w:r w:rsidRPr="00EF4FC2">
        <w:rPr>
          <w:iCs/>
          <w:sz w:val="24"/>
          <w:szCs w:val="22"/>
        </w:rPr>
        <w:t xml:space="preserve"> </w:t>
      </w:r>
      <w:r w:rsidRPr="00EF4FC2">
        <w:rPr>
          <w:iCs/>
        </w:rPr>
        <w:t>10.5.2019</w:t>
      </w:r>
      <w:r>
        <w:t xml:space="preserve"> p. 1).</w:t>
      </w:r>
    </w:p>
  </w:footnote>
  <w:footnote w:id="23">
    <w:p w14:paraId="5D8A8F56" w14:textId="77777777" w:rsidR="00946A57" w:rsidRPr="00843ABC" w:rsidRDefault="00946A57" w:rsidP="00C11FA8">
      <w:pPr>
        <w:pStyle w:val="FootnoteText"/>
        <w:rPr>
          <w:lang w:val="en-IE"/>
        </w:rPr>
      </w:pPr>
      <w:r>
        <w:rPr>
          <w:rStyle w:val="FootnoteReference"/>
        </w:rPr>
        <w:footnoteRef/>
      </w:r>
      <w:r>
        <w:tab/>
        <w:t>Directive (EU) 2019/883 of the European Parliament and of the Council of 17 April 2019 on port reception facilities for the delivery of waste from ships, amending Directive 2010/65/EU and repealing Directive 2000/59/EC (OJ L 151, 7.6.2019, p. 116).</w:t>
      </w:r>
    </w:p>
  </w:footnote>
  <w:footnote w:id="24">
    <w:p w14:paraId="27A9D180" w14:textId="77777777" w:rsidR="00946A57" w:rsidRPr="00843ABC" w:rsidRDefault="00946A57" w:rsidP="00C11FA8">
      <w:pPr>
        <w:pStyle w:val="FootnoteText"/>
        <w:rPr>
          <w:lang w:val="en-IE"/>
        </w:rPr>
      </w:pPr>
      <w:r>
        <w:rPr>
          <w:rStyle w:val="FootnoteReference"/>
        </w:rPr>
        <w:footnoteRef/>
      </w:r>
      <w:r>
        <w:tab/>
      </w:r>
      <w:r w:rsidRPr="002104E0">
        <w:t>Directive 2008/56/EC of the European Parliament and of the Council</w:t>
      </w:r>
      <w:r>
        <w:t xml:space="preserve"> of 17 June 2008 establishing a framework for community action in the field of marine environmental policy (Marine Strategy Framework Directive) (OJ L 164, 25.6.2008, p. 19).</w:t>
      </w:r>
    </w:p>
  </w:footnote>
  <w:footnote w:id="25">
    <w:p w14:paraId="38D6ED9F" w14:textId="77777777" w:rsidR="00946A57" w:rsidRPr="00843ABC" w:rsidRDefault="00946A57" w:rsidP="00E4539F">
      <w:pPr>
        <w:pStyle w:val="FootnoteText"/>
        <w:rPr>
          <w:lang w:val="en-IE"/>
        </w:rPr>
      </w:pPr>
      <w:r>
        <w:rPr>
          <w:rStyle w:val="FootnoteReference"/>
        </w:rPr>
        <w:footnoteRef/>
      </w:r>
      <w:r>
        <w:tab/>
        <w:t>Directive (EU) 2016/802 of the European Parliament and of the Council of 11 May 2016 relating to a reduction in the sulphur content of certain liquid fuels (OJ L 132, 21.5.2016, p. 58).</w:t>
      </w:r>
    </w:p>
  </w:footnote>
  <w:footnote w:id="26">
    <w:p w14:paraId="2866C99A" w14:textId="77777777" w:rsidR="00946A57" w:rsidRPr="00843ABC" w:rsidRDefault="00946A57" w:rsidP="00C11FA8">
      <w:pPr>
        <w:pStyle w:val="FootnoteText"/>
        <w:rPr>
          <w:lang w:val="en-IE"/>
        </w:rPr>
      </w:pPr>
      <w:r>
        <w:rPr>
          <w:rStyle w:val="FootnoteReference"/>
        </w:rPr>
        <w:footnoteRef/>
      </w:r>
      <w:r>
        <w:tab/>
      </w:r>
      <w:r w:rsidRPr="00D4343E">
        <w:t>Regulation (EU) 2015/757 of the European Parliament and of the Council</w:t>
      </w:r>
      <w:r>
        <w:t xml:space="preserve"> of 29 April 2015 on the monitoring, reporting and verification of carbon dioxide emissions from maritime transport, and amending Directive 2009/16/EC (OJ L 123, 19.5.2015, p. 55).</w:t>
      </w:r>
    </w:p>
  </w:footnote>
  <w:footnote w:id="27">
    <w:p w14:paraId="0A50CE73" w14:textId="77777777" w:rsidR="00946A57" w:rsidRPr="00843ABC" w:rsidRDefault="00946A57" w:rsidP="00C11FA8">
      <w:pPr>
        <w:pStyle w:val="FootnoteText"/>
        <w:rPr>
          <w:lang w:val="en-IE"/>
        </w:rPr>
      </w:pPr>
      <w:r>
        <w:rPr>
          <w:rStyle w:val="FootnoteReference"/>
        </w:rPr>
        <w:footnoteRef/>
      </w:r>
      <w:r>
        <w:tab/>
      </w:r>
      <w:r w:rsidRPr="006B4FD8">
        <w:t>Directive 2003/87/EC of the European Parliament and of the Council</w:t>
      </w:r>
      <w:r>
        <w:t xml:space="preserve"> of 13 October 2003 establishing a system for greenhouse gas emission allowance trading within the Union and amending Council Directive 96/61/EC (OJ L 275, 25.10.2003, p. 32).</w:t>
      </w:r>
    </w:p>
  </w:footnote>
  <w:footnote w:id="28">
    <w:p w14:paraId="590CB96A" w14:textId="77777777" w:rsidR="00946A57" w:rsidRPr="00DA7FC3" w:rsidRDefault="00946A57" w:rsidP="005A15F5">
      <w:pPr>
        <w:pStyle w:val="FootnoteText"/>
        <w:rPr>
          <w:lang w:val="en-US"/>
        </w:rPr>
      </w:pPr>
      <w:r w:rsidRPr="0084666C">
        <w:rPr>
          <w:rStyle w:val="FootnoteReference"/>
        </w:rPr>
        <w:footnoteRef/>
      </w:r>
      <w:r>
        <w:tab/>
      </w:r>
      <w:r w:rsidRPr="00DA7FC3">
        <w:rPr>
          <w:lang w:val="en-US"/>
        </w:rPr>
        <w:t>Regulation (EC) No 725/2004 of the European Parliament and of the Council of 31 March 2004 on</w:t>
      </w:r>
    </w:p>
    <w:p w14:paraId="5831F4B8" w14:textId="77777777" w:rsidR="00946A57" w:rsidRPr="00DA7FC3" w:rsidRDefault="00946A57" w:rsidP="003B22EF">
      <w:pPr>
        <w:pStyle w:val="FootnoteText"/>
        <w:ind w:firstLine="0"/>
        <w:rPr>
          <w:lang w:val="en-US"/>
        </w:rPr>
      </w:pPr>
      <w:r w:rsidRPr="00DA7FC3">
        <w:rPr>
          <w:lang w:val="en-US"/>
        </w:rPr>
        <w:t>enhancing ship and port facility security, OJ L 129 of 29.4.2004, p. 6</w:t>
      </w:r>
    </w:p>
  </w:footnote>
  <w:footnote w:id="29">
    <w:p w14:paraId="0F860F30" w14:textId="77777777" w:rsidR="00946A57" w:rsidRPr="00843ABC" w:rsidRDefault="00946A57" w:rsidP="00C11FA8">
      <w:pPr>
        <w:pStyle w:val="FootnoteText"/>
        <w:rPr>
          <w:lang w:val="en-IE"/>
        </w:rPr>
      </w:pPr>
      <w:r>
        <w:rPr>
          <w:rStyle w:val="FootnoteReference"/>
        </w:rPr>
        <w:footnoteRef/>
      </w:r>
      <w:r>
        <w:tab/>
      </w:r>
      <w:r w:rsidRPr="00872B4C">
        <w:t>Directive 2002/59/EC of the European Parliament and of the Council</w:t>
      </w:r>
      <w:r>
        <w:t xml:space="preserve"> of 27 June 2002 establishing a Community vessel traffic monitoring and information system and repealing Council Directive 93/75/EEC (OJ L 208, 5.8.2002, p. 10).</w:t>
      </w:r>
    </w:p>
  </w:footnote>
  <w:footnote w:id="30">
    <w:p w14:paraId="25015DD6" w14:textId="77777777" w:rsidR="00946A57" w:rsidRPr="00DB71B2" w:rsidRDefault="00946A57" w:rsidP="00EF4FC2">
      <w:pPr>
        <w:pStyle w:val="FootnoteText"/>
        <w:rPr>
          <w:lang w:val="en-IE"/>
        </w:rPr>
      </w:pPr>
      <w:r>
        <w:rPr>
          <w:rStyle w:val="FootnoteReference"/>
        </w:rPr>
        <w:footnoteRef/>
      </w:r>
      <w:r>
        <w:tab/>
        <w:t>Regulation (EU) 2019/1896 of the European Parliament and of the Council of 13 November 2019 on the European Border and Coast Guard and repealing Regulations (EU) No 1052/2013 and (EU) 2016/1624 (OJ L 295, 14.11.2019, p. 1).</w:t>
      </w:r>
    </w:p>
  </w:footnote>
  <w:footnote w:id="31">
    <w:p w14:paraId="40799377" w14:textId="77777777" w:rsidR="00946A57" w:rsidRPr="00DB71B2" w:rsidRDefault="00946A57" w:rsidP="00EF4FC2">
      <w:pPr>
        <w:pStyle w:val="FootnoteText"/>
        <w:rPr>
          <w:lang w:val="en-IE"/>
        </w:rPr>
      </w:pPr>
      <w:r>
        <w:rPr>
          <w:rStyle w:val="FootnoteReference"/>
        </w:rPr>
        <w:footnoteRef/>
      </w:r>
      <w:r>
        <w:tab/>
        <w:t>Regulation (EU) 2019/473 of the European Parliament and of the Council of 19 March 2019 on the European Fisheries Control Agency (OJ L 83, 25.3.2019, p. 18).</w:t>
      </w:r>
    </w:p>
  </w:footnote>
  <w:footnote w:id="32">
    <w:p w14:paraId="131B02F7" w14:textId="77777777" w:rsidR="00946A57" w:rsidRPr="00E94A1A" w:rsidRDefault="00946A57" w:rsidP="00E30CAA">
      <w:pPr>
        <w:pStyle w:val="FootnoteText"/>
      </w:pPr>
      <w:r w:rsidRPr="0084666C">
        <w:rPr>
          <w:rStyle w:val="FootnoteReference"/>
        </w:rPr>
        <w:footnoteRef/>
      </w:r>
      <w:r>
        <w:tab/>
      </w:r>
      <w:r w:rsidRPr="00E94A1A">
        <w:t>Regulation (EU) No 182/2011 of the European Parliament and of the Council of 16 February 2011 laying down the rules and general principles concerning mechanisms for control by the Member States of the Commission's exercise of implementing powers (OJ L55, 28.2.2011, p. 13)</w:t>
      </w:r>
    </w:p>
  </w:footnote>
  <w:footnote w:id="33">
    <w:p w14:paraId="0E4D8331" w14:textId="77777777" w:rsidR="00946A57" w:rsidRPr="00F43A4D" w:rsidRDefault="00946A57" w:rsidP="00121334">
      <w:pPr>
        <w:pStyle w:val="FootnoteText"/>
      </w:pPr>
      <w:r w:rsidRPr="0084666C">
        <w:rPr>
          <w:rStyle w:val="FootnoteReference"/>
        </w:rPr>
        <w:footnoteRef/>
      </w:r>
      <w:r>
        <w:tab/>
        <w:t>Regulation (EU, Euratom) No 883/2013 of the European Parliament and of the Council of 11 September 2013 concerning investigations conducted by the European Anti-Fraud Office (OLAF) and repealing Regulation (EC) No 1073/1999 of the European Parliament and of the Council and Council Regulation (Euratom) No 1074/1999 (OJ L 248, 18.9.2013, p. 1).</w:t>
      </w:r>
    </w:p>
  </w:footnote>
  <w:footnote w:id="34">
    <w:p w14:paraId="4EAEB0E3" w14:textId="77777777" w:rsidR="00946A57" w:rsidRPr="008C7D9E" w:rsidRDefault="00946A57" w:rsidP="00121334">
      <w:pPr>
        <w:pStyle w:val="FootnoteText"/>
      </w:pPr>
      <w:r w:rsidRPr="0084666C">
        <w:rPr>
          <w:rStyle w:val="FootnoteReference"/>
        </w:rPr>
        <w:footnoteRef/>
      </w:r>
      <w:r>
        <w:tab/>
      </w:r>
      <w:r w:rsidRPr="008C7D9E">
        <w:t>OJ L 136, 31.5.1999, p. 15.</w:t>
      </w:r>
    </w:p>
  </w:footnote>
  <w:footnote w:id="35">
    <w:p w14:paraId="1EC4D640" w14:textId="77777777" w:rsidR="00946A57" w:rsidRPr="00843ABC" w:rsidRDefault="00946A57" w:rsidP="00FF7514">
      <w:pPr>
        <w:pStyle w:val="FootnoteText"/>
        <w:rPr>
          <w:lang w:val="en-IE"/>
        </w:rPr>
      </w:pPr>
      <w:r>
        <w:rPr>
          <w:rStyle w:val="FootnoteReference"/>
        </w:rPr>
        <w:footnoteRef/>
      </w:r>
      <w:r>
        <w:tab/>
      </w:r>
      <w:r w:rsidRPr="00B57B55">
        <w:t>Directive 2009/45/EC of the European Parliament and of the Council</w:t>
      </w:r>
      <w:r>
        <w:t xml:space="preserve"> of 6 May 2009 on safety rules and standards for passenger ships (OJ L 163, 25.6.2009, p. 1).</w:t>
      </w:r>
    </w:p>
  </w:footnote>
  <w:footnote w:id="36">
    <w:p w14:paraId="005C0A4E" w14:textId="77777777" w:rsidR="00946A57" w:rsidRPr="00843ABC" w:rsidRDefault="00946A57" w:rsidP="00FF7514">
      <w:pPr>
        <w:pStyle w:val="FootnoteText"/>
        <w:rPr>
          <w:lang w:val="en-IE"/>
        </w:rPr>
      </w:pPr>
      <w:r>
        <w:rPr>
          <w:rStyle w:val="FootnoteReference"/>
        </w:rPr>
        <w:footnoteRef/>
      </w:r>
      <w:r>
        <w:tab/>
      </w:r>
      <w:r w:rsidRPr="00B57B55">
        <w:t>Directive</w:t>
      </w:r>
      <w:r>
        <w:t xml:space="preserve"> </w:t>
      </w:r>
      <w:r w:rsidRPr="004161DE">
        <w:t>2003/25/EC</w:t>
      </w:r>
      <w:r>
        <w:t xml:space="preserve"> </w:t>
      </w:r>
      <w:r w:rsidRPr="00B57B55">
        <w:t>of the European Parliament and of the Council</w:t>
      </w:r>
      <w:r>
        <w:t xml:space="preserve"> of 14 April 2003 on specific stability requirements for ro-ro passenger ships (OJ L 123, 17.5.2003, p. 22).</w:t>
      </w:r>
    </w:p>
  </w:footnote>
  <w:footnote w:id="37">
    <w:p w14:paraId="6603F686" w14:textId="77777777" w:rsidR="00946A57" w:rsidRPr="00843ABC" w:rsidRDefault="00946A57" w:rsidP="00FF7514">
      <w:pPr>
        <w:pStyle w:val="FootnoteText"/>
        <w:rPr>
          <w:lang w:val="en-IE"/>
        </w:rPr>
      </w:pPr>
      <w:r>
        <w:rPr>
          <w:rStyle w:val="FootnoteReference"/>
        </w:rPr>
        <w:footnoteRef/>
      </w:r>
      <w:r>
        <w:tab/>
      </w:r>
      <w:r w:rsidRPr="00C753E2">
        <w:t>Council Directive 98/41/EC</w:t>
      </w:r>
      <w:r>
        <w:t xml:space="preserve"> of 18 June 1998 on the registration of persons sailing on board passenger ships operating to or from ports of the Member States of the Community (OJ L 188, 2.7.1998, p. 35).</w:t>
      </w:r>
    </w:p>
  </w:footnote>
  <w:footnote w:id="38">
    <w:p w14:paraId="4115689E" w14:textId="77777777" w:rsidR="00946A57" w:rsidRPr="00843ABC" w:rsidRDefault="00946A57" w:rsidP="00FF7514">
      <w:pPr>
        <w:pStyle w:val="FootnoteText"/>
        <w:rPr>
          <w:lang w:val="en-IE"/>
        </w:rPr>
      </w:pPr>
      <w:r>
        <w:rPr>
          <w:rStyle w:val="FootnoteReference"/>
        </w:rPr>
        <w:footnoteRef/>
      </w:r>
      <w:r>
        <w:tab/>
      </w:r>
      <w:r w:rsidRPr="00F648E1">
        <w:t>Regulation (EC) No 391/2009 of the European Parliament and of the Council</w:t>
      </w:r>
      <w:r>
        <w:t xml:space="preserve"> of 23 April 2009 on common rules and standards for ship inspection and survey organisations (OJ L 131, 28.5.2009, p. 11).</w:t>
      </w:r>
    </w:p>
  </w:footnote>
  <w:footnote w:id="39">
    <w:p w14:paraId="6D5B59E0" w14:textId="77777777" w:rsidR="00946A57" w:rsidRPr="00843ABC" w:rsidRDefault="00946A57" w:rsidP="00FF7514">
      <w:pPr>
        <w:pStyle w:val="FootnoteText"/>
        <w:rPr>
          <w:lang w:val="en-IE"/>
        </w:rPr>
      </w:pPr>
      <w:r>
        <w:rPr>
          <w:rStyle w:val="FootnoteReference"/>
        </w:rPr>
        <w:footnoteRef/>
      </w:r>
      <w:r>
        <w:tab/>
      </w:r>
      <w:r w:rsidRPr="00ED79FA">
        <w:t xml:space="preserve">Directive 2009/15/EC </w:t>
      </w:r>
      <w:r w:rsidRPr="00B57B55">
        <w:t>of the European Parliament and of the Council</w:t>
      </w:r>
      <w:r>
        <w:t xml:space="preserve"> of 23 April 2009 on common rules and standards for ship inspection and survey organisations and for the relevant activities of maritime administrations (OJ L 131, 28.5.2009, p. 47).</w:t>
      </w:r>
    </w:p>
  </w:footnote>
  <w:footnote w:id="40">
    <w:p w14:paraId="6493D677" w14:textId="77777777" w:rsidR="00946A57" w:rsidRPr="00843ABC" w:rsidRDefault="00946A57" w:rsidP="00C51EC4">
      <w:pPr>
        <w:pStyle w:val="FootnoteText"/>
        <w:rPr>
          <w:lang w:val="en-IE"/>
        </w:rPr>
      </w:pPr>
      <w:r>
        <w:rPr>
          <w:rStyle w:val="FootnoteReference"/>
        </w:rPr>
        <w:footnoteRef/>
      </w:r>
      <w:r>
        <w:tab/>
      </w:r>
      <w:r w:rsidRPr="0082576D">
        <w:t>Directive 2014/90/EU of the European Parliament and of the Council</w:t>
      </w:r>
      <w:r>
        <w:t xml:space="preserve"> of 23 July 2014 on marine equipment and repealing Council Directive 96/98/EC (OJ L 257, 28.8.2014, p. 146).</w:t>
      </w:r>
    </w:p>
  </w:footnote>
  <w:footnote w:id="41">
    <w:p w14:paraId="1697893F" w14:textId="77777777" w:rsidR="00946A57" w:rsidRPr="00843ABC" w:rsidRDefault="00946A57" w:rsidP="00EF4FC2">
      <w:pPr>
        <w:pStyle w:val="FootnoteText"/>
        <w:rPr>
          <w:lang w:val="en-IE"/>
        </w:rPr>
      </w:pPr>
      <w:r>
        <w:rPr>
          <w:rStyle w:val="FootnoteReference"/>
        </w:rPr>
        <w:footnoteRef/>
      </w:r>
      <w:r>
        <w:tab/>
      </w:r>
      <w:r w:rsidRPr="0089610A">
        <w:t>Directive (EU) 2022/993 of the European Parliament and of the Council</w:t>
      </w:r>
      <w:r>
        <w:t xml:space="preserve"> of 8 June 2022 on the minimum level of training of seafarers (</w:t>
      </w:r>
      <w:r w:rsidRPr="0089610A">
        <w:t>OJ L 169, 27.6.2022, p. 45</w:t>
      </w:r>
      <w:r>
        <w:t>).</w:t>
      </w:r>
    </w:p>
  </w:footnote>
  <w:footnote w:id="42">
    <w:p w14:paraId="4E78EC95" w14:textId="77777777" w:rsidR="00946A57" w:rsidRPr="00843ABC" w:rsidRDefault="00946A57" w:rsidP="00C51EC4">
      <w:pPr>
        <w:pStyle w:val="FootnoteText"/>
        <w:rPr>
          <w:lang w:val="en-IE"/>
        </w:rPr>
      </w:pPr>
      <w:r>
        <w:rPr>
          <w:rStyle w:val="FootnoteReference"/>
        </w:rPr>
        <w:footnoteRef/>
      </w:r>
      <w:r>
        <w:tab/>
      </w:r>
      <w:r w:rsidRPr="002469D1">
        <w:t>Decision No 1313/2013/EU of the European Parliament and of the Council</w:t>
      </w:r>
      <w:r>
        <w:t xml:space="preserve"> of 17 December 2013 on a Union Civil Protection Mechanism (OJ L 347, 20.12.2013, p. 924).</w:t>
      </w:r>
    </w:p>
  </w:footnote>
  <w:footnote w:id="43">
    <w:p w14:paraId="101900E6" w14:textId="77777777" w:rsidR="00946A57" w:rsidRPr="00843ABC" w:rsidRDefault="00946A57" w:rsidP="006D694B">
      <w:pPr>
        <w:pStyle w:val="FootnoteText"/>
        <w:rPr>
          <w:lang w:val="en-IE"/>
        </w:rPr>
      </w:pPr>
      <w:r>
        <w:rPr>
          <w:rStyle w:val="FootnoteReference"/>
        </w:rPr>
        <w:footnoteRef/>
      </w:r>
      <w:r>
        <w:tab/>
      </w:r>
      <w:r w:rsidRPr="005E049D">
        <w:t>Regulation (EU) No 1257/2013 of the European Parliament and of the Council</w:t>
      </w:r>
      <w:r>
        <w:t xml:space="preserve"> of 20 November 2013 on ship recycling and amending Regulation (EC) No 1013/2006 and Directive 2009/16/EC (OJ L 330, 10.12.2013, p. 1).</w:t>
      </w:r>
    </w:p>
  </w:footnote>
  <w:footnote w:id="44">
    <w:p w14:paraId="2A443932" w14:textId="77777777" w:rsidR="00946A57" w:rsidRPr="00843ABC" w:rsidRDefault="00946A57" w:rsidP="00743971">
      <w:pPr>
        <w:pStyle w:val="FootnoteText"/>
        <w:rPr>
          <w:lang w:val="en-IE"/>
        </w:rPr>
      </w:pPr>
      <w:r>
        <w:rPr>
          <w:rStyle w:val="FootnoteReference"/>
        </w:rPr>
        <w:footnoteRef/>
      </w:r>
      <w:r>
        <w:tab/>
        <w:t>Regulation (EU) 2019/1239 of the European Parliament and of the Council of 20 June 2019 establishing a European Maritime Single Window environment and repealing Directive 2010/65/EU (OJ L 198, 25.7.2019, p. 64).</w:t>
      </w:r>
    </w:p>
  </w:footnote>
  <w:footnote w:id="45">
    <w:p w14:paraId="1652EB23" w14:textId="77777777" w:rsidR="00946A57" w:rsidRDefault="00946A57" w:rsidP="00B62020">
      <w:pPr>
        <w:pStyle w:val="FootnoteText"/>
        <w:tabs>
          <w:tab w:val="left" w:pos="1134"/>
        </w:tabs>
      </w:pPr>
      <w:r w:rsidRPr="0084666C">
        <w:rPr>
          <w:rStyle w:val="FootnoteReference"/>
        </w:rPr>
        <w:footnoteRef/>
      </w:r>
      <w:r>
        <w:tab/>
        <w:t>Regulation (EEC, Euratom, ECSC) No 259/68 of the Council of 29 February 1968 laying down the Staff Regulations of Officials and the Conditions of Employment of Other Servants of the European Communities and instituting special measures temporarily applicable to officials of the Commission (OJ L 56, 4.3.1968, p. 1)</w:t>
      </w:r>
    </w:p>
  </w:footnote>
  <w:footnote w:id="46">
    <w:p w14:paraId="06136B7F" w14:textId="77777777" w:rsidR="00946A57" w:rsidRPr="00843ABC" w:rsidRDefault="00946A57" w:rsidP="00BD1C8F">
      <w:pPr>
        <w:pStyle w:val="FootnoteText"/>
        <w:rPr>
          <w:lang w:val="en-IE"/>
        </w:rPr>
      </w:pPr>
      <w:r>
        <w:rPr>
          <w:rStyle w:val="FootnoteReference"/>
        </w:rPr>
        <w:footnoteRef/>
      </w:r>
      <w:r>
        <w:tab/>
      </w:r>
      <w:r w:rsidRPr="00715E1E">
        <w:t>Regulation (EC) No 2099/2002 of the European Parliament and of the Council</w:t>
      </w:r>
      <w:r>
        <w:t xml:space="preserve"> of 5 November 2002 establishing a Committee on Safe Seas and the Prevention of Pollution from Ships (COSS) and amending the Regulations on maritime safety and the prevention of pollution from ships (OJ L 324, 29.11.2002, p. 1).</w:t>
      </w:r>
    </w:p>
  </w:footnote>
  <w:footnote w:id="47">
    <w:p w14:paraId="320F8915" w14:textId="77777777" w:rsidR="00946A57" w:rsidRPr="009B1CB4" w:rsidRDefault="00946A57" w:rsidP="00B62020">
      <w:pPr>
        <w:pStyle w:val="FootnoteText"/>
        <w:spacing w:after="40"/>
        <w:rPr>
          <w:rFonts w:ascii="Arial" w:hAnsi="Arial" w:cs="Arial"/>
          <w:color w:val="000000"/>
          <w:sz w:val="16"/>
          <w:szCs w:val="16"/>
        </w:rPr>
      </w:pPr>
      <w:r w:rsidRPr="0084666C">
        <w:rPr>
          <w:rStyle w:val="FootnoteReference"/>
        </w:rPr>
        <w:footnoteRef/>
      </w:r>
      <w:r>
        <w:rPr>
          <w:rFonts w:ascii="Arial" w:hAnsi="Arial" w:cs="Arial"/>
          <w:color w:val="000000"/>
          <w:sz w:val="16"/>
          <w:szCs w:val="16"/>
        </w:rPr>
        <w:tab/>
      </w:r>
      <w:r w:rsidRPr="007B1DB0">
        <w:rPr>
          <w:color w:val="2D2B2D"/>
          <w:sz w:val="16"/>
          <w:szCs w:val="16"/>
        </w:rPr>
        <w:t>OJ 17, 6.10.1958, p. 385/58. Regulation as last amended by the Regulation (EC) No 1791/2006 of 20 November 2006 adapting certain Regulations and Decisions by reason of the accession of Bulgaria and Romania.</w:t>
      </w:r>
    </w:p>
  </w:footnote>
  <w:footnote w:id="48">
    <w:p w14:paraId="190AA8F9" w14:textId="77777777" w:rsidR="00946A57" w:rsidRPr="00843ABC" w:rsidRDefault="00946A57" w:rsidP="00BD1C8F">
      <w:pPr>
        <w:pStyle w:val="FootnoteText"/>
        <w:rPr>
          <w:lang w:val="en-IE"/>
        </w:rPr>
      </w:pPr>
      <w:r>
        <w:rPr>
          <w:rStyle w:val="FootnoteReference"/>
        </w:rPr>
        <w:footnoteRef/>
      </w:r>
      <w:r>
        <w:tab/>
      </w:r>
      <w:r w:rsidRPr="00ED24CD">
        <w:t>Regulation (EC) No 1049/2001 of the European Parliament and of the Council of 30 May 2001 regarding public access to European Parliament, Council and Commission documents (OJ L 145, 31.5.2001, p. 43</w:t>
      </w:r>
      <w:r>
        <w:t>.</w:t>
      </w:r>
    </w:p>
  </w:footnote>
  <w:footnote w:id="49">
    <w:p w14:paraId="490110BA" w14:textId="77777777" w:rsidR="00946A57" w:rsidRPr="00843ABC" w:rsidRDefault="00946A57" w:rsidP="00BD1C8F">
      <w:pPr>
        <w:pStyle w:val="FootnoteText"/>
        <w:rPr>
          <w:lang w:val="en-IE"/>
        </w:rPr>
      </w:pPr>
      <w:r>
        <w:rPr>
          <w:rStyle w:val="FootnoteReference"/>
        </w:rPr>
        <w:footnoteRef/>
      </w:r>
      <w:r>
        <w:tab/>
      </w:r>
      <w:r w:rsidRPr="00997307">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r>
        <w:t>.</w:t>
      </w:r>
    </w:p>
  </w:footnote>
  <w:footnote w:id="50">
    <w:p w14:paraId="48EB9938" w14:textId="77777777" w:rsidR="00946A57" w:rsidRDefault="00946A57" w:rsidP="00B62020">
      <w:pPr>
        <w:pStyle w:val="FootnoteText"/>
      </w:pPr>
      <w:r w:rsidRPr="0084666C">
        <w:rPr>
          <w:rStyle w:val="FootnoteReference"/>
        </w:rPr>
        <w:footnoteRef/>
      </w:r>
      <w:r>
        <w:tab/>
        <w:t>Commission Decision (EU, Euratom) 2015/443 of 13 March 2015 on Security in the Commission (OJ L 72, 17.3.2015, p. 41).</w:t>
      </w:r>
    </w:p>
  </w:footnote>
  <w:footnote w:id="51">
    <w:p w14:paraId="1161D788" w14:textId="77777777" w:rsidR="00946A57" w:rsidRDefault="00946A57" w:rsidP="00B62020">
      <w:pPr>
        <w:pStyle w:val="FootnoteText"/>
      </w:pPr>
      <w:r w:rsidRPr="0084666C">
        <w:rPr>
          <w:rStyle w:val="FootnoteReference"/>
        </w:rPr>
        <w:footnoteRef/>
      </w:r>
      <w:r>
        <w:tab/>
      </w:r>
      <w:r>
        <w:rPr>
          <w:lang w:val="sk-SK"/>
        </w:rPr>
        <w:t>Commission Decision (EU, Euratom) 2015/444 of 13 March 2015 on the security rules for protecting EU classified information (OJ L 72, 17.3.2015, p. 53).</w:t>
      </w:r>
    </w:p>
  </w:footnote>
  <w:footnote w:id="52">
    <w:p w14:paraId="71963C3E" w14:textId="77777777" w:rsidR="00946A57" w:rsidRDefault="00946A57" w:rsidP="00600499">
      <w:pPr>
        <w:pStyle w:val="FootnoteText"/>
        <w:rPr>
          <w:szCs w:val="24"/>
        </w:rPr>
      </w:pPr>
      <w:r>
        <w:rPr>
          <w:rStyle w:val="FootnoteReference"/>
        </w:rPr>
        <w:footnoteRef/>
      </w:r>
      <w:r>
        <w:tab/>
        <w:t>As referred to in Article 58(2)(a) or (b) of the Financial Regulation.</w:t>
      </w:r>
    </w:p>
  </w:footnote>
  <w:footnote w:id="53">
    <w:p w14:paraId="2B920D70" w14:textId="77777777" w:rsidR="00946A57" w:rsidRDefault="00946A57" w:rsidP="00600499">
      <w:pPr>
        <w:pStyle w:val="FootnoteText"/>
        <w:rPr>
          <w:szCs w:val="24"/>
        </w:rPr>
      </w:pPr>
      <w:r>
        <w:rPr>
          <w:rStyle w:val="FootnoteReference"/>
        </w:rPr>
        <w:footnoteRef/>
      </w:r>
      <w:r>
        <w:tab/>
        <w:t xml:space="preserve">Details of budget implementation methods and references to the Financial Regulation may be found on the BUDGpedia site: </w:t>
      </w:r>
      <w:hyperlink w:history="1"/>
      <w:hyperlink r:id="rId6" w:history="1">
        <w:r w:rsidRPr="00BA7749">
          <w:rPr>
            <w:rStyle w:val="Hyperlink"/>
            <w:szCs w:val="24"/>
          </w:rPr>
          <w:t>https://myintracomm.ec.europa.eu/corp/budget/financial-rules/budget-implementation/Pages/implementation-methods.aspx</w:t>
        </w:r>
      </w:hyperlink>
    </w:p>
    <w:p w14:paraId="1D1A3F5B" w14:textId="77777777" w:rsidR="00946A57" w:rsidRDefault="00946A57" w:rsidP="00600499">
      <w:pPr>
        <w:pStyle w:val="FootnoteText"/>
        <w:rPr>
          <w:szCs w:val="24"/>
        </w:rPr>
      </w:pPr>
    </w:p>
  </w:footnote>
  <w:footnote w:id="54">
    <w:p w14:paraId="12FD4C58" w14:textId="77777777" w:rsidR="00946A57" w:rsidRDefault="00946A57" w:rsidP="00600499">
      <w:pPr>
        <w:pStyle w:val="FootnoteText"/>
        <w:rPr>
          <w:szCs w:val="24"/>
        </w:rPr>
      </w:pPr>
      <w:r>
        <w:rPr>
          <w:rStyle w:val="FootnoteReference"/>
        </w:rPr>
        <w:footnoteRef/>
      </w:r>
      <w:r>
        <w:tab/>
        <w:t>Diff. = Differentiated appropriations / Non-diff. = Non-differentiated appropriations.</w:t>
      </w:r>
    </w:p>
  </w:footnote>
  <w:footnote w:id="55">
    <w:p w14:paraId="1A668DFC" w14:textId="77777777" w:rsidR="00946A57" w:rsidRDefault="00946A57" w:rsidP="00600499">
      <w:pPr>
        <w:pStyle w:val="FootnoteText"/>
        <w:rPr>
          <w:szCs w:val="24"/>
        </w:rPr>
      </w:pPr>
      <w:r>
        <w:rPr>
          <w:rStyle w:val="FootnoteReference"/>
        </w:rPr>
        <w:footnoteRef/>
      </w:r>
      <w:r>
        <w:tab/>
        <w:t xml:space="preserve">EFTA: European Free Trade Association. </w:t>
      </w:r>
    </w:p>
  </w:footnote>
  <w:footnote w:id="56">
    <w:p w14:paraId="6B61B0FF" w14:textId="77777777" w:rsidR="00946A57" w:rsidRDefault="00946A57" w:rsidP="00600499">
      <w:pPr>
        <w:pStyle w:val="FootnoteText"/>
        <w:rPr>
          <w:szCs w:val="24"/>
        </w:rPr>
      </w:pPr>
      <w:r>
        <w:rPr>
          <w:rStyle w:val="FootnoteReference"/>
        </w:rPr>
        <w:footnoteRef/>
      </w:r>
      <w:r>
        <w:tab/>
        <w:t>Candidate countries and, where applicable, potential candidates from the Western Balkans.</w:t>
      </w:r>
    </w:p>
  </w:footnote>
  <w:footnote w:id="57">
    <w:p w14:paraId="1DD0062C" w14:textId="77777777" w:rsidR="00946A57" w:rsidRPr="00342CB8" w:rsidRDefault="00946A57" w:rsidP="00600499">
      <w:pPr>
        <w:pStyle w:val="FootnoteText"/>
      </w:pPr>
      <w:r w:rsidRPr="0058179D">
        <w:rPr>
          <w:rStyle w:val="FootnoteReference"/>
        </w:rPr>
        <w:footnoteRef/>
      </w:r>
      <w:r>
        <w:tab/>
      </w:r>
      <w:r w:rsidRPr="00407155">
        <w:rPr>
          <w:i/>
          <w:noProof/>
        </w:rPr>
        <w:t>The summary of estimated impact on expenditure includes the total estimated impact of the activities 1) to 5) describedd in section 1.5.1. The estimated impact of actions 1) to 4) is also reflected in the individual legislative financial statements accompanying the respective legislative proposals.</w:t>
      </w:r>
    </w:p>
  </w:footnote>
  <w:footnote w:id="58">
    <w:p w14:paraId="5089903D" w14:textId="77777777" w:rsidR="00946A57" w:rsidRDefault="00946A57" w:rsidP="00600499">
      <w:pPr>
        <w:pStyle w:val="FootnoteText"/>
        <w:rPr>
          <w:szCs w:val="24"/>
        </w:rPr>
      </w:pPr>
      <w:r>
        <w:rPr>
          <w:rStyle w:val="FootnoteReference"/>
        </w:rPr>
        <w:footnoteRef/>
      </w:r>
      <w:r>
        <w:tab/>
        <w:t>Outputs are products and services to be supplied (e.g.: number of student exchanges financed, number of km of roads built, etc.).</w:t>
      </w:r>
    </w:p>
  </w:footnote>
  <w:footnote w:id="59">
    <w:p w14:paraId="486F4E39" w14:textId="77777777" w:rsidR="00946A57" w:rsidRDefault="00946A57" w:rsidP="00600499">
      <w:pPr>
        <w:pStyle w:val="FootnoteText"/>
        <w:rPr>
          <w:szCs w:val="24"/>
        </w:rPr>
      </w:pPr>
      <w:r>
        <w:rPr>
          <w:rStyle w:val="FootnoteReference"/>
        </w:rPr>
        <w:footnoteRef/>
      </w:r>
      <w:r>
        <w:tab/>
        <w:t>As described in point 1.4.2. ‘Specific objective(s)…’</w:t>
      </w:r>
    </w:p>
  </w:footnote>
  <w:footnote w:id="60">
    <w:p w14:paraId="7118C748" w14:textId="77777777" w:rsidR="00946A57" w:rsidRDefault="00946A57" w:rsidP="00600499">
      <w:pPr>
        <w:pStyle w:val="FootnoteText"/>
        <w:rPr>
          <w:szCs w:val="24"/>
        </w:rPr>
      </w:pPr>
      <w:r>
        <w:rPr>
          <w:rStyle w:val="FootnoteReference"/>
        </w:rPr>
        <w:footnoteRef/>
      </w:r>
      <w:r>
        <w:tab/>
        <w:t xml:space="preserve">AC = Contract Staff; AL = Local Staff; END = Seconded National Expert; INT = agency staff; JPD = Junior </w:t>
      </w:r>
      <w:r w:rsidRPr="00547C99">
        <w:t>Professional</w:t>
      </w:r>
      <w:r>
        <w:t>s</w:t>
      </w:r>
      <w:r w:rsidRPr="00547C99">
        <w:t xml:space="preserve"> </w:t>
      </w:r>
      <w:r>
        <w:t xml:space="preserve">in Delegations. </w:t>
      </w:r>
    </w:p>
  </w:footnote>
  <w:footnote w:id="61">
    <w:p w14:paraId="5EA2088B" w14:textId="77777777" w:rsidR="00946A57" w:rsidRDefault="00946A57" w:rsidP="00600499">
      <w:pPr>
        <w:pStyle w:val="FootnoteText"/>
        <w:rPr>
          <w:szCs w:val="24"/>
        </w:rPr>
      </w:pPr>
      <w:r>
        <w:rPr>
          <w:rStyle w:val="FootnoteReference"/>
        </w:rPr>
        <w:footnoteRef/>
      </w:r>
      <w:r>
        <w:tab/>
        <w:t>Sub-ceiling for external staff covered by operational appropriations (former ‘BA’ lines).</w:t>
      </w:r>
    </w:p>
  </w:footnote>
  <w:footnote w:id="62">
    <w:p w14:paraId="092EB236" w14:textId="77777777" w:rsidR="00946A57" w:rsidRDefault="00946A57" w:rsidP="00600499">
      <w:pPr>
        <w:pStyle w:val="FootnoteText"/>
      </w:pPr>
      <w:r>
        <w:rPr>
          <w:rStyle w:val="FootnoteReference"/>
        </w:rPr>
        <w:footnoteRef/>
      </w:r>
      <w:r>
        <w:tab/>
        <w:t xml:space="preserve">Mainly for the EU Cohesion Policy Funds, the European Agricultural Fund for Rural Development (EAFRD) and the European Maritime Fisheries and Aquaculture Fund (EMFAF).  </w:t>
      </w:r>
    </w:p>
    <w:p w14:paraId="5F7782CE" w14:textId="77777777" w:rsidR="00946A57" w:rsidRPr="001D4F31" w:rsidRDefault="00946A57" w:rsidP="00600499">
      <w:pPr>
        <w:pStyle w:val="FootnoteText"/>
        <w:rPr>
          <w:szCs w:val="24"/>
          <w:lang w:val="en-IE"/>
        </w:rPr>
      </w:pPr>
    </w:p>
  </w:footnote>
  <w:footnote w:id="63">
    <w:p w14:paraId="06E1F3BA" w14:textId="77777777" w:rsidR="00946A57" w:rsidRDefault="00946A57" w:rsidP="00600499">
      <w:pPr>
        <w:pStyle w:val="FootnoteText"/>
        <w:rPr>
          <w:szCs w:val="24"/>
        </w:rPr>
      </w:pPr>
      <w:r>
        <w:rPr>
          <w:rStyle w:val="FootnoteReference"/>
        </w:rPr>
        <w:footnoteRef/>
      </w:r>
      <w:r>
        <w:tab/>
        <w:t>See Articles 12 and 13 of Council Regulation (EU, Euratom) No 2093/2020 of 17 December 2020 laying down the multiannual financial framework for the years 2021 to 2027.</w:t>
      </w:r>
    </w:p>
  </w:footnote>
  <w:footnote w:id="64">
    <w:p w14:paraId="254FE6B6" w14:textId="77777777" w:rsidR="00946A57" w:rsidRDefault="00946A57" w:rsidP="00600499">
      <w:pPr>
        <w:pStyle w:val="FootnoteText"/>
        <w:rPr>
          <w:szCs w:val="24"/>
        </w:rPr>
      </w:pPr>
      <w:r>
        <w:rPr>
          <w:rStyle w:val="FootnoteReference"/>
        </w:rPr>
        <w:footnoteRef/>
      </w:r>
      <w:r>
        <w:tab/>
        <w:t>As regards traditional own resources (customs duties, sugar levies), the amounts indicated must be net amounts, i.e. gross amounts after deduction of 20 % for collection costs.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21AF6" w14:textId="77777777" w:rsidR="00841708" w:rsidRPr="00841708" w:rsidRDefault="00841708" w:rsidP="00F530FA">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ED7F5" w14:textId="77777777" w:rsidR="00F530FA" w:rsidRPr="00F530FA" w:rsidRDefault="00F530FA" w:rsidP="00F530FA">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A344D" w14:textId="77777777" w:rsidR="00841708" w:rsidRPr="00841708" w:rsidRDefault="00841708" w:rsidP="00F530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24F0E" w14:textId="77777777" w:rsidR="00F530FA" w:rsidRPr="00F530FA" w:rsidRDefault="00F530FA" w:rsidP="00F530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696CBE54"/>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714E222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0AB4FC6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C738384C"/>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59F6A33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7CFEAD9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F04A004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D11E230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96D67A1"/>
    <w:multiLevelType w:val="singleLevel"/>
    <w:tmpl w:val="9AC8831A"/>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608C30E1"/>
    <w:multiLevelType w:val="hybridMultilevel"/>
    <w:tmpl w:val="DD98B9F8"/>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22" w15:restartNumberingAfterBreak="0">
    <w:nsid w:val="62A8042C"/>
    <w:multiLevelType w:val="singleLevel"/>
    <w:tmpl w:val="CCF20C06"/>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23"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15:restartNumberingAfterBreak="0">
    <w:nsid w:val="6A6901C1"/>
    <w:multiLevelType w:val="singleLevel"/>
    <w:tmpl w:val="208841AE"/>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26"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6"/>
    <w:lvlOverride w:ilvl="0">
      <w:startOverride w:val="1"/>
    </w:lvlOverride>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22"/>
  </w:num>
  <w:num w:numId="27">
    <w:abstractNumId w:val="17"/>
  </w:num>
  <w:num w:numId="28">
    <w:abstractNumId w:val="21"/>
  </w:num>
  <w:num w:numId="29">
    <w:abstractNumId w:val="20"/>
  </w:num>
  <w:num w:numId="30">
    <w:abstractNumId w:val="12"/>
  </w:num>
  <w:num w:numId="31">
    <w:abstractNumId w:val="24"/>
  </w:num>
  <w:num w:numId="32">
    <w:abstractNumId w:val="11"/>
  </w:num>
  <w:num w:numId="33">
    <w:abstractNumId w:val="13"/>
  </w:num>
  <w:num w:numId="34">
    <w:abstractNumId w:val="14"/>
  </w:num>
  <w:num w:numId="35">
    <w:abstractNumId w:val="9"/>
  </w:num>
  <w:num w:numId="36">
    <w:abstractNumId w:val="23"/>
  </w:num>
  <w:num w:numId="37">
    <w:abstractNumId w:val="8"/>
  </w:num>
  <w:num w:numId="38">
    <w:abstractNumId w:val="15"/>
  </w:num>
  <w:num w:numId="39">
    <w:abstractNumId w:val="18"/>
  </w:num>
  <w:num w:numId="40">
    <w:abstractNumId w:val="19"/>
  </w:num>
  <w:num w:numId="41">
    <w:abstractNumId w:val="10"/>
  </w:num>
  <w:num w:numId="42">
    <w:abstractNumId w:val="16"/>
  </w:num>
  <w:num w:numId="43">
    <w:abstractNumId w:val="2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IE" w:vendorID="64" w:dllVersion="6" w:nlCheck="1" w:checkStyle="1"/>
  <w:activeWritingStyle w:appName="MSWord" w:lang="en-IE" w:vendorID="64" w:dllVersion="0" w:nlCheck="1" w:checkStyle="0"/>
  <w:activeWritingStyle w:appName="MSWord" w:lang="es-ES" w:vendorID="64" w:dllVersion="6" w:nlCheck="1" w:checkStyle="0"/>
  <w:activeWritingStyle w:appName="MSWord" w:lang="en-GB" w:vendorID="64" w:dllVersion="131078" w:nlCheck="1" w:checkStyle="1"/>
  <w:attachedTemplate r:id="rId1"/>
  <w:revisionView w:markup="0"/>
  <w:defaultTabStop w:val="720"/>
  <w:hyphenationZone w:val="425"/>
  <w:characterSpacingControl w:val="doNotCompress"/>
  <w:hdrShapeDefaults>
    <o:shapedefaults v:ext="edit" spidmax="880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5-26 12:36:26"/>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619A806E-98B3-46ED-9314-BFEE46A9827E"/>
    <w:docVar w:name="LW_COVERPAGE_TYPE" w:val="1"/>
    <w:docVar w:name="LW_CROSSREFERENCE" w:val="{SWD(2023) 147 final}"/>
    <w:docVar w:name="LW_DocType" w:val="COM"/>
    <w:docVar w:name="LW_EMISSION" w:val="1.6.2023"/>
    <w:docVar w:name="LW_EMISSION_ISODATE" w:val="2023-06-01"/>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SERT_EXP.MOTIFS.NEW" w:val="1"/>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63"/>
    <w:docVar w:name="LW_REF.II.NEW.CP_YEAR" w:val="2023"/>
    <w:docVar w:name="LW_REF.INST.NEW" w:val="COM"/>
    <w:docVar w:name="LW_REF.INST.NEW_ADOPTED" w:val="final"/>
    <w:docVar w:name="LW_REF.INST.NEW_TEXT" w:val="(2023) 269"/>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European Maritime  Safety Agency and repealing Regulation (EC) No 1406/2002"/>
    <w:docVar w:name="LW_TYPE.DOC.CP" w:val="REGULATION OF THE EUROPEAN PARLIAMENT AND OF THE COUNCIL"/>
    <w:docVar w:name="LwApiVersions" w:val="LW4CoDe 1.23.2.0; LW 8.0, Build 20211117"/>
  </w:docVars>
  <w:rsids>
    <w:rsidRoot w:val="00053218"/>
    <w:rsid w:val="000016AD"/>
    <w:rsid w:val="00006C9C"/>
    <w:rsid w:val="00010BD9"/>
    <w:rsid w:val="000156ED"/>
    <w:rsid w:val="0001679C"/>
    <w:rsid w:val="0001727B"/>
    <w:rsid w:val="00017D6D"/>
    <w:rsid w:val="00021500"/>
    <w:rsid w:val="00027261"/>
    <w:rsid w:val="000278B6"/>
    <w:rsid w:val="00031F83"/>
    <w:rsid w:val="00036174"/>
    <w:rsid w:val="00036726"/>
    <w:rsid w:val="00046933"/>
    <w:rsid w:val="00046D29"/>
    <w:rsid w:val="0004743A"/>
    <w:rsid w:val="00047EDB"/>
    <w:rsid w:val="00052B07"/>
    <w:rsid w:val="00053218"/>
    <w:rsid w:val="00053BE9"/>
    <w:rsid w:val="00055972"/>
    <w:rsid w:val="00055BB3"/>
    <w:rsid w:val="00057105"/>
    <w:rsid w:val="00057153"/>
    <w:rsid w:val="00061C87"/>
    <w:rsid w:val="00062B44"/>
    <w:rsid w:val="0006450B"/>
    <w:rsid w:val="00064F3B"/>
    <w:rsid w:val="000664F3"/>
    <w:rsid w:val="00066761"/>
    <w:rsid w:val="0006778B"/>
    <w:rsid w:val="0007053E"/>
    <w:rsid w:val="000731A9"/>
    <w:rsid w:val="00074BCA"/>
    <w:rsid w:val="00083A2C"/>
    <w:rsid w:val="00084B35"/>
    <w:rsid w:val="000910C2"/>
    <w:rsid w:val="000916D8"/>
    <w:rsid w:val="00095982"/>
    <w:rsid w:val="00096067"/>
    <w:rsid w:val="00097042"/>
    <w:rsid w:val="000A13A8"/>
    <w:rsid w:val="000A1CEF"/>
    <w:rsid w:val="000A33EE"/>
    <w:rsid w:val="000A5278"/>
    <w:rsid w:val="000B2968"/>
    <w:rsid w:val="000B66B2"/>
    <w:rsid w:val="000B6F1C"/>
    <w:rsid w:val="000C04AD"/>
    <w:rsid w:val="000C2D36"/>
    <w:rsid w:val="000C40A8"/>
    <w:rsid w:val="000C52B2"/>
    <w:rsid w:val="000D1642"/>
    <w:rsid w:val="000D7073"/>
    <w:rsid w:val="000E08FF"/>
    <w:rsid w:val="000E56A4"/>
    <w:rsid w:val="000F0004"/>
    <w:rsid w:val="000F0BBC"/>
    <w:rsid w:val="000F3198"/>
    <w:rsid w:val="000F32B1"/>
    <w:rsid w:val="000F47F5"/>
    <w:rsid w:val="000F7FE0"/>
    <w:rsid w:val="001019DE"/>
    <w:rsid w:val="00102FD2"/>
    <w:rsid w:val="001065F5"/>
    <w:rsid w:val="00111B45"/>
    <w:rsid w:val="00120AEB"/>
    <w:rsid w:val="00121334"/>
    <w:rsid w:val="001238EF"/>
    <w:rsid w:val="001242DA"/>
    <w:rsid w:val="0012485E"/>
    <w:rsid w:val="00130928"/>
    <w:rsid w:val="00137425"/>
    <w:rsid w:val="001374AC"/>
    <w:rsid w:val="00142039"/>
    <w:rsid w:val="00143336"/>
    <w:rsid w:val="00143AEF"/>
    <w:rsid w:val="001444CD"/>
    <w:rsid w:val="00153870"/>
    <w:rsid w:val="00167288"/>
    <w:rsid w:val="001747CD"/>
    <w:rsid w:val="00177CAE"/>
    <w:rsid w:val="00181AD7"/>
    <w:rsid w:val="00181E16"/>
    <w:rsid w:val="001873E8"/>
    <w:rsid w:val="00192104"/>
    <w:rsid w:val="00197613"/>
    <w:rsid w:val="00197E4A"/>
    <w:rsid w:val="001A2A7C"/>
    <w:rsid w:val="001A3898"/>
    <w:rsid w:val="001A3BE3"/>
    <w:rsid w:val="001B0327"/>
    <w:rsid w:val="001B111F"/>
    <w:rsid w:val="001B1B6E"/>
    <w:rsid w:val="001B2EA0"/>
    <w:rsid w:val="001B73A1"/>
    <w:rsid w:val="001C061A"/>
    <w:rsid w:val="001C1708"/>
    <w:rsid w:val="001C5E13"/>
    <w:rsid w:val="001C62CC"/>
    <w:rsid w:val="001D07A9"/>
    <w:rsid w:val="001D5DFA"/>
    <w:rsid w:val="001D6DC6"/>
    <w:rsid w:val="001E2E04"/>
    <w:rsid w:val="001E3C58"/>
    <w:rsid w:val="001F388E"/>
    <w:rsid w:val="001F3C82"/>
    <w:rsid w:val="001F6430"/>
    <w:rsid w:val="001F76DA"/>
    <w:rsid w:val="001F7A8E"/>
    <w:rsid w:val="00201D43"/>
    <w:rsid w:val="00202A4C"/>
    <w:rsid w:val="00202BFC"/>
    <w:rsid w:val="00203F7F"/>
    <w:rsid w:val="002063E3"/>
    <w:rsid w:val="00206603"/>
    <w:rsid w:val="00207CFB"/>
    <w:rsid w:val="0021087F"/>
    <w:rsid w:val="00212BC5"/>
    <w:rsid w:val="002158BB"/>
    <w:rsid w:val="00221A11"/>
    <w:rsid w:val="002225E4"/>
    <w:rsid w:val="00223329"/>
    <w:rsid w:val="0022389F"/>
    <w:rsid w:val="00223CD8"/>
    <w:rsid w:val="00225233"/>
    <w:rsid w:val="002263C5"/>
    <w:rsid w:val="00233DC7"/>
    <w:rsid w:val="00237BEB"/>
    <w:rsid w:val="002429CA"/>
    <w:rsid w:val="002472BF"/>
    <w:rsid w:val="00247779"/>
    <w:rsid w:val="00252043"/>
    <w:rsid w:val="00260101"/>
    <w:rsid w:val="00260606"/>
    <w:rsid w:val="00261277"/>
    <w:rsid w:val="002640B4"/>
    <w:rsid w:val="00264400"/>
    <w:rsid w:val="0026555B"/>
    <w:rsid w:val="0027647A"/>
    <w:rsid w:val="00277F01"/>
    <w:rsid w:val="00281EF1"/>
    <w:rsid w:val="00283564"/>
    <w:rsid w:val="0028426E"/>
    <w:rsid w:val="00284671"/>
    <w:rsid w:val="002850ED"/>
    <w:rsid w:val="00285BEE"/>
    <w:rsid w:val="00286DCE"/>
    <w:rsid w:val="00290C31"/>
    <w:rsid w:val="002916E0"/>
    <w:rsid w:val="0029263E"/>
    <w:rsid w:val="0029533F"/>
    <w:rsid w:val="002A070A"/>
    <w:rsid w:val="002A0CCF"/>
    <w:rsid w:val="002A1C03"/>
    <w:rsid w:val="002A2191"/>
    <w:rsid w:val="002A35E3"/>
    <w:rsid w:val="002A54AE"/>
    <w:rsid w:val="002B0BEF"/>
    <w:rsid w:val="002B10C6"/>
    <w:rsid w:val="002B30AF"/>
    <w:rsid w:val="002B5749"/>
    <w:rsid w:val="002B7F64"/>
    <w:rsid w:val="002C10CA"/>
    <w:rsid w:val="002C2ABC"/>
    <w:rsid w:val="002D1228"/>
    <w:rsid w:val="002D1971"/>
    <w:rsid w:val="002D3092"/>
    <w:rsid w:val="002D369F"/>
    <w:rsid w:val="002D549A"/>
    <w:rsid w:val="002D56E5"/>
    <w:rsid w:val="002E328C"/>
    <w:rsid w:val="002E3984"/>
    <w:rsid w:val="002E4D1A"/>
    <w:rsid w:val="002F2A64"/>
    <w:rsid w:val="002F3559"/>
    <w:rsid w:val="002F3ED5"/>
    <w:rsid w:val="002F5EB6"/>
    <w:rsid w:val="002F67A3"/>
    <w:rsid w:val="002F7B48"/>
    <w:rsid w:val="002F7F5B"/>
    <w:rsid w:val="003021CA"/>
    <w:rsid w:val="00302D74"/>
    <w:rsid w:val="00303378"/>
    <w:rsid w:val="00305816"/>
    <w:rsid w:val="00307730"/>
    <w:rsid w:val="003110A7"/>
    <w:rsid w:val="0031280F"/>
    <w:rsid w:val="00315B6F"/>
    <w:rsid w:val="003171D0"/>
    <w:rsid w:val="00322E90"/>
    <w:rsid w:val="003270C5"/>
    <w:rsid w:val="0033344A"/>
    <w:rsid w:val="00333CD5"/>
    <w:rsid w:val="00335E16"/>
    <w:rsid w:val="00337058"/>
    <w:rsid w:val="00337511"/>
    <w:rsid w:val="003413D3"/>
    <w:rsid w:val="0034161A"/>
    <w:rsid w:val="00342AD6"/>
    <w:rsid w:val="00344EBD"/>
    <w:rsid w:val="003450E6"/>
    <w:rsid w:val="00345900"/>
    <w:rsid w:val="00346932"/>
    <w:rsid w:val="00352241"/>
    <w:rsid w:val="003552BC"/>
    <w:rsid w:val="003557EA"/>
    <w:rsid w:val="00360DAB"/>
    <w:rsid w:val="003625F4"/>
    <w:rsid w:val="00366278"/>
    <w:rsid w:val="003722A2"/>
    <w:rsid w:val="00376D6D"/>
    <w:rsid w:val="003821BE"/>
    <w:rsid w:val="003829EB"/>
    <w:rsid w:val="00382E31"/>
    <w:rsid w:val="003844FC"/>
    <w:rsid w:val="003870A9"/>
    <w:rsid w:val="00387DFA"/>
    <w:rsid w:val="003931C3"/>
    <w:rsid w:val="003A0DE1"/>
    <w:rsid w:val="003A1827"/>
    <w:rsid w:val="003A364F"/>
    <w:rsid w:val="003A51FC"/>
    <w:rsid w:val="003A73BB"/>
    <w:rsid w:val="003B22EF"/>
    <w:rsid w:val="003B4533"/>
    <w:rsid w:val="003B4FD6"/>
    <w:rsid w:val="003B602A"/>
    <w:rsid w:val="003B6852"/>
    <w:rsid w:val="003B75B2"/>
    <w:rsid w:val="003C1003"/>
    <w:rsid w:val="003C3798"/>
    <w:rsid w:val="003C50DB"/>
    <w:rsid w:val="003D6317"/>
    <w:rsid w:val="003D6856"/>
    <w:rsid w:val="003D6C09"/>
    <w:rsid w:val="003D75D4"/>
    <w:rsid w:val="003E49FB"/>
    <w:rsid w:val="003E538D"/>
    <w:rsid w:val="003E558D"/>
    <w:rsid w:val="003F1443"/>
    <w:rsid w:val="003F320F"/>
    <w:rsid w:val="003F3E8D"/>
    <w:rsid w:val="00410207"/>
    <w:rsid w:val="004140CE"/>
    <w:rsid w:val="00414144"/>
    <w:rsid w:val="00414499"/>
    <w:rsid w:val="00417613"/>
    <w:rsid w:val="00422CE3"/>
    <w:rsid w:val="00423B02"/>
    <w:rsid w:val="004258A5"/>
    <w:rsid w:val="0042648E"/>
    <w:rsid w:val="00431745"/>
    <w:rsid w:val="00432037"/>
    <w:rsid w:val="00432B54"/>
    <w:rsid w:val="004333C2"/>
    <w:rsid w:val="00435339"/>
    <w:rsid w:val="0043792B"/>
    <w:rsid w:val="00443218"/>
    <w:rsid w:val="004604B3"/>
    <w:rsid w:val="00464A81"/>
    <w:rsid w:val="00474C78"/>
    <w:rsid w:val="004750B3"/>
    <w:rsid w:val="00475E99"/>
    <w:rsid w:val="004825F7"/>
    <w:rsid w:val="004848A2"/>
    <w:rsid w:val="00485CEA"/>
    <w:rsid w:val="00490E3C"/>
    <w:rsid w:val="004936D2"/>
    <w:rsid w:val="0049626B"/>
    <w:rsid w:val="0049796F"/>
    <w:rsid w:val="00497B26"/>
    <w:rsid w:val="00497C80"/>
    <w:rsid w:val="004A0092"/>
    <w:rsid w:val="004A04C9"/>
    <w:rsid w:val="004B45FA"/>
    <w:rsid w:val="004B4C7D"/>
    <w:rsid w:val="004C2703"/>
    <w:rsid w:val="004C37BF"/>
    <w:rsid w:val="004C430E"/>
    <w:rsid w:val="004D47E1"/>
    <w:rsid w:val="004E0306"/>
    <w:rsid w:val="004E04AE"/>
    <w:rsid w:val="004E0BAB"/>
    <w:rsid w:val="004E5882"/>
    <w:rsid w:val="004E6196"/>
    <w:rsid w:val="004E6AEF"/>
    <w:rsid w:val="004F45EB"/>
    <w:rsid w:val="004F4652"/>
    <w:rsid w:val="004F6F28"/>
    <w:rsid w:val="004F7FB7"/>
    <w:rsid w:val="00502E0E"/>
    <w:rsid w:val="00506496"/>
    <w:rsid w:val="005120D1"/>
    <w:rsid w:val="00512F66"/>
    <w:rsid w:val="00514117"/>
    <w:rsid w:val="00516D95"/>
    <w:rsid w:val="00517ACB"/>
    <w:rsid w:val="00517BA1"/>
    <w:rsid w:val="0052095B"/>
    <w:rsid w:val="00521CF0"/>
    <w:rsid w:val="00524AFC"/>
    <w:rsid w:val="005326EB"/>
    <w:rsid w:val="0053282B"/>
    <w:rsid w:val="0053432E"/>
    <w:rsid w:val="00535940"/>
    <w:rsid w:val="0054055E"/>
    <w:rsid w:val="00544386"/>
    <w:rsid w:val="00545CD1"/>
    <w:rsid w:val="00546363"/>
    <w:rsid w:val="00547050"/>
    <w:rsid w:val="00554267"/>
    <w:rsid w:val="005545C5"/>
    <w:rsid w:val="00554968"/>
    <w:rsid w:val="00557FFB"/>
    <w:rsid w:val="00563876"/>
    <w:rsid w:val="00564C69"/>
    <w:rsid w:val="00564D50"/>
    <w:rsid w:val="00566A6F"/>
    <w:rsid w:val="00571D18"/>
    <w:rsid w:val="0057246B"/>
    <w:rsid w:val="005726D0"/>
    <w:rsid w:val="005728D0"/>
    <w:rsid w:val="005733B4"/>
    <w:rsid w:val="00575E36"/>
    <w:rsid w:val="00576E1A"/>
    <w:rsid w:val="005778FC"/>
    <w:rsid w:val="0058179D"/>
    <w:rsid w:val="00583191"/>
    <w:rsid w:val="005914B8"/>
    <w:rsid w:val="00591B46"/>
    <w:rsid w:val="00591E11"/>
    <w:rsid w:val="00591E6C"/>
    <w:rsid w:val="005938E1"/>
    <w:rsid w:val="00593C26"/>
    <w:rsid w:val="0059480E"/>
    <w:rsid w:val="00596A5D"/>
    <w:rsid w:val="00596A6B"/>
    <w:rsid w:val="00597400"/>
    <w:rsid w:val="005A0563"/>
    <w:rsid w:val="005A15F5"/>
    <w:rsid w:val="005A64F4"/>
    <w:rsid w:val="005B1EB6"/>
    <w:rsid w:val="005B4A5B"/>
    <w:rsid w:val="005B74D4"/>
    <w:rsid w:val="005C14ED"/>
    <w:rsid w:val="005C2CE6"/>
    <w:rsid w:val="005D18B8"/>
    <w:rsid w:val="005D2555"/>
    <w:rsid w:val="005D36D3"/>
    <w:rsid w:val="005D56A9"/>
    <w:rsid w:val="005D5B9E"/>
    <w:rsid w:val="005D7904"/>
    <w:rsid w:val="005E16AA"/>
    <w:rsid w:val="005E76CD"/>
    <w:rsid w:val="005F2DA8"/>
    <w:rsid w:val="005F3262"/>
    <w:rsid w:val="005F3604"/>
    <w:rsid w:val="005F6313"/>
    <w:rsid w:val="005F676F"/>
    <w:rsid w:val="00600499"/>
    <w:rsid w:val="0060124E"/>
    <w:rsid w:val="00602CE3"/>
    <w:rsid w:val="0060310B"/>
    <w:rsid w:val="006047B0"/>
    <w:rsid w:val="00604C98"/>
    <w:rsid w:val="00605446"/>
    <w:rsid w:val="00607C76"/>
    <w:rsid w:val="006109C5"/>
    <w:rsid w:val="0061594A"/>
    <w:rsid w:val="0062266A"/>
    <w:rsid w:val="00623E90"/>
    <w:rsid w:val="006258AA"/>
    <w:rsid w:val="00627BA9"/>
    <w:rsid w:val="00631221"/>
    <w:rsid w:val="00633FE8"/>
    <w:rsid w:val="00637D34"/>
    <w:rsid w:val="00643C08"/>
    <w:rsid w:val="0064567A"/>
    <w:rsid w:val="00647350"/>
    <w:rsid w:val="0064786A"/>
    <w:rsid w:val="00654E88"/>
    <w:rsid w:val="006564D1"/>
    <w:rsid w:val="006567D2"/>
    <w:rsid w:val="00657DCE"/>
    <w:rsid w:val="006620A9"/>
    <w:rsid w:val="00663243"/>
    <w:rsid w:val="006640CF"/>
    <w:rsid w:val="00665F6F"/>
    <w:rsid w:val="006679B1"/>
    <w:rsid w:val="006705A1"/>
    <w:rsid w:val="006746C6"/>
    <w:rsid w:val="00675419"/>
    <w:rsid w:val="00685854"/>
    <w:rsid w:val="00690F21"/>
    <w:rsid w:val="00691E8F"/>
    <w:rsid w:val="00692574"/>
    <w:rsid w:val="00693BC9"/>
    <w:rsid w:val="00697400"/>
    <w:rsid w:val="006A0EE6"/>
    <w:rsid w:val="006A22B1"/>
    <w:rsid w:val="006A3766"/>
    <w:rsid w:val="006A79E8"/>
    <w:rsid w:val="006B0F7F"/>
    <w:rsid w:val="006B512C"/>
    <w:rsid w:val="006B69B3"/>
    <w:rsid w:val="006D0C5C"/>
    <w:rsid w:val="006D0E59"/>
    <w:rsid w:val="006D16BB"/>
    <w:rsid w:val="006D694B"/>
    <w:rsid w:val="006D70E5"/>
    <w:rsid w:val="006D70F2"/>
    <w:rsid w:val="006E0CCB"/>
    <w:rsid w:val="006E5B22"/>
    <w:rsid w:val="006F1006"/>
    <w:rsid w:val="006F730D"/>
    <w:rsid w:val="007023D8"/>
    <w:rsid w:val="007100B2"/>
    <w:rsid w:val="00710EFD"/>
    <w:rsid w:val="007120D3"/>
    <w:rsid w:val="007124FC"/>
    <w:rsid w:val="00712532"/>
    <w:rsid w:val="007141BB"/>
    <w:rsid w:val="00715868"/>
    <w:rsid w:val="00720428"/>
    <w:rsid w:val="007238FD"/>
    <w:rsid w:val="007241B1"/>
    <w:rsid w:val="0072533E"/>
    <w:rsid w:val="00725D31"/>
    <w:rsid w:val="00727222"/>
    <w:rsid w:val="00735529"/>
    <w:rsid w:val="0073699C"/>
    <w:rsid w:val="00741347"/>
    <w:rsid w:val="00741DC7"/>
    <w:rsid w:val="007423D3"/>
    <w:rsid w:val="007423DA"/>
    <w:rsid w:val="00742B37"/>
    <w:rsid w:val="00743971"/>
    <w:rsid w:val="007456EE"/>
    <w:rsid w:val="00747222"/>
    <w:rsid w:val="0075123B"/>
    <w:rsid w:val="0075253F"/>
    <w:rsid w:val="00756024"/>
    <w:rsid w:val="00762810"/>
    <w:rsid w:val="007647F0"/>
    <w:rsid w:val="0076582E"/>
    <w:rsid w:val="007668D4"/>
    <w:rsid w:val="00766E99"/>
    <w:rsid w:val="00770676"/>
    <w:rsid w:val="00770C44"/>
    <w:rsid w:val="00770FBE"/>
    <w:rsid w:val="007719B2"/>
    <w:rsid w:val="00772866"/>
    <w:rsid w:val="00773331"/>
    <w:rsid w:val="00774BE0"/>
    <w:rsid w:val="0077708D"/>
    <w:rsid w:val="00780058"/>
    <w:rsid w:val="00781112"/>
    <w:rsid w:val="007819E6"/>
    <w:rsid w:val="00781E53"/>
    <w:rsid w:val="00782CCE"/>
    <w:rsid w:val="00784FBD"/>
    <w:rsid w:val="00785213"/>
    <w:rsid w:val="00785AA2"/>
    <w:rsid w:val="00791A33"/>
    <w:rsid w:val="00791A8F"/>
    <w:rsid w:val="00792FCD"/>
    <w:rsid w:val="007932EF"/>
    <w:rsid w:val="007952A4"/>
    <w:rsid w:val="00795D36"/>
    <w:rsid w:val="007A06A2"/>
    <w:rsid w:val="007A1D55"/>
    <w:rsid w:val="007A3426"/>
    <w:rsid w:val="007B00C3"/>
    <w:rsid w:val="007B36FB"/>
    <w:rsid w:val="007B3E8C"/>
    <w:rsid w:val="007B48A5"/>
    <w:rsid w:val="007C195A"/>
    <w:rsid w:val="007C1E48"/>
    <w:rsid w:val="007C6498"/>
    <w:rsid w:val="007C696B"/>
    <w:rsid w:val="007D6ABD"/>
    <w:rsid w:val="007D7BFB"/>
    <w:rsid w:val="007E05B0"/>
    <w:rsid w:val="007E2C93"/>
    <w:rsid w:val="007E51F2"/>
    <w:rsid w:val="007E608E"/>
    <w:rsid w:val="007E6343"/>
    <w:rsid w:val="007F0907"/>
    <w:rsid w:val="007F29D9"/>
    <w:rsid w:val="007F2B6F"/>
    <w:rsid w:val="007F38CB"/>
    <w:rsid w:val="007F788D"/>
    <w:rsid w:val="00812262"/>
    <w:rsid w:val="00813F2E"/>
    <w:rsid w:val="00816944"/>
    <w:rsid w:val="008221A1"/>
    <w:rsid w:val="00822F09"/>
    <w:rsid w:val="00824A94"/>
    <w:rsid w:val="00826AB3"/>
    <w:rsid w:val="0083263F"/>
    <w:rsid w:val="00837729"/>
    <w:rsid w:val="0083795B"/>
    <w:rsid w:val="00837A6B"/>
    <w:rsid w:val="00841708"/>
    <w:rsid w:val="008431F4"/>
    <w:rsid w:val="00843C85"/>
    <w:rsid w:val="0084666C"/>
    <w:rsid w:val="008631BC"/>
    <w:rsid w:val="00870E6E"/>
    <w:rsid w:val="00872126"/>
    <w:rsid w:val="008731DA"/>
    <w:rsid w:val="0087376D"/>
    <w:rsid w:val="00874D22"/>
    <w:rsid w:val="00877EF3"/>
    <w:rsid w:val="00884F42"/>
    <w:rsid w:val="008850C5"/>
    <w:rsid w:val="00887367"/>
    <w:rsid w:val="00890C82"/>
    <w:rsid w:val="00893BE0"/>
    <w:rsid w:val="00896437"/>
    <w:rsid w:val="008972F6"/>
    <w:rsid w:val="00897D4A"/>
    <w:rsid w:val="008A2914"/>
    <w:rsid w:val="008A43D0"/>
    <w:rsid w:val="008B5C7C"/>
    <w:rsid w:val="008C0481"/>
    <w:rsid w:val="008C0525"/>
    <w:rsid w:val="008C0596"/>
    <w:rsid w:val="008C20AA"/>
    <w:rsid w:val="008C2E95"/>
    <w:rsid w:val="008D01F1"/>
    <w:rsid w:val="008D1A8A"/>
    <w:rsid w:val="008D1D00"/>
    <w:rsid w:val="008D22C9"/>
    <w:rsid w:val="008D5B26"/>
    <w:rsid w:val="008E1E5E"/>
    <w:rsid w:val="008E3A78"/>
    <w:rsid w:val="008E4B85"/>
    <w:rsid w:val="008E4D8E"/>
    <w:rsid w:val="008F39DC"/>
    <w:rsid w:val="008F3DB0"/>
    <w:rsid w:val="008F3E00"/>
    <w:rsid w:val="008F4D55"/>
    <w:rsid w:val="008F5335"/>
    <w:rsid w:val="008F5C26"/>
    <w:rsid w:val="008F7B95"/>
    <w:rsid w:val="009002D4"/>
    <w:rsid w:val="00902EEF"/>
    <w:rsid w:val="0090388D"/>
    <w:rsid w:val="009048C3"/>
    <w:rsid w:val="009071B6"/>
    <w:rsid w:val="00907E03"/>
    <w:rsid w:val="00911281"/>
    <w:rsid w:val="0091238D"/>
    <w:rsid w:val="00912601"/>
    <w:rsid w:val="00913C1E"/>
    <w:rsid w:val="00921D3B"/>
    <w:rsid w:val="00922F14"/>
    <w:rsid w:val="00923CA6"/>
    <w:rsid w:val="00924DE9"/>
    <w:rsid w:val="00926AD3"/>
    <w:rsid w:val="009300CD"/>
    <w:rsid w:val="0093120F"/>
    <w:rsid w:val="00931D32"/>
    <w:rsid w:val="009350AF"/>
    <w:rsid w:val="009416D2"/>
    <w:rsid w:val="0094218E"/>
    <w:rsid w:val="00943128"/>
    <w:rsid w:val="00944A0F"/>
    <w:rsid w:val="00946A57"/>
    <w:rsid w:val="009526DB"/>
    <w:rsid w:val="00955602"/>
    <w:rsid w:val="009558EB"/>
    <w:rsid w:val="009609AC"/>
    <w:rsid w:val="00970DFA"/>
    <w:rsid w:val="009743D4"/>
    <w:rsid w:val="00974FA8"/>
    <w:rsid w:val="00982913"/>
    <w:rsid w:val="00983FF6"/>
    <w:rsid w:val="00984AE8"/>
    <w:rsid w:val="00987351"/>
    <w:rsid w:val="0099353C"/>
    <w:rsid w:val="00996CAC"/>
    <w:rsid w:val="009B11F6"/>
    <w:rsid w:val="009B3652"/>
    <w:rsid w:val="009B57E1"/>
    <w:rsid w:val="009B5F9E"/>
    <w:rsid w:val="009B6717"/>
    <w:rsid w:val="009B6F10"/>
    <w:rsid w:val="009B766E"/>
    <w:rsid w:val="009C10DE"/>
    <w:rsid w:val="009C1664"/>
    <w:rsid w:val="009C2EFA"/>
    <w:rsid w:val="009C51FC"/>
    <w:rsid w:val="009C79EE"/>
    <w:rsid w:val="009C7CA1"/>
    <w:rsid w:val="009D120C"/>
    <w:rsid w:val="009D2946"/>
    <w:rsid w:val="009E17D9"/>
    <w:rsid w:val="009E3807"/>
    <w:rsid w:val="009E502C"/>
    <w:rsid w:val="009F604F"/>
    <w:rsid w:val="009F665D"/>
    <w:rsid w:val="009F76E8"/>
    <w:rsid w:val="00A013C1"/>
    <w:rsid w:val="00A0293F"/>
    <w:rsid w:val="00A06913"/>
    <w:rsid w:val="00A1648D"/>
    <w:rsid w:val="00A16A30"/>
    <w:rsid w:val="00A219D4"/>
    <w:rsid w:val="00A22738"/>
    <w:rsid w:val="00A22B89"/>
    <w:rsid w:val="00A24ADE"/>
    <w:rsid w:val="00A366A9"/>
    <w:rsid w:val="00A37FCB"/>
    <w:rsid w:val="00A41E3F"/>
    <w:rsid w:val="00A440FE"/>
    <w:rsid w:val="00A44236"/>
    <w:rsid w:val="00A44EED"/>
    <w:rsid w:val="00A5040B"/>
    <w:rsid w:val="00A50B7B"/>
    <w:rsid w:val="00A60F87"/>
    <w:rsid w:val="00A711CE"/>
    <w:rsid w:val="00A71F52"/>
    <w:rsid w:val="00A77D9D"/>
    <w:rsid w:val="00A77FB7"/>
    <w:rsid w:val="00A81977"/>
    <w:rsid w:val="00A916B2"/>
    <w:rsid w:val="00A91CB6"/>
    <w:rsid w:val="00AA0170"/>
    <w:rsid w:val="00AA1794"/>
    <w:rsid w:val="00AA64C2"/>
    <w:rsid w:val="00AC267E"/>
    <w:rsid w:val="00AC7718"/>
    <w:rsid w:val="00AC7F5C"/>
    <w:rsid w:val="00AD0F94"/>
    <w:rsid w:val="00AD343D"/>
    <w:rsid w:val="00AD369D"/>
    <w:rsid w:val="00AD452C"/>
    <w:rsid w:val="00AD45F9"/>
    <w:rsid w:val="00AE0C68"/>
    <w:rsid w:val="00AE6D1B"/>
    <w:rsid w:val="00AF299D"/>
    <w:rsid w:val="00AF32C4"/>
    <w:rsid w:val="00AF4364"/>
    <w:rsid w:val="00AF676C"/>
    <w:rsid w:val="00AF7153"/>
    <w:rsid w:val="00AF7A9F"/>
    <w:rsid w:val="00B0158C"/>
    <w:rsid w:val="00B0335A"/>
    <w:rsid w:val="00B05489"/>
    <w:rsid w:val="00B05F98"/>
    <w:rsid w:val="00B06064"/>
    <w:rsid w:val="00B07511"/>
    <w:rsid w:val="00B10E87"/>
    <w:rsid w:val="00B16FD3"/>
    <w:rsid w:val="00B24458"/>
    <w:rsid w:val="00B271C9"/>
    <w:rsid w:val="00B30557"/>
    <w:rsid w:val="00B32673"/>
    <w:rsid w:val="00B33EB7"/>
    <w:rsid w:val="00B4449F"/>
    <w:rsid w:val="00B4660C"/>
    <w:rsid w:val="00B46B36"/>
    <w:rsid w:val="00B47062"/>
    <w:rsid w:val="00B47282"/>
    <w:rsid w:val="00B51623"/>
    <w:rsid w:val="00B56251"/>
    <w:rsid w:val="00B609DF"/>
    <w:rsid w:val="00B61380"/>
    <w:rsid w:val="00B62020"/>
    <w:rsid w:val="00B629C4"/>
    <w:rsid w:val="00B72F92"/>
    <w:rsid w:val="00B76679"/>
    <w:rsid w:val="00B80163"/>
    <w:rsid w:val="00B82711"/>
    <w:rsid w:val="00B841B2"/>
    <w:rsid w:val="00B84A43"/>
    <w:rsid w:val="00B86743"/>
    <w:rsid w:val="00B871D9"/>
    <w:rsid w:val="00B90128"/>
    <w:rsid w:val="00B92EFA"/>
    <w:rsid w:val="00B9318B"/>
    <w:rsid w:val="00B933BB"/>
    <w:rsid w:val="00B94D7B"/>
    <w:rsid w:val="00B955CA"/>
    <w:rsid w:val="00B96844"/>
    <w:rsid w:val="00B9729A"/>
    <w:rsid w:val="00BA052C"/>
    <w:rsid w:val="00BA58C3"/>
    <w:rsid w:val="00BA63FA"/>
    <w:rsid w:val="00BA7136"/>
    <w:rsid w:val="00BB36B0"/>
    <w:rsid w:val="00BB49DB"/>
    <w:rsid w:val="00BB751A"/>
    <w:rsid w:val="00BC07FC"/>
    <w:rsid w:val="00BD1C8F"/>
    <w:rsid w:val="00BD26A6"/>
    <w:rsid w:val="00BD34F4"/>
    <w:rsid w:val="00BD3E4F"/>
    <w:rsid w:val="00BE1962"/>
    <w:rsid w:val="00BE253B"/>
    <w:rsid w:val="00BE2C7A"/>
    <w:rsid w:val="00BE5C1E"/>
    <w:rsid w:val="00BF0870"/>
    <w:rsid w:val="00BF2FB9"/>
    <w:rsid w:val="00BF3F25"/>
    <w:rsid w:val="00BF61DD"/>
    <w:rsid w:val="00BF68C6"/>
    <w:rsid w:val="00BF7DE9"/>
    <w:rsid w:val="00C036CF"/>
    <w:rsid w:val="00C04CAF"/>
    <w:rsid w:val="00C11E00"/>
    <w:rsid w:val="00C11FA8"/>
    <w:rsid w:val="00C12301"/>
    <w:rsid w:val="00C16F46"/>
    <w:rsid w:val="00C21D60"/>
    <w:rsid w:val="00C22455"/>
    <w:rsid w:val="00C25FC5"/>
    <w:rsid w:val="00C26118"/>
    <w:rsid w:val="00C31D1B"/>
    <w:rsid w:val="00C35DBC"/>
    <w:rsid w:val="00C370A1"/>
    <w:rsid w:val="00C40B33"/>
    <w:rsid w:val="00C410EE"/>
    <w:rsid w:val="00C438CB"/>
    <w:rsid w:val="00C43947"/>
    <w:rsid w:val="00C51EC4"/>
    <w:rsid w:val="00C67749"/>
    <w:rsid w:val="00C721D0"/>
    <w:rsid w:val="00C7298D"/>
    <w:rsid w:val="00C762F3"/>
    <w:rsid w:val="00C778B6"/>
    <w:rsid w:val="00C80EE2"/>
    <w:rsid w:val="00C81D9E"/>
    <w:rsid w:val="00C83180"/>
    <w:rsid w:val="00C86FFD"/>
    <w:rsid w:val="00C870F0"/>
    <w:rsid w:val="00C93C13"/>
    <w:rsid w:val="00C943E5"/>
    <w:rsid w:val="00CA03E4"/>
    <w:rsid w:val="00CA130C"/>
    <w:rsid w:val="00CA641A"/>
    <w:rsid w:val="00CA729D"/>
    <w:rsid w:val="00CB0CE3"/>
    <w:rsid w:val="00CB6797"/>
    <w:rsid w:val="00CC0F36"/>
    <w:rsid w:val="00CC1E9C"/>
    <w:rsid w:val="00CD2058"/>
    <w:rsid w:val="00CD31AC"/>
    <w:rsid w:val="00CD4529"/>
    <w:rsid w:val="00CD629C"/>
    <w:rsid w:val="00CD638A"/>
    <w:rsid w:val="00CE5561"/>
    <w:rsid w:val="00CF6BBF"/>
    <w:rsid w:val="00D01D1A"/>
    <w:rsid w:val="00D01E0A"/>
    <w:rsid w:val="00D0269F"/>
    <w:rsid w:val="00D028AE"/>
    <w:rsid w:val="00D1167A"/>
    <w:rsid w:val="00D11AF2"/>
    <w:rsid w:val="00D20381"/>
    <w:rsid w:val="00D21B78"/>
    <w:rsid w:val="00D23046"/>
    <w:rsid w:val="00D27E71"/>
    <w:rsid w:val="00D351E2"/>
    <w:rsid w:val="00D40974"/>
    <w:rsid w:val="00D4481F"/>
    <w:rsid w:val="00D5066C"/>
    <w:rsid w:val="00D51921"/>
    <w:rsid w:val="00D53C88"/>
    <w:rsid w:val="00D568C5"/>
    <w:rsid w:val="00D57DF3"/>
    <w:rsid w:val="00D61B7A"/>
    <w:rsid w:val="00D633D7"/>
    <w:rsid w:val="00D637D0"/>
    <w:rsid w:val="00D70B4F"/>
    <w:rsid w:val="00D7308B"/>
    <w:rsid w:val="00D749C3"/>
    <w:rsid w:val="00D77B32"/>
    <w:rsid w:val="00D81420"/>
    <w:rsid w:val="00D82A77"/>
    <w:rsid w:val="00D833F1"/>
    <w:rsid w:val="00D85958"/>
    <w:rsid w:val="00D87356"/>
    <w:rsid w:val="00D90ABA"/>
    <w:rsid w:val="00D91218"/>
    <w:rsid w:val="00D9302F"/>
    <w:rsid w:val="00D94805"/>
    <w:rsid w:val="00D94874"/>
    <w:rsid w:val="00D94AB8"/>
    <w:rsid w:val="00D95BDE"/>
    <w:rsid w:val="00D97799"/>
    <w:rsid w:val="00D97FDE"/>
    <w:rsid w:val="00DA35D3"/>
    <w:rsid w:val="00DA52F8"/>
    <w:rsid w:val="00DA5ADA"/>
    <w:rsid w:val="00DA5CE3"/>
    <w:rsid w:val="00DA62DB"/>
    <w:rsid w:val="00DA65A5"/>
    <w:rsid w:val="00DA6FD4"/>
    <w:rsid w:val="00DA7D7D"/>
    <w:rsid w:val="00DB312B"/>
    <w:rsid w:val="00DB66D7"/>
    <w:rsid w:val="00DC0670"/>
    <w:rsid w:val="00DC19DF"/>
    <w:rsid w:val="00DC4802"/>
    <w:rsid w:val="00DD14F1"/>
    <w:rsid w:val="00DD1E69"/>
    <w:rsid w:val="00DE21F9"/>
    <w:rsid w:val="00DE27F3"/>
    <w:rsid w:val="00DE2C9A"/>
    <w:rsid w:val="00DE42AA"/>
    <w:rsid w:val="00DE6BEC"/>
    <w:rsid w:val="00DF1E4D"/>
    <w:rsid w:val="00DF738E"/>
    <w:rsid w:val="00E006B5"/>
    <w:rsid w:val="00E01CB1"/>
    <w:rsid w:val="00E02A29"/>
    <w:rsid w:val="00E05A11"/>
    <w:rsid w:val="00E141A3"/>
    <w:rsid w:val="00E1627B"/>
    <w:rsid w:val="00E1675C"/>
    <w:rsid w:val="00E17B3A"/>
    <w:rsid w:val="00E20F88"/>
    <w:rsid w:val="00E23707"/>
    <w:rsid w:val="00E30CAA"/>
    <w:rsid w:val="00E34752"/>
    <w:rsid w:val="00E35E13"/>
    <w:rsid w:val="00E36C7B"/>
    <w:rsid w:val="00E37059"/>
    <w:rsid w:val="00E37235"/>
    <w:rsid w:val="00E3775A"/>
    <w:rsid w:val="00E4539F"/>
    <w:rsid w:val="00E46AD6"/>
    <w:rsid w:val="00E52A91"/>
    <w:rsid w:val="00E63A49"/>
    <w:rsid w:val="00E668FD"/>
    <w:rsid w:val="00E70E0A"/>
    <w:rsid w:val="00E72E3E"/>
    <w:rsid w:val="00E81026"/>
    <w:rsid w:val="00E8177D"/>
    <w:rsid w:val="00E84613"/>
    <w:rsid w:val="00E910A3"/>
    <w:rsid w:val="00E9290D"/>
    <w:rsid w:val="00E932F8"/>
    <w:rsid w:val="00E93FCA"/>
    <w:rsid w:val="00E950BC"/>
    <w:rsid w:val="00EA0944"/>
    <w:rsid w:val="00EA26EF"/>
    <w:rsid w:val="00EA5640"/>
    <w:rsid w:val="00EA6F0A"/>
    <w:rsid w:val="00EB35E5"/>
    <w:rsid w:val="00EB44C8"/>
    <w:rsid w:val="00EB5650"/>
    <w:rsid w:val="00EB60B8"/>
    <w:rsid w:val="00EB6BF3"/>
    <w:rsid w:val="00EC2BA6"/>
    <w:rsid w:val="00EC31AF"/>
    <w:rsid w:val="00EC32AB"/>
    <w:rsid w:val="00EC3C45"/>
    <w:rsid w:val="00EC419E"/>
    <w:rsid w:val="00ED26DA"/>
    <w:rsid w:val="00ED6BE2"/>
    <w:rsid w:val="00EE0D83"/>
    <w:rsid w:val="00EE1423"/>
    <w:rsid w:val="00EE63C3"/>
    <w:rsid w:val="00EF4FC2"/>
    <w:rsid w:val="00F01C30"/>
    <w:rsid w:val="00F04DFE"/>
    <w:rsid w:val="00F05D6A"/>
    <w:rsid w:val="00F0603F"/>
    <w:rsid w:val="00F060DE"/>
    <w:rsid w:val="00F1779E"/>
    <w:rsid w:val="00F235B3"/>
    <w:rsid w:val="00F23CED"/>
    <w:rsid w:val="00F25BF5"/>
    <w:rsid w:val="00F26CC5"/>
    <w:rsid w:val="00F26E84"/>
    <w:rsid w:val="00F2796C"/>
    <w:rsid w:val="00F30C58"/>
    <w:rsid w:val="00F36296"/>
    <w:rsid w:val="00F377CD"/>
    <w:rsid w:val="00F37C1C"/>
    <w:rsid w:val="00F4118A"/>
    <w:rsid w:val="00F415FA"/>
    <w:rsid w:val="00F432EB"/>
    <w:rsid w:val="00F44DE6"/>
    <w:rsid w:val="00F4653C"/>
    <w:rsid w:val="00F46EFE"/>
    <w:rsid w:val="00F520A0"/>
    <w:rsid w:val="00F530FA"/>
    <w:rsid w:val="00F5442E"/>
    <w:rsid w:val="00F54562"/>
    <w:rsid w:val="00F54634"/>
    <w:rsid w:val="00F60BA3"/>
    <w:rsid w:val="00F61439"/>
    <w:rsid w:val="00F6184E"/>
    <w:rsid w:val="00F67DBA"/>
    <w:rsid w:val="00F71FC3"/>
    <w:rsid w:val="00F73186"/>
    <w:rsid w:val="00F752C7"/>
    <w:rsid w:val="00F769EE"/>
    <w:rsid w:val="00F8374C"/>
    <w:rsid w:val="00F8765C"/>
    <w:rsid w:val="00F905EC"/>
    <w:rsid w:val="00F90B7E"/>
    <w:rsid w:val="00F90D4A"/>
    <w:rsid w:val="00F94588"/>
    <w:rsid w:val="00F9703F"/>
    <w:rsid w:val="00FA2A10"/>
    <w:rsid w:val="00FA3B63"/>
    <w:rsid w:val="00FA3BFA"/>
    <w:rsid w:val="00FA4814"/>
    <w:rsid w:val="00FA552E"/>
    <w:rsid w:val="00FB130B"/>
    <w:rsid w:val="00FB1F51"/>
    <w:rsid w:val="00FB2567"/>
    <w:rsid w:val="00FB307A"/>
    <w:rsid w:val="00FB3A0C"/>
    <w:rsid w:val="00FB54E4"/>
    <w:rsid w:val="00FB615B"/>
    <w:rsid w:val="00FB6D2E"/>
    <w:rsid w:val="00FC2063"/>
    <w:rsid w:val="00FC28CB"/>
    <w:rsid w:val="00FC38F8"/>
    <w:rsid w:val="00FC3F2C"/>
    <w:rsid w:val="00FC42F1"/>
    <w:rsid w:val="00FC75DD"/>
    <w:rsid w:val="00FD02DF"/>
    <w:rsid w:val="00FD09A7"/>
    <w:rsid w:val="00FD1CBF"/>
    <w:rsid w:val="00FD3998"/>
    <w:rsid w:val="00FD6C6A"/>
    <w:rsid w:val="00FE140C"/>
    <w:rsid w:val="00FF02A2"/>
    <w:rsid w:val="00FF0E1A"/>
    <w:rsid w:val="00FF0EF5"/>
    <w:rsid w:val="00FF11DE"/>
    <w:rsid w:val="00FF4D0C"/>
    <w:rsid w:val="00FF4F42"/>
    <w:rsid w:val="00FF6455"/>
    <w:rsid w:val="00FF6545"/>
    <w:rsid w:val="00FF6CE3"/>
    <w:rsid w:val="00FF6E12"/>
    <w:rsid w:val="00FF75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4E96AC9C"/>
  <w15:docId w15:val="{DE5281EA-2E85-4D11-B44A-EF764440B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6"/>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6"/>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6"/>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E90"/>
    <w:pPr>
      <w:ind w:left="720"/>
      <w:contextualSpacing/>
    </w:pPr>
  </w:style>
  <w:style w:type="character" w:styleId="CommentReference">
    <w:name w:val="annotation reference"/>
    <w:basedOn w:val="DefaultParagraphFont"/>
    <w:uiPriority w:val="99"/>
    <w:unhideWhenUsed/>
    <w:rsid w:val="00516D95"/>
    <w:rPr>
      <w:sz w:val="16"/>
      <w:szCs w:val="16"/>
    </w:rPr>
  </w:style>
  <w:style w:type="paragraph" w:styleId="CommentText">
    <w:name w:val="annotation text"/>
    <w:basedOn w:val="Normal"/>
    <w:link w:val="CommentTextChar"/>
    <w:uiPriority w:val="99"/>
    <w:unhideWhenUsed/>
    <w:rsid w:val="00516D95"/>
    <w:rPr>
      <w:sz w:val="20"/>
      <w:szCs w:val="20"/>
    </w:rPr>
  </w:style>
  <w:style w:type="character" w:customStyle="1" w:styleId="CommentTextChar">
    <w:name w:val="Comment Text Char"/>
    <w:basedOn w:val="DefaultParagraphFont"/>
    <w:link w:val="CommentText"/>
    <w:rsid w:val="00516D95"/>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sid w:val="00516D95"/>
    <w:rPr>
      <w:b/>
      <w:bCs/>
    </w:rPr>
  </w:style>
  <w:style w:type="character" w:customStyle="1" w:styleId="CommentSubjectChar">
    <w:name w:val="Comment Subject Char"/>
    <w:basedOn w:val="CommentTextChar"/>
    <w:link w:val="CommentSubject"/>
    <w:rsid w:val="00516D95"/>
    <w:rPr>
      <w:rFonts w:ascii="Times New Roman" w:hAnsi="Times New Roman" w:cs="Times New Roman"/>
      <w:b/>
      <w:bCs/>
      <w:sz w:val="20"/>
      <w:szCs w:val="20"/>
      <w:lang w:val="en-GB"/>
    </w:rPr>
  </w:style>
  <w:style w:type="paragraph" w:styleId="BalloonText">
    <w:name w:val="Balloon Text"/>
    <w:basedOn w:val="Normal"/>
    <w:link w:val="BalloonTextChar"/>
    <w:unhideWhenUsed/>
    <w:rsid w:val="00516D95"/>
    <w:pPr>
      <w:spacing w:before="0" w:after="0"/>
    </w:pPr>
    <w:rPr>
      <w:rFonts w:ascii="Segoe UI" w:hAnsi="Segoe UI" w:cs="Segoe UI"/>
      <w:sz w:val="18"/>
      <w:szCs w:val="18"/>
    </w:rPr>
  </w:style>
  <w:style w:type="character" w:customStyle="1" w:styleId="BalloonTextChar">
    <w:name w:val="Balloon Text Char"/>
    <w:basedOn w:val="DefaultParagraphFont"/>
    <w:link w:val="BalloonText"/>
    <w:rsid w:val="00516D95"/>
    <w:rPr>
      <w:rFonts w:ascii="Segoe UI" w:hAnsi="Segoe UI" w:cs="Segoe UI"/>
      <w:sz w:val="18"/>
      <w:szCs w:val="18"/>
      <w:lang w:val="en-GB"/>
    </w:rPr>
  </w:style>
  <w:style w:type="paragraph" w:styleId="ListBullet">
    <w:name w:val="List Bullet"/>
    <w:basedOn w:val="Normal"/>
    <w:unhideWhenUsed/>
    <w:rsid w:val="00066761"/>
    <w:pPr>
      <w:numPr>
        <w:numId w:val="1"/>
      </w:numPr>
      <w:contextualSpacing/>
    </w:pPr>
  </w:style>
  <w:style w:type="paragraph" w:styleId="ListBullet2">
    <w:name w:val="List Bullet 2"/>
    <w:basedOn w:val="Normal"/>
    <w:unhideWhenUsed/>
    <w:rsid w:val="00066761"/>
    <w:pPr>
      <w:numPr>
        <w:numId w:val="2"/>
      </w:numPr>
      <w:contextualSpacing/>
    </w:pPr>
  </w:style>
  <w:style w:type="paragraph" w:styleId="ListBullet3">
    <w:name w:val="List Bullet 3"/>
    <w:basedOn w:val="Normal"/>
    <w:unhideWhenUsed/>
    <w:rsid w:val="00066761"/>
    <w:pPr>
      <w:numPr>
        <w:numId w:val="3"/>
      </w:numPr>
      <w:contextualSpacing/>
    </w:pPr>
  </w:style>
  <w:style w:type="paragraph" w:styleId="ListBullet4">
    <w:name w:val="List Bullet 4"/>
    <w:basedOn w:val="Normal"/>
    <w:unhideWhenUsed/>
    <w:rsid w:val="00066761"/>
    <w:pPr>
      <w:numPr>
        <w:numId w:val="4"/>
      </w:numPr>
      <w:contextualSpacing/>
    </w:pPr>
  </w:style>
  <w:style w:type="paragraph" w:customStyle="1" w:styleId="CM1">
    <w:name w:val="CM1"/>
    <w:basedOn w:val="Normal"/>
    <w:next w:val="Normal"/>
    <w:uiPriority w:val="99"/>
    <w:rsid w:val="005914B8"/>
    <w:pPr>
      <w:autoSpaceDE w:val="0"/>
      <w:autoSpaceDN w:val="0"/>
      <w:adjustRightInd w:val="0"/>
      <w:spacing w:before="0" w:after="0"/>
      <w:jc w:val="left"/>
    </w:pPr>
    <w:rPr>
      <w:szCs w:val="24"/>
      <w:lang w:val="en-US"/>
    </w:rPr>
  </w:style>
  <w:style w:type="paragraph" w:customStyle="1" w:styleId="CM3">
    <w:name w:val="CM3"/>
    <w:basedOn w:val="Normal"/>
    <w:next w:val="Normal"/>
    <w:uiPriority w:val="99"/>
    <w:rsid w:val="005914B8"/>
    <w:pPr>
      <w:autoSpaceDE w:val="0"/>
      <w:autoSpaceDN w:val="0"/>
      <w:adjustRightInd w:val="0"/>
      <w:spacing w:before="0" w:after="0"/>
      <w:jc w:val="left"/>
    </w:pPr>
    <w:rPr>
      <w:szCs w:val="24"/>
      <w:lang w:val="en-US"/>
    </w:rPr>
  </w:style>
  <w:style w:type="paragraph" w:customStyle="1" w:styleId="CM4">
    <w:name w:val="CM4"/>
    <w:basedOn w:val="Normal"/>
    <w:next w:val="Normal"/>
    <w:uiPriority w:val="99"/>
    <w:rsid w:val="005914B8"/>
    <w:pPr>
      <w:autoSpaceDE w:val="0"/>
      <w:autoSpaceDN w:val="0"/>
      <w:adjustRightInd w:val="0"/>
      <w:spacing w:before="0" w:after="0"/>
      <w:jc w:val="left"/>
    </w:pPr>
    <w:rPr>
      <w:szCs w:val="24"/>
      <w:lang w:val="en-US"/>
    </w:rPr>
  </w:style>
  <w:style w:type="paragraph" w:styleId="NormalWeb">
    <w:name w:val="Normal (Web)"/>
    <w:basedOn w:val="Normal"/>
    <w:uiPriority w:val="99"/>
    <w:semiHidden/>
    <w:unhideWhenUsed/>
    <w:rsid w:val="00D11AF2"/>
    <w:rPr>
      <w:szCs w:val="24"/>
    </w:rPr>
  </w:style>
  <w:style w:type="paragraph" w:styleId="Revision">
    <w:name w:val="Revision"/>
    <w:hidden/>
    <w:uiPriority w:val="99"/>
    <w:semiHidden/>
    <w:rsid w:val="007238FD"/>
    <w:pPr>
      <w:spacing w:after="0" w:line="240" w:lineRule="auto"/>
    </w:pPr>
    <w:rPr>
      <w:rFonts w:ascii="Times New Roman" w:hAnsi="Times New Roman" w:cs="Times New Roman"/>
      <w:sz w:val="24"/>
      <w:lang w:val="en-GB"/>
    </w:rPr>
  </w:style>
  <w:style w:type="paragraph" w:customStyle="1" w:styleId="Normal1">
    <w:name w:val="Normal1"/>
    <w:basedOn w:val="Normal"/>
    <w:rsid w:val="00B46B36"/>
    <w:pPr>
      <w:spacing w:before="100" w:beforeAutospacing="1" w:after="100" w:afterAutospacing="1"/>
      <w:jc w:val="left"/>
    </w:pPr>
    <w:rPr>
      <w:rFonts w:eastAsia="Times New Roman"/>
      <w:szCs w:val="24"/>
      <w:lang w:val="en-US"/>
    </w:rPr>
  </w:style>
  <w:style w:type="character" w:styleId="Hyperlink">
    <w:name w:val="Hyperlink"/>
    <w:basedOn w:val="DefaultParagraphFont"/>
    <w:uiPriority w:val="99"/>
    <w:unhideWhenUsed/>
    <w:rsid w:val="00B46B36"/>
    <w:rPr>
      <w:color w:val="0000FF"/>
      <w:u w:val="single"/>
    </w:rPr>
  </w:style>
  <w:style w:type="character" w:customStyle="1" w:styleId="super">
    <w:name w:val="super"/>
    <w:basedOn w:val="DefaultParagraphFont"/>
    <w:rsid w:val="00B46B36"/>
  </w:style>
  <w:style w:type="character" w:styleId="Emphasis">
    <w:name w:val="Emphasis"/>
    <w:basedOn w:val="DefaultParagraphFont"/>
    <w:uiPriority w:val="20"/>
    <w:qFormat/>
    <w:rsid w:val="006A79E8"/>
    <w:rPr>
      <w:i/>
      <w:iCs/>
    </w:rPr>
  </w:style>
  <w:style w:type="paragraph" w:customStyle="1" w:styleId="li">
    <w:name w:val="li"/>
    <w:basedOn w:val="Normal"/>
    <w:rsid w:val="00FF0E1A"/>
    <w:pPr>
      <w:spacing w:before="100" w:beforeAutospacing="1" w:after="100" w:afterAutospacing="1"/>
      <w:jc w:val="left"/>
    </w:pPr>
    <w:rPr>
      <w:rFonts w:eastAsia="Times New Roman"/>
      <w:szCs w:val="24"/>
      <w:lang w:val="en-US"/>
    </w:rPr>
  </w:style>
  <w:style w:type="character" w:customStyle="1" w:styleId="num">
    <w:name w:val="num"/>
    <w:basedOn w:val="DefaultParagraphFont"/>
    <w:rsid w:val="00FF0E1A"/>
  </w:style>
  <w:style w:type="paragraph" w:styleId="Caption">
    <w:name w:val="caption"/>
    <w:basedOn w:val="Normal"/>
    <w:next w:val="Normal"/>
    <w:unhideWhenUsed/>
    <w:qFormat/>
    <w:rsid w:val="0064786A"/>
    <w:pPr>
      <w:spacing w:before="0" w:after="200"/>
    </w:pPr>
    <w:rPr>
      <w:i/>
      <w:iCs/>
      <w:color w:val="1F497D" w:themeColor="text2"/>
      <w:sz w:val="18"/>
      <w:szCs w:val="18"/>
    </w:rPr>
  </w:style>
  <w:style w:type="paragraph" w:styleId="TableofFigures">
    <w:name w:val="table of figures"/>
    <w:basedOn w:val="Normal"/>
    <w:next w:val="Normal"/>
    <w:unhideWhenUsed/>
    <w:rsid w:val="0064786A"/>
    <w:pPr>
      <w:spacing w:after="0"/>
    </w:pPr>
  </w:style>
  <w:style w:type="paragraph" w:styleId="ListNumber">
    <w:name w:val="List Number"/>
    <w:basedOn w:val="Normal"/>
    <w:unhideWhenUsed/>
    <w:rsid w:val="0064786A"/>
    <w:pPr>
      <w:numPr>
        <w:numId w:val="6"/>
      </w:numPr>
      <w:contextualSpacing/>
    </w:pPr>
  </w:style>
  <w:style w:type="paragraph" w:styleId="ListNumber2">
    <w:name w:val="List Number 2"/>
    <w:basedOn w:val="Normal"/>
    <w:unhideWhenUsed/>
    <w:rsid w:val="0064786A"/>
    <w:pPr>
      <w:numPr>
        <w:numId w:val="7"/>
      </w:numPr>
      <w:contextualSpacing/>
    </w:pPr>
  </w:style>
  <w:style w:type="paragraph" w:styleId="ListNumber3">
    <w:name w:val="List Number 3"/>
    <w:basedOn w:val="Normal"/>
    <w:unhideWhenUsed/>
    <w:rsid w:val="0064786A"/>
    <w:pPr>
      <w:numPr>
        <w:numId w:val="8"/>
      </w:numPr>
      <w:contextualSpacing/>
    </w:pPr>
  </w:style>
  <w:style w:type="paragraph" w:styleId="ListNumber4">
    <w:name w:val="List Number 4"/>
    <w:basedOn w:val="Normal"/>
    <w:unhideWhenUsed/>
    <w:rsid w:val="0064786A"/>
    <w:pPr>
      <w:numPr>
        <w:numId w:val="9"/>
      </w:numPr>
      <w:contextualSpacing/>
    </w:pPr>
  </w:style>
  <w:style w:type="paragraph" w:customStyle="1" w:styleId="Article17">
    <w:name w:val="Article 17"/>
    <w:basedOn w:val="Point0number"/>
    <w:rsid w:val="00EC31AF"/>
  </w:style>
  <w:style w:type="character" w:customStyle="1" w:styleId="UnresolvedMention1">
    <w:name w:val="Unresolved Mention1"/>
    <w:basedOn w:val="DefaultParagraphFont"/>
    <w:uiPriority w:val="99"/>
    <w:semiHidden/>
    <w:unhideWhenUsed/>
    <w:rsid w:val="00785213"/>
    <w:rPr>
      <w:color w:val="605E5C"/>
      <w:shd w:val="clear" w:color="auto" w:fill="E1DFDD"/>
    </w:rPr>
  </w:style>
  <w:style w:type="paragraph" w:customStyle="1" w:styleId="ListBullet1">
    <w:name w:val="List Bullet 1"/>
    <w:basedOn w:val="Normal"/>
    <w:rsid w:val="00600499"/>
    <w:pPr>
      <w:numPr>
        <w:numId w:val="25"/>
      </w:numPr>
    </w:pPr>
    <w:rPr>
      <w:lang w:eastAsia="en-GB"/>
    </w:rPr>
  </w:style>
  <w:style w:type="paragraph" w:customStyle="1" w:styleId="ListDash1">
    <w:name w:val="List Dash 1"/>
    <w:basedOn w:val="Normal"/>
    <w:rsid w:val="00600499"/>
    <w:pPr>
      <w:numPr>
        <w:numId w:val="26"/>
      </w:numPr>
    </w:pPr>
    <w:rPr>
      <w:lang w:eastAsia="en-GB"/>
    </w:rPr>
  </w:style>
  <w:style w:type="paragraph" w:customStyle="1" w:styleId="ListDash2">
    <w:name w:val="List Dash 2"/>
    <w:basedOn w:val="Normal"/>
    <w:rsid w:val="00600499"/>
    <w:pPr>
      <w:numPr>
        <w:numId w:val="27"/>
      </w:numPr>
    </w:pPr>
    <w:rPr>
      <w:lang w:eastAsia="en-GB"/>
    </w:rPr>
  </w:style>
  <w:style w:type="paragraph" w:customStyle="1" w:styleId="ListNumberLevel2">
    <w:name w:val="List Number (Level 2)"/>
    <w:basedOn w:val="Normal"/>
    <w:rsid w:val="00600499"/>
    <w:pPr>
      <w:tabs>
        <w:tab w:val="num" w:pos="1417"/>
      </w:tabs>
      <w:ind w:left="1417" w:hanging="708"/>
    </w:pPr>
    <w:rPr>
      <w:lang w:eastAsia="en-GB"/>
    </w:rPr>
  </w:style>
  <w:style w:type="paragraph" w:customStyle="1" w:styleId="ListNumberLevel3">
    <w:name w:val="List Number (Level 3)"/>
    <w:basedOn w:val="Normal"/>
    <w:rsid w:val="00600499"/>
    <w:pPr>
      <w:tabs>
        <w:tab w:val="num" w:pos="2126"/>
      </w:tabs>
      <w:ind w:left="2126" w:hanging="709"/>
    </w:pPr>
    <w:rPr>
      <w:lang w:eastAsia="en-GB"/>
    </w:rPr>
  </w:style>
  <w:style w:type="paragraph" w:customStyle="1" w:styleId="ListNumberLevel4">
    <w:name w:val="List Number (Level 4)"/>
    <w:basedOn w:val="Normal"/>
    <w:rsid w:val="00600499"/>
    <w:pPr>
      <w:tabs>
        <w:tab w:val="num" w:pos="2835"/>
      </w:tabs>
      <w:ind w:left="2835" w:hanging="709"/>
    </w:pPr>
    <w:rPr>
      <w:lang w:eastAsia="en-GB"/>
    </w:rPr>
  </w:style>
  <w:style w:type="paragraph" w:customStyle="1" w:styleId="Fichefinancirestandardtitre">
    <w:name w:val="Fiche financière (standard) titre"/>
    <w:basedOn w:val="Normal"/>
    <w:next w:val="Normal"/>
    <w:rsid w:val="00600499"/>
    <w:pPr>
      <w:jc w:val="center"/>
    </w:pPr>
    <w:rPr>
      <w:b/>
      <w:u w:val="single"/>
      <w:lang w:eastAsia="en-GB"/>
    </w:rPr>
  </w:style>
  <w:style w:type="paragraph" w:customStyle="1" w:styleId="Sous-titreobjet">
    <w:name w:val="Sous-titre objet"/>
    <w:basedOn w:val="Normal"/>
    <w:rsid w:val="00600499"/>
    <w:pPr>
      <w:spacing w:before="0" w:after="0"/>
      <w:jc w:val="center"/>
    </w:pPr>
    <w:rPr>
      <w:b/>
      <w:lang w:eastAsia="en-GB"/>
    </w:rPr>
  </w:style>
  <w:style w:type="paragraph" w:customStyle="1" w:styleId="Sous-titreobjetPagedecouverture">
    <w:name w:val="Sous-titre objet (Page de couverture)"/>
    <w:basedOn w:val="Sous-titreobjet"/>
    <w:rsid w:val="00600499"/>
  </w:style>
  <w:style w:type="character" w:styleId="FollowedHyperlink">
    <w:name w:val="FollowedHyperlink"/>
    <w:rsid w:val="00600499"/>
    <w:rPr>
      <w:color w:val="800080"/>
      <w:u w:val="single"/>
    </w:rPr>
  </w:style>
  <w:style w:type="paragraph" w:customStyle="1" w:styleId="FooterCoverPage">
    <w:name w:val="Footer Cover Page"/>
    <w:basedOn w:val="Normal"/>
    <w:link w:val="FooterCoverPageChar"/>
    <w:rsid w:val="00600499"/>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sid w:val="00600499"/>
    <w:rPr>
      <w:rFonts w:ascii="Times New Roman" w:hAnsi="Times New Roman" w:cs="Times New Roman"/>
      <w:b/>
      <w:sz w:val="28"/>
      <w:lang w:val="en-GB"/>
    </w:rPr>
  </w:style>
  <w:style w:type="character" w:customStyle="1" w:styleId="FooterCoverPageChar">
    <w:name w:val="Footer Cover Page Char"/>
    <w:basedOn w:val="TOCHeadingChar"/>
    <w:link w:val="FooterCoverPage"/>
    <w:rsid w:val="00600499"/>
    <w:rPr>
      <w:rFonts w:ascii="Times New Roman" w:hAnsi="Times New Roman" w:cs="Times New Roman"/>
      <w:b w:val="0"/>
      <w:sz w:val="24"/>
      <w:lang w:val="en-GB"/>
    </w:rPr>
  </w:style>
  <w:style w:type="paragraph" w:customStyle="1" w:styleId="HeaderCoverPage">
    <w:name w:val="Header Cover Page"/>
    <w:basedOn w:val="Normal"/>
    <w:link w:val="HeaderCoverPageChar"/>
    <w:rsid w:val="00600499"/>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sid w:val="00600499"/>
    <w:rPr>
      <w:rFonts w:ascii="Times New Roman" w:hAnsi="Times New Roman" w:cs="Times New Roman"/>
      <w:b w:val="0"/>
      <w:sz w:val="24"/>
      <w:lang w:val="en-GB" w:eastAsia="en-GB"/>
    </w:rPr>
  </w:style>
  <w:style w:type="character" w:customStyle="1" w:styleId="Text1Char">
    <w:name w:val="Text 1 Char"/>
    <w:locked/>
    <w:rsid w:val="00600499"/>
    <w:rPr>
      <w:rFonts w:ascii="Times New Roman" w:hAnsi="Times New Roman" w:cs="Times New Roman"/>
      <w:sz w:val="24"/>
      <w:lang w:val="en-GB"/>
    </w:rPr>
  </w:style>
  <w:style w:type="character" w:customStyle="1" w:styleId="UnresolvedMention2">
    <w:name w:val="Unresolved Mention2"/>
    <w:basedOn w:val="DefaultParagraphFont"/>
    <w:uiPriority w:val="99"/>
    <w:semiHidden/>
    <w:unhideWhenUsed/>
    <w:rsid w:val="0053432E"/>
    <w:rPr>
      <w:color w:val="605E5C"/>
      <w:shd w:val="clear" w:color="auto" w:fill="E1DFDD"/>
    </w:rPr>
  </w:style>
  <w:style w:type="character" w:customStyle="1" w:styleId="UnresolvedMention3">
    <w:name w:val="Unresolved Mention3"/>
    <w:basedOn w:val="DefaultParagraphFont"/>
    <w:uiPriority w:val="99"/>
    <w:semiHidden/>
    <w:unhideWhenUsed/>
    <w:rsid w:val="007023D8"/>
    <w:rPr>
      <w:color w:val="605E5C"/>
      <w:shd w:val="clear" w:color="auto" w:fill="E1DFDD"/>
    </w:rPr>
  </w:style>
  <w:style w:type="paragraph" w:customStyle="1" w:styleId="Inter">
    <w:name w:val="Inter"/>
    <w:basedOn w:val="Titreobjet"/>
    <w:rsid w:val="007023D8"/>
  </w:style>
  <w:style w:type="paragraph" w:customStyle="1" w:styleId="Int">
    <w:name w:val="Int"/>
    <w:basedOn w:val="Inter"/>
    <w:rsid w:val="007023D8"/>
  </w:style>
  <w:style w:type="paragraph" w:styleId="Header">
    <w:name w:val="header"/>
    <w:basedOn w:val="Normal"/>
    <w:link w:val="HeaderChar"/>
    <w:uiPriority w:val="99"/>
    <w:unhideWhenUsed/>
    <w:rsid w:val="00F530FA"/>
    <w:pPr>
      <w:tabs>
        <w:tab w:val="center" w:pos="4535"/>
        <w:tab w:val="right" w:pos="9071"/>
      </w:tabs>
      <w:spacing w:before="0"/>
    </w:pPr>
  </w:style>
  <w:style w:type="character" w:customStyle="1" w:styleId="HeaderChar">
    <w:name w:val="Header Char"/>
    <w:basedOn w:val="DefaultParagraphFont"/>
    <w:link w:val="Header"/>
    <w:uiPriority w:val="99"/>
    <w:rsid w:val="00F530FA"/>
    <w:rPr>
      <w:rFonts w:ascii="Times New Roman" w:hAnsi="Times New Roman" w:cs="Times New Roman"/>
      <w:sz w:val="24"/>
      <w:lang w:val="en-GB"/>
    </w:rPr>
  </w:style>
  <w:style w:type="paragraph" w:styleId="Footer">
    <w:name w:val="footer"/>
    <w:basedOn w:val="Normal"/>
    <w:link w:val="FooterChar"/>
    <w:uiPriority w:val="99"/>
    <w:unhideWhenUsed/>
    <w:rsid w:val="00F530FA"/>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F530FA"/>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F530FA"/>
    <w:pPr>
      <w:tabs>
        <w:tab w:val="center" w:pos="7285"/>
        <w:tab w:val="right" w:pos="14003"/>
      </w:tabs>
      <w:spacing w:before="0"/>
    </w:pPr>
  </w:style>
  <w:style w:type="paragraph" w:customStyle="1" w:styleId="FooterLandscape">
    <w:name w:val="FooterLandscape"/>
    <w:basedOn w:val="Normal"/>
    <w:rsid w:val="00F530FA"/>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F530FA"/>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F530FA"/>
    <w:pPr>
      <w:spacing w:before="0"/>
      <w:jc w:val="right"/>
    </w:pPr>
    <w:rPr>
      <w:sz w:val="28"/>
    </w:rPr>
  </w:style>
  <w:style w:type="paragraph" w:customStyle="1" w:styleId="FooterSensitivity">
    <w:name w:val="Footer Sensitivity"/>
    <w:basedOn w:val="Normal"/>
    <w:rsid w:val="00F530FA"/>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Tiret5">
    <w:name w:val="Tiret 5"/>
    <w:basedOn w:val="Point5"/>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NumPar5">
    <w:name w:val="NumPar 5"/>
    <w:basedOn w:val="Normal"/>
    <w:next w:val="Text2"/>
    <w:pPr>
      <w:numPr>
        <w:ilvl w:val="4"/>
        <w:numId w:val="35"/>
      </w:numPr>
    </w:pPr>
  </w:style>
  <w:style w:type="paragraph" w:customStyle="1" w:styleId="NumPar6">
    <w:name w:val="NumPar 6"/>
    <w:basedOn w:val="Normal"/>
    <w:next w:val="Text2"/>
    <w:pPr>
      <w:numPr>
        <w:ilvl w:val="5"/>
        <w:numId w:val="35"/>
      </w:numPr>
    </w:pPr>
  </w:style>
  <w:style w:type="paragraph" w:customStyle="1" w:styleId="NumPar7">
    <w:name w:val="NumPar 7"/>
    <w:basedOn w:val="Normal"/>
    <w:next w:val="Text2"/>
    <w:pPr>
      <w:numPr>
        <w:ilvl w:val="6"/>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6F730D"/>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42294">
      <w:bodyDiv w:val="1"/>
      <w:marLeft w:val="0"/>
      <w:marRight w:val="0"/>
      <w:marTop w:val="0"/>
      <w:marBottom w:val="0"/>
      <w:divBdr>
        <w:top w:val="none" w:sz="0" w:space="0" w:color="auto"/>
        <w:left w:val="none" w:sz="0" w:space="0" w:color="auto"/>
        <w:bottom w:val="none" w:sz="0" w:space="0" w:color="auto"/>
        <w:right w:val="none" w:sz="0" w:space="0" w:color="auto"/>
      </w:divBdr>
    </w:div>
    <w:div w:id="366758427">
      <w:bodyDiv w:val="1"/>
      <w:marLeft w:val="0"/>
      <w:marRight w:val="0"/>
      <w:marTop w:val="0"/>
      <w:marBottom w:val="0"/>
      <w:divBdr>
        <w:top w:val="none" w:sz="0" w:space="0" w:color="auto"/>
        <w:left w:val="none" w:sz="0" w:space="0" w:color="auto"/>
        <w:bottom w:val="none" w:sz="0" w:space="0" w:color="auto"/>
        <w:right w:val="none" w:sz="0" w:space="0" w:color="auto"/>
      </w:divBdr>
    </w:div>
    <w:div w:id="464468353">
      <w:bodyDiv w:val="1"/>
      <w:marLeft w:val="0"/>
      <w:marRight w:val="0"/>
      <w:marTop w:val="0"/>
      <w:marBottom w:val="0"/>
      <w:divBdr>
        <w:top w:val="none" w:sz="0" w:space="0" w:color="auto"/>
        <w:left w:val="none" w:sz="0" w:space="0" w:color="auto"/>
        <w:bottom w:val="none" w:sz="0" w:space="0" w:color="auto"/>
        <w:right w:val="none" w:sz="0" w:space="0" w:color="auto"/>
      </w:divBdr>
    </w:div>
    <w:div w:id="538393973">
      <w:bodyDiv w:val="1"/>
      <w:marLeft w:val="0"/>
      <w:marRight w:val="0"/>
      <w:marTop w:val="0"/>
      <w:marBottom w:val="0"/>
      <w:divBdr>
        <w:top w:val="none" w:sz="0" w:space="0" w:color="auto"/>
        <w:left w:val="none" w:sz="0" w:space="0" w:color="auto"/>
        <w:bottom w:val="none" w:sz="0" w:space="0" w:color="auto"/>
        <w:right w:val="none" w:sz="0" w:space="0" w:color="auto"/>
      </w:divBdr>
    </w:div>
    <w:div w:id="790513360">
      <w:bodyDiv w:val="1"/>
      <w:marLeft w:val="0"/>
      <w:marRight w:val="0"/>
      <w:marTop w:val="0"/>
      <w:marBottom w:val="0"/>
      <w:divBdr>
        <w:top w:val="none" w:sz="0" w:space="0" w:color="auto"/>
        <w:left w:val="none" w:sz="0" w:space="0" w:color="auto"/>
        <w:bottom w:val="none" w:sz="0" w:space="0" w:color="auto"/>
        <w:right w:val="none" w:sz="0" w:space="0" w:color="auto"/>
      </w:divBdr>
    </w:div>
    <w:div w:id="904531225">
      <w:bodyDiv w:val="1"/>
      <w:marLeft w:val="0"/>
      <w:marRight w:val="0"/>
      <w:marTop w:val="0"/>
      <w:marBottom w:val="0"/>
      <w:divBdr>
        <w:top w:val="none" w:sz="0" w:space="0" w:color="auto"/>
        <w:left w:val="none" w:sz="0" w:space="0" w:color="auto"/>
        <w:bottom w:val="none" w:sz="0" w:space="0" w:color="auto"/>
        <w:right w:val="none" w:sz="0" w:space="0" w:color="auto"/>
      </w:divBdr>
    </w:div>
    <w:div w:id="1308054250">
      <w:bodyDiv w:val="1"/>
      <w:marLeft w:val="0"/>
      <w:marRight w:val="0"/>
      <w:marTop w:val="0"/>
      <w:marBottom w:val="0"/>
      <w:divBdr>
        <w:top w:val="none" w:sz="0" w:space="0" w:color="auto"/>
        <w:left w:val="none" w:sz="0" w:space="0" w:color="auto"/>
        <w:bottom w:val="none" w:sz="0" w:space="0" w:color="auto"/>
        <w:right w:val="none" w:sz="0" w:space="0" w:color="auto"/>
      </w:divBdr>
    </w:div>
    <w:div w:id="1589576273">
      <w:bodyDiv w:val="1"/>
      <w:marLeft w:val="0"/>
      <w:marRight w:val="0"/>
      <w:marTop w:val="0"/>
      <w:marBottom w:val="0"/>
      <w:divBdr>
        <w:top w:val="none" w:sz="0" w:space="0" w:color="auto"/>
        <w:left w:val="none" w:sz="0" w:space="0" w:color="auto"/>
        <w:bottom w:val="none" w:sz="0" w:space="0" w:color="auto"/>
        <w:right w:val="none" w:sz="0" w:space="0" w:color="auto"/>
      </w:divBdr>
    </w:div>
    <w:div w:id="1677151565">
      <w:bodyDiv w:val="1"/>
      <w:marLeft w:val="0"/>
      <w:marRight w:val="0"/>
      <w:marTop w:val="0"/>
      <w:marBottom w:val="0"/>
      <w:divBdr>
        <w:top w:val="none" w:sz="0" w:space="0" w:color="auto"/>
        <w:left w:val="none" w:sz="0" w:space="0" w:color="auto"/>
        <w:bottom w:val="none" w:sz="0" w:space="0" w:color="auto"/>
        <w:right w:val="none" w:sz="0" w:space="0" w:color="auto"/>
      </w:divBdr>
    </w:div>
    <w:div w:id="2033604781">
      <w:bodyDiv w:val="1"/>
      <w:marLeft w:val="0"/>
      <w:marRight w:val="0"/>
      <w:marTop w:val="0"/>
      <w:marBottom w:val="0"/>
      <w:divBdr>
        <w:top w:val="none" w:sz="0" w:space="0" w:color="auto"/>
        <w:left w:val="none" w:sz="0" w:space="0" w:color="auto"/>
        <w:bottom w:val="none" w:sz="0" w:space="0" w:color="auto"/>
        <w:right w:val="none" w:sz="0" w:space="0" w:color="auto"/>
      </w:divBdr>
    </w:div>
    <w:div w:id="206355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7.xml"/></Relationships>
</file>

<file path=word/_rels/footnotes.xml.rels><?xml version="1.0" encoding="UTF-8" standalone="yes"?>
<Relationships xmlns="http://schemas.openxmlformats.org/package/2006/relationships"><Relationship Id="rId3" Type="http://schemas.openxmlformats.org/officeDocument/2006/relationships/hyperlink" Target="http://www.emsa.europa.eu/publications/item/3092-emsa-guidance-on-the-inventory-of-hazardous-materials-3092.html" TargetMode="External"/><Relationship Id="rId2" Type="http://schemas.openxmlformats.org/officeDocument/2006/relationships/hyperlink" Target="http://www.emsa.europa.eu/publications/item/3092-emsa-guidance-on-the-inventory-of-hazardous-materials-3092.html" TargetMode="External"/><Relationship Id="rId1" Type="http://schemas.openxmlformats.org/officeDocument/2006/relationships/hyperlink" Target="file:///C:/Users/SBEG/Downloads/ab_emsa_evaluation_final_report.pdf" TargetMode="External"/><Relationship Id="rId6" Type="http://schemas.openxmlformats.org/officeDocument/2006/relationships/hyperlink" Target="https://myintracomm.ec.europa.eu/corp/budget/financial-rules/budget-implementation/Pages/implementation-methods.aspx" TargetMode="External"/><Relationship Id="rId5" Type="http://schemas.openxmlformats.org/officeDocument/2006/relationships/hyperlink" Target="https://ec.europa.eu/transport/sites/default/files/3rd-mobility-pack/swd20180228-fitness-check.pdf" TargetMode="External"/><Relationship Id="rId4" Type="http://schemas.openxmlformats.org/officeDocument/2006/relationships/hyperlink" Target="https://ec.europa.eu/transport/sites/default/files/2018-cost-effectiveness-and-efficiency-of-emsa-oil-pollution-response-servic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6D555233027C1E41B8DD1CBE89128322" ma:contentTypeVersion="5" ma:contentTypeDescription="Create a new document in this library." ma:contentTypeScope="" ma:versionID="ea66bbe31642424c0522fa00dc9b13f3">
  <xsd:schema xmlns:xsd="http://www.w3.org/2001/XMLSchema" xmlns:xs="http://www.w3.org/2001/XMLSchema" xmlns:p="http://schemas.microsoft.com/office/2006/metadata/properties" xmlns:ns3="2C0E8722-3A40-479F-B012-367D1FB754C3" xmlns:ns4="2c0e8722-3a40-479f-b012-367d1fb754c3" xmlns:ns5="43dbc629-2500-4e93-a4c6-7001653b156d" targetNamespace="http://schemas.microsoft.com/office/2006/metadata/properties" ma:root="true" ma:fieldsID="e875e5b2e8832adf35d65ed7ec4b79f6" ns3:_="" ns4:_="" ns5:_="">
    <xsd:import namespace="2C0E8722-3A40-479F-B012-367D1FB754C3"/>
    <xsd:import namespace="2c0e8722-3a40-479f-b012-367d1fb754c3"/>
    <xsd:import namespace="43dbc629-2500-4e93-a4c6-7001653b156d"/>
    <xsd:element name="properties">
      <xsd:complexType>
        <xsd:sequence>
          <xsd:element name="documentManagement">
            <xsd:complexType>
              <xsd:all>
                <xsd:element ref="ns3:EC_Collab_Reference" minOccurs="0"/>
                <xsd:element ref="ns3:EC_Collab_DocumentLanguage"/>
                <xsd:element ref="ns3:EC_Collab_Status"/>
                <xsd:element ref="ns3:Status" minOccurs="0"/>
                <xsd:element ref="ns4:EC_ARES_NUMBER" minOccurs="0"/>
                <xsd:element ref="ns4:EC_ARES_DATE_TRANSFERRED" minOccurs="0"/>
                <xsd:element ref="ns4:EC_ARES_TRANSFERRED_BY"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E8722-3A40-479F-B012-367D1FB754C3"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Status" ma:index="15" nillable="true" ma:displayName="Status" ma:default="Draft" ma:format="Dropdown" ma:internalName="Status">
      <xsd:simpleType>
        <xsd:restriction base="dms:Choice">
          <xsd:enumeration value="Draft"/>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2c0e8722-3a40-479f-b012-367d1fb754c3" elementFormDefault="qualified">
    <xsd:import namespace="http://schemas.microsoft.com/office/2006/documentManagement/types"/>
    <xsd:import namespace="http://schemas.microsoft.com/office/infopath/2007/PartnerControls"/>
    <xsd:element name="EC_ARES_NUMBER" ma:index="16"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7" nillable="true" ma:displayName="Transferred to Ares" ma:format="DateTime" ma:hidden="true" ma:internalName="EC_ARES_DATE_TRANSFERRED">
      <xsd:simpleType>
        <xsd:restriction base="dms:DateTime"/>
      </xsd:simpleType>
    </xsd:element>
    <xsd:element name="EC_ARES_TRANSFERRED_BY" ma:index="18" nillable="true" ma:displayName="Transferred By" ma:hidden="true" ma:internalName="EC_ARES_TRANSFERRED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dbc629-2500-4e93-a4c6-7001653b156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2C0E8722-3A40-479F-B012-367D1FB754C3">EN</EC_Collab_DocumentLanguage>
    <EC_Collab_Status xmlns="2C0E8722-3A40-479F-B012-367D1FB754C3">Draft</EC_Collab_Status>
    <EC_ARES_NUMBER xmlns="2c0e8722-3a40-479f-b012-367d1fb754c3">
      <Url xsi:nil="true"/>
      <Description xsi:nil="true"/>
    </EC_ARES_NUMBER>
    <Status xmlns="2C0E8722-3A40-479F-B012-367D1FB754C3" xsi:nil="true"/>
    <EC_Collab_Reference xmlns="2C0E8722-3A40-479F-B012-367D1FB754C3" xsi:nil="true"/>
    <EC_ARES_DATE_TRANSFERRED xmlns="2c0e8722-3a40-479f-b012-367d1fb754c3" xsi:nil="true"/>
    <EC_ARES_TRANSFERRED_BY xmlns="2c0e8722-3a40-479f-b012-367d1fb754c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C00D9-2DA8-444E-8A2C-D56FE08E27B2}">
  <ds:schemaRefs>
    <ds:schemaRef ds:uri="http://schemas.microsoft.com/sharepoint/v3/contenttype/forms"/>
  </ds:schemaRefs>
</ds:datastoreItem>
</file>

<file path=customXml/itemProps2.xml><?xml version="1.0" encoding="utf-8"?>
<ds:datastoreItem xmlns:ds="http://schemas.openxmlformats.org/officeDocument/2006/customXml" ds:itemID="{A962C9A2-DE92-4732-B698-212B16062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E8722-3A40-479F-B012-367D1FB754C3"/>
    <ds:schemaRef ds:uri="2c0e8722-3a40-479f-b012-367d1fb754c3"/>
    <ds:schemaRef ds:uri="43dbc629-2500-4e93-a4c6-7001653b15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A08045-FC5F-4C50-8D44-4B0176E0568C}">
  <ds:schemaRefs>
    <ds:schemaRef ds:uri="http://purl.org/dc/terms/"/>
    <ds:schemaRef ds:uri="http://schemas.openxmlformats.org/package/2006/metadata/core-properties"/>
    <ds:schemaRef ds:uri="43dbc629-2500-4e93-a4c6-7001653b156d"/>
    <ds:schemaRef ds:uri="http://schemas.microsoft.com/office/2006/documentManagement/types"/>
    <ds:schemaRef ds:uri="2c0e8722-3a40-479f-b012-367d1fb754c3"/>
    <ds:schemaRef ds:uri="http://purl.org/dc/elements/1.1/"/>
    <ds:schemaRef ds:uri="http://schemas.microsoft.com/office/infopath/2007/PartnerControls"/>
    <ds:schemaRef ds:uri="2C0E8722-3A40-479F-B012-367D1FB754C3"/>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0052BA2E-2FCB-45EA-A356-718D7A53A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10</TotalTime>
  <Pages>69</Pages>
  <Words>25358</Words>
  <Characters>138709</Characters>
  <Application>Microsoft Office Word</Application>
  <DocSecurity>0</DocSecurity>
  <Lines>2951</Lines>
  <Paragraphs>1147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40</cp:revision>
  <cp:lastPrinted>2023-05-25T08:27:00Z</cp:lastPrinted>
  <dcterms:created xsi:type="dcterms:W3CDTF">2023-05-25T10:56:00Z</dcterms:created>
  <dcterms:modified xsi:type="dcterms:W3CDTF">2023-05-26T10:36:00Z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8.1, Build 20220902</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MSIP_Label_6bd9ddd1-4d20-43f6-abfa-fc3c07406f94_Enabled">
    <vt:lpwstr>true</vt:lpwstr>
  </property>
  <property fmtid="{D5CDD505-2E9C-101B-9397-08002B2CF9AE}" pid="11" name="MSIP_Label_6bd9ddd1-4d20-43f6-abfa-fc3c07406f94_SetDate">
    <vt:lpwstr>2023-02-08T10:17:54Z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f5cc08d1-21cc-4f5c-a579-0644f1880209</vt:lpwstr>
  </property>
  <property fmtid="{D5CDD505-2E9C-101B-9397-08002B2CF9AE}" pid="16" name="MSIP_Label_6bd9ddd1-4d20-43f6-abfa-fc3c07406f94_ContentBits">
    <vt:lpwstr>0</vt:lpwstr>
  </property>
  <property fmtid="{D5CDD505-2E9C-101B-9397-08002B2CF9AE}" pid="17" name="ContentTypeId">
    <vt:lpwstr>0x010100258AA79CEB83498886A3A08681123250006D555233027C1E41B8DD1CBE89128322</vt:lpwstr>
  </property>
  <property fmtid="{D5CDD505-2E9C-101B-9397-08002B2CF9AE}" pid="18" name="DQCStatus">
    <vt:lpwstr>Green (DQC version 03)</vt:lpwstr>
  </property>
</Properties>
</file>