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DDDF8" w14:textId="12587401" w:rsidR="00CA556D" w:rsidRPr="00CA556D" w:rsidRDefault="00295FD6" w:rsidP="00295FD6">
      <w:pPr>
        <w:pStyle w:val="Pagedecouverture"/>
        <w:rPr>
          <w:noProof/>
        </w:rPr>
      </w:pPr>
      <w:bookmarkStart w:id="0" w:name="LW_BM_COVERPAGE"/>
      <w:r>
        <w:rPr>
          <w:noProof/>
        </w:rPr>
        <w:pict w14:anchorId="17D59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46A6C84-3897-4962-BA90-514CE567E1E1" style="width:455.25pt;height:310.5pt">
            <v:imagedata r:id="rId13" o:title=""/>
          </v:shape>
        </w:pict>
      </w:r>
    </w:p>
    <w:bookmarkEnd w:id="0"/>
    <w:p w14:paraId="2C094332" w14:textId="77777777" w:rsidR="00AA4380" w:rsidRDefault="00AA4380" w:rsidP="00AA4380">
      <w:pPr>
        <w:rPr>
          <w:noProof/>
          <w:lang w:val="en-IE"/>
        </w:rPr>
        <w:sectPr w:rsidR="00AA4380" w:rsidSect="00295FD6">
          <w:headerReference w:type="even" r:id="rId14"/>
          <w:headerReference w:type="default" r:id="rId15"/>
          <w:footerReference w:type="even" r:id="rId16"/>
          <w:footerReference w:type="default" r:id="rId17"/>
          <w:headerReference w:type="first" r:id="rId18"/>
          <w:footerReference w:type="first" r:id="rId19"/>
          <w:endnotePr>
            <w:numFmt w:val="lowerLetter"/>
          </w:endnotePr>
          <w:pgSz w:w="11906" w:h="16838"/>
          <w:pgMar w:top="1134" w:right="1417" w:bottom="1134" w:left="1417" w:header="709" w:footer="709" w:gutter="0"/>
          <w:pgNumType w:start="0"/>
          <w:cols w:space="720"/>
          <w:docGrid w:linePitch="360"/>
        </w:sectPr>
      </w:pPr>
    </w:p>
    <w:p w14:paraId="7A638F4E" w14:textId="77777777" w:rsidR="00B871E8" w:rsidRPr="00FD3085" w:rsidRDefault="00CA556D" w:rsidP="00FD3085">
      <w:pPr>
        <w:pStyle w:val="Heading1"/>
        <w:rPr>
          <w:noProof/>
        </w:rPr>
      </w:pPr>
      <w:bookmarkStart w:id="1" w:name="_Toc129960266"/>
      <w:bookmarkStart w:id="2" w:name="_GoBack"/>
      <w:bookmarkEnd w:id="2"/>
      <w:r w:rsidRPr="0071246C">
        <w:rPr>
          <w:noProof/>
        </w:rPr>
        <w:lastRenderedPageBreak/>
        <w:t>1</w:t>
      </w:r>
      <w:r>
        <w:rPr>
          <w:noProof/>
        </w:rPr>
        <w:t>. Einleitung</w:t>
      </w:r>
      <w:bookmarkEnd w:id="1"/>
      <w:r>
        <w:rPr>
          <w:noProof/>
        </w:rPr>
        <w:t xml:space="preserve"> </w:t>
      </w:r>
    </w:p>
    <w:p w14:paraId="587DA1BD" w14:textId="77777777" w:rsidR="00B871E8" w:rsidRPr="00CA556D" w:rsidRDefault="00B871E8" w:rsidP="00E45C53">
      <w:pPr>
        <w:pBdr>
          <w:top w:val="single" w:sz="4" w:space="1" w:color="auto"/>
          <w:left w:val="single" w:sz="4" w:space="4" w:color="auto"/>
          <w:bottom w:val="single" w:sz="4" w:space="1" w:color="auto"/>
          <w:right w:val="single" w:sz="4" w:space="4" w:color="auto"/>
        </w:pBdr>
        <w:shd w:val="clear" w:color="auto" w:fill="B4C6E7"/>
        <w:spacing w:after="120" w:line="240" w:lineRule="auto"/>
        <w:jc w:val="center"/>
        <w:rPr>
          <w:rFonts w:ascii="Times New Roman" w:eastAsia="Times New Roman" w:hAnsi="Times New Roman" w:cs="Times New Roman"/>
          <w:b/>
          <w:bCs/>
          <w:noProof/>
          <w:sz w:val="24"/>
          <w:szCs w:val="24"/>
        </w:rPr>
      </w:pPr>
      <w:r>
        <w:rPr>
          <w:rFonts w:ascii="Times New Roman" w:hAnsi="Times New Roman"/>
          <w:i/>
          <w:noProof/>
          <w:sz w:val="24"/>
        </w:rPr>
        <w:t>Es ist an der Zeit, die Zollunion auszubauen, indem wir sie auf eine breitere Grundlage stellen. Auf diese Weise können wir unsere Bürgerinnen und Bürger und den Binnenmarkt besser schützen. Ich werde ein umfangreiches integriertes Maßnahmenpaket zur Stärkung des Zollrisikomanagements und zur Unterstützung wirksamer Kontrollen der Mitgliedstaaten vorschlagen.</w:t>
      </w:r>
      <w:r>
        <w:rPr>
          <w:rFonts w:ascii="Times New Roman" w:hAnsi="Times New Roman"/>
          <w:b/>
          <w:noProof/>
          <w:sz w:val="24"/>
        </w:rPr>
        <w:t xml:space="preserve"> </w:t>
      </w:r>
      <w:r>
        <w:rPr>
          <w:rFonts w:ascii="Times New Roman" w:hAnsi="Times New Roman"/>
          <w:noProof/>
          <w:sz w:val="24"/>
        </w:rPr>
        <w:t>Ursula von der Leyen, Präsidentin der Europäischen Kommission, Juli </w:t>
      </w:r>
      <w:r w:rsidRPr="0071246C">
        <w:rPr>
          <w:rFonts w:ascii="Times New Roman" w:hAnsi="Times New Roman"/>
          <w:noProof/>
          <w:sz w:val="24"/>
        </w:rPr>
        <w:t>2019</w:t>
      </w:r>
      <w:r>
        <w:rPr>
          <w:rFonts w:ascii="Times New Roman" w:eastAsia="Times New Roman" w:hAnsi="Times New Roman" w:cs="Times New Roman"/>
          <w:noProof/>
          <w:sz w:val="24"/>
          <w:szCs w:val="24"/>
          <w:vertAlign w:val="superscript"/>
          <w:lang w:val="en-IE"/>
        </w:rPr>
        <w:footnoteReference w:id="2"/>
      </w:r>
    </w:p>
    <w:p w14:paraId="66B2B9FB"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Die Zollunion ist eine echte Erfolgsgeschichte der Integration in Europa und hat zum Wohlstand auf dem Kontinent beigetragen</w:t>
      </w:r>
      <w:r>
        <w:rPr>
          <w:rFonts w:ascii="Times New Roman" w:hAnsi="Times New Roman"/>
          <w:noProof/>
          <w:sz w:val="24"/>
        </w:rPr>
        <w:t>: Die Europäische Union profitiert in hohem Maße von ihren internationalen Handelsverbindungen mit der übrigen Welt; außerdem können Waren in der EU, dem weltweit größten integrierten Binnenmarkt, ungehindert zirkulieren</w:t>
      </w:r>
      <w:r>
        <w:rPr>
          <w:rFonts w:ascii="Times New Roman" w:eastAsia="Times New Roman" w:hAnsi="Times New Roman" w:cs="Times New Roman"/>
          <w:noProof/>
          <w:sz w:val="24"/>
          <w:szCs w:val="20"/>
          <w:vertAlign w:val="superscript"/>
          <w:lang w:val="en-IE" w:eastAsia="en-IE"/>
        </w:rPr>
        <w:footnoteReference w:id="3"/>
      </w:r>
      <w:r>
        <w:rPr>
          <w:rFonts w:ascii="Times New Roman" w:hAnsi="Times New Roman"/>
          <w:noProof/>
          <w:sz w:val="24"/>
        </w:rPr>
        <w:t>. Im Jahr </w:t>
      </w:r>
      <w:r w:rsidRPr="0071246C">
        <w:rPr>
          <w:rFonts w:ascii="Times New Roman" w:hAnsi="Times New Roman"/>
          <w:noProof/>
          <w:sz w:val="24"/>
        </w:rPr>
        <w:t>2021</w:t>
      </w:r>
      <w:r>
        <w:rPr>
          <w:rFonts w:ascii="Times New Roman" w:hAnsi="Times New Roman"/>
          <w:noProof/>
          <w:sz w:val="24"/>
        </w:rPr>
        <w:t xml:space="preserve"> belief sich der EU-Handel mit anderen Ländern auf </w:t>
      </w:r>
      <w:r w:rsidRPr="0071246C">
        <w:rPr>
          <w:rFonts w:ascii="Times New Roman" w:hAnsi="Times New Roman"/>
          <w:noProof/>
          <w:sz w:val="24"/>
        </w:rPr>
        <w:t>4</w:t>
      </w:r>
      <w:r>
        <w:rPr>
          <w:rFonts w:ascii="Times New Roman" w:hAnsi="Times New Roman"/>
          <w:noProof/>
          <w:sz w:val="24"/>
        </w:rPr>
        <w:t>,</w:t>
      </w:r>
      <w:r w:rsidRPr="0071246C">
        <w:rPr>
          <w:rFonts w:ascii="Times New Roman" w:hAnsi="Times New Roman"/>
          <w:noProof/>
          <w:sz w:val="24"/>
        </w:rPr>
        <w:t>3</w:t>
      </w:r>
      <w:r>
        <w:rPr>
          <w:rFonts w:ascii="Times New Roman" w:hAnsi="Times New Roman"/>
          <w:noProof/>
          <w:sz w:val="24"/>
        </w:rPr>
        <w:t xml:space="preserve"> Billionen EUR, was </w:t>
      </w:r>
      <w:r w:rsidRPr="0071246C">
        <w:rPr>
          <w:rFonts w:ascii="Times New Roman" w:hAnsi="Times New Roman"/>
          <w:noProof/>
          <w:sz w:val="24"/>
        </w:rPr>
        <w:t>14</w:t>
      </w:r>
      <w:r>
        <w:rPr>
          <w:rFonts w:ascii="Times New Roman" w:hAnsi="Times New Roman"/>
          <w:noProof/>
          <w:sz w:val="24"/>
        </w:rPr>
        <w:t xml:space="preserve"> % des Welthandels entspricht. In der EU sind zudem bis zu </w:t>
      </w:r>
      <w:r w:rsidRPr="0071246C">
        <w:rPr>
          <w:rFonts w:ascii="Times New Roman" w:hAnsi="Times New Roman"/>
          <w:noProof/>
          <w:sz w:val="24"/>
        </w:rPr>
        <w:t>56</w:t>
      </w:r>
      <w:r>
        <w:rPr>
          <w:rFonts w:ascii="Times New Roman" w:hAnsi="Times New Roman"/>
          <w:noProof/>
          <w:sz w:val="24"/>
        </w:rPr>
        <w:t> Millionen Arbeitsplätze vom Intra-EU-Handel abhängig</w:t>
      </w:r>
      <w:r>
        <w:rPr>
          <w:rStyle w:val="FootnoteReference"/>
          <w:rFonts w:ascii="Times New Roman" w:eastAsia="Times New Roman" w:hAnsi="Times New Roman" w:cs="Times New Roman"/>
          <w:noProof/>
          <w:sz w:val="24"/>
          <w:szCs w:val="20"/>
          <w:lang w:val="en-IE" w:eastAsia="en-IE"/>
        </w:rPr>
        <w:footnoteReference w:id="4"/>
      </w:r>
      <w:r>
        <w:rPr>
          <w:rFonts w:ascii="Times New Roman" w:hAnsi="Times New Roman"/>
          <w:noProof/>
          <w:sz w:val="24"/>
        </w:rPr>
        <w:t xml:space="preserve">. </w:t>
      </w:r>
    </w:p>
    <w:p w14:paraId="7195C8B8" w14:textId="28DA7CF2" w:rsidR="00B871E8" w:rsidRPr="00CA556D" w:rsidRDefault="00B871E8" w:rsidP="00B871E8">
      <w:pPr>
        <w:spacing w:after="240" w:line="240" w:lineRule="auto"/>
        <w:jc w:val="both"/>
        <w:rPr>
          <w:rFonts w:ascii="Times New Roman" w:eastAsia="Times New Roman" w:hAnsi="Times New Roman" w:cs="Times New Roman"/>
          <w:noProof/>
          <w:sz w:val="24"/>
          <w:szCs w:val="20"/>
        </w:rPr>
      </w:pPr>
      <w:bookmarkStart w:id="3" w:name="_Hlk131063725"/>
      <w:r>
        <w:rPr>
          <w:rFonts w:ascii="Times New Roman" w:hAnsi="Times New Roman"/>
          <w:b/>
          <w:noProof/>
          <w:sz w:val="24"/>
        </w:rPr>
        <w:t xml:space="preserve">Der Zoll wacht über die EU-Außengrenze für Waren und die Sicherheit unserer Lieferketten. </w:t>
      </w:r>
      <w:r w:rsidR="00335201">
        <w:rPr>
          <w:rFonts w:ascii="Times New Roman" w:hAnsi="Times New Roman"/>
          <w:noProof/>
          <w:sz w:val="24"/>
        </w:rPr>
        <w:t xml:space="preserve">Er </w:t>
      </w:r>
      <w:r>
        <w:rPr>
          <w:rFonts w:ascii="Times New Roman" w:hAnsi="Times New Roman"/>
          <w:noProof/>
          <w:sz w:val="24"/>
        </w:rPr>
        <w:t xml:space="preserve">ist rund um die Uhr an </w:t>
      </w:r>
      <w:r w:rsidRPr="0071246C">
        <w:rPr>
          <w:rFonts w:ascii="Times New Roman" w:hAnsi="Times New Roman"/>
          <w:noProof/>
          <w:sz w:val="24"/>
        </w:rPr>
        <w:t>365</w:t>
      </w:r>
      <w:r>
        <w:rPr>
          <w:rFonts w:ascii="Times New Roman" w:hAnsi="Times New Roman"/>
          <w:noProof/>
          <w:sz w:val="24"/>
        </w:rPr>
        <w:t xml:space="preserve"> Tagen im Jahr im Einsatz, um alle Waren zu überwachen, die in die Zollunion gelangen oder sie verlassen. Im Jahr </w:t>
      </w:r>
      <w:r w:rsidRPr="0071246C">
        <w:rPr>
          <w:rFonts w:ascii="Times New Roman" w:hAnsi="Times New Roman"/>
          <w:noProof/>
          <w:sz w:val="24"/>
        </w:rPr>
        <w:t>2021</w:t>
      </w:r>
      <w:r>
        <w:rPr>
          <w:rFonts w:ascii="Times New Roman" w:hAnsi="Times New Roman"/>
          <w:noProof/>
          <w:sz w:val="24"/>
        </w:rPr>
        <w:t xml:space="preserve"> wurden </w:t>
      </w:r>
      <w:r w:rsidRPr="0071246C">
        <w:rPr>
          <w:rFonts w:ascii="Times New Roman" w:hAnsi="Times New Roman"/>
          <w:noProof/>
          <w:sz w:val="24"/>
        </w:rPr>
        <w:t>691</w:t>
      </w:r>
      <w:r>
        <w:rPr>
          <w:rFonts w:ascii="Times New Roman" w:hAnsi="Times New Roman"/>
          <w:noProof/>
          <w:sz w:val="24"/>
        </w:rPr>
        <w:t>,</w:t>
      </w:r>
      <w:r w:rsidRPr="0071246C">
        <w:rPr>
          <w:rFonts w:ascii="Times New Roman" w:hAnsi="Times New Roman"/>
          <w:noProof/>
          <w:sz w:val="24"/>
        </w:rPr>
        <w:t>5</w:t>
      </w:r>
      <w:r>
        <w:rPr>
          <w:rFonts w:ascii="Times New Roman" w:hAnsi="Times New Roman"/>
          <w:noProof/>
          <w:sz w:val="24"/>
        </w:rPr>
        <w:t xml:space="preserve"> Millionen Einfuhranmeldungen, </w:t>
      </w:r>
      <w:r w:rsidRPr="0071246C">
        <w:rPr>
          <w:rFonts w:ascii="Times New Roman" w:hAnsi="Times New Roman"/>
          <w:noProof/>
          <w:sz w:val="24"/>
        </w:rPr>
        <w:t>17</w:t>
      </w:r>
      <w:r>
        <w:rPr>
          <w:rFonts w:ascii="Times New Roman" w:hAnsi="Times New Roman"/>
          <w:noProof/>
          <w:sz w:val="24"/>
        </w:rPr>
        <w:t>,</w:t>
      </w:r>
      <w:r w:rsidRPr="0071246C">
        <w:rPr>
          <w:rFonts w:ascii="Times New Roman" w:hAnsi="Times New Roman"/>
          <w:noProof/>
          <w:sz w:val="24"/>
        </w:rPr>
        <w:t>5</w:t>
      </w:r>
      <w:r>
        <w:rPr>
          <w:rFonts w:ascii="Times New Roman" w:hAnsi="Times New Roman"/>
          <w:noProof/>
          <w:sz w:val="24"/>
        </w:rPr>
        <w:t xml:space="preserve"> Millionen Versandverfahren und </w:t>
      </w:r>
      <w:r w:rsidRPr="0071246C">
        <w:rPr>
          <w:rFonts w:ascii="Times New Roman" w:hAnsi="Times New Roman"/>
          <w:noProof/>
          <w:sz w:val="24"/>
        </w:rPr>
        <w:t>486</w:t>
      </w:r>
      <w:r>
        <w:rPr>
          <w:rFonts w:ascii="Times New Roman" w:hAnsi="Times New Roman"/>
          <w:noProof/>
          <w:sz w:val="24"/>
        </w:rPr>
        <w:t>,</w:t>
      </w:r>
      <w:r w:rsidRPr="0071246C">
        <w:rPr>
          <w:rFonts w:ascii="Times New Roman" w:hAnsi="Times New Roman"/>
          <w:noProof/>
          <w:sz w:val="24"/>
        </w:rPr>
        <w:t>3</w:t>
      </w:r>
      <w:r>
        <w:rPr>
          <w:rFonts w:ascii="Times New Roman" w:hAnsi="Times New Roman"/>
          <w:noProof/>
          <w:sz w:val="24"/>
        </w:rPr>
        <w:t> Millionen Ausfuhranmeldungen bearbeitet.</w:t>
      </w:r>
      <w:r>
        <w:rPr>
          <w:rStyle w:val="FootnoteReference"/>
          <w:rFonts w:ascii="Times New Roman" w:eastAsia="Times New Roman" w:hAnsi="Times New Roman" w:cs="Times New Roman"/>
          <w:noProof/>
          <w:sz w:val="24"/>
          <w:szCs w:val="20"/>
          <w:lang w:val="en-IE" w:eastAsia="en-IE"/>
        </w:rPr>
        <w:footnoteReference w:id="5"/>
      </w:r>
      <w:r>
        <w:rPr>
          <w:rFonts w:ascii="Times New Roman" w:hAnsi="Times New Roman"/>
          <w:noProof/>
          <w:sz w:val="24"/>
        </w:rPr>
        <w:t xml:space="preserve"> Die Zollbehörden ermitteln Risiken auf der Grundlage von Handels- und Sicherheitsinformationen und führen Kontrollen durch, um sicherzustellen, dass die EU-Vorschriften durchgesetzt werden. Im Jahr </w:t>
      </w:r>
      <w:r w:rsidRPr="0071246C">
        <w:rPr>
          <w:rFonts w:ascii="Times New Roman" w:hAnsi="Times New Roman"/>
          <w:noProof/>
          <w:sz w:val="24"/>
        </w:rPr>
        <w:t>2021</w:t>
      </w:r>
      <w:r>
        <w:rPr>
          <w:rFonts w:ascii="Times New Roman" w:hAnsi="Times New Roman"/>
          <w:noProof/>
          <w:sz w:val="24"/>
        </w:rPr>
        <w:t xml:space="preserve"> erhoben die Zollbehörden mehr als </w:t>
      </w:r>
      <w:r w:rsidRPr="0071246C">
        <w:rPr>
          <w:rFonts w:ascii="Times New Roman" w:hAnsi="Times New Roman"/>
          <w:noProof/>
          <w:sz w:val="24"/>
        </w:rPr>
        <w:t>50</w:t>
      </w:r>
      <w:r>
        <w:rPr>
          <w:rFonts w:ascii="Times New Roman" w:hAnsi="Times New Roman"/>
          <w:noProof/>
          <w:sz w:val="24"/>
        </w:rPr>
        <w:t xml:space="preserve"> Mrd. EUR an Steuern und rund </w:t>
      </w:r>
      <w:r w:rsidRPr="0071246C">
        <w:rPr>
          <w:rFonts w:ascii="Times New Roman" w:hAnsi="Times New Roman"/>
          <w:noProof/>
          <w:sz w:val="24"/>
        </w:rPr>
        <w:t>25</w:t>
      </w:r>
      <w:r>
        <w:rPr>
          <w:rFonts w:ascii="Times New Roman" w:hAnsi="Times New Roman"/>
          <w:noProof/>
          <w:sz w:val="24"/>
        </w:rPr>
        <w:t xml:space="preserve"> Mrd. EUR an Zöllen. </w:t>
      </w:r>
      <w:r w:rsidRPr="0071246C">
        <w:rPr>
          <w:rFonts w:ascii="Times New Roman" w:hAnsi="Times New Roman"/>
          <w:noProof/>
          <w:sz w:val="24"/>
        </w:rPr>
        <w:t>75</w:t>
      </w:r>
      <w:r>
        <w:rPr>
          <w:rFonts w:ascii="Times New Roman" w:hAnsi="Times New Roman"/>
          <w:noProof/>
          <w:sz w:val="24"/>
        </w:rPr>
        <w:t xml:space="preserve"> % der erhobenen Zölle fließen in den EU-Haushalt; sie machen </w:t>
      </w:r>
      <w:r w:rsidRPr="0071246C">
        <w:rPr>
          <w:rFonts w:ascii="Times New Roman" w:hAnsi="Times New Roman"/>
          <w:noProof/>
          <w:sz w:val="24"/>
        </w:rPr>
        <w:t>8</w:t>
      </w:r>
      <w:r>
        <w:rPr>
          <w:rFonts w:ascii="Times New Roman" w:hAnsi="Times New Roman"/>
          <w:noProof/>
          <w:sz w:val="24"/>
        </w:rPr>
        <w:t> % der Haushaltseinnahmen der EU aus. In einer Zeit des steigenden Finanzierungsbedarf für öffentliche Investitionen ist es von strategischer Bedeutung, dass die Zollbehörden in der EU mit den Instrumenten ausgestattet werden, die zum Schutz der finanziellen Interessen der EU und der Mitgliedstaaten erforderlich sind. Gleichzeitig schützen Zolltarife und andere Handelsmaßnahmen die EU vor unlauteren Handelspraktiken. Die Rolle des Zolls für den Schutz der EU geht zunehmend über die Erhebung von Zöllen hinaus, da der Zoll gemeinsam mit anderen Behörden für die Durchsetzung von Normen in Bereichen wie Gesundheit, Umwelt und Sicherheit zuständig ist, insbesondere von Verboten und Beschränkungen</w:t>
      </w:r>
      <w:r>
        <w:rPr>
          <w:rFonts w:ascii="Times New Roman" w:eastAsia="Times New Roman" w:hAnsi="Times New Roman" w:cs="Times New Roman"/>
          <w:noProof/>
          <w:sz w:val="24"/>
          <w:szCs w:val="20"/>
          <w:vertAlign w:val="superscript"/>
          <w:lang w:val="en-IE" w:eastAsia="en-IE"/>
        </w:rPr>
        <w:footnoteReference w:id="6"/>
      </w:r>
      <w:r>
        <w:rPr>
          <w:rFonts w:ascii="Times New Roman" w:hAnsi="Times New Roman"/>
          <w:noProof/>
          <w:sz w:val="24"/>
        </w:rPr>
        <w:t>, zum Beispiel zur Bekämpfung des Handels mit illegalen Drogen und Schusswaffen.</w:t>
      </w:r>
    </w:p>
    <w:bookmarkEnd w:id="3"/>
    <w:p w14:paraId="1A422253" w14:textId="79FC4CDE" w:rsidR="00B871E8" w:rsidRPr="00CA556D" w:rsidRDefault="00335201"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Anfang der </w:t>
      </w:r>
      <w:r w:rsidR="00B871E8" w:rsidRPr="0071246C">
        <w:rPr>
          <w:rFonts w:ascii="Times New Roman" w:hAnsi="Times New Roman"/>
          <w:b/>
          <w:noProof/>
          <w:sz w:val="24"/>
        </w:rPr>
        <w:t>2020</w:t>
      </w:r>
      <w:r w:rsidR="00B871E8">
        <w:rPr>
          <w:rFonts w:ascii="Times New Roman" w:hAnsi="Times New Roman"/>
          <w:b/>
          <w:noProof/>
          <w:sz w:val="24"/>
        </w:rPr>
        <w:t xml:space="preserve">er Jahre </w:t>
      </w:r>
      <w:r>
        <w:rPr>
          <w:rFonts w:ascii="Times New Roman" w:hAnsi="Times New Roman"/>
          <w:b/>
          <w:noProof/>
          <w:sz w:val="24"/>
        </w:rPr>
        <w:t>traten</w:t>
      </w:r>
      <w:r w:rsidR="00B871E8">
        <w:rPr>
          <w:rFonts w:ascii="Times New Roman" w:hAnsi="Times New Roman"/>
          <w:b/>
          <w:noProof/>
          <w:sz w:val="24"/>
        </w:rPr>
        <w:t xml:space="preserve"> tektonische Verschiebungen in der geopolitischen Landschaft </w:t>
      </w:r>
      <w:r>
        <w:rPr>
          <w:rFonts w:ascii="Times New Roman" w:hAnsi="Times New Roman"/>
          <w:b/>
          <w:noProof/>
          <w:sz w:val="24"/>
        </w:rPr>
        <w:t>auf</w:t>
      </w:r>
      <w:r w:rsidR="00B871E8">
        <w:rPr>
          <w:rFonts w:ascii="Times New Roman" w:hAnsi="Times New Roman"/>
          <w:b/>
          <w:noProof/>
          <w:sz w:val="24"/>
        </w:rPr>
        <w:t xml:space="preserve">, die zu Störungen der globalen Lieferketten führten und der EU erneut die Notwendigkeit vor Augen brachten, ihre strategischen Abhängigkeiten zu ermitteln und zu verringern. </w:t>
      </w:r>
      <w:r w:rsidR="00B871E8">
        <w:rPr>
          <w:rFonts w:ascii="Times New Roman" w:hAnsi="Times New Roman"/>
          <w:noProof/>
          <w:sz w:val="24"/>
        </w:rPr>
        <w:t>Hierfür bedarf es einer Kombination von Maßnahmen, die im EU</w:t>
      </w:r>
      <w:r>
        <w:rPr>
          <w:rFonts w:ascii="Times New Roman" w:hAnsi="Times New Roman"/>
          <w:noProof/>
          <w:sz w:val="24"/>
        </w:rPr>
        <w:noBreakHyphen/>
      </w:r>
      <w:r w:rsidR="00B871E8">
        <w:rPr>
          <w:rFonts w:ascii="Times New Roman" w:hAnsi="Times New Roman"/>
          <w:noProof/>
          <w:sz w:val="24"/>
        </w:rPr>
        <w:t>Industrieplan zum Grünen Deal</w:t>
      </w:r>
      <w:r w:rsidR="00B871E8">
        <w:rPr>
          <w:rFonts w:ascii="Times New Roman" w:eastAsia="Times New Roman" w:hAnsi="Times New Roman" w:cs="Times New Roman"/>
          <w:noProof/>
          <w:sz w:val="24"/>
          <w:szCs w:val="20"/>
          <w:vertAlign w:val="superscript"/>
          <w:lang w:val="en-IE" w:eastAsia="en-IE"/>
        </w:rPr>
        <w:footnoteReference w:id="7"/>
      </w:r>
      <w:r w:rsidR="00B871E8">
        <w:rPr>
          <w:rFonts w:ascii="Times New Roman" w:hAnsi="Times New Roman"/>
          <w:noProof/>
          <w:sz w:val="24"/>
        </w:rPr>
        <w:t xml:space="preserve"> dargelegt sind. Damit die Unternehmen in der EU in diesem neuen Zeitalter florieren und die Produktionskapazitäten im Binnenmarkt, insbesondere in kritischen Branchen, erhalten und ausbauen können, ist ein gerechter Wettbewerb mit Herstellern aus Drittländern von entscheidender Bedeutung. Der internationale Wettbewerb kann nur dann zum gegenseitigen Nutzen der Handelspartner funktionieren, wenn Regeln gelten und auch durchgesetzt werden. Die Bekämpfung von unlauterem Wettbewerb und von Produktionsmethoden, die die Gesundheits-, Sicherheits- und Schutzstandards der EU aushöhlen, der Umwelt schaden oder Zwangsarbeit nutzen, kommt der EU und ihren Handelspartnern zugute.</w:t>
      </w:r>
    </w:p>
    <w:p w14:paraId="762B77C8"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Eine gut funktionierende Zollunion ist daher von grundlegender Bedeutung für die Wettbewerbsfähigkeit, Nachhaltigkeit und Widerstandsfähigkeit der EU.</w:t>
      </w:r>
      <w:r>
        <w:rPr>
          <w:rFonts w:ascii="Times New Roman" w:hAnsi="Times New Roman"/>
          <w:noProof/>
          <w:sz w:val="24"/>
        </w:rPr>
        <w:t xml:space="preserve"> Eine reformierte und gestärkte Zollunion wird die Integrität des Binnenmarkts bewahren und dazu beitragen, die Wettbewerbsfähigkeit der EU im Zuge des grünen und des digitalen Wandels zu sichern. Dies bedeutet, dass eine wirksame Überwachung und Kontrolle der Lieferketten für Waren an den EU-Außengrenzen für die EU mehr denn je von strategischer Bedeutung ist. </w:t>
      </w:r>
    </w:p>
    <w:p w14:paraId="7C9F253F" w14:textId="77777777" w:rsidR="00B871E8" w:rsidRPr="00CA556D" w:rsidRDefault="00CA556D" w:rsidP="00FD3085">
      <w:pPr>
        <w:pStyle w:val="Heading1"/>
        <w:rPr>
          <w:noProof/>
        </w:rPr>
      </w:pPr>
      <w:bookmarkStart w:id="4" w:name="_Toc129960267"/>
      <w:r w:rsidRPr="0071246C">
        <w:rPr>
          <w:noProof/>
        </w:rPr>
        <w:t>2</w:t>
      </w:r>
      <w:r>
        <w:rPr>
          <w:noProof/>
        </w:rPr>
        <w:t>. Der Zoll im Wandel – und unter Druck</w:t>
      </w:r>
      <w:bookmarkEnd w:id="4"/>
    </w:p>
    <w:p w14:paraId="0064C9D1" w14:textId="77777777" w:rsidR="00B871E8" w:rsidRPr="00CA556D" w:rsidRDefault="00B871E8" w:rsidP="00E45C53">
      <w:pPr>
        <w:pBdr>
          <w:top w:val="single" w:sz="4" w:space="1" w:color="auto"/>
          <w:left w:val="single" w:sz="4" w:space="4" w:color="auto"/>
          <w:bottom w:val="single" w:sz="4" w:space="1" w:color="auto"/>
          <w:right w:val="single" w:sz="4" w:space="4" w:color="auto"/>
        </w:pBdr>
        <w:shd w:val="clear" w:color="auto" w:fill="B4C6E7"/>
        <w:spacing w:after="120" w:line="240" w:lineRule="auto"/>
        <w:jc w:val="center"/>
        <w:rPr>
          <w:rFonts w:ascii="Times New Roman" w:eastAsia="Times New Roman" w:hAnsi="Times New Roman" w:cs="Times New Roman"/>
          <w:noProof/>
          <w:sz w:val="24"/>
          <w:szCs w:val="24"/>
        </w:rPr>
      </w:pPr>
      <w:r>
        <w:rPr>
          <w:rFonts w:ascii="Times New Roman" w:hAnsi="Times New Roman"/>
          <w:i/>
          <w:noProof/>
          <w:sz w:val="24"/>
        </w:rPr>
        <w:t>Die europäischen Zollverwaltungen fungieren noch nicht als Einheit. Die Zollunion ist somit nur so stark wie ihr schwächstes Glied. Die schrittweisen Änderungen der letzten Jahre waren notwendig … In einer sich rasch verändernden Welt reichen sie jedoch nicht aus, um das Ausmaß der Herausforderungen zu bewältigen, vor denen der Zoll steht. Die Zollunion erfüllt nicht ihren Zweck.</w:t>
      </w:r>
      <w:r>
        <w:rPr>
          <w:rFonts w:ascii="Times New Roman" w:hAnsi="Times New Roman"/>
          <w:noProof/>
          <w:sz w:val="24"/>
        </w:rPr>
        <w:t xml:space="preserve"> </w:t>
      </w:r>
      <w:r>
        <w:rPr>
          <w:rFonts w:ascii="Times New Roman" w:hAnsi="Times New Roman"/>
          <w:b/>
          <w:noProof/>
          <w:sz w:val="24"/>
        </w:rPr>
        <w:t>Gruppe der Weisen zur Zukunft des Zollwesens</w:t>
      </w:r>
      <w:r>
        <w:rPr>
          <w:rFonts w:ascii="Times New Roman" w:eastAsia="Times New Roman" w:hAnsi="Times New Roman" w:cs="Times New Roman"/>
          <w:noProof/>
          <w:sz w:val="24"/>
          <w:szCs w:val="24"/>
          <w:vertAlign w:val="superscript"/>
          <w:lang w:val="en-IE" w:eastAsia="en-IE"/>
        </w:rPr>
        <w:footnoteReference w:id="8"/>
      </w:r>
      <w:r>
        <w:rPr>
          <w:rFonts w:ascii="Times New Roman" w:hAnsi="Times New Roman"/>
          <w:noProof/>
          <w:sz w:val="24"/>
        </w:rPr>
        <w:t xml:space="preserve"> </w:t>
      </w:r>
    </w:p>
    <w:p w14:paraId="359F0801" w14:textId="1B3F4D81"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Während der jüngsten Krisen hat der Zoll trotz der Einschränkungen des bestehenden Rechtsrahmens erfolgreich und schnell gehandelt. </w:t>
      </w:r>
      <w:r>
        <w:rPr>
          <w:rFonts w:ascii="Times New Roman" w:hAnsi="Times New Roman"/>
          <w:noProof/>
          <w:sz w:val="24"/>
        </w:rPr>
        <w:t xml:space="preserve">Dem Zoll kam bei der koordinierten und energischen Reaktion der EU auf den unprovozierten Einmarsch Russlands in die Ukraine eine zentrale Rolle zu. </w:t>
      </w:r>
      <w:r w:rsidR="00335201">
        <w:rPr>
          <w:rFonts w:ascii="Times New Roman" w:hAnsi="Times New Roman"/>
          <w:noProof/>
          <w:sz w:val="24"/>
        </w:rPr>
        <w:t>Diese</w:t>
      </w:r>
      <w:r>
        <w:rPr>
          <w:rFonts w:ascii="Times New Roman" w:hAnsi="Times New Roman"/>
          <w:noProof/>
          <w:sz w:val="24"/>
        </w:rPr>
        <w:t xml:space="preserve"> reichte von der Durchsetzung von Ausfuhrverboten – einschließlich für Güter mit doppeltem Verwendungszweck und militärische Güter – und Einfuhrkontrollen bis hin zur Unterstützung der humanitären Hilfe durch Zollbefreiungen und Green Lanes. Bereits ein Jahr zuvor hatte der Zoll eine entscheidende Rolle bei der Überwachung der Beförderung lebensrettender Impfstoffe und medizinischer Ausrüstung während der COVID</w:t>
      </w:r>
      <w:r w:rsidR="00335201">
        <w:rPr>
          <w:rFonts w:ascii="Times New Roman" w:hAnsi="Times New Roman"/>
          <w:noProof/>
          <w:sz w:val="24"/>
        </w:rPr>
        <w:noBreakHyphen/>
      </w:r>
      <w:r w:rsidRPr="0071246C">
        <w:rPr>
          <w:rFonts w:ascii="Times New Roman" w:hAnsi="Times New Roman"/>
          <w:noProof/>
          <w:sz w:val="24"/>
        </w:rPr>
        <w:t>19</w:t>
      </w:r>
      <w:r w:rsidR="00335201">
        <w:rPr>
          <w:rFonts w:ascii="Times New Roman" w:hAnsi="Times New Roman"/>
          <w:noProof/>
          <w:sz w:val="24"/>
        </w:rPr>
        <w:noBreakHyphen/>
      </w:r>
      <w:r>
        <w:rPr>
          <w:rFonts w:ascii="Times New Roman" w:hAnsi="Times New Roman"/>
          <w:noProof/>
          <w:sz w:val="24"/>
        </w:rPr>
        <w:t>Pandemie übernommen und musste sich gleichzeitig auf gestörte und sich verändernde globale Lieferketten einstellen. Zudem kam es nach dem Austritt des Vereinigten Königreichs aus der EU am Ende des Übergangszeitraums im Jahr </w:t>
      </w:r>
      <w:r w:rsidRPr="0071246C">
        <w:rPr>
          <w:rFonts w:ascii="Times New Roman" w:hAnsi="Times New Roman"/>
          <w:noProof/>
          <w:sz w:val="24"/>
        </w:rPr>
        <w:t>2021</w:t>
      </w:r>
      <w:r>
        <w:rPr>
          <w:rFonts w:ascii="Times New Roman" w:hAnsi="Times New Roman"/>
          <w:noProof/>
          <w:sz w:val="24"/>
        </w:rPr>
        <w:t xml:space="preserve"> zu einer effektiven Veränderung der Grenzen der Zollunion – eine enorme Herausforderung, die der Zoll erfolgreich bewältigt hat.</w:t>
      </w:r>
    </w:p>
    <w:p w14:paraId="3102E73B" w14:textId="77777777" w:rsidR="00B871E8" w:rsidRPr="00CA556D" w:rsidRDefault="00B871E8" w:rsidP="00B871E8">
      <w:pPr>
        <w:widowControl w:val="0"/>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 xml:space="preserve">Diese Krisen haben jedoch auch die unbestreitbare Notwendigkeit einer strukturellen Modernisierung deutlich gemacht, um den EU-Zoll zu einer strategischen Kompetenz der Europäischen Union zu machen. </w:t>
      </w:r>
      <w:r>
        <w:rPr>
          <w:rFonts w:ascii="Times New Roman" w:hAnsi="Times New Roman"/>
          <w:noProof/>
          <w:sz w:val="24"/>
        </w:rPr>
        <w:t>Nach der derzeitigen Verordnung über den Zollkodex der Union (UZK)</w:t>
      </w:r>
      <w:r>
        <w:rPr>
          <w:rFonts w:ascii="Times New Roman" w:eastAsia="Times New Roman" w:hAnsi="Times New Roman" w:cs="Times New Roman"/>
          <w:noProof/>
          <w:sz w:val="24"/>
          <w:szCs w:val="20"/>
          <w:vertAlign w:val="superscript"/>
          <w:lang w:val="en-IE" w:eastAsia="en-IE"/>
        </w:rPr>
        <w:footnoteReference w:id="9"/>
      </w:r>
      <w:r>
        <w:rPr>
          <w:rFonts w:ascii="Times New Roman" w:hAnsi="Times New Roman"/>
          <w:noProof/>
          <w:sz w:val="24"/>
        </w:rPr>
        <w:t xml:space="preserve"> und dem zugehörigen Governance-Rahmen fallen die Zollvorschriften und der Gemeinsame Zolltarif in die ausschließliche Zuständigkeit der EU, während die Mitgliedstaaten für deren Umsetzung verantwortlich sind, was vor allem durch das Risikomanagement und die Durchführung von Kontrollen vor Ort geschieht. Nach Ansicht des Europäischen Rechnungshofs führt dieses System zu erheblichen und größtenteils unerwünschten Diskrepanzen bei der Anwendung der Zollvorschriften in den Mitgliedstaaten, die die Zollunion schwächen, den finanziellen Interessen der EU schaden und es Wirtschaftsbeteiligten, die die Vorschriften nicht einhalten, ermöglichen, </w:t>
      </w:r>
      <w:r>
        <w:rPr>
          <w:rFonts w:ascii="Times New Roman" w:hAnsi="Times New Roman"/>
          <w:i/>
          <w:noProof/>
          <w:sz w:val="24"/>
        </w:rPr>
        <w:t>„gezielt EU-Eingangszollstellen mit niedrigeren Kontrollniveaus [zu] nutzen“</w:t>
      </w:r>
      <w:r>
        <w:rPr>
          <w:rFonts w:ascii="Times New Roman" w:hAnsi="Times New Roman"/>
          <w:noProof/>
          <w:sz w:val="24"/>
        </w:rPr>
        <w:t>.</w:t>
      </w:r>
      <w:r>
        <w:rPr>
          <w:rFonts w:ascii="Times New Roman" w:eastAsia="Times New Roman" w:hAnsi="Times New Roman" w:cs="Times New Roman"/>
          <w:iCs/>
          <w:noProof/>
          <w:sz w:val="24"/>
          <w:szCs w:val="24"/>
          <w:vertAlign w:val="superscript"/>
          <w:lang w:val="en-IE" w:eastAsia="en-IE"/>
        </w:rPr>
        <w:footnoteReference w:id="10"/>
      </w:r>
      <w:r>
        <w:rPr>
          <w:rFonts w:ascii="Times New Roman" w:hAnsi="Times New Roman"/>
          <w:noProof/>
          <w:sz w:val="24"/>
        </w:rPr>
        <w:t xml:space="preserve"> Dieselben Schwachstellen und Lücken werden auch vom nicht konformen Handel und von der organisierten Kriminalität ausgenutzt, wodurch die Sicherheit der EU und die Integrität des Binnenmarkts untergraben werden. Unabhängige Studien zeigen immer wieder den hohen Anteil nicht konformer Waren an den Einfuhren verschiedener Branchen, z. B. bei Chemikalien</w:t>
      </w:r>
      <w:r>
        <w:rPr>
          <w:rFonts w:ascii="Times New Roman" w:eastAsia="Times New Roman" w:hAnsi="Times New Roman" w:cs="Times New Roman"/>
          <w:noProof/>
          <w:sz w:val="24"/>
          <w:szCs w:val="24"/>
          <w:vertAlign w:val="superscript"/>
          <w:lang w:val="en-IE" w:eastAsia="en-IE"/>
        </w:rPr>
        <w:footnoteReference w:id="11"/>
      </w:r>
      <w:r>
        <w:rPr>
          <w:rFonts w:ascii="Times New Roman" w:hAnsi="Times New Roman"/>
          <w:noProof/>
          <w:sz w:val="24"/>
        </w:rPr>
        <w:t xml:space="preserve"> oder Spielwaren</w:t>
      </w:r>
      <w:r>
        <w:rPr>
          <w:rFonts w:ascii="Times New Roman" w:eastAsia="Times New Roman" w:hAnsi="Times New Roman" w:cs="Times New Roman"/>
          <w:noProof/>
          <w:sz w:val="24"/>
          <w:szCs w:val="24"/>
          <w:vertAlign w:val="superscript"/>
          <w:lang w:val="en-IE" w:eastAsia="en-IE"/>
        </w:rPr>
        <w:footnoteReference w:id="12"/>
      </w:r>
      <w:r>
        <w:rPr>
          <w:rFonts w:ascii="Times New Roman" w:hAnsi="Times New Roman"/>
          <w:noProof/>
          <w:sz w:val="24"/>
        </w:rPr>
        <w:t xml:space="preserve">. Nicht konforme Waren, die in die EU eingeführt werden, beeinträchtigen die Wettbewerbsfähigkeit konformer Unternehmen und stellen ein ernstzunehmendes Risiko für die Gesundheit und das Leben der Verbraucher/innen in der EU dar, wenn produktbedingte Verletzungen und vorzeitige Todesfälle den Betroffenen unermessliches Leid zufügen. Einem kürzlich erschienenen Bericht zufolge verstoßen </w:t>
      </w:r>
      <w:r w:rsidRPr="0071246C">
        <w:rPr>
          <w:rFonts w:ascii="Times New Roman" w:hAnsi="Times New Roman"/>
          <w:noProof/>
          <w:sz w:val="24"/>
        </w:rPr>
        <w:t>95</w:t>
      </w:r>
      <w:r>
        <w:rPr>
          <w:rFonts w:ascii="Times New Roman" w:hAnsi="Times New Roman"/>
          <w:noProof/>
          <w:sz w:val="24"/>
        </w:rPr>
        <w:t> % der über Online-Marktplätze verkauften Waren in unterschiedlicher Hinsicht gegen Chemikalienrecht.</w:t>
      </w:r>
      <w:r>
        <w:rPr>
          <w:rStyle w:val="FootnoteReference"/>
          <w:rFonts w:ascii="Times New Roman" w:eastAsia="Times New Roman" w:hAnsi="Times New Roman" w:cs="Times New Roman"/>
          <w:noProof/>
          <w:sz w:val="24"/>
          <w:szCs w:val="24"/>
          <w:lang w:val="en-IE" w:eastAsia="en-IE"/>
        </w:rPr>
        <w:footnoteReference w:id="13"/>
      </w:r>
      <w:r>
        <w:rPr>
          <w:i/>
          <w:noProof/>
          <w:color w:val="1F497D"/>
        </w:rPr>
        <w:t xml:space="preserve"> </w:t>
      </w:r>
      <w:r>
        <w:rPr>
          <w:rFonts w:ascii="Times New Roman" w:hAnsi="Times New Roman"/>
          <w:noProof/>
          <w:sz w:val="24"/>
        </w:rPr>
        <w:t xml:space="preserve">Die so entstehenden gesellschaftlichen Kosten werden auf </w:t>
      </w:r>
      <w:r w:rsidRPr="0071246C">
        <w:rPr>
          <w:rFonts w:ascii="Times New Roman" w:hAnsi="Times New Roman"/>
          <w:noProof/>
          <w:sz w:val="24"/>
        </w:rPr>
        <w:t>76</w:t>
      </w:r>
      <w:r>
        <w:rPr>
          <w:rFonts w:ascii="Times New Roman" w:hAnsi="Times New Roman"/>
          <w:noProof/>
          <w:sz w:val="24"/>
        </w:rPr>
        <w:t>,</w:t>
      </w:r>
      <w:r w:rsidRPr="0071246C">
        <w:rPr>
          <w:rFonts w:ascii="Times New Roman" w:hAnsi="Times New Roman"/>
          <w:noProof/>
          <w:sz w:val="24"/>
        </w:rPr>
        <w:t>6</w:t>
      </w:r>
      <w:r>
        <w:rPr>
          <w:rFonts w:ascii="Times New Roman" w:hAnsi="Times New Roman"/>
          <w:noProof/>
          <w:sz w:val="24"/>
        </w:rPr>
        <w:t> Mrd. EUR pro Jahr geschätzt.</w:t>
      </w:r>
      <w:r>
        <w:rPr>
          <w:rFonts w:ascii="Times New Roman" w:eastAsia="Times New Roman" w:hAnsi="Times New Roman" w:cs="Times New Roman"/>
          <w:noProof/>
          <w:sz w:val="24"/>
          <w:szCs w:val="20"/>
          <w:vertAlign w:val="superscript"/>
          <w:lang w:val="en-IE" w:eastAsia="en-IE"/>
        </w:rPr>
        <w:footnoteReference w:id="14"/>
      </w:r>
    </w:p>
    <w:p w14:paraId="576D94A1" w14:textId="163F7378" w:rsidR="00B871E8" w:rsidRPr="00CA556D" w:rsidRDefault="00B871E8" w:rsidP="00B871E8">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Den Zollbehörden fallen immer mehr Aufgaben zu.</w:t>
      </w:r>
      <w:r>
        <w:rPr>
          <w:rFonts w:ascii="Times New Roman" w:hAnsi="Times New Roman"/>
          <w:noProof/>
          <w:sz w:val="24"/>
        </w:rPr>
        <w:t xml:space="preserve"> Die EU hat in den letzten Jahren eine beträchtliche Anzahl ambitionierter Rechtsvorschriften zur Festlegung von Umwelt-, Sicherheits-, Gesundheits-, Sozial- und Digitalstandards </w:t>
      </w:r>
      <w:r w:rsidR="00335201">
        <w:rPr>
          <w:rFonts w:ascii="Times New Roman" w:hAnsi="Times New Roman"/>
          <w:noProof/>
          <w:sz w:val="24"/>
        </w:rPr>
        <w:t>erlassen</w:t>
      </w:r>
      <w:r>
        <w:rPr>
          <w:rFonts w:ascii="Times New Roman" w:hAnsi="Times New Roman"/>
          <w:noProof/>
          <w:sz w:val="24"/>
        </w:rPr>
        <w:t>, was auch die Tätigkeit der Unternehmen innerhalb und außerhalb des Binnenmarkts prägt. Zu den jüngsten Beispielen gehören die überarbeitete Verordnung über die allgemeine Produktsicherheit</w:t>
      </w:r>
      <w:r>
        <w:rPr>
          <w:rFonts w:ascii="Times New Roman" w:eastAsia="Times New Roman" w:hAnsi="Times New Roman" w:cs="Times New Roman"/>
          <w:bCs/>
          <w:noProof/>
          <w:sz w:val="24"/>
          <w:szCs w:val="24"/>
          <w:vertAlign w:val="superscript"/>
          <w:lang w:val="en-IE" w:eastAsia="en-IE"/>
        </w:rPr>
        <w:footnoteReference w:id="15"/>
      </w:r>
      <w:r>
        <w:rPr>
          <w:rFonts w:ascii="Times New Roman" w:hAnsi="Times New Roman"/>
          <w:noProof/>
          <w:sz w:val="24"/>
        </w:rPr>
        <w:t>, die Verordnung zur Eindämmung der von der EU verursachten Entwaldung</w:t>
      </w:r>
      <w:r>
        <w:rPr>
          <w:rFonts w:ascii="Times New Roman" w:eastAsia="Times New Roman" w:hAnsi="Times New Roman" w:cs="Times New Roman"/>
          <w:bCs/>
          <w:noProof/>
          <w:sz w:val="24"/>
          <w:szCs w:val="24"/>
          <w:vertAlign w:val="superscript"/>
          <w:lang w:val="en-IE" w:eastAsia="en-IE"/>
        </w:rPr>
        <w:footnoteReference w:id="16"/>
      </w:r>
      <w:r>
        <w:rPr>
          <w:rFonts w:ascii="Times New Roman" w:hAnsi="Times New Roman"/>
          <w:noProof/>
          <w:sz w:val="24"/>
        </w:rPr>
        <w:t>, die Verordnung über ein Verbot von in Zwangsarbeit hergestellten Produkten</w:t>
      </w:r>
      <w:r>
        <w:rPr>
          <w:rFonts w:ascii="Times New Roman" w:eastAsia="Times New Roman" w:hAnsi="Times New Roman" w:cs="Times New Roman"/>
          <w:bCs/>
          <w:noProof/>
          <w:sz w:val="24"/>
          <w:szCs w:val="24"/>
          <w:vertAlign w:val="superscript"/>
          <w:lang w:val="en-IE" w:eastAsia="en-IE"/>
        </w:rPr>
        <w:footnoteReference w:id="17"/>
      </w:r>
      <w:r>
        <w:rPr>
          <w:rFonts w:ascii="Times New Roman" w:hAnsi="Times New Roman"/>
          <w:noProof/>
          <w:sz w:val="24"/>
        </w:rPr>
        <w:t>, das CO</w:t>
      </w:r>
      <w:r w:rsidRPr="0071246C">
        <w:rPr>
          <w:rFonts w:ascii="Times New Roman" w:hAnsi="Times New Roman"/>
          <w:noProof/>
          <w:sz w:val="24"/>
          <w:vertAlign w:val="subscript"/>
        </w:rPr>
        <w:t>2</w:t>
      </w:r>
      <w:r>
        <w:rPr>
          <w:rFonts w:ascii="Times New Roman" w:hAnsi="Times New Roman"/>
          <w:noProof/>
          <w:sz w:val="24"/>
        </w:rPr>
        <w:t>-Grenzausgleichssystem der EU</w:t>
      </w:r>
      <w:r>
        <w:rPr>
          <w:rFonts w:ascii="Times New Roman" w:eastAsia="Times New Roman" w:hAnsi="Times New Roman" w:cs="Times New Roman"/>
          <w:bCs/>
          <w:noProof/>
          <w:sz w:val="24"/>
          <w:szCs w:val="24"/>
          <w:vertAlign w:val="superscript"/>
          <w:lang w:val="en-IE" w:eastAsia="en-IE"/>
        </w:rPr>
        <w:footnoteReference w:id="18"/>
      </w:r>
      <w:r>
        <w:rPr>
          <w:rFonts w:ascii="Times New Roman" w:hAnsi="Times New Roman"/>
          <w:noProof/>
          <w:sz w:val="24"/>
        </w:rPr>
        <w:t xml:space="preserve"> und der Europäische Rechtsakt zur Barrierefreiheit</w:t>
      </w:r>
      <w:r>
        <w:rPr>
          <w:rStyle w:val="FootnoteReference"/>
          <w:rFonts w:ascii="Times New Roman" w:eastAsia="Times New Roman" w:hAnsi="Times New Roman" w:cs="Times New Roman"/>
          <w:bCs/>
          <w:noProof/>
          <w:sz w:val="24"/>
          <w:szCs w:val="24"/>
          <w:lang w:val="en-IE" w:eastAsia="en-IE"/>
        </w:rPr>
        <w:footnoteReference w:id="19"/>
      </w:r>
      <w:r>
        <w:rPr>
          <w:rFonts w:ascii="Times New Roman" w:hAnsi="Times New Roman"/>
          <w:noProof/>
          <w:sz w:val="24"/>
        </w:rPr>
        <w:t xml:space="preserve">. Zum heutigen Zeitpunkt müssen Waren über </w:t>
      </w:r>
      <w:r w:rsidRPr="0071246C">
        <w:rPr>
          <w:rFonts w:ascii="Times New Roman" w:hAnsi="Times New Roman"/>
          <w:noProof/>
          <w:sz w:val="24"/>
        </w:rPr>
        <w:t>370</w:t>
      </w:r>
      <w:r>
        <w:rPr>
          <w:rFonts w:ascii="Times New Roman" w:hAnsi="Times New Roman"/>
          <w:noProof/>
          <w:sz w:val="24"/>
        </w:rPr>
        <w:t xml:space="preserve"> EU-Regelwerken entsprechen, die vom Zoll durchgesetzt werden müssen. Die ständig zunehmenden Aufgaben im Zusammenhang mit der Durchsetzung der EU-Rechtsvorschriften über Verbote und Beschränkungen setzen die Zollbehörden erheblich unter Druck. Darüber hinaus besteht mangels einer zentralen Überwachung der Lieferkette auf EU-Ebene keine vollständige Übersicht und Kontrolle darüber, welche Waren in den Binnenmarkt gelangen und diesen verlassen. Dies beeinträchtigt nicht nur die Glaubwürdigkeit der Maßnahmen in den verschiedenen Politikbereichen der EU, sondern schränkt auch den Einfluss der EU als geopolitischer Akteur ein. </w:t>
      </w:r>
    </w:p>
    <w:p w14:paraId="21EBC84C" w14:textId="77777777" w:rsidR="005727B1"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Diese Herausforderung wird durch einen drastischen Anstieg des Handelsaufkommens verschärft, der vor allem auf das exponentielle Wachstum des elektronischen Handels zurückzuführen ist, das eine beispiellose Zahl kleiner Sendungen mit geringem Wert mit sich bringt.</w:t>
      </w:r>
      <w:r>
        <w:rPr>
          <w:rFonts w:ascii="Times New Roman" w:hAnsi="Times New Roman"/>
          <w:noProof/>
          <w:sz w:val="24"/>
        </w:rPr>
        <w:t xml:space="preserve"> Durch die </w:t>
      </w:r>
      <w:r w:rsidRPr="0071246C">
        <w:rPr>
          <w:rFonts w:ascii="Times New Roman" w:hAnsi="Times New Roman"/>
          <w:noProof/>
          <w:sz w:val="24"/>
        </w:rPr>
        <w:t>2017</w:t>
      </w:r>
      <w:r>
        <w:rPr>
          <w:rFonts w:ascii="Times New Roman" w:hAnsi="Times New Roman"/>
          <w:noProof/>
          <w:sz w:val="24"/>
        </w:rPr>
        <w:t xml:space="preserve"> erfolgte Reform der Mehrwertsteuervorschriften für den elektronischen Geschäftsverkehr, mit der auf das starke Wachstum des elektronischen Handels reagiert werden sollte, wurden mehrere Vereinfachungen für die Erhebung der Mehrwertsteuer auf Umsätze im elektronischen Handel eingeführt und die Mehrwertsteuerbefreiung für eingeführte Gegenstände aufgehoben</w:t>
      </w:r>
      <w:r>
        <w:rPr>
          <w:rFonts w:ascii="Times New Roman" w:eastAsia="Times New Roman" w:hAnsi="Times New Roman" w:cs="Times New Roman"/>
          <w:noProof/>
          <w:sz w:val="24"/>
          <w:szCs w:val="20"/>
          <w:vertAlign w:val="superscript"/>
          <w:lang w:val="en-IE" w:eastAsia="en-IE"/>
        </w:rPr>
        <w:footnoteReference w:id="20"/>
      </w:r>
      <w:r>
        <w:rPr>
          <w:rFonts w:ascii="Times New Roman" w:hAnsi="Times New Roman"/>
          <w:noProof/>
          <w:sz w:val="24"/>
        </w:rPr>
        <w:t xml:space="preserve">. Zwar wurde im Zuge der Reform die Zollbefreiung für Sendungen bis zu </w:t>
      </w:r>
      <w:r w:rsidRPr="0071246C">
        <w:rPr>
          <w:rFonts w:ascii="Times New Roman" w:hAnsi="Times New Roman"/>
          <w:noProof/>
          <w:sz w:val="24"/>
        </w:rPr>
        <w:t>150</w:t>
      </w:r>
      <w:r>
        <w:rPr>
          <w:rFonts w:ascii="Times New Roman" w:hAnsi="Times New Roman"/>
          <w:noProof/>
          <w:sz w:val="24"/>
        </w:rPr>
        <w:t> EUR nicht abgeschafft, es wurde jedoch eine Verpflichtung zur Abgabe einer elektronischen Zollanmeldung eingeführt. Dadurch wurden im Jahr </w:t>
      </w:r>
      <w:r w:rsidRPr="0071246C">
        <w:rPr>
          <w:rFonts w:ascii="Times New Roman" w:hAnsi="Times New Roman"/>
          <w:noProof/>
          <w:sz w:val="24"/>
        </w:rPr>
        <w:t>2022</w:t>
      </w:r>
      <w:r>
        <w:rPr>
          <w:rFonts w:ascii="Times New Roman" w:hAnsi="Times New Roman"/>
          <w:noProof/>
          <w:sz w:val="24"/>
        </w:rPr>
        <w:t xml:space="preserve"> eine Milliarde Zollanmeldungen abgegeben, und zwar zusätzlich zu den Standard-Zollanmeldungen, deren Zahl sich wiederum von </w:t>
      </w:r>
      <w:r w:rsidRPr="0071246C">
        <w:rPr>
          <w:rFonts w:ascii="Times New Roman" w:hAnsi="Times New Roman"/>
          <w:noProof/>
          <w:sz w:val="24"/>
        </w:rPr>
        <w:t>376</w:t>
      </w:r>
      <w:r>
        <w:rPr>
          <w:rFonts w:ascii="Times New Roman" w:hAnsi="Times New Roman"/>
          <w:noProof/>
          <w:sz w:val="24"/>
        </w:rPr>
        <w:t>,</w:t>
      </w:r>
      <w:r w:rsidRPr="0071246C">
        <w:rPr>
          <w:rFonts w:ascii="Times New Roman" w:hAnsi="Times New Roman"/>
          <w:noProof/>
          <w:sz w:val="24"/>
        </w:rPr>
        <w:t>8</w:t>
      </w:r>
      <w:r>
        <w:rPr>
          <w:rFonts w:ascii="Times New Roman" w:hAnsi="Times New Roman"/>
          <w:noProof/>
          <w:sz w:val="24"/>
        </w:rPr>
        <w:t> Millionen im Jahr </w:t>
      </w:r>
      <w:r w:rsidRPr="0071246C">
        <w:rPr>
          <w:rFonts w:ascii="Times New Roman" w:hAnsi="Times New Roman"/>
          <w:noProof/>
          <w:sz w:val="24"/>
        </w:rPr>
        <w:t>2019</w:t>
      </w:r>
      <w:r>
        <w:rPr>
          <w:rFonts w:ascii="Times New Roman" w:hAnsi="Times New Roman"/>
          <w:noProof/>
          <w:sz w:val="24"/>
        </w:rPr>
        <w:t xml:space="preserve"> auf </w:t>
      </w:r>
      <w:r w:rsidRPr="0071246C">
        <w:rPr>
          <w:rFonts w:ascii="Times New Roman" w:hAnsi="Times New Roman"/>
          <w:noProof/>
          <w:sz w:val="24"/>
        </w:rPr>
        <w:t>691</w:t>
      </w:r>
      <w:r>
        <w:rPr>
          <w:rFonts w:ascii="Times New Roman" w:hAnsi="Times New Roman"/>
          <w:noProof/>
          <w:sz w:val="24"/>
        </w:rPr>
        <w:t>,</w:t>
      </w:r>
      <w:r w:rsidRPr="0071246C">
        <w:rPr>
          <w:rFonts w:ascii="Times New Roman" w:hAnsi="Times New Roman"/>
          <w:noProof/>
          <w:sz w:val="24"/>
        </w:rPr>
        <w:t>5</w:t>
      </w:r>
      <w:r>
        <w:rPr>
          <w:rFonts w:ascii="Times New Roman" w:hAnsi="Times New Roman"/>
          <w:noProof/>
          <w:sz w:val="24"/>
        </w:rPr>
        <w:t> Millionen im Jahr </w:t>
      </w:r>
      <w:r w:rsidRPr="0071246C">
        <w:rPr>
          <w:rFonts w:ascii="Times New Roman" w:hAnsi="Times New Roman"/>
          <w:noProof/>
          <w:sz w:val="24"/>
        </w:rPr>
        <w:t>2021</w:t>
      </w:r>
      <w:r>
        <w:rPr>
          <w:rFonts w:ascii="Times New Roman" w:hAnsi="Times New Roman"/>
          <w:noProof/>
          <w:sz w:val="24"/>
        </w:rPr>
        <w:t xml:space="preserve"> fast verdoppelte. Zudem führte die Beibehaltung der Zollbefreiung für Waren bis zu </w:t>
      </w:r>
      <w:r w:rsidRPr="0071246C">
        <w:rPr>
          <w:rFonts w:ascii="Times New Roman" w:hAnsi="Times New Roman"/>
          <w:noProof/>
          <w:sz w:val="24"/>
        </w:rPr>
        <w:t>150</w:t>
      </w:r>
      <w:r>
        <w:rPr>
          <w:rFonts w:ascii="Times New Roman" w:hAnsi="Times New Roman"/>
          <w:noProof/>
          <w:sz w:val="24"/>
        </w:rPr>
        <w:t xml:space="preserve"> EUR zu systematischem Missbrauch dieses Schwellenwerts durch Unterbewertung und die Aufteilung von Sendungen. Bei etwa </w:t>
      </w:r>
      <w:r w:rsidRPr="0071246C">
        <w:rPr>
          <w:rFonts w:ascii="Times New Roman" w:hAnsi="Times New Roman"/>
          <w:noProof/>
          <w:sz w:val="24"/>
        </w:rPr>
        <w:t>65</w:t>
      </w:r>
      <w:r>
        <w:rPr>
          <w:rFonts w:ascii="Times New Roman" w:hAnsi="Times New Roman"/>
          <w:noProof/>
          <w:sz w:val="24"/>
        </w:rPr>
        <w:t> % der Sendungen im elektronischen Handel wird ein zu niedrigerer Wert angegeben</w:t>
      </w:r>
      <w:r>
        <w:rPr>
          <w:rFonts w:ascii="Times New Roman" w:eastAsia="Times New Roman" w:hAnsi="Times New Roman" w:cs="Times New Roman"/>
          <w:noProof/>
          <w:sz w:val="24"/>
          <w:szCs w:val="20"/>
          <w:vertAlign w:val="superscript"/>
          <w:lang w:val="en-IE" w:eastAsia="en-IE"/>
        </w:rPr>
        <w:footnoteReference w:id="21"/>
      </w:r>
      <w:r>
        <w:rPr>
          <w:rFonts w:ascii="Times New Roman" w:hAnsi="Times New Roman"/>
          <w:noProof/>
          <w:sz w:val="24"/>
        </w:rPr>
        <w:t xml:space="preserve">, um Zölle zu vermeiden, während Studien zufolge </w:t>
      </w:r>
      <w:r w:rsidRPr="0071246C">
        <w:rPr>
          <w:rFonts w:ascii="Times New Roman" w:hAnsi="Times New Roman"/>
          <w:noProof/>
          <w:sz w:val="24"/>
        </w:rPr>
        <w:t>66</w:t>
      </w:r>
      <w:r>
        <w:rPr>
          <w:rFonts w:ascii="Times New Roman" w:hAnsi="Times New Roman"/>
          <w:noProof/>
          <w:sz w:val="24"/>
        </w:rPr>
        <w:t> % der online erworbenen Waren nicht den EU-Sicherheitsanforderungen entsprechen</w:t>
      </w:r>
      <w:r>
        <w:rPr>
          <w:rFonts w:ascii="Times New Roman" w:eastAsia="Times New Roman" w:hAnsi="Times New Roman" w:cs="Times New Roman"/>
          <w:noProof/>
          <w:sz w:val="24"/>
          <w:szCs w:val="20"/>
          <w:vertAlign w:val="superscript"/>
          <w:lang w:val="en-IE" w:eastAsia="en-IE"/>
        </w:rPr>
        <w:footnoteReference w:id="22"/>
      </w:r>
      <w:r>
        <w:rPr>
          <w:rFonts w:ascii="Times New Roman" w:hAnsi="Times New Roman"/>
          <w:noProof/>
          <w:sz w:val="24"/>
        </w:rPr>
        <w:t>. Schließlich macht die unterschiedliche mehrwertsteuerliche und zollrechtliche Behandlung von Waren im elektronischen Handel das System für die Beteiligten kompliziert. Die Zollbehörden verfügen heute nicht über die Mittel, um die für den internationalen Handel geltenden Vorschriften im grenzüberschreitenden elektronischen Geschäftsverkehr ordnungsgemäß durchzusetzen. Daher ist eine maßgeschneiderte Zollregelung für den elektronischen Handel erforderlich.</w:t>
      </w:r>
    </w:p>
    <w:p w14:paraId="6D6FBCFC" w14:textId="6E7A97B8" w:rsidR="00B871E8" w:rsidRPr="003850D6" w:rsidRDefault="00B871E8" w:rsidP="009E6E4B">
      <w:pPr>
        <w:spacing w:after="240" w:line="240" w:lineRule="auto"/>
        <w:jc w:val="both"/>
        <w:rPr>
          <w:rFonts w:ascii="Times New Roman" w:hAnsi="Times New Roman"/>
          <w:noProof/>
          <w:sz w:val="24"/>
        </w:rPr>
      </w:pPr>
      <w:r>
        <w:rPr>
          <w:rFonts w:ascii="Times New Roman" w:hAnsi="Times New Roman"/>
          <w:b/>
          <w:noProof/>
          <w:sz w:val="24"/>
        </w:rPr>
        <w:t xml:space="preserve">Die Zollreform von </w:t>
      </w:r>
      <w:r w:rsidRPr="0071246C">
        <w:rPr>
          <w:rFonts w:ascii="Times New Roman" w:hAnsi="Times New Roman"/>
          <w:b/>
          <w:noProof/>
          <w:sz w:val="24"/>
        </w:rPr>
        <w:t>2013</w:t>
      </w:r>
      <w:r>
        <w:rPr>
          <w:rFonts w:ascii="Times New Roman" w:hAnsi="Times New Roman"/>
          <w:b/>
          <w:noProof/>
          <w:sz w:val="24"/>
        </w:rPr>
        <w:t xml:space="preserve"> zur Festlegung des Zollkodex, der seit Mai </w:t>
      </w:r>
      <w:r w:rsidRPr="0071246C">
        <w:rPr>
          <w:rFonts w:ascii="Times New Roman" w:hAnsi="Times New Roman"/>
          <w:b/>
          <w:noProof/>
          <w:sz w:val="24"/>
        </w:rPr>
        <w:t>2016</w:t>
      </w:r>
      <w:r>
        <w:rPr>
          <w:rFonts w:ascii="Times New Roman" w:hAnsi="Times New Roman"/>
          <w:b/>
          <w:noProof/>
          <w:sz w:val="24"/>
        </w:rPr>
        <w:t xml:space="preserve"> gilt, ebnete den Weg für eine papierlose, integrierte und vollständig elektronische Umgebung des EU</w:t>
      </w:r>
      <w:r w:rsidR="00335201">
        <w:rPr>
          <w:rFonts w:ascii="Times New Roman" w:hAnsi="Times New Roman"/>
          <w:b/>
          <w:noProof/>
          <w:sz w:val="24"/>
        </w:rPr>
        <w:noBreakHyphen/>
      </w:r>
      <w:r>
        <w:rPr>
          <w:rFonts w:ascii="Times New Roman" w:hAnsi="Times New Roman"/>
          <w:b/>
          <w:noProof/>
          <w:sz w:val="24"/>
        </w:rPr>
        <w:t>Zolls.</w:t>
      </w:r>
      <w:r>
        <w:rPr>
          <w:rFonts w:ascii="Times New Roman" w:hAnsi="Times New Roman"/>
          <w:noProof/>
          <w:sz w:val="24"/>
        </w:rPr>
        <w:t xml:space="preserve"> Die Einführung der IT-Systeme in Umsetzung dieser Reform schreitet voran und wird bis Ende </w:t>
      </w:r>
      <w:r w:rsidRPr="0071246C">
        <w:rPr>
          <w:rFonts w:ascii="Times New Roman" w:hAnsi="Times New Roman"/>
          <w:noProof/>
          <w:sz w:val="24"/>
        </w:rPr>
        <w:t>2025</w:t>
      </w:r>
      <w:r>
        <w:rPr>
          <w:rFonts w:ascii="Times New Roman" w:hAnsi="Times New Roman"/>
          <w:noProof/>
          <w:sz w:val="24"/>
        </w:rPr>
        <w:t xml:space="preserve"> abgeschlossen sein. Sie konzentriert sich auf die Digitalisierung bestehender Prozesse, ohne die zugrunde liegenden Prinzipien zu verändern. Wie jedoch bereits in der Mitteilung der Kommission „Aktionsplan für den Ausbau der Zollunion“</w:t>
      </w:r>
      <w:r>
        <w:rPr>
          <w:rFonts w:ascii="Times New Roman" w:eastAsia="Times New Roman" w:hAnsi="Times New Roman" w:cs="Times New Roman"/>
          <w:noProof/>
          <w:sz w:val="24"/>
          <w:szCs w:val="24"/>
          <w:vertAlign w:val="superscript"/>
          <w:lang w:val="en-IE" w:eastAsia="en-IE"/>
        </w:rPr>
        <w:footnoteReference w:id="23"/>
      </w:r>
      <w:r>
        <w:rPr>
          <w:rFonts w:ascii="Times New Roman" w:hAnsi="Times New Roman"/>
          <w:noProof/>
          <w:sz w:val="24"/>
        </w:rPr>
        <w:t xml:space="preserve"> festgestellt wurde, die der Rat in seinen Schlussfolgerungen vom Dezember </w:t>
      </w:r>
      <w:r w:rsidRPr="0071246C">
        <w:rPr>
          <w:rFonts w:ascii="Times New Roman" w:hAnsi="Times New Roman"/>
          <w:noProof/>
          <w:sz w:val="24"/>
        </w:rPr>
        <w:t>2020</w:t>
      </w:r>
      <w:r>
        <w:rPr>
          <w:rFonts w:ascii="Times New Roman" w:hAnsi="Times New Roman"/>
          <w:noProof/>
          <w:sz w:val="24"/>
        </w:rPr>
        <w:t xml:space="preserve"> weitgehend unterstützt hat, ist der Abschluss der aktuellen Arbeiten zur Umsetzung des UZK zwar notwendig, aber nicht ausreichend, um die neuen Herausforderungen zu bewältigen. Ebenso verwies das Europäische Parlament auf die Bedeutung der vollständigen Digitalisierung und Vernetzung der IT-Systeme für den Zoll bis </w:t>
      </w:r>
      <w:r w:rsidRPr="0071246C">
        <w:rPr>
          <w:rFonts w:ascii="Times New Roman" w:hAnsi="Times New Roman"/>
          <w:noProof/>
          <w:sz w:val="24"/>
        </w:rPr>
        <w:t>2025</w:t>
      </w:r>
      <w:r>
        <w:rPr>
          <w:rFonts w:ascii="Times New Roman" w:hAnsi="Times New Roman"/>
          <w:noProof/>
          <w:sz w:val="24"/>
        </w:rPr>
        <w:t>, forderte jedoch weitere Reformen, um den UZK zu verbessern und ihn „an die Herausforderungen und Risiken anzupassen, die sich insbesondere aus dem elektronischen Handel ergeben“</w:t>
      </w:r>
      <w:r>
        <w:rPr>
          <w:rFonts w:ascii="Times New Roman" w:eastAsia="Times New Roman" w:hAnsi="Times New Roman" w:cs="Times New Roman"/>
          <w:noProof/>
          <w:sz w:val="24"/>
          <w:szCs w:val="20"/>
          <w:vertAlign w:val="superscript"/>
          <w:lang w:val="en-IE" w:eastAsia="en-IE"/>
        </w:rPr>
        <w:footnoteReference w:id="24"/>
      </w:r>
      <w:r>
        <w:rPr>
          <w:rFonts w:ascii="Times New Roman" w:hAnsi="Times New Roman"/>
          <w:noProof/>
          <w:sz w:val="24"/>
        </w:rPr>
        <w:t xml:space="preserve">. Der derzeitige Ansatz, nationale IT-Systeme auf EU-Ebene zu verbinden, stößt an seine Grenzen. Zum einen ist es kostspielig, </w:t>
      </w:r>
      <w:r w:rsidRPr="0071246C">
        <w:rPr>
          <w:rFonts w:ascii="Times New Roman" w:hAnsi="Times New Roman"/>
          <w:noProof/>
          <w:sz w:val="24"/>
        </w:rPr>
        <w:t>27</w:t>
      </w:r>
      <w:r>
        <w:rPr>
          <w:rFonts w:ascii="Times New Roman" w:hAnsi="Times New Roman"/>
          <w:noProof/>
          <w:sz w:val="24"/>
        </w:rPr>
        <w:t>+</w:t>
      </w:r>
      <w:r w:rsidRPr="0071246C">
        <w:rPr>
          <w:rFonts w:ascii="Times New Roman" w:hAnsi="Times New Roman"/>
          <w:noProof/>
          <w:sz w:val="24"/>
        </w:rPr>
        <w:t>1</w:t>
      </w:r>
      <w:r>
        <w:rPr>
          <w:rFonts w:ascii="Times New Roman" w:hAnsi="Times New Roman"/>
          <w:noProof/>
          <w:sz w:val="24"/>
        </w:rPr>
        <w:t xml:space="preserve"> IT-Systeme zu entwickeln und zu betreiben und den Handel an verschiedene nationale Systeme anzubinden. Zum anderen erfolgt die Anpassung an Änderungen nur langsam, und die Zolldaten bleiben fragmentiert. </w:t>
      </w:r>
    </w:p>
    <w:p w14:paraId="72B20448" w14:textId="77777777" w:rsidR="00B871E8" w:rsidRPr="00CA556D" w:rsidRDefault="00CA556D" w:rsidP="00FD3085">
      <w:pPr>
        <w:pStyle w:val="Heading1"/>
        <w:rPr>
          <w:noProof/>
        </w:rPr>
      </w:pPr>
      <w:bookmarkStart w:id="6" w:name="_Toc129960268"/>
      <w:r w:rsidRPr="0071246C">
        <w:rPr>
          <w:noProof/>
        </w:rPr>
        <w:t>3</w:t>
      </w:r>
      <w:r>
        <w:rPr>
          <w:noProof/>
        </w:rPr>
        <w:t>. Ausbau der Zollunion – Grundsätze und Hauptmerkmale der Reform</w:t>
      </w:r>
      <w:bookmarkEnd w:id="6"/>
    </w:p>
    <w:p w14:paraId="325B3E5C"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Um die Zollunion von Grund auf umzugestalten, damit sie für die kommenden Jahrzehnte gerüstet ist, hat die Kommission nun die ehrgeizigste und umfassendste Reform der Zollunion seit ihrer Gründung im Jahr </w:t>
      </w:r>
      <w:r w:rsidRPr="0071246C">
        <w:rPr>
          <w:rFonts w:ascii="Times New Roman" w:hAnsi="Times New Roman"/>
          <w:noProof/>
          <w:sz w:val="24"/>
        </w:rPr>
        <w:t>1968</w:t>
      </w:r>
      <w:r>
        <w:rPr>
          <w:rFonts w:ascii="Times New Roman" w:hAnsi="Times New Roman"/>
          <w:noProof/>
          <w:sz w:val="24"/>
        </w:rPr>
        <w:t xml:space="preserve"> vorgelegt, die auf drei Grundsätzen beruht:</w:t>
      </w:r>
    </w:p>
    <w:p w14:paraId="7174212A" w14:textId="00EA21D0" w:rsidR="00B871E8" w:rsidRPr="00CA556D" w:rsidRDefault="00726240" w:rsidP="00B871E8">
      <w:pPr>
        <w:numPr>
          <w:ilvl w:val="0"/>
          <w:numId w:val="2"/>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E</w:t>
      </w:r>
      <w:r w:rsidR="00B871E8">
        <w:rPr>
          <w:rFonts w:ascii="Times New Roman" w:hAnsi="Times New Roman"/>
          <w:noProof/>
          <w:sz w:val="24"/>
        </w:rPr>
        <w:t xml:space="preserve">iner </w:t>
      </w:r>
      <w:r w:rsidR="00B871E8">
        <w:rPr>
          <w:rFonts w:ascii="Times New Roman" w:hAnsi="Times New Roman"/>
          <w:b/>
          <w:noProof/>
          <w:sz w:val="24"/>
        </w:rPr>
        <w:t>effizienten Zollunion</w:t>
      </w:r>
      <w:r w:rsidR="00B871E8">
        <w:rPr>
          <w:rFonts w:ascii="Times New Roman" w:hAnsi="Times New Roman"/>
          <w:noProof/>
          <w:sz w:val="24"/>
        </w:rPr>
        <w:t xml:space="preserve"> mit vereinfachten und modernisierten Zollverfahren, sodass legal handelnde Unternehmen Handelsmöglichkeiten in dem Wissen nutzen können, dass sich auch ihre Konkurrenten an die zahlreichen Vorschriften halten, die unter der Regie des Zolls durchgesetzt werden, unabhängig davon, wo die Waren in die EU gelangen</w:t>
      </w:r>
      <w:r>
        <w:rPr>
          <w:rFonts w:ascii="Times New Roman" w:hAnsi="Times New Roman"/>
          <w:noProof/>
          <w:sz w:val="24"/>
        </w:rPr>
        <w:t>.</w:t>
      </w:r>
    </w:p>
    <w:p w14:paraId="0F294EFB" w14:textId="58D5F7D0" w:rsidR="00B871E8" w:rsidRPr="00CA556D" w:rsidRDefault="00726240" w:rsidP="00B871E8">
      <w:pPr>
        <w:numPr>
          <w:ilvl w:val="0"/>
          <w:numId w:val="2"/>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E</w:t>
      </w:r>
      <w:r w:rsidR="00B871E8">
        <w:rPr>
          <w:rFonts w:ascii="Times New Roman" w:hAnsi="Times New Roman"/>
          <w:noProof/>
          <w:sz w:val="24"/>
        </w:rPr>
        <w:t xml:space="preserve">iner </w:t>
      </w:r>
      <w:r w:rsidR="00B871E8">
        <w:rPr>
          <w:rFonts w:ascii="Times New Roman" w:hAnsi="Times New Roman"/>
          <w:b/>
          <w:noProof/>
          <w:sz w:val="24"/>
        </w:rPr>
        <w:t>geopolitischen Zollunion</w:t>
      </w:r>
      <w:r w:rsidR="00B871E8">
        <w:rPr>
          <w:rFonts w:ascii="Times New Roman" w:hAnsi="Times New Roman"/>
          <w:noProof/>
          <w:sz w:val="24"/>
        </w:rPr>
        <w:t>, die in der Lage ist, die finanziellen Interessen der EU und ihrer Mitgliedstaaten sowie die Interessen und Werte der EU in den Bereichen Sicherheit, Gesundheit, Wirtschaft und Umwelt besser zu schützen, Handelsbeschränkungen zu koordinieren und die internationale Zollzusammenarbeit zu gestalten, indem Kompetenzen und Fachwissen auf zentraler Ebene im Rahmen der EU</w:t>
      </w:r>
      <w:r>
        <w:rPr>
          <w:rFonts w:ascii="Times New Roman" w:hAnsi="Times New Roman"/>
          <w:noProof/>
          <w:sz w:val="24"/>
        </w:rPr>
        <w:noBreakHyphen/>
      </w:r>
      <w:r w:rsidR="00B871E8">
        <w:rPr>
          <w:rFonts w:ascii="Times New Roman" w:hAnsi="Times New Roman"/>
          <w:noProof/>
          <w:sz w:val="24"/>
        </w:rPr>
        <w:t>Zollbehörde gebündelt werde</w:t>
      </w:r>
      <w:r>
        <w:rPr>
          <w:rFonts w:ascii="Times New Roman" w:hAnsi="Times New Roman"/>
          <w:noProof/>
          <w:sz w:val="24"/>
        </w:rPr>
        <w:t>n.</w:t>
      </w:r>
    </w:p>
    <w:p w14:paraId="3EC7BD70" w14:textId="05B5E420" w:rsidR="00B871E8" w:rsidRPr="00CA556D" w:rsidRDefault="00726240" w:rsidP="00B871E8">
      <w:pPr>
        <w:numPr>
          <w:ilvl w:val="0"/>
          <w:numId w:val="2"/>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E</w:t>
      </w:r>
      <w:r w:rsidR="00B871E8">
        <w:rPr>
          <w:rFonts w:ascii="Times New Roman" w:hAnsi="Times New Roman"/>
          <w:noProof/>
          <w:sz w:val="24"/>
        </w:rPr>
        <w:t xml:space="preserve">iner </w:t>
      </w:r>
      <w:r w:rsidR="00B871E8">
        <w:rPr>
          <w:rFonts w:ascii="Times New Roman" w:hAnsi="Times New Roman"/>
          <w:b/>
          <w:noProof/>
          <w:sz w:val="24"/>
        </w:rPr>
        <w:t>agilen und zukunftsfähigen Zollunion</w:t>
      </w:r>
      <w:r w:rsidR="00B871E8">
        <w:rPr>
          <w:rFonts w:ascii="Times New Roman" w:hAnsi="Times New Roman"/>
          <w:noProof/>
          <w:sz w:val="24"/>
        </w:rPr>
        <w:t>, die sich flexibel an die Veränderungen in den Lieferketten – sei es aufgrund des grünen und des digitalen Wandels im laufenden Jahrzehnt oder aufgrund zukünftiger Entwicklungen im Lieferkettenmanagement – anpassen kann. Unterstützt wird dies durch die neue EU-Zolldatenplattform, die so konzipiert ist, dass sie sich – im Gegensatz zu herkömmlichen IT-Systemen, die nur für bestimmte Prozesse und Zwecke entwickelt werden – im Laufe der Zeit neu entstehenden Anforderungen im Zollwesen weiterentwickelt.</w:t>
      </w:r>
    </w:p>
    <w:p w14:paraId="0FBB4BC1" w14:textId="77777777" w:rsidR="00B871E8" w:rsidRPr="00CA556D" w:rsidRDefault="00B871E8" w:rsidP="00B871E8">
      <w:pPr>
        <w:keepNext/>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Kasten </w:t>
      </w:r>
      <w:r w:rsidRPr="0071246C">
        <w:rPr>
          <w:rFonts w:ascii="Times New Roman" w:hAnsi="Times New Roman"/>
          <w:b/>
          <w:noProof/>
          <w:sz w:val="24"/>
          <w:u w:val="single"/>
        </w:rPr>
        <w:t>1</w:t>
      </w:r>
      <w:r>
        <w:rPr>
          <w:rFonts w:ascii="Times New Roman" w:hAnsi="Times New Roman"/>
          <w:b/>
          <w:noProof/>
          <w:sz w:val="24"/>
          <w:u w:val="single"/>
        </w:rPr>
        <w:t>: Die Zollreform in Kürze</w:t>
      </w:r>
    </w:p>
    <w:p w14:paraId="1F55EB54" w14:textId="77777777" w:rsidR="00B871E8" w:rsidRPr="00CA556D" w:rsidRDefault="00B871E8" w:rsidP="00B871E8">
      <w:pPr>
        <w:pBdr>
          <w:top w:val="single" w:sz="4" w:space="1" w:color="auto"/>
          <w:left w:val="single" w:sz="4" w:space="4" w:color="auto"/>
          <w:bottom w:val="single" w:sz="4" w:space="1" w:color="auto"/>
          <w:right w:val="single" w:sz="4" w:space="4" w:color="auto"/>
        </w:pBdr>
        <w:shd w:val="clear" w:color="auto" w:fill="C5E0B3"/>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Mit dieser Reform soll ein kosteneffizienterer und wirksamerer Rahmen für die Zusammenarbeit in der Zollunion geschaffen werden, der auf einer </w:t>
      </w:r>
      <w:r>
        <w:rPr>
          <w:rFonts w:ascii="Times New Roman" w:hAnsi="Times New Roman"/>
          <w:b/>
          <w:noProof/>
          <w:sz w:val="24"/>
        </w:rPr>
        <w:t>neuen Partnerschaft zwischen den EU-Zollbehörden und zwischen Zoll und Wirtschaft</w:t>
      </w:r>
      <w:r>
        <w:rPr>
          <w:rFonts w:ascii="Times New Roman" w:hAnsi="Times New Roman"/>
          <w:noProof/>
          <w:sz w:val="24"/>
        </w:rPr>
        <w:t xml:space="preserve"> beruht und zwei übergeordnete Ziele verfolgt: </w:t>
      </w:r>
    </w:p>
    <w:p w14:paraId="3E31C28B" w14:textId="77777777" w:rsidR="00B871E8" w:rsidRPr="00CA556D" w:rsidRDefault="00B871E8" w:rsidP="00B871E8">
      <w:pPr>
        <w:numPr>
          <w:ilvl w:val="0"/>
          <w:numId w:val="5"/>
        </w:numPr>
        <w:pBdr>
          <w:top w:val="single" w:sz="4" w:space="1" w:color="auto"/>
          <w:left w:val="single" w:sz="4" w:space="4" w:color="auto"/>
          <w:bottom w:val="single" w:sz="4" w:space="1" w:color="auto"/>
          <w:right w:val="single" w:sz="4" w:space="4" w:color="auto"/>
        </w:pBdr>
        <w:shd w:val="clear" w:color="auto" w:fill="C5E0B3"/>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Verringerung der Befolgungskosten</w:t>
      </w:r>
      <w:r>
        <w:rPr>
          <w:rFonts w:ascii="Times New Roman" w:hAnsi="Times New Roman"/>
          <w:noProof/>
          <w:sz w:val="24"/>
        </w:rPr>
        <w:t xml:space="preserve"> für Verwaltungen und Unternehmen durch vereinfachte und modernisierte Verfahren (Kapitel </w:t>
      </w:r>
      <w:r w:rsidRPr="0071246C">
        <w:rPr>
          <w:rFonts w:ascii="Times New Roman" w:hAnsi="Times New Roman"/>
          <w:noProof/>
          <w:sz w:val="24"/>
        </w:rPr>
        <w:t>4</w:t>
      </w:r>
      <w:r>
        <w:rPr>
          <w:rFonts w:ascii="Times New Roman" w:hAnsi="Times New Roman"/>
          <w:noProof/>
          <w:sz w:val="24"/>
        </w:rPr>
        <w:t xml:space="preserve">) </w:t>
      </w:r>
    </w:p>
    <w:p w14:paraId="16011DD9" w14:textId="2DFD5041" w:rsidR="00B871E8" w:rsidRPr="00A023FC" w:rsidRDefault="00B871E8" w:rsidP="00CA556D">
      <w:pPr>
        <w:numPr>
          <w:ilvl w:val="0"/>
          <w:numId w:val="5"/>
        </w:numPr>
        <w:pBdr>
          <w:top w:val="single" w:sz="4" w:space="1" w:color="auto"/>
          <w:left w:val="single" w:sz="4" w:space="4" w:color="auto"/>
          <w:bottom w:val="single" w:sz="4" w:space="1" w:color="auto"/>
          <w:right w:val="single" w:sz="4" w:space="4" w:color="auto"/>
        </w:pBdr>
        <w:shd w:val="clear" w:color="auto" w:fill="C5E0B3"/>
        <w:spacing w:after="240" w:line="240" w:lineRule="auto"/>
        <w:ind w:left="357" w:hanging="357"/>
        <w:jc w:val="both"/>
        <w:rPr>
          <w:rFonts w:ascii="Times New Roman" w:eastAsia="Times New Roman" w:hAnsi="Times New Roman" w:cs="Times New Roman"/>
          <w:noProof/>
          <w:sz w:val="24"/>
          <w:szCs w:val="24"/>
        </w:rPr>
      </w:pPr>
      <w:r>
        <w:rPr>
          <w:rFonts w:ascii="Times New Roman" w:hAnsi="Times New Roman"/>
          <w:noProof/>
          <w:sz w:val="24"/>
        </w:rPr>
        <w:t xml:space="preserve">Befähigung der Zollbehörden in der EU, </w:t>
      </w:r>
      <w:r>
        <w:rPr>
          <w:rFonts w:ascii="Times New Roman" w:hAnsi="Times New Roman"/>
          <w:b/>
          <w:noProof/>
          <w:sz w:val="24"/>
        </w:rPr>
        <w:t>die finanziellen und nichtfinanziellen Interessen der EU und ihrer Mitgliedstaaten sowie den Binnenmarkt</w:t>
      </w:r>
      <w:r>
        <w:rPr>
          <w:rFonts w:ascii="Times New Roman" w:hAnsi="Times New Roman"/>
          <w:noProof/>
          <w:sz w:val="24"/>
        </w:rPr>
        <w:t xml:space="preserve"> auf der Grundlage eines gemeinsamen, EU-weiten Risikomanagements und stärker harmonisierter Kontrollen </w:t>
      </w:r>
      <w:r>
        <w:rPr>
          <w:rFonts w:ascii="Times New Roman" w:hAnsi="Times New Roman"/>
          <w:b/>
          <w:noProof/>
          <w:sz w:val="24"/>
        </w:rPr>
        <w:t>besser zu schützen</w:t>
      </w:r>
      <w:r>
        <w:rPr>
          <w:rFonts w:ascii="Times New Roman" w:hAnsi="Times New Roman"/>
          <w:noProof/>
          <w:sz w:val="24"/>
        </w:rPr>
        <w:t xml:space="preserve"> (Kapitel </w:t>
      </w:r>
      <w:r w:rsidRPr="0071246C">
        <w:rPr>
          <w:rFonts w:ascii="Times New Roman" w:hAnsi="Times New Roman"/>
          <w:noProof/>
          <w:sz w:val="24"/>
        </w:rPr>
        <w:t>5</w:t>
      </w:r>
      <w:r>
        <w:rPr>
          <w:rFonts w:ascii="Times New Roman" w:hAnsi="Times New Roman"/>
          <w:noProof/>
          <w:sz w:val="24"/>
        </w:rPr>
        <w:t>)</w:t>
      </w:r>
    </w:p>
    <w:p w14:paraId="43E2CF05" w14:textId="77777777" w:rsidR="00B871E8" w:rsidRPr="00CA556D" w:rsidRDefault="00B871E8" w:rsidP="00B871E8">
      <w:pPr>
        <w:pBdr>
          <w:top w:val="single" w:sz="4" w:space="1" w:color="auto"/>
          <w:left w:val="single" w:sz="4" w:space="4" w:color="auto"/>
          <w:bottom w:val="single" w:sz="4" w:space="1" w:color="auto"/>
          <w:right w:val="single" w:sz="4" w:space="4" w:color="auto"/>
        </w:pBdr>
        <w:shd w:val="clear" w:color="auto" w:fill="C5E0B3"/>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Diese beiden Ziele sind untrennbar miteinander verbunden: Je mehr die Kontrollmöglichkeiten verstärkt werden, desto stärker können die Verfahren vereinfacht werden. Je stärker Verfahren vereinfacht werden, desto mehr Ressourcen können für die Bekämpfung des illegalen Handels freigesetzt werden. Um dieses Ziel zu erreichen, schlägt die Reform die Schaffung zweier zentraler Elemente vor: der EU-Zollbehörde und der EU-Zolldatenplattform. </w:t>
      </w:r>
    </w:p>
    <w:p w14:paraId="6F2CCDB4" w14:textId="77777777" w:rsidR="00B871E8" w:rsidRPr="00CA556D" w:rsidRDefault="00B871E8" w:rsidP="008B42D0">
      <w:pPr>
        <w:pBdr>
          <w:top w:val="single" w:sz="4" w:space="1" w:color="auto"/>
          <w:left w:val="single" w:sz="4" w:space="4" w:color="auto"/>
          <w:bottom w:val="single" w:sz="4" w:space="1" w:color="auto"/>
          <w:right w:val="single" w:sz="4" w:space="4" w:color="auto"/>
        </w:pBdr>
        <w:shd w:val="clear" w:color="auto" w:fill="C5E0B3"/>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Hauptaufgabe der </w:t>
      </w:r>
      <w:r>
        <w:rPr>
          <w:rFonts w:ascii="Times New Roman" w:hAnsi="Times New Roman"/>
          <w:b/>
          <w:noProof/>
          <w:sz w:val="24"/>
        </w:rPr>
        <w:t>EU-Zollbehörde</w:t>
      </w:r>
      <w:r>
        <w:rPr>
          <w:rFonts w:ascii="Times New Roman" w:hAnsi="Times New Roman"/>
          <w:noProof/>
          <w:sz w:val="24"/>
        </w:rPr>
        <w:t xml:space="preserve"> (siehe auch Kasten </w:t>
      </w:r>
      <w:r w:rsidRPr="0071246C">
        <w:rPr>
          <w:rFonts w:ascii="Times New Roman" w:hAnsi="Times New Roman"/>
          <w:noProof/>
          <w:sz w:val="24"/>
        </w:rPr>
        <w:t>5</w:t>
      </w:r>
      <w:r>
        <w:rPr>
          <w:rFonts w:ascii="Times New Roman" w:hAnsi="Times New Roman"/>
          <w:noProof/>
          <w:sz w:val="24"/>
        </w:rPr>
        <w:t xml:space="preserve">) wird darin bestehen, das </w:t>
      </w:r>
      <w:r>
        <w:rPr>
          <w:rFonts w:ascii="Times New Roman" w:hAnsi="Times New Roman"/>
          <w:b/>
          <w:noProof/>
          <w:sz w:val="24"/>
        </w:rPr>
        <w:t>Fachwissen und die Kompetenzen</w:t>
      </w:r>
      <w:r w:rsidRPr="00496758">
        <w:rPr>
          <w:rFonts w:ascii="Times New Roman" w:hAnsi="Times New Roman"/>
          <w:b/>
          <w:noProof/>
          <w:sz w:val="24"/>
        </w:rPr>
        <w:t xml:space="preserve"> zu bündeln</w:t>
      </w:r>
      <w:r>
        <w:rPr>
          <w:rFonts w:ascii="Times New Roman" w:hAnsi="Times New Roman"/>
          <w:noProof/>
          <w:sz w:val="24"/>
        </w:rPr>
        <w:t xml:space="preserve">, die derzeit in der EU verstreut sind, und die nationalen Zollbehörden in der EU zu steuern, zu koordinieren und zu unterstützen. Dies wird eine verstärkte Überwachung der Lieferkette ermöglichen, wobei die Zollbehörden auf EU- und auf nationaler Ebene bei der Warenkontrolle an den EU-Außengrenzen </w:t>
      </w:r>
      <w:r>
        <w:rPr>
          <w:rFonts w:ascii="Times New Roman" w:hAnsi="Times New Roman"/>
          <w:b/>
          <w:noProof/>
          <w:sz w:val="24"/>
        </w:rPr>
        <w:t>einheitlich handeln</w:t>
      </w:r>
      <w:r>
        <w:rPr>
          <w:rFonts w:ascii="Times New Roman" w:hAnsi="Times New Roman"/>
          <w:noProof/>
          <w:sz w:val="24"/>
        </w:rPr>
        <w:t>.</w:t>
      </w:r>
    </w:p>
    <w:p w14:paraId="24DC58E5" w14:textId="77777777" w:rsidR="00B871E8" w:rsidRPr="00CA556D" w:rsidRDefault="00B871E8" w:rsidP="00B871E8">
      <w:pPr>
        <w:pBdr>
          <w:top w:val="single" w:sz="4" w:space="1" w:color="auto"/>
          <w:left w:val="single" w:sz="4" w:space="4" w:color="auto"/>
          <w:bottom w:val="single" w:sz="4" w:space="1" w:color="auto"/>
          <w:right w:val="single" w:sz="4" w:space="4" w:color="auto"/>
        </w:pBdr>
        <w:shd w:val="clear" w:color="auto" w:fill="C5E0B3"/>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neue </w:t>
      </w:r>
      <w:r>
        <w:rPr>
          <w:rFonts w:ascii="Times New Roman" w:hAnsi="Times New Roman"/>
          <w:b/>
          <w:noProof/>
          <w:sz w:val="24"/>
        </w:rPr>
        <w:t>EU-Zolldatenplattform</w:t>
      </w:r>
      <w:r>
        <w:rPr>
          <w:rFonts w:ascii="Times New Roman" w:hAnsi="Times New Roman"/>
          <w:noProof/>
          <w:sz w:val="24"/>
        </w:rPr>
        <w:t xml:space="preserve"> (siehe auch Kasten </w:t>
      </w:r>
      <w:r w:rsidRPr="0071246C">
        <w:rPr>
          <w:rFonts w:ascii="Times New Roman" w:hAnsi="Times New Roman"/>
          <w:noProof/>
          <w:sz w:val="24"/>
        </w:rPr>
        <w:t>3</w:t>
      </w:r>
      <w:r>
        <w:rPr>
          <w:rFonts w:ascii="Times New Roman" w:hAnsi="Times New Roman"/>
          <w:noProof/>
          <w:sz w:val="24"/>
        </w:rPr>
        <w:t>) wird Aushängeschild und Motor der Zollunion sein und ist eine Voraussetzung für die stärkere Überwachung und Vereinfachung der Verfahren. Sie soll im Laufe der Zeit die bestehende IT-Infrastruktur für den Zoll integrieren und ersetzen und gleichzeitig die Interoperabilität mit verwandten Politikbereichen verbessern (siehe auch Kapitel </w:t>
      </w:r>
      <w:r w:rsidRPr="0071246C">
        <w:rPr>
          <w:rFonts w:ascii="Times New Roman" w:hAnsi="Times New Roman"/>
          <w:noProof/>
          <w:sz w:val="24"/>
        </w:rPr>
        <w:t>6</w:t>
      </w:r>
      <w:r>
        <w:rPr>
          <w:rFonts w:ascii="Times New Roman" w:hAnsi="Times New Roman"/>
          <w:noProof/>
          <w:sz w:val="24"/>
        </w:rPr>
        <w:t xml:space="preserve">). Dadurch werden die EU und ihre Mitgliedstaaten </w:t>
      </w:r>
      <w:r>
        <w:rPr>
          <w:rFonts w:ascii="Times New Roman" w:hAnsi="Times New Roman"/>
          <w:b/>
          <w:noProof/>
          <w:sz w:val="24"/>
        </w:rPr>
        <w:t>jährlich Milliarden an IT-Entwicklungs- und Betriebskosten einsparen</w:t>
      </w:r>
      <w:r>
        <w:rPr>
          <w:rFonts w:ascii="Times New Roman" w:hAnsi="Times New Roman"/>
          <w:noProof/>
          <w:sz w:val="24"/>
        </w:rPr>
        <w:t>.</w:t>
      </w:r>
      <w:r>
        <w:rPr>
          <w:rFonts w:ascii="Times New Roman" w:eastAsia="Times New Roman" w:hAnsi="Times New Roman" w:cs="Times New Roman"/>
          <w:noProof/>
          <w:sz w:val="24"/>
          <w:szCs w:val="24"/>
          <w:vertAlign w:val="superscript"/>
          <w:lang w:val="en-IE" w:eastAsia="en-IE"/>
        </w:rPr>
        <w:footnoteReference w:id="25"/>
      </w:r>
    </w:p>
    <w:p w14:paraId="344B0F40" w14:textId="77777777" w:rsidR="00B871E8" w:rsidRPr="00CA556D" w:rsidRDefault="00B871E8" w:rsidP="00B871E8">
      <w:pPr>
        <w:pBdr>
          <w:top w:val="single" w:sz="4" w:space="1" w:color="auto"/>
          <w:left w:val="single" w:sz="4" w:space="4" w:color="auto"/>
          <w:bottom w:val="single" w:sz="4" w:space="1" w:color="auto"/>
          <w:right w:val="single" w:sz="4" w:space="4" w:color="auto"/>
        </w:pBdr>
        <w:shd w:val="clear" w:color="auto" w:fill="C5E0B3"/>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Dank der vereinfachten Verfahren werden sich die Kosten der Wirtschaftsbeteiligten für die Einhaltung der Vorschriften um rund </w:t>
      </w:r>
      <w:r w:rsidRPr="0071246C">
        <w:rPr>
          <w:rFonts w:ascii="Times New Roman" w:hAnsi="Times New Roman"/>
          <w:b/>
          <w:noProof/>
          <w:sz w:val="24"/>
        </w:rPr>
        <w:t>2</w:t>
      </w:r>
      <w:r>
        <w:rPr>
          <w:rFonts w:ascii="Times New Roman" w:hAnsi="Times New Roman"/>
          <w:b/>
          <w:noProof/>
          <w:sz w:val="24"/>
        </w:rPr>
        <w:t>,</w:t>
      </w:r>
      <w:r w:rsidRPr="0071246C">
        <w:rPr>
          <w:rFonts w:ascii="Times New Roman" w:hAnsi="Times New Roman"/>
          <w:b/>
          <w:noProof/>
          <w:sz w:val="24"/>
        </w:rPr>
        <w:t>7</w:t>
      </w:r>
      <w:r>
        <w:rPr>
          <w:rFonts w:ascii="Times New Roman" w:hAnsi="Times New Roman"/>
          <w:b/>
          <w:noProof/>
          <w:sz w:val="24"/>
        </w:rPr>
        <w:t xml:space="preserve"> Mrd. EUR pro Jahr verringern. </w:t>
      </w:r>
      <w:r>
        <w:rPr>
          <w:rFonts w:ascii="Times New Roman" w:hAnsi="Times New Roman"/>
          <w:noProof/>
          <w:sz w:val="24"/>
        </w:rPr>
        <w:t xml:space="preserve">Darüber hinaus wird die Reform durch die Eindämmung des Steuer- und Zollbetrugs sowie des Betrugs durch Unterbewertung mehrere Milliarden Euro an zusätzlichen öffentlichen Einnahmen in der EU sicherstellen. Auch wird erwartet, dass die maßgeschneiderte Regelung für den elektronischen Handel zusätzliche Einnahmen in Höhe von schätzungsweise </w:t>
      </w:r>
      <w:r w:rsidRPr="0071246C">
        <w:rPr>
          <w:rFonts w:ascii="Times New Roman" w:hAnsi="Times New Roman"/>
          <w:noProof/>
          <w:sz w:val="24"/>
        </w:rPr>
        <w:t>1</w:t>
      </w:r>
      <w:r>
        <w:rPr>
          <w:rFonts w:ascii="Times New Roman" w:hAnsi="Times New Roman"/>
          <w:noProof/>
          <w:sz w:val="24"/>
        </w:rPr>
        <w:t> Mrd. EUR pro Jahr generieren wird.</w:t>
      </w:r>
    </w:p>
    <w:p w14:paraId="3E94DDB8" w14:textId="77777777" w:rsidR="00B871E8" w:rsidRPr="00CA556D" w:rsidRDefault="00CA556D" w:rsidP="00FD3085">
      <w:pPr>
        <w:pStyle w:val="Heading1"/>
        <w:rPr>
          <w:noProof/>
        </w:rPr>
      </w:pPr>
      <w:bookmarkStart w:id="7" w:name="_Toc129620911"/>
      <w:bookmarkStart w:id="8" w:name="_Toc129960269"/>
      <w:bookmarkEnd w:id="7"/>
      <w:r w:rsidRPr="0071246C">
        <w:rPr>
          <w:noProof/>
        </w:rPr>
        <w:t>4</w:t>
      </w:r>
      <w:r>
        <w:rPr>
          <w:noProof/>
        </w:rPr>
        <w:t xml:space="preserve">. </w:t>
      </w:r>
      <w:bookmarkStart w:id="9" w:name="_Toc126687447"/>
      <w:bookmarkStart w:id="10" w:name="_Toc126948380"/>
      <w:bookmarkStart w:id="11" w:name="_Toc129165629"/>
      <w:bookmarkStart w:id="12" w:name="_Toc129686582"/>
      <w:r>
        <w:rPr>
          <w:noProof/>
        </w:rPr>
        <w:t>Vereinfachte Zollverfahren – eine neue Partnerschaft zwischen dem Zollwesen und den Unternehmen</w:t>
      </w:r>
      <w:bookmarkEnd w:id="8"/>
      <w:bookmarkEnd w:id="9"/>
      <w:bookmarkEnd w:id="10"/>
      <w:bookmarkEnd w:id="11"/>
      <w:bookmarkEnd w:id="12"/>
    </w:p>
    <w:p w14:paraId="700AC304" w14:textId="6924FE4E" w:rsidR="00B871E8" w:rsidRPr="00CA556D" w:rsidRDefault="00B871E8" w:rsidP="00295F9D">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Die Reform umfasst drei Ebenen von Vereinfachungen:</w:t>
      </w:r>
      <w:r>
        <w:rPr>
          <w:rFonts w:ascii="Times New Roman" w:hAnsi="Times New Roman"/>
          <w:noProof/>
          <w:sz w:val="24"/>
        </w:rPr>
        <w:t xml:space="preserve"> Eine erste Reihe von Maßnahmen wird die Formalitäten für alle Wirtschaftsbeteiligten reduzieren, ohne dabei die Kontrollmöglichkeiten des Zolls einzuschränken. Eine zweite Reihe von Vereinfachungen, die nur für eine ausgewählte Gruppe von vertrauenswürdigen Wirtschaftsbeteiligten („Trust &amp; Check“) vorgesehen ist, baut auf dem bestehenden Konzept des </w:t>
      </w:r>
      <w:r>
        <w:rPr>
          <w:rFonts w:ascii="Times New Roman" w:hAnsi="Times New Roman"/>
          <w:i/>
          <w:noProof/>
          <w:sz w:val="24"/>
        </w:rPr>
        <w:t>zugelassenen Wirtschaftsbeteiligten (Authorised Economic Operator, AEO)</w:t>
      </w:r>
      <w:r>
        <w:rPr>
          <w:rFonts w:ascii="Times New Roman" w:hAnsi="Times New Roman"/>
          <w:noProof/>
          <w:sz w:val="24"/>
        </w:rPr>
        <w:t xml:space="preserve"> auf, das dadurch gestärkt wird.</w:t>
      </w:r>
      <w:r>
        <w:rPr>
          <w:rFonts w:ascii="Times New Roman" w:eastAsia="Times New Roman" w:hAnsi="Times New Roman" w:cs="Times New Roman"/>
          <w:noProof/>
          <w:sz w:val="24"/>
          <w:szCs w:val="20"/>
          <w:vertAlign w:val="superscript"/>
          <w:lang w:val="en-IE" w:eastAsia="en-IE"/>
        </w:rPr>
        <w:footnoteReference w:id="26"/>
      </w:r>
      <w:r>
        <w:rPr>
          <w:rFonts w:ascii="Times New Roman" w:hAnsi="Times New Roman"/>
          <w:noProof/>
          <w:sz w:val="24"/>
        </w:rPr>
        <w:t xml:space="preserve"> </w:t>
      </w:r>
      <w:r w:rsidR="00726240">
        <w:rPr>
          <w:rFonts w:ascii="Times New Roman" w:hAnsi="Times New Roman"/>
          <w:noProof/>
          <w:sz w:val="24"/>
        </w:rPr>
        <w:t>Drittens</w:t>
      </w:r>
      <w:r>
        <w:rPr>
          <w:rFonts w:ascii="Times New Roman" w:hAnsi="Times New Roman"/>
          <w:noProof/>
          <w:sz w:val="24"/>
        </w:rPr>
        <w:t xml:space="preserve"> sieht die Reform eine maßgeschneiderte Zollregelung für den elektronischen Handel vor, um die mit der Abwicklung des elektronischen Handels verbundenen Befolgungskosten zu reduzieren und vollkommene Transparenz für die Verbraucher/innen zu schaffen. Oberstes Leitprinzip dieser Reform ist die Transparenz: Je mehr Transparenz die Wirtschaftsbeteiligten in Bezug auf ihre Lieferketten bieten, desto weniger muss vor Ort eingegriffen werden. Dies stellt eine grundlegende Neuerung in den Beziehungen zwischen Zoll und Unternehmen dar, die unnötigen Verwaltungsaufwand abbaut und gleichzeitig die Möglichkeiten des Risikomanagements stärkt. </w:t>
      </w:r>
    </w:p>
    <w:p w14:paraId="67E87539" w14:textId="77777777" w:rsidR="00B871E8" w:rsidRPr="00CA556D" w:rsidRDefault="00B871E8" w:rsidP="00B871E8">
      <w:pPr>
        <w:keepNext/>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Kasten </w:t>
      </w:r>
      <w:r w:rsidRPr="0071246C">
        <w:rPr>
          <w:rFonts w:ascii="Times New Roman" w:hAnsi="Times New Roman"/>
          <w:b/>
          <w:noProof/>
          <w:sz w:val="24"/>
          <w:u w:val="single"/>
        </w:rPr>
        <w:t>2</w:t>
      </w:r>
      <w:r>
        <w:rPr>
          <w:rFonts w:ascii="Times New Roman" w:hAnsi="Times New Roman"/>
          <w:b/>
          <w:noProof/>
          <w:sz w:val="24"/>
          <w:u w:val="single"/>
        </w:rPr>
        <w:t>: Erhebliche Vereinfachungen für Unternehmen und Behörden</w:t>
      </w:r>
    </w:p>
    <w:p w14:paraId="5BE606D0" w14:textId="77777777" w:rsidR="00B871E8" w:rsidRPr="00CA556D" w:rsidRDefault="008B42D0" w:rsidP="00B871E8">
      <w:pPr>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Die Reform beinhaltet folgende wichtige Vereinfachungen: </w:t>
      </w:r>
    </w:p>
    <w:p w14:paraId="22A0441D" w14:textId="7841920D" w:rsidR="00E67F4A" w:rsidRPr="00CA556D" w:rsidRDefault="00E67F4A" w:rsidP="00E67F4A">
      <w:pPr>
        <w:numPr>
          <w:ilvl w:val="0"/>
          <w:numId w:val="1"/>
        </w:numPr>
        <w:pBdr>
          <w:top w:val="single" w:sz="4" w:space="1" w:color="auto"/>
          <w:left w:val="single" w:sz="4" w:space="4" w:color="auto"/>
          <w:bottom w:val="single" w:sz="4" w:space="1" w:color="auto"/>
          <w:right w:val="single" w:sz="4" w:space="4" w:color="auto"/>
        </w:pBdr>
        <w:shd w:val="clear" w:color="auto" w:fill="C5E0B3"/>
        <w:spacing w:after="0" w:line="240" w:lineRule="auto"/>
        <w:ind w:left="357" w:hanging="357"/>
        <w:jc w:val="both"/>
        <w:rPr>
          <w:rFonts w:ascii="Times New Roman" w:eastAsia="Times New Roman" w:hAnsi="Times New Roman" w:cs="Times New Roman"/>
          <w:noProof/>
          <w:sz w:val="24"/>
          <w:szCs w:val="24"/>
        </w:rPr>
      </w:pPr>
      <w:r>
        <w:rPr>
          <w:rFonts w:ascii="Times New Roman" w:hAnsi="Times New Roman"/>
          <w:b/>
          <w:noProof/>
          <w:sz w:val="24"/>
          <w:u w:val="single"/>
        </w:rPr>
        <w:t>Zentrale EU-Schnittstelle.</w:t>
      </w:r>
      <w:r>
        <w:rPr>
          <w:rFonts w:ascii="Times New Roman" w:hAnsi="Times New Roman"/>
          <w:b/>
          <w:noProof/>
          <w:sz w:val="24"/>
        </w:rPr>
        <w:t xml:space="preserve"> Zolldaten müssen statt über die zahlreichen Schnittstellen der </w:t>
      </w:r>
      <w:r w:rsidRPr="0071246C">
        <w:rPr>
          <w:rFonts w:ascii="Times New Roman" w:hAnsi="Times New Roman"/>
          <w:b/>
          <w:noProof/>
          <w:sz w:val="24"/>
        </w:rPr>
        <w:t>111</w:t>
      </w:r>
      <w:r>
        <w:rPr>
          <w:rFonts w:ascii="Times New Roman" w:hAnsi="Times New Roman"/>
          <w:b/>
          <w:noProof/>
          <w:sz w:val="24"/>
        </w:rPr>
        <w:t> separaten Systeme, die es heute in der EU gibt, nur noch über die EU</w:t>
      </w:r>
      <w:r w:rsidR="00726240">
        <w:rPr>
          <w:rFonts w:ascii="Times New Roman" w:hAnsi="Times New Roman"/>
          <w:b/>
          <w:noProof/>
          <w:sz w:val="24"/>
        </w:rPr>
        <w:noBreakHyphen/>
      </w:r>
      <w:r>
        <w:rPr>
          <w:rFonts w:ascii="Times New Roman" w:hAnsi="Times New Roman"/>
          <w:b/>
          <w:noProof/>
          <w:sz w:val="24"/>
        </w:rPr>
        <w:t>Zolldatenplattform übermittelt werden.</w:t>
      </w:r>
      <w:r>
        <w:rPr>
          <w:rFonts w:ascii="Times New Roman" w:hAnsi="Times New Roman"/>
          <w:noProof/>
          <w:sz w:val="24"/>
        </w:rPr>
        <w:t xml:space="preserve"> Da die Informationen aus stabilen Lieferkettendaten gewonnen werden, müssen die Unterlagen nur einmal für mehrere Sendungen eingereicht werden. Die Verpflichtung zur Abgabe von Standardanmeldungen wird aufgehoben und durch die Verpflichtung der betreffenden Akteure ersetzt, die entsprechenden Informationen rechtzeitig zur Verfügung zu stellen. Auf diese Weise könnten konforme Waren bewegt werden, ohne dass die Zollbehörden tätig werden müssen.</w:t>
      </w:r>
      <w:r>
        <w:rPr>
          <w:rStyle w:val="FootnoteReference"/>
          <w:rFonts w:ascii="Times New Roman" w:eastAsia="Times New Roman" w:hAnsi="Times New Roman" w:cs="Times New Roman"/>
          <w:noProof/>
          <w:sz w:val="24"/>
          <w:szCs w:val="24"/>
          <w:lang w:val="en-IE" w:eastAsia="en-IE"/>
        </w:rPr>
        <w:footnoteReference w:id="27"/>
      </w:r>
      <w:r>
        <w:rPr>
          <w:rFonts w:ascii="Times New Roman" w:hAnsi="Times New Roman"/>
          <w:noProof/>
          <w:sz w:val="24"/>
        </w:rPr>
        <w:t xml:space="preserve"> </w:t>
      </w:r>
    </w:p>
    <w:p w14:paraId="7961CB3F" w14:textId="24BA1A29" w:rsidR="00B871E8" w:rsidRPr="001F3142" w:rsidRDefault="00B871E8" w:rsidP="008B42D0">
      <w:pPr>
        <w:numPr>
          <w:ilvl w:val="0"/>
          <w:numId w:val="1"/>
        </w:numPr>
        <w:pBdr>
          <w:top w:val="single" w:sz="4" w:space="1" w:color="auto"/>
          <w:left w:val="single" w:sz="4" w:space="4" w:color="auto"/>
          <w:bottom w:val="single" w:sz="4" w:space="1" w:color="auto"/>
          <w:right w:val="single" w:sz="4" w:space="4" w:color="auto"/>
        </w:pBdr>
        <w:shd w:val="clear" w:color="auto" w:fill="C5E0B3"/>
        <w:spacing w:after="0" w:line="240" w:lineRule="auto"/>
        <w:ind w:left="357" w:hanging="357"/>
        <w:jc w:val="both"/>
        <w:rPr>
          <w:rFonts w:ascii="Times New Roman" w:eastAsia="Times New Roman" w:hAnsi="Times New Roman" w:cs="Times New Roman"/>
          <w:noProof/>
          <w:sz w:val="24"/>
          <w:szCs w:val="24"/>
        </w:rPr>
      </w:pPr>
      <w:r>
        <w:rPr>
          <w:rFonts w:ascii="Times New Roman" w:hAnsi="Times New Roman"/>
          <w:b/>
          <w:noProof/>
          <w:sz w:val="24"/>
          <w:u w:val="single"/>
        </w:rPr>
        <w:t>Einzige Anlaufstelle in Zollfragen.</w:t>
      </w:r>
      <w:r>
        <w:rPr>
          <w:rFonts w:ascii="Times New Roman" w:hAnsi="Times New Roman"/>
          <w:b/>
          <w:noProof/>
          <w:sz w:val="24"/>
        </w:rPr>
        <w:t xml:space="preserve"> „Trust &amp; Check“-Wirtschaftsbeteiligte werden bei ihrer Tätigkeit in der gesamten EU mit einer </w:t>
      </w:r>
      <w:r>
        <w:rPr>
          <w:rFonts w:ascii="Times New Roman" w:hAnsi="Times New Roman"/>
          <w:b/>
          <w:i/>
          <w:iCs/>
          <w:noProof/>
          <w:sz w:val="24"/>
        </w:rPr>
        <w:t>einzigen</w:t>
      </w:r>
      <w:r>
        <w:rPr>
          <w:rFonts w:ascii="Times New Roman" w:hAnsi="Times New Roman"/>
          <w:b/>
          <w:noProof/>
          <w:sz w:val="24"/>
        </w:rPr>
        <w:t xml:space="preserve"> Zollverwaltungsstelle als Partner zusammenarbeiten. </w:t>
      </w:r>
      <w:r>
        <w:rPr>
          <w:rFonts w:ascii="Times New Roman" w:hAnsi="Times New Roman"/>
          <w:noProof/>
          <w:sz w:val="24"/>
        </w:rPr>
        <w:t xml:space="preserve">Anstatt sich mit bis zu </w:t>
      </w:r>
      <w:r w:rsidRPr="0071246C">
        <w:rPr>
          <w:rFonts w:ascii="Times New Roman" w:hAnsi="Times New Roman"/>
          <w:noProof/>
          <w:sz w:val="24"/>
        </w:rPr>
        <w:t>27</w:t>
      </w:r>
      <w:r>
        <w:rPr>
          <w:rFonts w:ascii="Times New Roman" w:hAnsi="Times New Roman"/>
          <w:noProof/>
          <w:sz w:val="24"/>
        </w:rPr>
        <w:t> nationalen Zollverwaltungen mit unterschiedlichen Praktiken befassen zu müssen, tauschen sich die Wirtschaftsbeteiligten mit einer Zollverwaltung am Ort ihrer Niederlassung aus, was durch die EU</w:t>
      </w:r>
      <w:r w:rsidR="00726240">
        <w:rPr>
          <w:rFonts w:ascii="Times New Roman" w:hAnsi="Times New Roman"/>
          <w:noProof/>
          <w:sz w:val="24"/>
        </w:rPr>
        <w:noBreakHyphen/>
      </w:r>
      <w:r>
        <w:rPr>
          <w:rFonts w:ascii="Times New Roman" w:hAnsi="Times New Roman"/>
          <w:noProof/>
          <w:sz w:val="24"/>
        </w:rPr>
        <w:t>Zolldatenplattform unterstützt wird. Dieser Ansatz kann nach einer eingehenden Überprüfung im Jahr </w:t>
      </w:r>
      <w:r w:rsidRPr="0071246C">
        <w:rPr>
          <w:rFonts w:ascii="Times New Roman" w:hAnsi="Times New Roman"/>
          <w:noProof/>
          <w:sz w:val="24"/>
        </w:rPr>
        <w:t>2035</w:t>
      </w:r>
      <w:r>
        <w:rPr>
          <w:rFonts w:ascii="Times New Roman" w:hAnsi="Times New Roman"/>
          <w:noProof/>
          <w:sz w:val="24"/>
        </w:rPr>
        <w:t xml:space="preserve"> auf alle Wirtschaftsbeteiligten ausgeweitet werden. </w:t>
      </w:r>
    </w:p>
    <w:p w14:paraId="37BF315D" w14:textId="77777777" w:rsidR="00B871E8" w:rsidRPr="00CA556D" w:rsidRDefault="00B871E8" w:rsidP="00F05AAB">
      <w:pPr>
        <w:numPr>
          <w:ilvl w:val="0"/>
          <w:numId w:val="1"/>
        </w:numPr>
        <w:pBdr>
          <w:top w:val="single" w:sz="4" w:space="1" w:color="auto"/>
          <w:left w:val="single" w:sz="4" w:space="4" w:color="auto"/>
          <w:bottom w:val="single" w:sz="4" w:space="1" w:color="auto"/>
          <w:right w:val="single" w:sz="4" w:space="4" w:color="auto"/>
        </w:pBdr>
        <w:shd w:val="clear" w:color="auto" w:fill="C5E0B3"/>
        <w:spacing w:after="12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u w:val="single"/>
        </w:rPr>
        <w:t>Einfachere und transparentere Einfuhrprozesse im elektronischen Handel</w:t>
      </w:r>
      <w:r>
        <w:rPr>
          <w:rFonts w:ascii="Times New Roman" w:hAnsi="Times New Roman"/>
          <w:b/>
          <w:noProof/>
          <w:sz w:val="24"/>
        </w:rPr>
        <w:t>.</w:t>
      </w:r>
      <w:r>
        <w:rPr>
          <w:rFonts w:ascii="Times New Roman" w:hAnsi="Times New Roman"/>
          <w:noProof/>
          <w:sz w:val="24"/>
        </w:rPr>
        <w:t xml:space="preserve"> Künftig gelten Plattformen als Einführer der von ihnen verkauften Waren, die ihre Verkäufe dem Zoll melden müssen. Dies gewährleistet vollständige Transparenz für die EU-Bürger/innen, die nicht mehr Gefahr laufen, seitens der Betreiber von Post- oder Kurierdiensten mit unerwarteten Gebühren für die Erfüllung der Vorschriften konfrontiert zu werden. </w:t>
      </w:r>
    </w:p>
    <w:p w14:paraId="3CD591D4" w14:textId="77777777" w:rsidR="00B871E8" w:rsidRPr="00CA556D" w:rsidRDefault="00B871E8" w:rsidP="00CA556D">
      <w:pPr>
        <w:numPr>
          <w:ilvl w:val="0"/>
          <w:numId w:val="1"/>
        </w:numPr>
        <w:pBdr>
          <w:top w:val="single" w:sz="4" w:space="1" w:color="auto"/>
          <w:left w:val="single" w:sz="4" w:space="4" w:color="auto"/>
          <w:bottom w:val="single" w:sz="4" w:space="1" w:color="auto"/>
          <w:right w:val="single" w:sz="4" w:space="4" w:color="auto"/>
        </w:pBdr>
        <w:shd w:val="clear" w:color="auto" w:fill="C5E0B3"/>
        <w:spacing w:after="120" w:line="240" w:lineRule="auto"/>
        <w:ind w:left="357" w:hanging="357"/>
        <w:jc w:val="both"/>
        <w:rPr>
          <w:rFonts w:ascii="Times New Roman" w:eastAsia="Times New Roman" w:hAnsi="Times New Roman" w:cs="Times New Roman"/>
          <w:noProof/>
          <w:sz w:val="24"/>
          <w:szCs w:val="24"/>
        </w:rPr>
      </w:pPr>
      <w:r>
        <w:rPr>
          <w:rFonts w:ascii="Times New Roman" w:hAnsi="Times New Roman"/>
          <w:b/>
          <w:noProof/>
          <w:sz w:val="24"/>
          <w:u w:val="single"/>
        </w:rPr>
        <w:t>Ein vereinfachtes System mit vier Gruppen von Warenkategorien zur Berechnung der Zölle für Waren von geringem Wert</w:t>
      </w:r>
      <w:r>
        <w:rPr>
          <w:rFonts w:ascii="Times New Roman" w:hAnsi="Times New Roman"/>
          <w:b/>
          <w:noProof/>
          <w:sz w:val="24"/>
        </w:rPr>
        <w:t xml:space="preserve">. </w:t>
      </w:r>
      <w:r>
        <w:rPr>
          <w:rFonts w:ascii="Times New Roman" w:hAnsi="Times New Roman"/>
          <w:noProof/>
          <w:sz w:val="24"/>
        </w:rPr>
        <w:t xml:space="preserve">Mit der Reform wird ein neues System für Sendungen von geringem Wert eingeführt, das die Einreihung und Bewertung von Waren von geringem Wert erheblich vereinfacht, ohne Schlupflöcher für Betrug zu schaffen. Dadurch kann die Zollbefreiung für Waren im Wert von bis zu </w:t>
      </w:r>
      <w:r w:rsidRPr="0071246C">
        <w:rPr>
          <w:rFonts w:ascii="Times New Roman" w:hAnsi="Times New Roman"/>
          <w:noProof/>
          <w:sz w:val="24"/>
        </w:rPr>
        <w:t>150</w:t>
      </w:r>
      <w:r>
        <w:rPr>
          <w:rFonts w:ascii="Times New Roman" w:hAnsi="Times New Roman"/>
          <w:noProof/>
          <w:sz w:val="24"/>
        </w:rPr>
        <w:t> EUR abgeschafft werden, die derzeit eine Quelle von Zoll- und Mehrwertsteuerbetrug ist.</w:t>
      </w:r>
    </w:p>
    <w:p w14:paraId="68485212" w14:textId="61564D86"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Die Arbeitsabläufe beim Zoll spiegeln die komplexe Realität des internationalen Handels wider, an der eine Vielzahl von Akteuren wie Lieferer, Händler, Spediteure und Dienstleister beteiligt ist. Derzeit werden für jede Warensendung, ungeachtet ihrer Größe, mittels mehrfacher Anmeldungen in verschiedenen Stadien Informationen erhoben, nämlich vor der Ein- oder Ausfuhr, bei der Ankunft, zur vorübergehenden Verwahrung und zur Überführung der Ware in ein Zollverfahren. Die Anmelder müssen mit bis zu </w:t>
      </w:r>
      <w:r w:rsidRPr="0071246C">
        <w:rPr>
          <w:rFonts w:ascii="Times New Roman" w:hAnsi="Times New Roman"/>
          <w:noProof/>
          <w:sz w:val="24"/>
        </w:rPr>
        <w:t>27</w:t>
      </w:r>
      <w:r>
        <w:rPr>
          <w:rFonts w:ascii="Times New Roman" w:hAnsi="Times New Roman"/>
          <w:noProof/>
          <w:sz w:val="24"/>
        </w:rPr>
        <w:t> unterschiedlichen nationalen IT</w:t>
      </w:r>
      <w:r w:rsidR="00726240">
        <w:rPr>
          <w:rFonts w:ascii="Times New Roman" w:hAnsi="Times New Roman"/>
          <w:noProof/>
          <w:sz w:val="24"/>
        </w:rPr>
        <w:noBreakHyphen/>
      </w:r>
      <w:r>
        <w:rPr>
          <w:rFonts w:ascii="Times New Roman" w:hAnsi="Times New Roman"/>
          <w:noProof/>
          <w:sz w:val="24"/>
        </w:rPr>
        <w:t xml:space="preserve">Umgebungen vertraut sein. Je nach Art der Waren müssen sie gegebenenfalls auch Belege über den Ursprung oder die Herstellung von Waren vorlegen, bei deren Herstellung beispielsweise die Gefahr besteht, dass gegen die EU-Rechtsvorschriften über Verbote und Beschränkungen verstoßen wird (z. B. der Bekämpfung von Entwaldung dienende Geolokalisierung oder Informationen über Hersteller, die wegen Zwangsarbeit verurteilt wurden). Die Formalitäten und verschiedenen Verfahren bringen Verwaltungsaufwand mit sich und verursachen Kosten für die Unternehmen. </w:t>
      </w:r>
    </w:p>
    <w:p w14:paraId="3981777F" w14:textId="0AF9A4BC"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Gleichzeitig können die Zollbehörden die Vorschriften nur dann durchsetzen, wenn sie im Voraus wissen, welche Waren abgehen oder eintreffen, </w:t>
      </w:r>
      <w:r w:rsidR="00726240">
        <w:rPr>
          <w:rFonts w:ascii="Times New Roman" w:hAnsi="Times New Roman"/>
          <w:noProof/>
          <w:sz w:val="24"/>
        </w:rPr>
        <w:t>um</w:t>
      </w:r>
      <w:r>
        <w:rPr>
          <w:rFonts w:ascii="Times New Roman" w:hAnsi="Times New Roman"/>
          <w:noProof/>
          <w:sz w:val="24"/>
        </w:rPr>
        <w:t xml:space="preserve"> dann </w:t>
      </w:r>
      <w:r w:rsidR="00726240">
        <w:rPr>
          <w:rFonts w:ascii="Times New Roman" w:hAnsi="Times New Roman"/>
          <w:noProof/>
          <w:sz w:val="24"/>
        </w:rPr>
        <w:t xml:space="preserve">zu </w:t>
      </w:r>
      <w:r>
        <w:rPr>
          <w:rFonts w:ascii="Times New Roman" w:hAnsi="Times New Roman"/>
          <w:noProof/>
          <w:sz w:val="24"/>
        </w:rPr>
        <w:t>entscheiden, ob und wo Eingriffe und Kontrollen erforderlich sind. Im Idealfall wären die Verfahren für konforme Handelsströme daher einfach, zugänglich und vollständig automatisiert. Die Zollbehörden wären dann in der Lage, ihre Ressourcen darauf zu konzentrieren, Risiken genauer in den Blick zu nehmen und Kontrollen auf möglichst wenig störende Weise durchzuführen. Um dies zu erreichen, muss sich der Fokus der Zollbehörden wegbewegen von der Einhaltung der Verfahren für einzelne Sendungen hin zur Bewältigung von Problemen und Risiken, die ganze Lieferketten betreffen, und zwar unter Zuhilfenahme der ihnen zur Verfügung stehenden Informationen. Die vorliegende Zollreform wird daher die Fähigkeit des Zolls stärken, Lieferketten zu überwachen und nur einzugreifen, wenn es notwendig ist (siehe auch Kapitel </w:t>
      </w:r>
      <w:r w:rsidRPr="0071246C">
        <w:rPr>
          <w:rFonts w:ascii="Times New Roman" w:hAnsi="Times New Roman"/>
          <w:noProof/>
          <w:sz w:val="24"/>
        </w:rPr>
        <w:t>5</w:t>
      </w:r>
      <w:r>
        <w:rPr>
          <w:rFonts w:ascii="Times New Roman" w:hAnsi="Times New Roman"/>
          <w:noProof/>
          <w:sz w:val="24"/>
        </w:rPr>
        <w:t>). Die Interoperabilität mit anderen einschlägigen Datenbanken, wie beispielsweise die Vernetzung des Systems für den Austausch von Bescheinigungen im Rahmen des EU-Single-Windows für den Zoll und des Registers für digitale Produktpässe</w:t>
      </w:r>
      <w:r>
        <w:rPr>
          <w:rStyle w:val="FootnoteReference"/>
          <w:rFonts w:ascii="Times New Roman" w:eastAsia="Times New Roman" w:hAnsi="Times New Roman" w:cs="Times New Roman"/>
          <w:bCs/>
          <w:noProof/>
          <w:sz w:val="24"/>
          <w:szCs w:val="24"/>
          <w:lang w:val="en-IE" w:eastAsia="en-IE"/>
        </w:rPr>
        <w:footnoteReference w:id="28"/>
      </w:r>
      <w:r>
        <w:rPr>
          <w:rFonts w:ascii="Times New Roman" w:hAnsi="Times New Roman"/>
          <w:noProof/>
          <w:sz w:val="24"/>
        </w:rPr>
        <w:t>, wird durch die Bereitstellung standardisierter Informationen in elektronischer Form entscheidend dazu beitragen, zollrechtliche Überprüfungen und Kontrollen zur Durchsetzung der Regelungen zu erleichtern.</w:t>
      </w:r>
    </w:p>
    <w:p w14:paraId="36D21FC0" w14:textId="77777777" w:rsidR="00B871E8" w:rsidRPr="00CA556D" w:rsidRDefault="00B871E8" w:rsidP="00B871E8">
      <w:pPr>
        <w:keepNext/>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Kasten </w:t>
      </w:r>
      <w:r w:rsidRPr="0071246C">
        <w:rPr>
          <w:rFonts w:ascii="Times New Roman" w:hAnsi="Times New Roman"/>
          <w:b/>
          <w:noProof/>
          <w:sz w:val="24"/>
          <w:u w:val="single"/>
        </w:rPr>
        <w:t>3</w:t>
      </w:r>
      <w:r>
        <w:rPr>
          <w:rFonts w:ascii="Times New Roman" w:hAnsi="Times New Roman"/>
          <w:b/>
          <w:noProof/>
          <w:sz w:val="24"/>
          <w:u w:val="single"/>
        </w:rPr>
        <w:t>: Die EU-Zolldatenplattform – Erschließung der industriellen Datenrevolution</w:t>
      </w:r>
    </w:p>
    <w:p w14:paraId="3618CFB5" w14:textId="77777777" w:rsidR="00B871E8" w:rsidRPr="00CA556D" w:rsidRDefault="00B871E8" w:rsidP="00B871E8">
      <w:pPr>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Die EU-Zolldatenplattform</w:t>
      </w:r>
      <w:r>
        <w:rPr>
          <w:rFonts w:ascii="Times New Roman" w:hAnsi="Times New Roman"/>
          <w:noProof/>
          <w:sz w:val="24"/>
        </w:rPr>
        <w:t xml:space="preserve"> wird Aushängeschild und Motor der Zollunion sein. Über sie werden alle einschlägigen Daten erfasst, verarbeitet, verbunden und gespeichert, wodurch die Art und Weise, wie Informationen bereitgestellt, für die zollamtliche Überwachung verwendet und an Partnerbehörden weitergegeben werden, neu definiert wird. Darüber hinaus wird sie der Durchführung von Risikoanalysen auf EU-Ebene dienen. Die EU-Zolldatenplattform ist ein wesentliches Element und die Voraussetzung für:</w:t>
      </w:r>
    </w:p>
    <w:p w14:paraId="70E52D1D" w14:textId="77777777" w:rsidR="00B871E8" w:rsidRPr="00CA556D" w:rsidRDefault="00B871E8" w:rsidP="00B871E8">
      <w:pPr>
        <w:numPr>
          <w:ilvl w:val="0"/>
          <w:numId w:val="1"/>
        </w:numPr>
        <w:pBdr>
          <w:top w:val="single" w:sz="4" w:space="1" w:color="auto"/>
          <w:left w:val="single" w:sz="4" w:space="4" w:color="auto"/>
          <w:bottom w:val="single" w:sz="4" w:space="1" w:color="auto"/>
          <w:right w:val="single" w:sz="4" w:space="4" w:color="auto"/>
        </w:pBdr>
        <w:shd w:val="clear" w:color="auto" w:fill="C5E0B3"/>
        <w:spacing w:after="120" w:line="240" w:lineRule="auto"/>
        <w:ind w:left="357" w:hanging="357"/>
        <w:jc w:val="both"/>
        <w:rPr>
          <w:rFonts w:ascii="Times New Roman" w:eastAsia="Times New Roman" w:hAnsi="Times New Roman" w:cs="Times New Roman"/>
          <w:noProof/>
          <w:sz w:val="24"/>
          <w:szCs w:val="24"/>
        </w:rPr>
      </w:pPr>
      <w:r>
        <w:rPr>
          <w:rFonts w:ascii="Times New Roman" w:hAnsi="Times New Roman"/>
          <w:b/>
          <w:noProof/>
          <w:sz w:val="24"/>
        </w:rPr>
        <w:t>die Vereinfachung der Verfahren und die Senkung der Befolgungskosten</w:t>
      </w:r>
      <w:r>
        <w:rPr>
          <w:rFonts w:ascii="Times New Roman" w:hAnsi="Times New Roman"/>
          <w:noProof/>
          <w:sz w:val="24"/>
        </w:rPr>
        <w:t xml:space="preserve"> für Unternehmen und Behörden. Informationen können dem Zoll über eine direkte Verbindung zur EU-Zolldatenplattform – statt über eine Vielzahl nationaler Systeme – übermittelt werden. Mehrfachanmeldungen sind möglich, und stabile Informationen können einmalig angegeben und für spätere Ein- oder Ausfuhren wiederverwendet werden.</w:t>
      </w:r>
    </w:p>
    <w:p w14:paraId="2300B3FD" w14:textId="77777777" w:rsidR="00B871E8" w:rsidRPr="00CA556D" w:rsidRDefault="00B871E8" w:rsidP="00CA556D">
      <w:pPr>
        <w:numPr>
          <w:ilvl w:val="0"/>
          <w:numId w:val="1"/>
        </w:numPr>
        <w:pBdr>
          <w:top w:val="single" w:sz="4" w:space="1" w:color="auto"/>
          <w:left w:val="single" w:sz="4" w:space="4" w:color="auto"/>
          <w:bottom w:val="single" w:sz="4" w:space="1" w:color="auto"/>
          <w:right w:val="single" w:sz="4" w:space="4" w:color="auto"/>
        </w:pBdr>
        <w:shd w:val="clear" w:color="auto" w:fill="C5E0B3"/>
        <w:spacing w:after="120" w:line="240" w:lineRule="auto"/>
        <w:ind w:left="357" w:hanging="357"/>
        <w:jc w:val="both"/>
        <w:rPr>
          <w:rFonts w:ascii="Times New Roman" w:eastAsia="Times New Roman" w:hAnsi="Times New Roman" w:cs="Times New Roman"/>
          <w:noProof/>
          <w:sz w:val="24"/>
          <w:szCs w:val="24"/>
        </w:rPr>
      </w:pPr>
      <w:r>
        <w:rPr>
          <w:rFonts w:ascii="Times New Roman" w:hAnsi="Times New Roman"/>
          <w:b/>
          <w:noProof/>
          <w:sz w:val="24"/>
        </w:rPr>
        <w:t>eine gemeinsame EU-weite Risikoanalyse</w:t>
      </w:r>
      <w:r>
        <w:rPr>
          <w:rFonts w:ascii="Times New Roman" w:hAnsi="Times New Roman"/>
          <w:noProof/>
          <w:sz w:val="24"/>
        </w:rPr>
        <w:t xml:space="preserve"> anhand zentralisierter Daten, die als </w:t>
      </w:r>
      <w:r>
        <w:rPr>
          <w:rFonts w:ascii="Times New Roman" w:hAnsi="Times New Roman"/>
          <w:b/>
          <w:noProof/>
          <w:sz w:val="24"/>
        </w:rPr>
        <w:t xml:space="preserve">Grundlage für Kontrollempfehlungen dient </w:t>
      </w:r>
      <w:r>
        <w:rPr>
          <w:rFonts w:ascii="Times New Roman" w:hAnsi="Times New Roman"/>
          <w:noProof/>
          <w:sz w:val="24"/>
        </w:rPr>
        <w:t>und somit einen Beitrag zu einem effizienteren und wirksameren Schutz der EU-Außengrenzen für Waren leistet (Kapitel </w:t>
      </w:r>
      <w:r w:rsidRPr="0071246C">
        <w:rPr>
          <w:rFonts w:ascii="Times New Roman" w:hAnsi="Times New Roman"/>
          <w:noProof/>
          <w:sz w:val="24"/>
        </w:rPr>
        <w:t>5</w:t>
      </w:r>
      <w:r>
        <w:rPr>
          <w:rFonts w:ascii="Times New Roman" w:hAnsi="Times New Roman"/>
          <w:noProof/>
          <w:sz w:val="24"/>
        </w:rPr>
        <w:t xml:space="preserve">). Die an die EU-Zolldatenplattform übermittelten Informationen werden für Risikoanalysen sowohl auf EU- als auch nationaler Ebene genutzt werden. Neben der EU-Zollbehörde werden die nationalen Behörden sowie die Kommission, das OLAF, die Europäische Staatsanwaltschaft (EUStA) und unter bestimmten Voraussetzungen auch Europol und Frontex Zugang zur EU-Zolldatenplattform haben, sodass deren analytischen Kapazitäten wesentlich gestärkt werden. Dies ermöglicht einen EU-weiten Überblick über die Risiken und bedeutet, dass diese in der gesamten EU bekämpft werden können, ungeachtet des Ortes, an dem die Waren in die EU gelangen; auf diese Weise wird das Risikomanagement EU-weit und auf nationaler Ebene unterstützt. </w:t>
      </w:r>
    </w:p>
    <w:p w14:paraId="6D05AD86" w14:textId="77777777" w:rsidR="00062836" w:rsidRPr="00367DA0" w:rsidRDefault="00062836" w:rsidP="00FD3085">
      <w:pPr>
        <w:pStyle w:val="Heading2"/>
        <w:rPr>
          <w:noProof/>
        </w:rPr>
      </w:pPr>
      <w:r w:rsidRPr="0071246C">
        <w:rPr>
          <w:noProof/>
        </w:rPr>
        <w:t>4</w:t>
      </w:r>
      <w:r>
        <w:rPr>
          <w:noProof/>
        </w:rPr>
        <w:t>.</w:t>
      </w:r>
      <w:r w:rsidRPr="0071246C">
        <w:rPr>
          <w:noProof/>
        </w:rPr>
        <w:t>1</w:t>
      </w:r>
      <w:r>
        <w:rPr>
          <w:noProof/>
        </w:rPr>
        <w:t xml:space="preserve"> Vereinfachungen für alle Wirtschaftsbeteiligten</w:t>
      </w:r>
    </w:p>
    <w:p w14:paraId="0DDEEBDD"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Im derzeitigen System werden die Zollformalitäten in der Regel von einem Anmelder erledigt, bei dem es sich nicht unbedingt um den Einführer oder Ausführer handelt. Im neuen System wird jede einzelne Sendung an </w:t>
      </w:r>
      <w:r>
        <w:rPr>
          <w:rFonts w:ascii="Times New Roman" w:hAnsi="Times New Roman"/>
          <w:b/>
          <w:noProof/>
          <w:sz w:val="24"/>
        </w:rPr>
        <w:t>einen einzigen Wirtschaftsbeteiligten geknüpft sein, der für die Zahlung der Zollabgaben und die Einhaltung der Produktvorschriften haftet</w:t>
      </w:r>
      <w:r>
        <w:rPr>
          <w:rFonts w:ascii="Times New Roman" w:hAnsi="Times New Roman"/>
          <w:noProof/>
          <w:sz w:val="24"/>
        </w:rPr>
        <w:t>.</w:t>
      </w:r>
      <w:r>
        <w:rPr>
          <w:rFonts w:ascii="Times New Roman" w:hAnsi="Times New Roman"/>
          <w:b/>
          <w:noProof/>
          <w:color w:val="000000"/>
          <w:sz w:val="24"/>
        </w:rPr>
        <w:t xml:space="preserve"> </w:t>
      </w:r>
      <w:r>
        <w:rPr>
          <w:rFonts w:ascii="Times New Roman" w:hAnsi="Times New Roman"/>
          <w:noProof/>
          <w:color w:val="000000"/>
          <w:sz w:val="24"/>
        </w:rPr>
        <w:t>Die Einführer und Ausführer werden für die Zahlung der geltenden Abgaben und Steuern und für die Konformität der Waren mit den verschiedenen Verfahrens- und Rechtsvorschriften verantwortlich sein.</w:t>
      </w:r>
      <w:r>
        <w:rPr>
          <w:rFonts w:ascii="Times New Roman" w:hAnsi="Times New Roman"/>
          <w:noProof/>
          <w:sz w:val="24"/>
        </w:rPr>
        <w:t xml:space="preserve"> </w:t>
      </w:r>
    </w:p>
    <w:p w14:paraId="3C0B2C44"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Im Rahmen dieser </w:t>
      </w:r>
      <w:r>
        <w:rPr>
          <w:rFonts w:ascii="Times New Roman" w:hAnsi="Times New Roman"/>
          <w:b/>
          <w:noProof/>
          <w:sz w:val="24"/>
        </w:rPr>
        <w:t>innovativen neuen Partnerschaft</w:t>
      </w:r>
      <w:r>
        <w:rPr>
          <w:rFonts w:ascii="Times New Roman" w:hAnsi="Times New Roman"/>
          <w:noProof/>
          <w:sz w:val="24"/>
        </w:rPr>
        <w:t xml:space="preserve"> werden Unternehmen in der Lage sein, die Informationen über ihre Ein- und Ausfuhren, die sie dem Zoll in der Regel zur Verfügung stellen müssen, direkt über eine zentrale IT-Schnittstelle – die EU-Zolldatenplattform – zu übermitteln. Andere an der Beförderung der Waren beteiligte Akteure wie Spediteure oder Lagerbetreiber werden ihre einschlägigen Datenelemente ebenfalls über das neue Tool eingeben. Der Schwerpunkt wird auf der Erhebung von Daten aus erster Hand aus Handels- und Gewerbesystemen, Web-Plattformen sowie anderen Quellen liegen, wodurch die Abhängigkeit von Daten Dritter und ganz allgemein die Arbeitsabläufe beim Zoll reduziert werden. Stabile Informationen über Lieferketten, die sich voraussichtlich kurzfristig nicht ändern werden, können einmalig angegeben und für spätere Ein- oder Ausfuhren wiederverwendet werden. Mit der Zeit wird sich daraus ein kompletter Überblick über die Lieferketten und Tätigkeiten von Unternehmen ergeben.</w:t>
      </w:r>
    </w:p>
    <w:p w14:paraId="13AE0246" w14:textId="77777777" w:rsidR="002513A0" w:rsidRPr="002513A0"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Diese Partnerschaft wird keine neuen Schlupflöcher schaffen, die von kriminellen Organisationen genutzt werden könnten:</w:t>
      </w:r>
      <w:r>
        <w:rPr>
          <w:rFonts w:ascii="Times New Roman" w:hAnsi="Times New Roman"/>
          <w:noProof/>
          <w:sz w:val="24"/>
        </w:rPr>
        <w:t xml:space="preserve"> Dem Zoll werden alle erforderlichen Echtzeitinformationen darüber zur Verfügung stehen, welche Waren zu welchem Zeitpunkt eintreffen (siehe auch Kapitel </w:t>
      </w:r>
      <w:r w:rsidRPr="0071246C">
        <w:rPr>
          <w:rFonts w:ascii="Times New Roman" w:hAnsi="Times New Roman"/>
          <w:noProof/>
          <w:sz w:val="24"/>
        </w:rPr>
        <w:t>5</w:t>
      </w:r>
      <w:r>
        <w:rPr>
          <w:rFonts w:ascii="Times New Roman" w:hAnsi="Times New Roman"/>
          <w:noProof/>
          <w:sz w:val="24"/>
        </w:rPr>
        <w:t>). Die Risikoanalyse im Bereich des Zolls wird durch die Erhebung besserer Lieferkettendaten und die Einführung einer Risikoanalyse auf EU-Ebene für die Zwecke der Bekämpfung grenzüberschreitenden Betrugs gestärkt; dies wiederum kann unter bestimmten Voraussetzungen in die Bedrohungsanalysen einfließen, die von anderen Agenturen der Union, u. a. Europol und Frontex, im Rahmen ihrer jeweiligen Zuständigkeiten durchgeführt werden. Der Zoll erhält einen Überblick über die aktuellen Handels- und Lieferketten. Gemeinsam mit seinen Partnerbehörden könnte er dann bei jeder Sendung entsprechend seiner Risikoanalyse vor dem Verladen, bei Eingang der Waren, während der Beförderung oder am Bestimmungsort eingreifen.</w:t>
      </w:r>
    </w:p>
    <w:p w14:paraId="1599FB8B" w14:textId="77777777" w:rsidR="00111C2A" w:rsidRPr="00AB2F85" w:rsidRDefault="00111C2A" w:rsidP="00FD3085">
      <w:pPr>
        <w:pStyle w:val="Heading2"/>
        <w:rPr>
          <w:noProof/>
        </w:rPr>
      </w:pPr>
      <w:r w:rsidRPr="0071246C">
        <w:rPr>
          <w:noProof/>
        </w:rPr>
        <w:t>4</w:t>
      </w:r>
      <w:r>
        <w:rPr>
          <w:noProof/>
        </w:rPr>
        <w:t>.</w:t>
      </w:r>
      <w:r w:rsidRPr="0071246C">
        <w:rPr>
          <w:noProof/>
        </w:rPr>
        <w:t>2</w:t>
      </w:r>
      <w:r>
        <w:rPr>
          <w:noProof/>
        </w:rPr>
        <w:t xml:space="preserve"> Vereinfachungen für „Trust &amp; Check“-Wirtschaftsbeteiligte</w:t>
      </w:r>
    </w:p>
    <w:p w14:paraId="4F53BB3E" w14:textId="77777777" w:rsidR="00111C2A" w:rsidRPr="00AB2F85" w:rsidRDefault="00111C2A" w:rsidP="00111C2A">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Eine kleine Gruppe von ausgewählten „Trust &amp; Check“-Wirtschaftsbeteiligten wird von noch größeren Vereinfachungen profitieren, die den Verwaltungsaufwand und die Formalitäten auf ein Minimum reduzieren würden.</w:t>
      </w:r>
      <w:r>
        <w:rPr>
          <w:rFonts w:ascii="Times New Roman" w:eastAsia="Times New Roman" w:hAnsi="Times New Roman" w:cs="Times New Roman"/>
          <w:noProof/>
          <w:color w:val="000000"/>
          <w:sz w:val="24"/>
          <w:szCs w:val="24"/>
          <w:vertAlign w:val="superscript"/>
          <w:lang w:val="en-IE" w:eastAsia="en-IE"/>
        </w:rPr>
        <w:footnoteReference w:id="29"/>
      </w:r>
      <w:r>
        <w:rPr>
          <w:rFonts w:ascii="Times New Roman" w:hAnsi="Times New Roman"/>
          <w:noProof/>
          <w:sz w:val="24"/>
        </w:rPr>
        <w:t xml:space="preserve"> Transparente Handelsströme werden ohne Tätigwerden der Zollbehörden oder Verwaltungsförmlichkeiten über sogenannte „Green Lanes“ bewegt, und der Zoll wird nur bei Bedarf eine Kontrolle fordern.</w:t>
      </w:r>
      <w:r>
        <w:rPr>
          <w:rFonts w:ascii="Times New Roman" w:hAnsi="Times New Roman"/>
          <w:noProof/>
          <w:color w:val="000000"/>
          <w:sz w:val="24"/>
        </w:rPr>
        <w:t xml:space="preserve"> </w:t>
      </w:r>
      <w:r>
        <w:rPr>
          <w:rFonts w:ascii="Times New Roman" w:hAnsi="Times New Roman"/>
          <w:noProof/>
          <w:sz w:val="24"/>
        </w:rPr>
        <w:t xml:space="preserve">Das Konzept der „Trust &amp; Check“-Wirtschaftsbeteiligten stellt eine Erweiterung und Stärkung des derzeitigen Status des zugelassenen Wirtschaftsbeteiligten dar. Genau wie zugelassene Wirtschaftsbeteiligte müssen „Trust &amp; Check“-Wirtschaftsbeteiligte eine Reihe von Kriterien erfüllen, mit denen sichergestellt werden soll, dass sie </w:t>
      </w:r>
      <w:r>
        <w:rPr>
          <w:rFonts w:ascii="Times New Roman" w:hAnsi="Times New Roman"/>
          <w:i/>
          <w:noProof/>
          <w:sz w:val="24"/>
        </w:rPr>
        <w:t>vertrauenswürdige</w:t>
      </w:r>
      <w:r>
        <w:rPr>
          <w:rFonts w:ascii="Times New Roman" w:hAnsi="Times New Roman"/>
          <w:noProof/>
          <w:sz w:val="24"/>
        </w:rPr>
        <w:t xml:space="preserve"> Marktteilnehmer sind. Dazu zählen unter anderem ein einwandfreies Führungszeugnis, ein hohes Maß an Kontrolle ihrer Geschäftstätigkeiten und ihrer Lieferkette und der Nachweis ihrer Zahlungsfähigkeit. Darüber hinaus müssen sie ein elektronisches System betreiben, das Echtzeitdaten über die Beförderungen ihrer Sendungen und die Einhaltung aller einschlägigen Anforderungen über die EU-Zolldatenplattform bereitstellt. </w:t>
      </w:r>
    </w:p>
    <w:p w14:paraId="5A4318C2" w14:textId="77777777" w:rsidR="00111C2A" w:rsidRDefault="00111C2A" w:rsidP="00111C2A">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Da die Zollbehörden der EU </w:t>
      </w:r>
      <w:r>
        <w:rPr>
          <w:rFonts w:ascii="Times New Roman" w:hAnsi="Times New Roman"/>
          <w:b/>
          <w:noProof/>
          <w:sz w:val="24"/>
        </w:rPr>
        <w:t>in Bezug auf diese „Trust &amp; Check“-Wirtschaftsbeteiligten einen vollständigen Überblick über die Lieferketten</w:t>
      </w:r>
      <w:r>
        <w:rPr>
          <w:rFonts w:ascii="Times New Roman" w:hAnsi="Times New Roman"/>
          <w:noProof/>
          <w:sz w:val="24"/>
        </w:rPr>
        <w:t xml:space="preserve"> haben werden, könnten diese Wirtschaftsbeteiligten von den Zollbehörden ermächtigt werden, die Konformität ihrer Waren unter bestimmten Voraussetzungen selbst zu überwachen, die Waren im Namen der Zollbehörden freizugeben und Zollabgaben in regelmäßigen Abständen zu zahlen, ohne transaktionsgebundene Zollanmeldungen für jede Sendung einzureichen. Der Zoll wird in der Lage sein, kontinuierlich Risikoanalysen durchzuführen und Informationen zu überprüfen sowie eine Kontrolle zu verlangen, wann immer er dies für erforderlich hält. Die Qualität, Kohärenz und Genauigkeit der erhaltenen Informationen wird es ermöglichen, die Vertrauenswürdigkeit des Wirtschaftsbeteiligten zu überwachen. Falls erforderlich, könnte der Zoll die Bewilligung des „Trust &amp; Check“-Status widerrufen oder aussetzen, wenn ein „Trust &amp; Check“-Wirtschaftsbeteiligter die Bewilligungskriterien nicht länger erfüllt oder und wenn ein Fehlverhalten festgestellt wurde.</w:t>
      </w:r>
    </w:p>
    <w:p w14:paraId="5B199F25" w14:textId="77777777" w:rsidR="00B871E8" w:rsidRPr="00FD3085" w:rsidRDefault="00CA556D" w:rsidP="00FD3085">
      <w:pPr>
        <w:pStyle w:val="Heading2"/>
        <w:rPr>
          <w:noProof/>
        </w:rPr>
      </w:pPr>
      <w:bookmarkStart w:id="13" w:name="_Toc126948381"/>
      <w:bookmarkStart w:id="14" w:name="_Toc129165630"/>
      <w:bookmarkStart w:id="15" w:name="_Toc129686583"/>
      <w:r w:rsidRPr="0071246C">
        <w:rPr>
          <w:noProof/>
        </w:rPr>
        <w:t>4</w:t>
      </w:r>
      <w:r>
        <w:rPr>
          <w:noProof/>
        </w:rPr>
        <w:t>.</w:t>
      </w:r>
      <w:r w:rsidRPr="0071246C">
        <w:rPr>
          <w:noProof/>
        </w:rPr>
        <w:t>3</w:t>
      </w:r>
      <w:r>
        <w:rPr>
          <w:noProof/>
        </w:rPr>
        <w:t xml:space="preserve"> Ein maßgeschneidertes Zollverfahren für den elektronischen Handel</w:t>
      </w:r>
      <w:bookmarkEnd w:id="13"/>
      <w:bookmarkEnd w:id="14"/>
      <w:bookmarkEnd w:id="15"/>
      <w:r>
        <w:rPr>
          <w:noProof/>
        </w:rPr>
        <w:t xml:space="preserve"> </w:t>
      </w:r>
    </w:p>
    <w:p w14:paraId="00FB3206"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b/>
          <w:noProof/>
          <w:color w:val="000000"/>
          <w:sz w:val="24"/>
        </w:rPr>
        <w:t>Aufbauend auf der erfolgreichen Modernisierung der Mehrwertsteuer</w:t>
      </w:r>
      <w:r>
        <w:rPr>
          <w:rFonts w:ascii="Times New Roman" w:eastAsia="Times New Roman" w:hAnsi="Times New Roman" w:cs="Times New Roman"/>
          <w:noProof/>
          <w:color w:val="000000"/>
          <w:sz w:val="24"/>
          <w:szCs w:val="24"/>
          <w:vertAlign w:val="superscript"/>
          <w:lang w:val="en-IE" w:eastAsia="en-IE"/>
        </w:rPr>
        <w:footnoteReference w:id="30"/>
      </w:r>
      <w:r>
        <w:rPr>
          <w:rFonts w:ascii="Times New Roman" w:hAnsi="Times New Roman"/>
          <w:b/>
          <w:noProof/>
          <w:color w:val="000000"/>
          <w:sz w:val="24"/>
        </w:rPr>
        <w:t xml:space="preserve"> wird mit dieser Reform eine maßgeschneiderte Zollregelung für den elektronischen Handel</w:t>
      </w:r>
      <w:r>
        <w:rPr>
          <w:rStyle w:val="FootnoteReference"/>
          <w:rFonts w:ascii="Times New Roman" w:eastAsia="Times New Roman" w:hAnsi="Times New Roman" w:cs="Times New Roman"/>
          <w:noProof/>
          <w:color w:val="000000"/>
          <w:sz w:val="24"/>
          <w:szCs w:val="24"/>
          <w:lang w:val="en-IE" w:eastAsia="en-IE"/>
        </w:rPr>
        <w:footnoteReference w:id="31"/>
      </w:r>
      <w:r>
        <w:rPr>
          <w:rFonts w:ascii="Times New Roman" w:hAnsi="Times New Roman"/>
          <w:b/>
          <w:noProof/>
          <w:color w:val="000000"/>
          <w:sz w:val="24"/>
        </w:rPr>
        <w:t xml:space="preserve"> eingeführt. </w:t>
      </w:r>
      <w:r>
        <w:rPr>
          <w:rFonts w:ascii="Times New Roman" w:hAnsi="Times New Roman"/>
          <w:noProof/>
          <w:sz w:val="24"/>
        </w:rPr>
        <w:t>Im Jahr </w:t>
      </w:r>
      <w:r w:rsidRPr="0071246C">
        <w:rPr>
          <w:rFonts w:ascii="Times New Roman" w:hAnsi="Times New Roman"/>
          <w:noProof/>
          <w:sz w:val="24"/>
        </w:rPr>
        <w:t>2017</w:t>
      </w:r>
      <w:r>
        <w:rPr>
          <w:rFonts w:ascii="Times New Roman" w:hAnsi="Times New Roman"/>
          <w:noProof/>
          <w:sz w:val="24"/>
        </w:rPr>
        <w:t xml:space="preserve"> hatten die EU-Mitgliedstaaten vereinbart, die Mehrwertsteuerbefreiung für eingeführte Waren mit einem Wert bis zu </w:t>
      </w:r>
      <w:r w:rsidRPr="0071246C">
        <w:rPr>
          <w:rFonts w:ascii="Times New Roman" w:hAnsi="Times New Roman"/>
          <w:noProof/>
          <w:sz w:val="24"/>
        </w:rPr>
        <w:t>22</w:t>
      </w:r>
      <w:r>
        <w:rPr>
          <w:rFonts w:ascii="Times New Roman" w:hAnsi="Times New Roman"/>
          <w:noProof/>
          <w:sz w:val="24"/>
        </w:rPr>
        <w:t xml:space="preserve"> EUR ab </w:t>
      </w:r>
      <w:r w:rsidRPr="0071246C">
        <w:rPr>
          <w:rFonts w:ascii="Times New Roman" w:hAnsi="Times New Roman"/>
          <w:noProof/>
          <w:sz w:val="24"/>
        </w:rPr>
        <w:t>2021</w:t>
      </w:r>
      <w:r>
        <w:rPr>
          <w:rFonts w:ascii="Times New Roman" w:hAnsi="Times New Roman"/>
          <w:noProof/>
          <w:sz w:val="24"/>
        </w:rPr>
        <w:t xml:space="preserve"> aufzuheben, um die Mehrwertsteuervorschriften an die neuen Gegebenheiten im Fernverkauf von Waren anzupassen, die sich aus dem exponentiellen Wachstum des elektronischen Handels ergeben. Vor dieser Reform war der elektronische Handel ein großer blinder Fleck. Waren von geringem Wert wurden nicht bei den Zollbehörden angemeldet, wodurch es keinerlei Überblick über die Lieferketten gab. Seit Juli </w:t>
      </w:r>
      <w:r w:rsidRPr="0071246C">
        <w:rPr>
          <w:rFonts w:ascii="Times New Roman" w:hAnsi="Times New Roman"/>
          <w:noProof/>
          <w:sz w:val="24"/>
        </w:rPr>
        <w:t>2021</w:t>
      </w:r>
      <w:r>
        <w:rPr>
          <w:rFonts w:ascii="Times New Roman" w:hAnsi="Times New Roman"/>
          <w:noProof/>
          <w:sz w:val="24"/>
        </w:rPr>
        <w:t xml:space="preserve"> muss für alle eingeführten Waren die Mehrwertsteuer abgeführt und eine digitale Zollanmeldung abgegeben werden. Dies schließt Waren im Wert von bis zu </w:t>
      </w:r>
      <w:r w:rsidRPr="0071246C">
        <w:rPr>
          <w:rFonts w:ascii="Times New Roman" w:hAnsi="Times New Roman"/>
          <w:noProof/>
          <w:sz w:val="24"/>
        </w:rPr>
        <w:t>150</w:t>
      </w:r>
      <w:r>
        <w:rPr>
          <w:rFonts w:ascii="Times New Roman" w:hAnsi="Times New Roman"/>
          <w:noProof/>
          <w:sz w:val="24"/>
        </w:rPr>
        <w:t xml:space="preserve"> EUR ein, für die derzeit keine Zölle zu entrichten sind. </w:t>
      </w:r>
    </w:p>
    <w:p w14:paraId="3FBAD304" w14:textId="77777777" w:rsidR="00B871E8" w:rsidRPr="00CA556D" w:rsidRDefault="00A0668B" w:rsidP="00B871E8">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b/>
          <w:noProof/>
          <w:sz w:val="24"/>
        </w:rPr>
        <w:t xml:space="preserve">Zur weiteren Vereinfachung der derzeitigen Regelung und Angleichung an die Mehrwertsteuervorschriften für den elektronischen Geschäftsverkehr werden neue Verfahren eingeführt. </w:t>
      </w:r>
      <w:bookmarkStart w:id="16" w:name="_Hlk130835922"/>
      <w:r>
        <w:rPr>
          <w:rFonts w:ascii="Times New Roman" w:hAnsi="Times New Roman"/>
          <w:noProof/>
          <w:color w:val="000000"/>
          <w:sz w:val="24"/>
        </w:rPr>
        <w:t>Da die Zollbehörden nicht über die Mittel verfügen, um die für den internationalen Handel geltenden Vorschriften im grenzüberschreitenden elektronischen Handel ordnungsgemäß durchzusetzen,</w:t>
      </w:r>
      <w:bookmarkEnd w:id="16"/>
      <w:r>
        <w:rPr>
          <w:rFonts w:ascii="Times New Roman" w:hAnsi="Times New Roman"/>
          <w:noProof/>
          <w:color w:val="000000"/>
          <w:sz w:val="24"/>
        </w:rPr>
        <w:t xml:space="preserve"> </w:t>
      </w:r>
      <w:r>
        <w:rPr>
          <w:rFonts w:ascii="Times New Roman" w:hAnsi="Times New Roman"/>
          <w:b/>
          <w:noProof/>
          <w:color w:val="000000"/>
          <w:sz w:val="24"/>
        </w:rPr>
        <w:t>werden digitale Plattformen zu „fiktiven Einführern“ erklärt</w:t>
      </w:r>
      <w:r>
        <w:rPr>
          <w:rFonts w:ascii="Times New Roman" w:hAnsi="Times New Roman"/>
          <w:noProof/>
          <w:color w:val="000000"/>
          <w:sz w:val="24"/>
        </w:rPr>
        <w:t xml:space="preserve"> (anstelle der Verbraucher/innen), die für alle Zollformalitäten und Zahlungen verantwortlich sind. </w:t>
      </w:r>
      <w:r>
        <w:rPr>
          <w:rFonts w:ascii="Times New Roman" w:hAnsi="Times New Roman"/>
          <w:noProof/>
          <w:sz w:val="24"/>
        </w:rPr>
        <w:t>Sie werden die Zollabgaben zum Zeitpunkt des Verkaufs erheben und an die jeweiligen Mitgliedstaaten zahlen, wie sie es bereits bei der Mehrwertsteuer tun.</w:t>
      </w:r>
      <w:r>
        <w:rPr>
          <w:rStyle w:val="FootnoteReference"/>
          <w:rFonts w:ascii="Times New Roman" w:eastAsia="Times New Roman" w:hAnsi="Times New Roman" w:cs="Times New Roman"/>
          <w:noProof/>
          <w:color w:val="000000"/>
          <w:sz w:val="24"/>
          <w:szCs w:val="24"/>
          <w:lang w:val="en-IE" w:eastAsia="en-IE"/>
        </w:rPr>
        <w:footnoteReference w:id="32"/>
      </w:r>
      <w:r>
        <w:rPr>
          <w:rFonts w:ascii="Times New Roman" w:hAnsi="Times New Roman"/>
          <w:noProof/>
          <w:color w:val="000000"/>
          <w:sz w:val="24"/>
        </w:rPr>
        <w:t xml:space="preserve"> </w:t>
      </w:r>
    </w:p>
    <w:p w14:paraId="7D3E1B30" w14:textId="77777777" w:rsidR="00B871E8" w:rsidRPr="005727B1" w:rsidRDefault="00ED6922" w:rsidP="00B871E8">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sz w:val="24"/>
        </w:rPr>
        <w:t xml:space="preserve">Darüber hinaus wird im überarbeiteten Gemeinsamen Zolltarif </w:t>
      </w:r>
      <w:r>
        <w:rPr>
          <w:rFonts w:ascii="Times New Roman" w:hAnsi="Times New Roman"/>
          <w:b/>
          <w:noProof/>
          <w:sz w:val="24"/>
        </w:rPr>
        <w:t>eine vereinfachte Methode zur Berechnung der geltenden Einfuhrzölle für Waren von geringem Wert</w:t>
      </w:r>
      <w:r>
        <w:rPr>
          <w:rFonts w:ascii="Times New Roman" w:hAnsi="Times New Roman"/>
          <w:noProof/>
          <w:sz w:val="24"/>
        </w:rPr>
        <w:t>, die im Fernverkauf an Kunden verkauft werden, eingeführt werden. Es wird davon ausgegangen, dass diese vereinfachte Methode zusammen mit der Nutzung der EU-Zolldatenplattform einen möglichen Anstieg der Verwaltungskosten in Bezug auf die Regelung für den elektronischen Handel ausgleichen wird.</w:t>
      </w:r>
      <w:r>
        <w:rPr>
          <w:rFonts w:ascii="Times New Roman" w:hAnsi="Times New Roman"/>
          <w:noProof/>
          <w:color w:val="000000"/>
          <w:sz w:val="24"/>
        </w:rPr>
        <w:t xml:space="preserve"> </w:t>
      </w:r>
      <w:r>
        <w:rPr>
          <w:rFonts w:ascii="Times New Roman" w:hAnsi="Times New Roman"/>
          <w:noProof/>
          <w:sz w:val="24"/>
        </w:rPr>
        <w:t xml:space="preserve">Sie wird auf einem </w:t>
      </w:r>
      <w:r>
        <w:rPr>
          <w:rFonts w:ascii="Times New Roman" w:hAnsi="Times New Roman"/>
          <w:b/>
          <w:noProof/>
          <w:sz w:val="24"/>
        </w:rPr>
        <w:t>System mit vier Gruppen von Warenkategorien</w:t>
      </w:r>
      <w:r>
        <w:rPr>
          <w:rFonts w:ascii="Times New Roman" w:hAnsi="Times New Roman"/>
          <w:noProof/>
          <w:sz w:val="24"/>
        </w:rPr>
        <w:t xml:space="preserve"> basieren, für die jeweils ein Wertzollsatz</w:t>
      </w:r>
      <w:r>
        <w:rPr>
          <w:rStyle w:val="FootnoteReference"/>
          <w:rFonts w:ascii="Times New Roman" w:eastAsia="Times New Roman" w:hAnsi="Times New Roman" w:cs="Times New Roman"/>
          <w:noProof/>
          <w:sz w:val="24"/>
          <w:szCs w:val="20"/>
          <w:lang w:val="en-IE" w:eastAsia="en-IE"/>
        </w:rPr>
        <w:footnoteReference w:id="33"/>
      </w:r>
      <w:r>
        <w:rPr>
          <w:rFonts w:ascii="Times New Roman" w:hAnsi="Times New Roman"/>
          <w:noProof/>
          <w:sz w:val="24"/>
        </w:rPr>
        <w:t xml:space="preserve"> festgelegt wird, und zwar </w:t>
      </w:r>
      <w:r w:rsidRPr="0071246C">
        <w:rPr>
          <w:rFonts w:ascii="Times New Roman" w:hAnsi="Times New Roman"/>
          <w:noProof/>
          <w:sz w:val="24"/>
        </w:rPr>
        <w:t>5</w:t>
      </w:r>
      <w:r>
        <w:rPr>
          <w:rFonts w:ascii="Times New Roman" w:hAnsi="Times New Roman"/>
          <w:noProof/>
          <w:sz w:val="24"/>
        </w:rPr>
        <w:t xml:space="preserve"> % (z. B. für Spielwaren, Haushaltsartikel), </w:t>
      </w:r>
      <w:r w:rsidRPr="0071246C">
        <w:rPr>
          <w:rFonts w:ascii="Times New Roman" w:hAnsi="Times New Roman"/>
          <w:noProof/>
          <w:sz w:val="24"/>
        </w:rPr>
        <w:t>8</w:t>
      </w:r>
      <w:r>
        <w:rPr>
          <w:rFonts w:ascii="Times New Roman" w:hAnsi="Times New Roman"/>
          <w:noProof/>
          <w:sz w:val="24"/>
        </w:rPr>
        <w:t xml:space="preserve"> % (z. B. für Seidenwaren, Glaswaren), </w:t>
      </w:r>
      <w:r w:rsidRPr="0071246C">
        <w:rPr>
          <w:rFonts w:ascii="Times New Roman" w:hAnsi="Times New Roman"/>
          <w:noProof/>
          <w:sz w:val="24"/>
        </w:rPr>
        <w:t>12</w:t>
      </w:r>
      <w:r>
        <w:rPr>
          <w:rFonts w:ascii="Times New Roman" w:hAnsi="Times New Roman"/>
          <w:noProof/>
          <w:sz w:val="24"/>
        </w:rPr>
        <w:t xml:space="preserve"> % (z. B. für Bestecke, Elektrogeräte) und </w:t>
      </w:r>
      <w:r w:rsidRPr="0071246C">
        <w:rPr>
          <w:rFonts w:ascii="Times New Roman" w:hAnsi="Times New Roman"/>
          <w:noProof/>
          <w:sz w:val="24"/>
        </w:rPr>
        <w:t>17</w:t>
      </w:r>
      <w:r>
        <w:rPr>
          <w:rFonts w:ascii="Times New Roman" w:hAnsi="Times New Roman"/>
          <w:noProof/>
          <w:sz w:val="24"/>
        </w:rPr>
        <w:t> % (z. B. für Schuhe). Dadurch werden die Vorschriften in ähnlicher Weise vereinfacht, wie dies bereits von internationalen Partnern wie Kanada</w:t>
      </w:r>
      <w:r>
        <w:rPr>
          <w:rFonts w:ascii="Times New Roman" w:eastAsia="Calibri" w:hAnsi="Times New Roman" w:cs="Times New Roman"/>
          <w:noProof/>
          <w:color w:val="000000"/>
          <w:sz w:val="24"/>
          <w:szCs w:val="24"/>
          <w:vertAlign w:val="superscript"/>
          <w:lang w:val="en-IE" w:eastAsia="en-IE"/>
        </w:rPr>
        <w:footnoteReference w:id="34"/>
      </w:r>
      <w:r>
        <w:rPr>
          <w:rFonts w:ascii="Times New Roman" w:hAnsi="Times New Roman"/>
          <w:noProof/>
          <w:sz w:val="24"/>
        </w:rPr>
        <w:t xml:space="preserve"> praktiziert wird, während zugleich Schlupflöcher geschlossen werden, die derzeit die Ursache für entgangene Einnahmen der EU-Haushalte von mindestens </w:t>
      </w:r>
      <w:r w:rsidRPr="0071246C">
        <w:rPr>
          <w:rFonts w:ascii="Times New Roman" w:hAnsi="Times New Roman"/>
          <w:noProof/>
          <w:sz w:val="24"/>
        </w:rPr>
        <w:t>1</w:t>
      </w:r>
      <w:r>
        <w:rPr>
          <w:rFonts w:ascii="Times New Roman" w:hAnsi="Times New Roman"/>
          <w:noProof/>
          <w:sz w:val="24"/>
        </w:rPr>
        <w:t> Mrd. EUR sind.</w:t>
      </w:r>
      <w:r>
        <w:rPr>
          <w:rFonts w:ascii="Times New Roman" w:hAnsi="Times New Roman"/>
          <w:noProof/>
          <w:color w:val="000000"/>
          <w:sz w:val="24"/>
        </w:rPr>
        <w:t xml:space="preserve"> </w:t>
      </w:r>
    </w:p>
    <w:p w14:paraId="52A60AD4" w14:textId="1A6C10CA" w:rsidR="00B871E8" w:rsidRPr="00CA556D" w:rsidRDefault="00ED6922" w:rsidP="00B871E8">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Da die Zollbehörden von der Plattform einschlägige Informationen über sämtliche Verkäufe erhalten werden, </w:t>
      </w:r>
      <w:r>
        <w:rPr>
          <w:rFonts w:ascii="Times New Roman" w:hAnsi="Times New Roman"/>
          <w:b/>
          <w:noProof/>
          <w:color w:val="000000"/>
          <w:sz w:val="24"/>
        </w:rPr>
        <w:t>werden die neuen Vorschriften den Zollbehörden auch ermöglichen, die Einhaltung der Produktanforderungen besser durchzusetzen</w:t>
      </w:r>
      <w:r>
        <w:rPr>
          <w:rFonts w:ascii="Times New Roman" w:hAnsi="Times New Roman"/>
          <w:noProof/>
          <w:color w:val="000000"/>
          <w:sz w:val="24"/>
        </w:rPr>
        <w:t xml:space="preserve">. Stoßen die Zollbehörden auf ein Problem im Zusammenhang mit einem Paket, so können sie untersuchen, ob es sich um einen Einzelfall oder ein systemisches Problem handelt. Darüber hinaus könnten die Zollbehörden zur Durchsetzung der im </w:t>
      </w:r>
      <w:r>
        <w:rPr>
          <w:rFonts w:ascii="Times New Roman" w:hAnsi="Times New Roman"/>
          <w:b/>
          <w:noProof/>
          <w:color w:val="000000"/>
          <w:sz w:val="24"/>
        </w:rPr>
        <w:t>Gesetz über digitale Dienste</w:t>
      </w:r>
      <w:r>
        <w:rPr>
          <w:rFonts w:ascii="Times New Roman" w:eastAsia="Calibri" w:hAnsi="Times New Roman" w:cs="Times New Roman"/>
          <w:noProof/>
          <w:color w:val="000000"/>
          <w:sz w:val="24"/>
          <w:szCs w:val="24"/>
          <w:vertAlign w:val="superscript"/>
          <w:lang w:val="en-IE" w:eastAsia="en-IE"/>
        </w:rPr>
        <w:footnoteReference w:id="35"/>
      </w:r>
      <w:r>
        <w:rPr>
          <w:rFonts w:ascii="Times New Roman" w:hAnsi="Times New Roman"/>
          <w:noProof/>
          <w:color w:val="000000"/>
          <w:sz w:val="24"/>
        </w:rPr>
        <w:t xml:space="preserve"> enthaltenen neuen Vorschriften für die Verantwortlichkeiten von Dienstleistern beitragen.</w:t>
      </w:r>
    </w:p>
    <w:p w14:paraId="46FA53BD" w14:textId="77777777" w:rsidR="00B871E8" w:rsidRPr="00CA556D" w:rsidRDefault="00B67505" w:rsidP="00B871E8">
      <w:pPr>
        <w:spacing w:after="240" w:line="240" w:lineRule="auto"/>
        <w:jc w:val="both"/>
        <w:rPr>
          <w:rFonts w:ascii="Times New Roman" w:eastAsia="Times New Roman" w:hAnsi="Times New Roman" w:cs="Times New Roman"/>
          <w:noProof/>
          <w:color w:val="000000"/>
          <w:sz w:val="24"/>
          <w:szCs w:val="24"/>
        </w:rPr>
      </w:pPr>
      <w:r>
        <w:rPr>
          <w:rFonts w:ascii="Times New Roman" w:hAnsi="Times New Roman"/>
          <w:b/>
          <w:noProof/>
          <w:color w:val="000000"/>
          <w:sz w:val="24"/>
        </w:rPr>
        <w:t xml:space="preserve">Schließlich werden mit den neuen Vorschriften die Zuständigkeiten im Einfuhrverfahren klargestellt, was die Transparenz im elektronischen Handel erhöht. </w:t>
      </w:r>
      <w:r>
        <w:rPr>
          <w:rFonts w:ascii="Times New Roman" w:hAnsi="Times New Roman"/>
          <w:noProof/>
          <w:color w:val="000000"/>
          <w:sz w:val="24"/>
        </w:rPr>
        <w:t xml:space="preserve">Dadurch werden die EU-Bürger/innen vor unangenehmen Überraschungen wie unerwarteten Kosten und aufwendigen Zollformalitäten bewahrt. Verbraucher/innen erhalten Transparenz in Bezug auf die Gesamtkosten ihres Online-Einkaufs und begleichen den Betrag wie bei der Mehrwertsteuer mit einer einzigen Zahlung. Darüber hinaus haben sie mehr Gewissheit, dass die Produkte, die sie erwerben, weder ihnen noch der Umwelt schaden, wodurch Unternehmen einen Anreiz für nachhaltige Herstellung erhalten. </w:t>
      </w:r>
    </w:p>
    <w:p w14:paraId="0C6B42A5" w14:textId="77777777" w:rsidR="00B871E8" w:rsidRPr="00CA556D" w:rsidRDefault="00CA556D" w:rsidP="00FD3085">
      <w:pPr>
        <w:pStyle w:val="Heading1"/>
        <w:rPr>
          <w:noProof/>
        </w:rPr>
      </w:pPr>
      <w:bookmarkStart w:id="17" w:name="_Toc129960270"/>
      <w:r w:rsidRPr="0071246C">
        <w:rPr>
          <w:noProof/>
        </w:rPr>
        <w:t>5</w:t>
      </w:r>
      <w:r>
        <w:rPr>
          <w:noProof/>
        </w:rPr>
        <w:t xml:space="preserve">. </w:t>
      </w:r>
      <w:bookmarkStart w:id="18" w:name="_Toc126687448"/>
      <w:bookmarkStart w:id="19" w:name="_Toc126948382"/>
      <w:bookmarkStart w:id="20" w:name="_Toc129165631"/>
      <w:bookmarkStart w:id="21" w:name="_Toc129686584"/>
      <w:r>
        <w:rPr>
          <w:noProof/>
        </w:rPr>
        <w:t>Die Überwachung der Lieferkette als geostrategische Fähigkeit – ein neuer Ansatz für das Risikomanagement an der EU-Grenze für Waren</w:t>
      </w:r>
      <w:bookmarkEnd w:id="17"/>
      <w:bookmarkEnd w:id="18"/>
      <w:bookmarkEnd w:id="19"/>
      <w:bookmarkEnd w:id="20"/>
      <w:bookmarkEnd w:id="21"/>
      <w:r>
        <w:rPr>
          <w:noProof/>
        </w:rPr>
        <w:t xml:space="preserve"> </w:t>
      </w:r>
    </w:p>
    <w:p w14:paraId="09E86446" w14:textId="35217E3D" w:rsidR="00B871E8" w:rsidRPr="00CA556D" w:rsidRDefault="00B871E8" w:rsidP="00B871E8">
      <w:pPr>
        <w:keepNext/>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Kasten </w:t>
      </w:r>
      <w:r w:rsidRPr="0071246C">
        <w:rPr>
          <w:rFonts w:ascii="Times New Roman" w:hAnsi="Times New Roman"/>
          <w:b/>
          <w:noProof/>
          <w:sz w:val="24"/>
          <w:u w:val="single"/>
        </w:rPr>
        <w:t>4</w:t>
      </w:r>
      <w:r>
        <w:rPr>
          <w:rFonts w:ascii="Times New Roman" w:hAnsi="Times New Roman"/>
          <w:b/>
          <w:noProof/>
          <w:sz w:val="24"/>
          <w:u w:val="single"/>
        </w:rPr>
        <w:t xml:space="preserve">: Zentrale </w:t>
      </w:r>
      <w:r w:rsidR="00997EF0">
        <w:rPr>
          <w:rFonts w:ascii="Times New Roman" w:hAnsi="Times New Roman"/>
          <w:b/>
          <w:noProof/>
          <w:sz w:val="24"/>
          <w:u w:val="single"/>
        </w:rPr>
        <w:t>Kapazitäten</w:t>
      </w:r>
      <w:r>
        <w:rPr>
          <w:rFonts w:ascii="Times New Roman" w:hAnsi="Times New Roman"/>
          <w:b/>
          <w:noProof/>
          <w:sz w:val="24"/>
          <w:u w:val="single"/>
        </w:rPr>
        <w:t xml:space="preserve"> des neuen EU-Rahmens für das Risikomanagement</w:t>
      </w:r>
    </w:p>
    <w:p w14:paraId="335B8AFA" w14:textId="77777777" w:rsidR="00B871E8" w:rsidRPr="00CA556D" w:rsidRDefault="00B871E8" w:rsidP="00313B30">
      <w:pPr>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Mit der Reform wird ein neuer Lenkungsrahmen für das EU-Risikomanagement eingeführt, an dem Mitgliedstaaten, Kommission, die neue EU-Zollbehörde (siehe auch Kasten </w:t>
      </w:r>
      <w:r w:rsidRPr="0071246C">
        <w:rPr>
          <w:rFonts w:ascii="Times New Roman" w:hAnsi="Times New Roman"/>
          <w:noProof/>
          <w:sz w:val="24"/>
        </w:rPr>
        <w:t>5</w:t>
      </w:r>
      <w:r>
        <w:rPr>
          <w:rFonts w:ascii="Times New Roman" w:hAnsi="Times New Roman"/>
          <w:noProof/>
          <w:sz w:val="24"/>
        </w:rPr>
        <w:t xml:space="preserve">) sowie Marktüberwachungs- und andere zuständige Behörden beteiligt sind. Wichtig zu erwähnen ist auch, dass die neue Partnerschaft mit den Unternehmen diesem neuen Lenkungsrahmen zugrunde liegt. </w:t>
      </w:r>
    </w:p>
    <w:p w14:paraId="59EF5F7A" w14:textId="77777777" w:rsidR="00B871E8" w:rsidRPr="00CA556D" w:rsidRDefault="00B871E8" w:rsidP="00313B30">
      <w:pPr>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Mit dieser Reform werden vier Kapazitäten geschaffen, die für die Bereitstellung eines Risikomanagements zum Schutz der gemeinsamen EU-Grenze für Waren von entscheidender Bedeutung sind:</w:t>
      </w:r>
    </w:p>
    <w:p w14:paraId="4F2EB02C" w14:textId="77777777" w:rsidR="00B871E8" w:rsidRPr="00CA556D" w:rsidRDefault="00B871E8" w:rsidP="00B871E8">
      <w:pPr>
        <w:numPr>
          <w:ilvl w:val="0"/>
          <w:numId w:val="3"/>
        </w:numPr>
        <w:pBdr>
          <w:top w:val="single" w:sz="4" w:space="1" w:color="auto"/>
          <w:left w:val="single" w:sz="4" w:space="4" w:color="auto"/>
          <w:bottom w:val="single" w:sz="4" w:space="1" w:color="auto"/>
          <w:right w:val="single" w:sz="4" w:space="4" w:color="auto"/>
        </w:pBdr>
        <w:shd w:val="clear" w:color="auto" w:fill="C5E0B3"/>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eine </w:t>
      </w:r>
      <w:r>
        <w:rPr>
          <w:rFonts w:ascii="Times New Roman" w:hAnsi="Times New Roman"/>
          <w:b/>
          <w:noProof/>
          <w:sz w:val="24"/>
        </w:rPr>
        <w:t>zentrale Risikoanalysekompetenz</w:t>
      </w:r>
      <w:r>
        <w:rPr>
          <w:rFonts w:ascii="Times New Roman" w:hAnsi="Times New Roman"/>
          <w:noProof/>
          <w:sz w:val="24"/>
        </w:rPr>
        <w:t xml:space="preserve"> in der </w:t>
      </w:r>
      <w:r>
        <w:rPr>
          <w:rFonts w:ascii="Times New Roman" w:hAnsi="Times New Roman"/>
          <w:b/>
          <w:noProof/>
          <w:sz w:val="24"/>
        </w:rPr>
        <w:t>neuen EU-Zollbehörde,</w:t>
      </w:r>
      <w:r>
        <w:rPr>
          <w:rFonts w:ascii="Times New Roman" w:hAnsi="Times New Roman"/>
          <w:noProof/>
          <w:sz w:val="24"/>
        </w:rPr>
        <w:t xml:space="preserve"> die den neuen Datenreichtum der </w:t>
      </w:r>
      <w:r>
        <w:rPr>
          <w:rFonts w:ascii="Times New Roman" w:hAnsi="Times New Roman"/>
          <w:b/>
          <w:noProof/>
          <w:sz w:val="24"/>
        </w:rPr>
        <w:t>EU-Zolldatenplattform</w:t>
      </w:r>
      <w:r>
        <w:rPr>
          <w:rFonts w:ascii="Times New Roman" w:hAnsi="Times New Roman"/>
          <w:noProof/>
          <w:sz w:val="24"/>
        </w:rPr>
        <w:t xml:space="preserve"> ausschöpft;</w:t>
      </w:r>
    </w:p>
    <w:p w14:paraId="4D29748E" w14:textId="77777777" w:rsidR="00B871E8" w:rsidRPr="00CA556D" w:rsidRDefault="00B871E8" w:rsidP="00B871E8">
      <w:pPr>
        <w:numPr>
          <w:ilvl w:val="0"/>
          <w:numId w:val="3"/>
        </w:numPr>
        <w:pBdr>
          <w:top w:val="single" w:sz="4" w:space="1" w:color="auto"/>
          <w:left w:val="single" w:sz="4" w:space="4" w:color="auto"/>
          <w:bottom w:val="single" w:sz="4" w:space="1" w:color="auto"/>
          <w:right w:val="single" w:sz="4" w:space="4" w:color="auto"/>
        </w:pBdr>
        <w:shd w:val="clear" w:color="auto" w:fill="C5E0B3"/>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ein Mechanismus zur Gewährleistung einer </w:t>
      </w:r>
      <w:r>
        <w:rPr>
          <w:rFonts w:ascii="Times New Roman" w:hAnsi="Times New Roman"/>
          <w:b/>
          <w:noProof/>
          <w:sz w:val="24"/>
        </w:rPr>
        <w:t>einheitlicheren Umsetzung des Risikomanagements und der Kontrollen</w:t>
      </w:r>
      <w:r>
        <w:rPr>
          <w:rFonts w:ascii="Times New Roman" w:hAnsi="Times New Roman"/>
          <w:noProof/>
          <w:sz w:val="24"/>
        </w:rPr>
        <w:t xml:space="preserve"> an der gemeinsamen EU-Grenze für Waren;</w:t>
      </w:r>
    </w:p>
    <w:p w14:paraId="4A694CFE" w14:textId="77777777" w:rsidR="00B871E8" w:rsidRDefault="00B871E8" w:rsidP="00313B30">
      <w:pPr>
        <w:numPr>
          <w:ilvl w:val="0"/>
          <w:numId w:val="3"/>
        </w:numPr>
        <w:pBdr>
          <w:top w:val="single" w:sz="4" w:space="1" w:color="auto"/>
          <w:left w:val="single" w:sz="4" w:space="4" w:color="auto"/>
          <w:bottom w:val="single" w:sz="4" w:space="1" w:color="auto"/>
          <w:right w:val="single" w:sz="4" w:space="4" w:color="auto"/>
        </w:pBdr>
        <w:shd w:val="clear" w:color="auto" w:fill="C5E0B3"/>
        <w:spacing w:after="240" w:line="240" w:lineRule="auto"/>
        <w:ind w:left="357" w:hanging="357"/>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ein </w:t>
      </w:r>
      <w:r>
        <w:rPr>
          <w:rFonts w:ascii="Times New Roman" w:hAnsi="Times New Roman"/>
          <w:b/>
          <w:noProof/>
          <w:sz w:val="24"/>
        </w:rPr>
        <w:t>Rahmen für die Zusammenarbeit verschiedener Behörden</w:t>
      </w:r>
      <w:r>
        <w:rPr>
          <w:rFonts w:ascii="Times New Roman" w:hAnsi="Times New Roman"/>
          <w:noProof/>
          <w:sz w:val="24"/>
        </w:rPr>
        <w:t xml:space="preserve"> für den Binnenmarkt und die Zollunion;</w:t>
      </w:r>
    </w:p>
    <w:p w14:paraId="44BB8B35" w14:textId="77777777" w:rsidR="00472EFE" w:rsidRPr="00313B30" w:rsidRDefault="00472EFE" w:rsidP="00313B30">
      <w:pPr>
        <w:numPr>
          <w:ilvl w:val="0"/>
          <w:numId w:val="3"/>
        </w:numPr>
        <w:pBdr>
          <w:top w:val="single" w:sz="4" w:space="1" w:color="auto"/>
          <w:left w:val="single" w:sz="4" w:space="4" w:color="auto"/>
          <w:bottom w:val="single" w:sz="4" w:space="1" w:color="auto"/>
          <w:right w:val="single" w:sz="4" w:space="4" w:color="auto"/>
        </w:pBdr>
        <w:shd w:val="clear" w:color="auto" w:fill="C5E0B3"/>
        <w:spacing w:after="240" w:line="240" w:lineRule="auto"/>
        <w:ind w:left="357" w:hanging="357"/>
        <w:jc w:val="both"/>
        <w:rPr>
          <w:rFonts w:ascii="Times New Roman" w:eastAsia="Times New Roman" w:hAnsi="Times New Roman" w:cs="Times New Roman"/>
          <w:noProof/>
          <w:sz w:val="24"/>
          <w:szCs w:val="24"/>
        </w:rPr>
      </w:pPr>
      <w:r>
        <w:rPr>
          <w:rFonts w:ascii="Times New Roman" w:hAnsi="Times New Roman"/>
          <w:noProof/>
          <w:sz w:val="24"/>
        </w:rPr>
        <w:t xml:space="preserve">ein Verfahren zur </w:t>
      </w:r>
      <w:r>
        <w:rPr>
          <w:rFonts w:ascii="Times New Roman" w:hAnsi="Times New Roman"/>
          <w:b/>
          <w:noProof/>
          <w:sz w:val="24"/>
        </w:rPr>
        <w:t>Festlegung eines gemeinsamen Standpunkts bezüglich der Risikopriorisierung</w:t>
      </w:r>
      <w:r>
        <w:rPr>
          <w:rFonts w:ascii="Times New Roman" w:hAnsi="Times New Roman"/>
          <w:noProof/>
          <w:sz w:val="24"/>
        </w:rPr>
        <w:t>.</w:t>
      </w:r>
    </w:p>
    <w:p w14:paraId="69D84F69"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Um Bedarf und Mittel miteinander in Einklang zu bringen, stützen sich die Zollkontrollen weitgehend auf ein automatisiertes und gezieltes Risikomanagement. Derzeit setzen die Mitgliedstaaten hierfür nationale Systeme mit nationalen Daten ein, ohne eine Lieferkettenüberwachung auf EU-Ebene. Im Augenblick verfügen weder die Mitgliedstaaten noch die Kommission über einen vollständigen, EU-weiten Überblick über Sendungen, Wirtschaftsbeteiligte oder Lieferketten für Risikomanagement- und Kontrollzwecke.</w:t>
      </w:r>
    </w:p>
    <w:p w14:paraId="2A6B6336" w14:textId="60F4A7AD"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Der Europäische Rechnungshof hat beim Management </w:t>
      </w:r>
      <w:r>
        <w:rPr>
          <w:rFonts w:ascii="Times New Roman" w:hAnsi="Times New Roman"/>
          <w:b/>
          <w:noProof/>
          <w:sz w:val="24"/>
        </w:rPr>
        <w:t>finanzieller Risiken</w:t>
      </w:r>
      <w:r>
        <w:rPr>
          <w:rFonts w:ascii="Times New Roman" w:hAnsi="Times New Roman"/>
          <w:noProof/>
          <w:sz w:val="24"/>
        </w:rPr>
        <w:t xml:space="preserve"> strukturelle Herausforderungen und Mängel festgestellt, die den finanziellen Interessen der EU abträglich sind. Dem Risikomanagement in der EU </w:t>
      </w:r>
      <w:r>
        <w:rPr>
          <w:rFonts w:ascii="Times New Roman" w:hAnsi="Times New Roman"/>
          <w:i/>
          <w:noProof/>
          <w:sz w:val="24"/>
        </w:rPr>
        <w:t>fehlen wichtige Elemente, wie z. B. eine EU-weite Analyse auf der Grundlage von Daten zu allen EU-Einfuhren, angemessene Techniken der Datenextraktion („Data-Mining“), geeignete Methoden zur Bewältigung der finanziellen Risiken, die sich bei Einfuhren aus dem elektronischen Handel ergeben,</w:t>
      </w:r>
      <w:r>
        <w:rPr>
          <w:rFonts w:ascii="Times New Roman" w:hAnsi="Times New Roman"/>
          <w:noProof/>
          <w:sz w:val="24"/>
        </w:rPr>
        <w:t xml:space="preserve"> und </w:t>
      </w:r>
      <w:r>
        <w:rPr>
          <w:rFonts w:ascii="Times New Roman" w:hAnsi="Times New Roman"/>
          <w:i/>
          <w:noProof/>
          <w:sz w:val="24"/>
        </w:rPr>
        <w:t>eine einheitliche Anwendung der Zollkontrollen durch die Mitgliedstaaten, um zu verhindern, dass betrügerische Einführer gezielt Eingangszollstellen mit niedrigeren Kontrollniveaus nutzen.</w:t>
      </w:r>
    </w:p>
    <w:p w14:paraId="74C9CFF4"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Für das Management </w:t>
      </w:r>
      <w:r>
        <w:rPr>
          <w:rFonts w:ascii="Times New Roman" w:hAnsi="Times New Roman"/>
          <w:b/>
          <w:noProof/>
          <w:sz w:val="24"/>
        </w:rPr>
        <w:t>nichtfinanzieller Risiken</w:t>
      </w:r>
      <w:r>
        <w:rPr>
          <w:rFonts w:ascii="Times New Roman" w:hAnsi="Times New Roman"/>
          <w:noProof/>
          <w:sz w:val="24"/>
        </w:rPr>
        <w:t xml:space="preserve"> sind die Zollbehörden sogar noch schlechter gerüstet.</w:t>
      </w:r>
      <w:r>
        <w:rPr>
          <w:rFonts w:ascii="Times New Roman" w:hAnsi="Times New Roman"/>
          <w:b/>
          <w:noProof/>
          <w:sz w:val="24"/>
        </w:rPr>
        <w:t xml:space="preserve"> </w:t>
      </w:r>
      <w:r>
        <w:rPr>
          <w:rFonts w:ascii="Times New Roman" w:hAnsi="Times New Roman"/>
          <w:noProof/>
          <w:sz w:val="24"/>
        </w:rPr>
        <w:t xml:space="preserve">Der derzeitige Rahmen für das Risikomanagement trägt der zunehmenden Zahl und Komplexität der EU-Rechtsvorschriften, die den Zoll zur Überprüfung der Produktkonformität von Einfuhren verpflichten, nicht angemessen Rechnung. Synergien mit verwandten Politikbereichen bleiben ungenutzt. Es gibt keinen gemeinsamen Ansatz für die Priorisierung nichtfinanzieller Risiken. Stattdessen erfolgt die Priorisierung derzeit unstrukturiert und willkürlich, mit der Folge, dass es </w:t>
      </w:r>
      <w:r w:rsidRPr="0071246C">
        <w:rPr>
          <w:rFonts w:ascii="Times New Roman" w:hAnsi="Times New Roman"/>
          <w:noProof/>
          <w:sz w:val="24"/>
        </w:rPr>
        <w:t>27</w:t>
      </w:r>
      <w:r>
        <w:rPr>
          <w:rFonts w:ascii="Times New Roman" w:hAnsi="Times New Roman"/>
          <w:noProof/>
          <w:sz w:val="24"/>
        </w:rPr>
        <w:t xml:space="preserve"> unterschiedliche nationale Ansätze für Kontrollen an den EU-Grenzen für Waren gibt, was wiederum die Türen für Umleitungen, Umgehungen und Betrug weit öffnet. </w:t>
      </w:r>
    </w:p>
    <w:p w14:paraId="7D3BAC76"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Einfach ausgedrückt </w:t>
      </w:r>
      <w:r>
        <w:rPr>
          <w:rFonts w:ascii="Times New Roman" w:hAnsi="Times New Roman"/>
          <w:b/>
          <w:noProof/>
          <w:sz w:val="24"/>
        </w:rPr>
        <w:t>fehlt der EU-Zollunion ein wirksamer EU-Rahmen für das Risikomanagement</w:t>
      </w:r>
      <w:r>
        <w:rPr>
          <w:rFonts w:ascii="Times New Roman" w:hAnsi="Times New Roman"/>
          <w:noProof/>
          <w:sz w:val="24"/>
        </w:rPr>
        <w:t xml:space="preserve"> zum Schutz der EU-Grenze für Waren. Konzeptionelle Grundlage für einen ganzheitlichen EU-Rahmen für das Risikomanagement, mit dem gemeinsame Standards bei gleichzeitiger Berücksichtigung besonderer nationaler, regionaler und sektorspezifischer Merkmale angestrebt werden, bilden fünf Leitprinzipien:</w:t>
      </w:r>
    </w:p>
    <w:p w14:paraId="75542F90" w14:textId="77777777" w:rsidR="00B871E8" w:rsidRPr="00CA556D" w:rsidRDefault="00B871E8" w:rsidP="00B871E8">
      <w:pPr>
        <w:numPr>
          <w:ilvl w:val="0"/>
          <w:numId w:val="4"/>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ein</w:t>
      </w:r>
      <w:r>
        <w:rPr>
          <w:rFonts w:ascii="Times New Roman" w:hAnsi="Times New Roman"/>
          <w:b/>
          <w:noProof/>
          <w:sz w:val="24"/>
        </w:rPr>
        <w:t xml:space="preserve"> maßgeschneidertes Risikomanagement</w:t>
      </w:r>
      <w:r>
        <w:rPr>
          <w:rFonts w:ascii="Times New Roman" w:hAnsi="Times New Roman"/>
          <w:noProof/>
          <w:sz w:val="24"/>
        </w:rPr>
        <w:t>, das ein</w:t>
      </w:r>
      <w:r>
        <w:rPr>
          <w:rFonts w:ascii="Times New Roman" w:hAnsi="Times New Roman"/>
          <w:b/>
          <w:noProof/>
          <w:sz w:val="24"/>
        </w:rPr>
        <w:t xml:space="preserve"> </w:t>
      </w:r>
      <w:r>
        <w:rPr>
          <w:rFonts w:ascii="Times New Roman" w:hAnsi="Times New Roman"/>
          <w:noProof/>
          <w:sz w:val="24"/>
        </w:rPr>
        <w:t xml:space="preserve">ausgewogenes Verhältnis zwischen zentralen Grundsätzen und nationalen, regionalen bzw. sektorspezifischen Besonderheiten herstellt und dem Umgang mit nichtfinanziellen und finanziellen Risiken dient; </w:t>
      </w:r>
    </w:p>
    <w:p w14:paraId="39B19B87" w14:textId="77777777" w:rsidR="00B871E8" w:rsidRPr="00CA556D" w:rsidRDefault="00B871E8" w:rsidP="00B871E8">
      <w:pPr>
        <w:numPr>
          <w:ilvl w:val="0"/>
          <w:numId w:val="4"/>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ein </w:t>
      </w:r>
      <w:r>
        <w:rPr>
          <w:rFonts w:ascii="Times New Roman" w:hAnsi="Times New Roman"/>
          <w:b/>
          <w:noProof/>
          <w:sz w:val="24"/>
        </w:rPr>
        <w:t>dynamisches Risikomanagement</w:t>
      </w:r>
      <w:r>
        <w:rPr>
          <w:rFonts w:ascii="Times New Roman" w:hAnsi="Times New Roman"/>
          <w:noProof/>
          <w:sz w:val="24"/>
        </w:rPr>
        <w:t>, das sich an die ständigen Veränderungen in der Risikolandschaft und bei den Erkennungsinstrumenten anpasst;</w:t>
      </w:r>
    </w:p>
    <w:p w14:paraId="6DA85964" w14:textId="77777777" w:rsidR="00B871E8" w:rsidRPr="00CA556D" w:rsidRDefault="00B871E8" w:rsidP="00B871E8">
      <w:pPr>
        <w:numPr>
          <w:ilvl w:val="0"/>
          <w:numId w:val="4"/>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ein </w:t>
      </w:r>
      <w:r>
        <w:rPr>
          <w:rFonts w:ascii="Times New Roman" w:hAnsi="Times New Roman"/>
          <w:b/>
          <w:noProof/>
          <w:sz w:val="24"/>
        </w:rPr>
        <w:t>inklusives Risikomanagement</w:t>
      </w:r>
      <w:r>
        <w:rPr>
          <w:rFonts w:ascii="Times New Roman" w:hAnsi="Times New Roman"/>
          <w:noProof/>
          <w:sz w:val="24"/>
        </w:rPr>
        <w:t>, das auf der Zusammenarbeit mit anderen Behörden und „Trust &amp; Check“-Wirtschaftsbeteiligten aufbaut;</w:t>
      </w:r>
    </w:p>
    <w:p w14:paraId="6E7A38E0" w14:textId="77777777" w:rsidR="00B871E8" w:rsidRPr="00CA556D" w:rsidRDefault="00B871E8" w:rsidP="00B871E8">
      <w:pPr>
        <w:numPr>
          <w:ilvl w:val="0"/>
          <w:numId w:val="4"/>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ein </w:t>
      </w:r>
      <w:r>
        <w:rPr>
          <w:rFonts w:ascii="Times New Roman" w:hAnsi="Times New Roman"/>
          <w:b/>
          <w:noProof/>
          <w:sz w:val="24"/>
        </w:rPr>
        <w:t>datengesteuertes Risikomanagement</w:t>
      </w:r>
      <w:r>
        <w:rPr>
          <w:rFonts w:ascii="Times New Roman" w:hAnsi="Times New Roman"/>
          <w:noProof/>
          <w:sz w:val="24"/>
        </w:rPr>
        <w:t>, das alle verfügbaren Daten effizient und umfassend nutzt;</w:t>
      </w:r>
    </w:p>
    <w:p w14:paraId="61E4EAC6" w14:textId="77777777" w:rsidR="00B871E8" w:rsidRPr="001E4E0F" w:rsidRDefault="00B871E8" w:rsidP="00CA556D">
      <w:pPr>
        <w:numPr>
          <w:ilvl w:val="0"/>
          <w:numId w:val="4"/>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ein </w:t>
      </w:r>
      <w:r>
        <w:rPr>
          <w:rFonts w:ascii="Times New Roman" w:hAnsi="Times New Roman"/>
          <w:b/>
          <w:noProof/>
          <w:sz w:val="24"/>
        </w:rPr>
        <w:t>wirksames Risikomanagement</w:t>
      </w:r>
      <w:r w:rsidRPr="00496758">
        <w:rPr>
          <w:rFonts w:ascii="Times New Roman" w:hAnsi="Times New Roman"/>
          <w:noProof/>
          <w:sz w:val="24"/>
        </w:rPr>
        <w:t xml:space="preserve">, das </w:t>
      </w:r>
      <w:r>
        <w:rPr>
          <w:rFonts w:ascii="Times New Roman" w:hAnsi="Times New Roman"/>
          <w:noProof/>
          <w:sz w:val="24"/>
        </w:rPr>
        <w:t xml:space="preserve">eine einheitlichere Anwendung der Zollkontrollen entlang der gesamten gemeinsamen Außengrenze sicherstellt. </w:t>
      </w:r>
    </w:p>
    <w:p w14:paraId="260FA272" w14:textId="77777777" w:rsidR="001E4E0F" w:rsidRPr="001E4E0F"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Zwischen den Mitgliedstaaten gibt es keine Zollgrenzen, und die Kontrollen, die von einer Zollstelle durchgeführt werden, kommen allen Mitgliedstaaten zugute. Eine Entscheidung über die Kontrollintensität im Zusammenhang mit bestimmten Risiken – z. B. der Durchsetzung von Sanktionen gegen Russland – wirkt sich auf die gesamte EU aus. Aus diesem Grund muss das Risikomanagement der EU auf einer </w:t>
      </w:r>
      <w:r>
        <w:rPr>
          <w:rFonts w:ascii="Times New Roman" w:hAnsi="Times New Roman"/>
          <w:b/>
          <w:noProof/>
          <w:sz w:val="24"/>
        </w:rPr>
        <w:t>gemeinsamen Risikopriorisierung der EU-</w:t>
      </w:r>
      <w:r w:rsidRPr="0071246C">
        <w:rPr>
          <w:rFonts w:ascii="Times New Roman" w:hAnsi="Times New Roman"/>
          <w:b/>
          <w:noProof/>
          <w:sz w:val="24"/>
        </w:rPr>
        <w:t>27</w:t>
      </w:r>
      <w:r>
        <w:rPr>
          <w:rFonts w:ascii="Times New Roman" w:hAnsi="Times New Roman"/>
          <w:noProof/>
          <w:sz w:val="24"/>
        </w:rPr>
        <w:t xml:space="preserve"> beruhen. Im Hinblick auf finanzielle Risiken legt die Kommission bereits bestimmte vorrangige Kontrollbereiche und gemeinsame Risikokriterien fest, die von den Mitgliedstaaten umzusetzen sind. Angesichts der zunehmenden Zahl nichtfinanzieller Risiken, die von den Zollbehörden bewältigt werden müssen, wird mit dieser Reform für diese nichtfinanziellen Risiken ein ähnliches Verfahren eingeführt. Diese Risikopriorisierung wird der EU-Zollbehörde (siehe auch Kasten </w:t>
      </w:r>
      <w:r w:rsidRPr="0071246C">
        <w:rPr>
          <w:rFonts w:ascii="Times New Roman" w:hAnsi="Times New Roman"/>
          <w:noProof/>
          <w:sz w:val="24"/>
        </w:rPr>
        <w:t>5</w:t>
      </w:r>
      <w:r>
        <w:rPr>
          <w:rFonts w:ascii="Times New Roman" w:hAnsi="Times New Roman"/>
          <w:noProof/>
          <w:sz w:val="24"/>
        </w:rPr>
        <w:t xml:space="preserve">) bei der Durchführung des operationellen Risikomanagements auf EU-Ebene und den Zollbehörden der Mitgliedstaaten bei ihren Kontrollentscheidungen als Richtschnur dienen. Da es sich bei diesem Thema auch um eine politische Angelegenheit handelt, könnte die Gewichtung und Priorisierung von Risiken künftig auch Gegenstand von Erörterungen auf politischer Ebene im Rat sein. </w:t>
      </w:r>
    </w:p>
    <w:p w14:paraId="40D7B433"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Angesichts der unterschiedlichen Arten nichtfinanzieller Risiken (Sicherheit, Gefahrenabwehr, Umwelt usw.) hängt die effizienteste Durchsetzungsstrategie von der Art der sektorspezifischen Rechtsvorschriften ab. Bei allen nichtfinanziellen Risiken ist eine</w:t>
      </w:r>
      <w:r>
        <w:rPr>
          <w:rFonts w:ascii="Times New Roman" w:hAnsi="Times New Roman"/>
          <w:b/>
          <w:noProof/>
          <w:sz w:val="24"/>
        </w:rPr>
        <w:t xml:space="preserve"> engere strategische und operative Zusammenarbeit zwischen Zoll- und Nichtzollbehörden</w:t>
      </w:r>
      <w:r>
        <w:rPr>
          <w:rFonts w:ascii="Times New Roman" w:hAnsi="Times New Roman"/>
          <w:noProof/>
          <w:sz w:val="24"/>
        </w:rPr>
        <w:t xml:space="preserve"> (z. B. Marktüberwachungs-, Strafverfolgungs-, Grenzmanagement- und Steuerbehörden) dringend erforderlich. Eine solche Koordinierung sollte mit einer inklusiveren und ganzheitlicheren Politikgestaltung beginnen, wobei den Aufgaben der jeweiligen vorgelagerten Behörden und möglichen Synergien Rechnung zu tragen ist. Dies müsste den Weg für einen stärker strategisch ausgerichteten Ansatz bei der Durchsetzung von Produktnormen im Binnenmarkt ebnen. Ein solcher strategischer Ansatz muss auf operativer Ebene durch Datenaustausch und gemeinsame Risikoanalyse ergänzt werden.</w:t>
      </w:r>
      <w:r>
        <w:rPr>
          <w:rStyle w:val="FootnoteReference"/>
          <w:rFonts w:ascii="Times New Roman" w:eastAsia="Times New Roman" w:hAnsi="Times New Roman" w:cs="Times New Roman"/>
          <w:noProof/>
          <w:sz w:val="24"/>
          <w:szCs w:val="20"/>
          <w:lang w:val="en-IE" w:eastAsia="en-IE"/>
        </w:rPr>
        <w:footnoteReference w:id="36"/>
      </w:r>
      <w:r>
        <w:rPr>
          <w:rFonts w:ascii="Times New Roman" w:hAnsi="Times New Roman"/>
          <w:noProof/>
          <w:sz w:val="24"/>
        </w:rPr>
        <w:t xml:space="preserve"> Die auf der EU-Single-Window-Umgebung für den Zoll (EU CSW) und dem neuen Einfuhrkontrollsystem </w:t>
      </w:r>
      <w:r w:rsidRPr="0071246C">
        <w:rPr>
          <w:rFonts w:ascii="Times New Roman" w:hAnsi="Times New Roman"/>
          <w:noProof/>
          <w:sz w:val="24"/>
        </w:rPr>
        <w:t>2</w:t>
      </w:r>
      <w:r>
        <w:rPr>
          <w:rFonts w:ascii="Times New Roman" w:hAnsi="Times New Roman"/>
          <w:noProof/>
          <w:sz w:val="24"/>
        </w:rPr>
        <w:t xml:space="preserve"> (ICS</w:t>
      </w:r>
      <w:r w:rsidRPr="0071246C">
        <w:rPr>
          <w:rFonts w:ascii="Times New Roman" w:hAnsi="Times New Roman"/>
          <w:noProof/>
          <w:sz w:val="24"/>
        </w:rPr>
        <w:t>2</w:t>
      </w:r>
      <w:r>
        <w:rPr>
          <w:rFonts w:ascii="Times New Roman" w:hAnsi="Times New Roman"/>
          <w:noProof/>
          <w:sz w:val="24"/>
        </w:rPr>
        <w:t>) aufbauende EU-Zolldatenplattform wird die gemeinsame Nutzung von Daten ermöglichen, die über den automatisierten Abgleich von Bewilligungen oder den Austausch von Dokumenten hinausgeht und auf die Entwicklung gemeinsamer Risikomanagementstrategien abzielt. Ergänzt wird dies durch die Einführung des digitalen Produktpasses, der die digitale Identifizierung von Einzelprodukten, Chargen oder Modellen ermöglicht und den Zugang zu Daten über deren Herkunft, die Anwesenheit gefährlicher Stoffe oder kritischer Rohmaterialien sowie zu sonstigen Angaben über ihre Zusammensetzung und Nachhaltigkeit gewährleistet. Darüber hinaus können Informationen anderer zuständiger Behörden über chemische Stoffe, die Beschränkungen unterliegen, oder über nicht konforme Lieferketten, die in einem Mitgliedstaat aufgedeckt wurden, direkt in die gemeinsame Risikoanalyse einfließen, wodurch die Erkenntnisse für die Kontrollentscheidungen aller Mitgliedstaaten verbessert werden.</w:t>
      </w:r>
      <w:r>
        <w:rPr>
          <w:rStyle w:val="FootnoteReference"/>
          <w:rFonts w:ascii="Times New Roman" w:eastAsia="Times New Roman" w:hAnsi="Times New Roman" w:cs="Times New Roman"/>
          <w:noProof/>
          <w:sz w:val="24"/>
          <w:szCs w:val="20"/>
          <w:lang w:val="en-IE" w:eastAsia="en-IE"/>
        </w:rPr>
        <w:footnoteReference w:id="37"/>
      </w:r>
    </w:p>
    <w:p w14:paraId="2E28D8A1" w14:textId="77777777" w:rsidR="00B871E8" w:rsidRPr="00CA556D" w:rsidRDefault="00B871E8" w:rsidP="00B871E8">
      <w:pPr>
        <w:keepNext/>
        <w:pBdr>
          <w:top w:val="single" w:sz="4" w:space="1" w:color="auto"/>
          <w:left w:val="single" w:sz="4" w:space="4" w:color="auto"/>
          <w:bottom w:val="single" w:sz="4" w:space="1" w:color="auto"/>
          <w:right w:val="single" w:sz="4" w:space="4" w:color="auto"/>
        </w:pBdr>
        <w:shd w:val="clear" w:color="auto" w:fill="C5E0B3"/>
        <w:spacing w:after="120" w:line="240" w:lineRule="auto"/>
        <w:jc w:val="both"/>
        <w:rPr>
          <w:rFonts w:ascii="Times New Roman" w:eastAsia="Times New Roman" w:hAnsi="Times New Roman" w:cs="Times New Roman"/>
          <w:b/>
          <w:bCs/>
          <w:noProof/>
          <w:sz w:val="24"/>
          <w:szCs w:val="24"/>
          <w:u w:val="single"/>
        </w:rPr>
      </w:pPr>
      <w:bookmarkStart w:id="22" w:name="_Toc129165632"/>
      <w:bookmarkStart w:id="23" w:name="_Toc129686585"/>
      <w:r>
        <w:rPr>
          <w:rFonts w:ascii="Times New Roman" w:hAnsi="Times New Roman"/>
          <w:b/>
          <w:noProof/>
          <w:sz w:val="24"/>
          <w:u w:val="single"/>
        </w:rPr>
        <w:t>Kasten </w:t>
      </w:r>
      <w:r w:rsidRPr="0071246C">
        <w:rPr>
          <w:rFonts w:ascii="Times New Roman" w:hAnsi="Times New Roman"/>
          <w:b/>
          <w:noProof/>
          <w:sz w:val="24"/>
          <w:u w:val="single"/>
        </w:rPr>
        <w:t>5</w:t>
      </w:r>
      <w:r>
        <w:rPr>
          <w:rFonts w:ascii="Times New Roman" w:hAnsi="Times New Roman"/>
          <w:b/>
          <w:noProof/>
          <w:sz w:val="24"/>
          <w:u w:val="single"/>
        </w:rPr>
        <w:t>: Aufgaben der EU-Zollbehörde</w:t>
      </w:r>
      <w:bookmarkEnd w:id="22"/>
      <w:bookmarkEnd w:id="23"/>
      <w:r>
        <w:rPr>
          <w:rFonts w:ascii="Times New Roman" w:hAnsi="Times New Roman"/>
          <w:b/>
          <w:noProof/>
          <w:sz w:val="24"/>
          <w:u w:val="single"/>
        </w:rPr>
        <w:t xml:space="preserve"> </w:t>
      </w:r>
    </w:p>
    <w:p w14:paraId="700B52A1" w14:textId="77777777" w:rsidR="00B871E8" w:rsidRPr="00CA556D" w:rsidRDefault="00B871E8" w:rsidP="00946127">
      <w:pPr>
        <w:pBdr>
          <w:top w:val="single" w:sz="4" w:space="1" w:color="auto"/>
          <w:left w:val="single" w:sz="4" w:space="4" w:color="auto"/>
          <w:bottom w:val="single" w:sz="4" w:space="1" w:color="auto"/>
          <w:right w:val="single" w:sz="4" w:space="4" w:color="auto"/>
        </w:pBdr>
        <w:shd w:val="clear" w:color="auto" w:fill="C5E0B3"/>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Erstens wird die EU-Zollbehörde das Fachwissen im Zollwesen zur Durchführung des EU-weiten Risikomanagements auf zentraler Ebene bündeln</w:t>
      </w:r>
      <w:r>
        <w:rPr>
          <w:rFonts w:ascii="Times New Roman" w:hAnsi="Times New Roman"/>
          <w:noProof/>
          <w:sz w:val="24"/>
        </w:rPr>
        <w:t xml:space="preserve"> und die Fülle der fortlaufend aktualisierten Daten der EU-Zolldatenplattform für die Risikoanalyse nutzen. Auf der Grundlage dieser Analyse wird die EU-Zollbehörde </w:t>
      </w:r>
      <w:r>
        <w:rPr>
          <w:rFonts w:ascii="Times New Roman" w:hAnsi="Times New Roman"/>
          <w:b/>
          <w:noProof/>
          <w:sz w:val="24"/>
        </w:rPr>
        <w:t>Kontrollempfehlungen</w:t>
      </w:r>
      <w:r>
        <w:rPr>
          <w:rFonts w:ascii="Times New Roman" w:hAnsi="Times New Roman"/>
          <w:noProof/>
          <w:sz w:val="24"/>
        </w:rPr>
        <w:t xml:space="preserve"> an die nationalen Zollbehörden richten, die diese umsetzen müssen oder deren Nichtumsetzung sie begründen müssen. Ein </w:t>
      </w:r>
      <w:r>
        <w:rPr>
          <w:rFonts w:ascii="Times New Roman" w:hAnsi="Times New Roman"/>
          <w:b/>
          <w:noProof/>
          <w:sz w:val="24"/>
        </w:rPr>
        <w:t>gemeinsames Risikomanagement</w:t>
      </w:r>
      <w:r>
        <w:rPr>
          <w:rFonts w:ascii="Times New Roman" w:hAnsi="Times New Roman"/>
          <w:noProof/>
          <w:sz w:val="24"/>
        </w:rPr>
        <w:t xml:space="preserve">, das in der Praxis zu einer einheitlicheren Anwendung von Zollkontrollen führt, wird zur Schaffung einer echten gemeinsamen Außengrenze für Waren beitragen. Diese ist von zentraler Bedeutung für die Bekämpfung des „Grenz-Shopping“, einer gängigen Praxis, mit der die Integrität des Binnenmarkts untergraben wird und bei der Wirtschaftsbeteiligte Schwachstellen an den EU-Außengrenzen nutzen, um illegale Waren in den Binnenmarkt zu verbringen. </w:t>
      </w:r>
      <w:r>
        <w:rPr>
          <w:rFonts w:ascii="Times New Roman" w:hAnsi="Times New Roman"/>
          <w:b/>
          <w:noProof/>
          <w:sz w:val="24"/>
        </w:rPr>
        <w:t xml:space="preserve">Durch den Informationsaustausch verstärken sich das Risikomanagement auf EU-Ebene und die nationalen Risikomanagementstrategien gegenseitig. </w:t>
      </w:r>
      <w:r>
        <w:rPr>
          <w:rFonts w:ascii="Times New Roman" w:hAnsi="Times New Roman"/>
          <w:noProof/>
          <w:sz w:val="24"/>
        </w:rPr>
        <w:t xml:space="preserve">Die nationalen Zollbehörden werden weiterhin Risikoanalysen auf nationaler Ebene erstellen und ein auf das Risikoprofil eines bestimmten Mitgliedstaats zugeschnittenes Risikomanagement umsetzen, dem erheblich verbesserte, von der EU-Zolldatenplattform und den durch sie unterstützten Kooperationsnetzen bereitgestellte Erkenntnisse zugrunde liegen werden. </w:t>
      </w:r>
    </w:p>
    <w:p w14:paraId="7D6DE8E4" w14:textId="05255A95" w:rsidR="00B871E8" w:rsidRPr="00CA556D" w:rsidRDefault="00B871E8" w:rsidP="004A42E2">
      <w:pPr>
        <w:pBdr>
          <w:top w:val="single" w:sz="4" w:space="1" w:color="auto"/>
          <w:left w:val="single" w:sz="4" w:space="4" w:color="auto"/>
          <w:bottom w:val="single" w:sz="4" w:space="1" w:color="auto"/>
          <w:right w:val="single" w:sz="4" w:space="4" w:color="auto"/>
        </w:pBdr>
        <w:shd w:val="clear" w:color="auto" w:fill="C5E0B3" w:themeFill="accent6" w:themeFillTint="66"/>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Zweitens wird die EU-Zollbehörde das operative Krisenmanagement koordinieren</w:t>
      </w:r>
      <w:r>
        <w:rPr>
          <w:rFonts w:ascii="Times New Roman" w:hAnsi="Times New Roman"/>
          <w:noProof/>
          <w:sz w:val="24"/>
        </w:rPr>
        <w:t xml:space="preserve">. Im Rahmen der geltenden EU-Rechtsvorschriften wird die EU-Zollbehörde Protokolle und Verfahren für verschiedene Krisenszenarios entwickeln und ihre Anwendung sicherstellen. Außerdem wird die EU-Zollbehörde als </w:t>
      </w:r>
      <w:r>
        <w:rPr>
          <w:rFonts w:ascii="Times New Roman" w:hAnsi="Times New Roman"/>
          <w:b/>
          <w:noProof/>
          <w:sz w:val="24"/>
        </w:rPr>
        <w:t>zentrale Kontaktstelle in Zollsachen für Nichtzollbehörden</w:t>
      </w:r>
      <w:r>
        <w:rPr>
          <w:rFonts w:ascii="Times New Roman" w:hAnsi="Times New Roman"/>
          <w:noProof/>
          <w:sz w:val="24"/>
        </w:rPr>
        <w:t xml:space="preserve"> (z. B. Marktüberwachungs- oder Strafverfolgungsbehörden einschließlich Europol) fungieren, die für die Wahrung der Integrität des Binnenmarktes verantwortlich sind.</w:t>
      </w:r>
      <w:r>
        <w:rPr>
          <w:rStyle w:val="FootnoteReference"/>
          <w:rFonts w:ascii="Times New Roman" w:eastAsia="Times New Roman" w:hAnsi="Times New Roman" w:cs="Times New Roman"/>
          <w:noProof/>
          <w:sz w:val="24"/>
          <w:szCs w:val="20"/>
          <w:lang w:val="en-IE" w:eastAsia="en-IE"/>
        </w:rPr>
        <w:footnoteReference w:id="38"/>
      </w:r>
      <w:r>
        <w:rPr>
          <w:rFonts w:ascii="Times New Roman" w:hAnsi="Times New Roman"/>
          <w:noProof/>
          <w:sz w:val="24"/>
        </w:rPr>
        <w:t xml:space="preserve"> Während die EU-Zolldatenplattform </w:t>
      </w:r>
      <w:r w:rsidR="00997EF0">
        <w:rPr>
          <w:rFonts w:ascii="Times New Roman" w:hAnsi="Times New Roman"/>
          <w:noProof/>
          <w:sz w:val="24"/>
        </w:rPr>
        <w:t>Informationstechnologien</w:t>
      </w:r>
      <w:r>
        <w:rPr>
          <w:rFonts w:ascii="Times New Roman" w:hAnsi="Times New Roman"/>
          <w:noProof/>
          <w:sz w:val="24"/>
        </w:rPr>
        <w:t xml:space="preserve"> und unterstützende Daten bereitstellt und die Integration innovativer Datenquellen wie des digitalen Produktpasses gewährleistet, wird die EU-Zollbehörde die operative Zusammenarbeit und Koordinierung mit den einschlägigen Stellen, einschließlich EU-Agenturen wie Europol und Frontex, sicherstellen. Zwischen diesen beiden Aufgabenbereichen bestehen starke Synergien, da die neue EU-Risikomanagementkapazität in der EU-Zollbehörde auch eine schnellere, wirksamere und umfassendere Ausrichtung auf krisenbedingte Risiken und eine stärkere behördenübergreifende Zusammenarbeit ermöglichen wird, als dies derzeit möglich ist.</w:t>
      </w:r>
    </w:p>
    <w:p w14:paraId="7C8C5D26" w14:textId="2BC4AB59" w:rsidR="00B871E8" w:rsidRPr="00CA556D" w:rsidRDefault="00B871E8" w:rsidP="00B871E8">
      <w:pPr>
        <w:pBdr>
          <w:top w:val="single" w:sz="4" w:space="1" w:color="auto"/>
          <w:left w:val="single" w:sz="4" w:space="4" w:color="auto"/>
          <w:bottom w:val="single" w:sz="4" w:space="1" w:color="auto"/>
          <w:right w:val="single" w:sz="4" w:space="4" w:color="auto"/>
        </w:pBdr>
        <w:shd w:val="clear" w:color="auto" w:fill="C5E0B3"/>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Drittens kann die Kommission die EU-Zollbehörde mit der Entwicklung und Pflege der EU-Zolldatenplattform</w:t>
      </w:r>
      <w:r>
        <w:rPr>
          <w:rFonts w:ascii="Times New Roman" w:hAnsi="Times New Roman"/>
          <w:noProof/>
          <w:sz w:val="24"/>
        </w:rPr>
        <w:t xml:space="preserve"> sowie der Aufsicht über die Migration und Integration bestehender IT-Systeme für den Zoll im weiteren Zeitverlauf </w:t>
      </w:r>
      <w:r>
        <w:rPr>
          <w:rFonts w:ascii="Times New Roman" w:hAnsi="Times New Roman"/>
          <w:b/>
          <w:noProof/>
          <w:sz w:val="24"/>
        </w:rPr>
        <w:t>beauftragen</w:t>
      </w:r>
      <w:r>
        <w:rPr>
          <w:rFonts w:ascii="Times New Roman" w:hAnsi="Times New Roman"/>
          <w:noProof/>
          <w:sz w:val="24"/>
        </w:rPr>
        <w:t>. Darüber hinaus kann die Kommission gegebenenfalls die Durchführung künftiger Zollprogramme, die aus dem EU-Haushalt finanzi</w:t>
      </w:r>
      <w:r w:rsidR="0071246C">
        <w:rPr>
          <w:rFonts w:ascii="Times New Roman" w:hAnsi="Times New Roman"/>
          <w:noProof/>
          <w:sz w:val="24"/>
        </w:rPr>
        <w:t>ert werden, delegieren.</w:t>
      </w:r>
    </w:p>
    <w:p w14:paraId="2FDE716B" w14:textId="77777777" w:rsidR="00B871E8" w:rsidRPr="00CA556D" w:rsidRDefault="00CA556D" w:rsidP="00FD3085">
      <w:pPr>
        <w:pStyle w:val="Heading1"/>
        <w:rPr>
          <w:noProof/>
        </w:rPr>
      </w:pPr>
      <w:bookmarkStart w:id="24" w:name="_Toc129620917"/>
      <w:bookmarkStart w:id="25" w:name="_Toc129620918"/>
      <w:bookmarkStart w:id="26" w:name="_Toc129620919"/>
      <w:bookmarkStart w:id="27" w:name="_Toc129620920"/>
      <w:bookmarkStart w:id="28" w:name="_Toc129620921"/>
      <w:bookmarkStart w:id="29" w:name="_Toc129620922"/>
      <w:bookmarkStart w:id="30" w:name="_Toc129960271"/>
      <w:bookmarkEnd w:id="24"/>
      <w:bookmarkEnd w:id="25"/>
      <w:bookmarkEnd w:id="26"/>
      <w:bookmarkEnd w:id="27"/>
      <w:bookmarkEnd w:id="28"/>
      <w:bookmarkEnd w:id="29"/>
      <w:r w:rsidRPr="0071246C">
        <w:rPr>
          <w:noProof/>
        </w:rPr>
        <w:t>6</w:t>
      </w:r>
      <w:r>
        <w:rPr>
          <w:noProof/>
        </w:rPr>
        <w:t xml:space="preserve">. </w:t>
      </w:r>
      <w:bookmarkStart w:id="31" w:name="_Toc126948384"/>
      <w:bookmarkStart w:id="32" w:name="_Toc129165635"/>
      <w:bookmarkStart w:id="33" w:name="_Toc129686588"/>
      <w:r>
        <w:rPr>
          <w:noProof/>
        </w:rPr>
        <w:t>Zeitplan für die Reform</w:t>
      </w:r>
      <w:bookmarkEnd w:id="30"/>
      <w:bookmarkEnd w:id="31"/>
      <w:bookmarkEnd w:id="32"/>
      <w:bookmarkEnd w:id="33"/>
      <w:r>
        <w:rPr>
          <w:noProof/>
        </w:rPr>
        <w:t xml:space="preserve"> </w:t>
      </w:r>
    </w:p>
    <w:p w14:paraId="03B1DE08"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Reform wird in den kommenden </w:t>
      </w:r>
      <w:r w:rsidRPr="0071246C">
        <w:rPr>
          <w:rFonts w:ascii="Times New Roman" w:hAnsi="Times New Roman"/>
          <w:noProof/>
          <w:sz w:val="24"/>
        </w:rPr>
        <w:t>10</w:t>
      </w:r>
      <w:r>
        <w:rPr>
          <w:rFonts w:ascii="Times New Roman" w:hAnsi="Times New Roman"/>
          <w:noProof/>
          <w:sz w:val="24"/>
        </w:rPr>
        <w:t xml:space="preserve"> bis </w:t>
      </w:r>
      <w:r w:rsidRPr="0071246C">
        <w:rPr>
          <w:rFonts w:ascii="Times New Roman" w:hAnsi="Times New Roman"/>
          <w:noProof/>
          <w:sz w:val="24"/>
        </w:rPr>
        <w:t>15</w:t>
      </w:r>
      <w:r>
        <w:rPr>
          <w:rFonts w:ascii="Times New Roman" w:hAnsi="Times New Roman"/>
          <w:noProof/>
          <w:sz w:val="24"/>
        </w:rPr>
        <w:t xml:space="preserve"> Jahren schrittweise umgesetzt werden. Dadurch wird sichergestellt, dass sich die Reform von </w:t>
      </w:r>
      <w:r w:rsidRPr="0071246C">
        <w:rPr>
          <w:rFonts w:ascii="Times New Roman" w:hAnsi="Times New Roman"/>
          <w:noProof/>
          <w:sz w:val="24"/>
        </w:rPr>
        <w:t>2016</w:t>
      </w:r>
      <w:r>
        <w:rPr>
          <w:rFonts w:ascii="Times New Roman" w:hAnsi="Times New Roman"/>
          <w:noProof/>
          <w:sz w:val="24"/>
        </w:rPr>
        <w:t xml:space="preserve"> festigen kann und die Vorteile des neuen Modells schrittweise zum Tragen kommen, ohne dass die Zollvorgänge gestört werden. Während einige wichtige Bestimmungen der neuen UZK-Verordnung kurz nach der Annahme gelten werden, wird es einen Übergangszeitraum geben, in dem einige der derzeitigen Verfahren weiterbestehen werden. </w:t>
      </w:r>
    </w:p>
    <w:p w14:paraId="599F894F" w14:textId="228738FB" w:rsidR="00B871E8" w:rsidRPr="00CA556D" w:rsidRDefault="00B871E8" w:rsidP="00B871E8">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EU-Zolldatenplattform soll nach und nach entwickelt und eingeführt werden und dabei auf einigen bestehenden IT-Systemen für den Zoll aufbauen sowie andere IT-Systeme für den Zoll, den digitalen Produktpass sowie Systeme, die im Rahmen der laufenden UZK-IT-Reform umgesetzt werden sollen, integrieren. Die EU-Zolldatenplattform wird zunächst in </w:t>
      </w:r>
      <w:r w:rsidR="00997EF0">
        <w:rPr>
          <w:rFonts w:ascii="Times New Roman" w:hAnsi="Times New Roman"/>
          <w:noProof/>
          <w:sz w:val="24"/>
        </w:rPr>
        <w:t>eingeschränkter</w:t>
      </w:r>
      <w:r>
        <w:rPr>
          <w:rFonts w:ascii="Times New Roman" w:hAnsi="Times New Roman"/>
          <w:noProof/>
          <w:sz w:val="24"/>
        </w:rPr>
        <w:t xml:space="preserve"> Form eingerichtet, um zur Lösung des dringendsten Problems, nämlich des elektronischen Handels, beizutragen. Die maßgeschneiderte Zollregelung für den elektronischen Handel wird ab </w:t>
      </w:r>
      <w:r w:rsidRPr="0071246C">
        <w:rPr>
          <w:rFonts w:ascii="Times New Roman" w:hAnsi="Times New Roman"/>
          <w:noProof/>
          <w:sz w:val="24"/>
        </w:rPr>
        <w:t>2028</w:t>
      </w:r>
      <w:r>
        <w:rPr>
          <w:rFonts w:ascii="Times New Roman" w:hAnsi="Times New Roman"/>
          <w:noProof/>
          <w:sz w:val="24"/>
        </w:rPr>
        <w:t xml:space="preserve"> gelten, wenn die EU-Zolldatenplattform in einer ersten eingeschränkten Phase in Betrieb geht. In einem zweiten Schritt werden bereits zentralisierte IT-Systeme für den Zoll</w:t>
      </w:r>
      <w:r>
        <w:rPr>
          <w:rFonts w:ascii="Times New Roman" w:eastAsia="Times New Roman" w:hAnsi="Times New Roman" w:cs="Times New Roman"/>
          <w:noProof/>
          <w:sz w:val="24"/>
          <w:szCs w:val="24"/>
          <w:vertAlign w:val="superscript"/>
          <w:lang w:val="en-IE" w:eastAsia="en-IE"/>
        </w:rPr>
        <w:footnoteReference w:id="39"/>
      </w:r>
      <w:r>
        <w:rPr>
          <w:rFonts w:ascii="Times New Roman" w:hAnsi="Times New Roman"/>
          <w:noProof/>
          <w:sz w:val="24"/>
        </w:rPr>
        <w:t xml:space="preserve"> migriert, und anschließend könnte die Migration der verbleibenden nationalen IT-Systeme erfolgen. Die Wirtschaftsbeteiligten sollen die EU-Zolldatenplattform ab dem </w:t>
      </w:r>
      <w:r w:rsidRPr="0071246C">
        <w:rPr>
          <w:rFonts w:ascii="Times New Roman" w:hAnsi="Times New Roman"/>
          <w:noProof/>
          <w:sz w:val="24"/>
        </w:rPr>
        <w:t>1</w:t>
      </w:r>
      <w:r>
        <w:rPr>
          <w:rFonts w:ascii="Times New Roman" w:hAnsi="Times New Roman"/>
          <w:noProof/>
          <w:sz w:val="24"/>
        </w:rPr>
        <w:t xml:space="preserve">. Januar </w:t>
      </w:r>
      <w:r w:rsidRPr="0071246C">
        <w:rPr>
          <w:rFonts w:ascii="Times New Roman" w:hAnsi="Times New Roman"/>
          <w:noProof/>
          <w:sz w:val="24"/>
        </w:rPr>
        <w:t>2032</w:t>
      </w:r>
      <w:r>
        <w:rPr>
          <w:rFonts w:ascii="Times New Roman" w:hAnsi="Times New Roman"/>
          <w:noProof/>
          <w:sz w:val="24"/>
        </w:rPr>
        <w:t xml:space="preserve"> nutzen können; ab dem </w:t>
      </w:r>
      <w:r w:rsidRPr="0071246C">
        <w:rPr>
          <w:rFonts w:ascii="Times New Roman" w:hAnsi="Times New Roman"/>
          <w:noProof/>
          <w:sz w:val="24"/>
        </w:rPr>
        <w:t>1</w:t>
      </w:r>
      <w:r>
        <w:rPr>
          <w:rFonts w:ascii="Times New Roman" w:hAnsi="Times New Roman"/>
          <w:noProof/>
          <w:sz w:val="24"/>
        </w:rPr>
        <w:t xml:space="preserve">. Januar </w:t>
      </w:r>
      <w:r w:rsidRPr="0071246C">
        <w:rPr>
          <w:rFonts w:ascii="Times New Roman" w:hAnsi="Times New Roman"/>
          <w:noProof/>
          <w:sz w:val="24"/>
        </w:rPr>
        <w:t>2038</w:t>
      </w:r>
      <w:r>
        <w:rPr>
          <w:rFonts w:ascii="Times New Roman" w:hAnsi="Times New Roman"/>
          <w:noProof/>
          <w:sz w:val="24"/>
        </w:rPr>
        <w:t xml:space="preserve"> wäre die Verwendung verpflichtend. </w:t>
      </w:r>
    </w:p>
    <w:p w14:paraId="58638293"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EU-Zollbehörde soll ihre Arbeit am </w:t>
      </w:r>
      <w:r w:rsidRPr="0071246C">
        <w:rPr>
          <w:rFonts w:ascii="Times New Roman" w:hAnsi="Times New Roman"/>
          <w:noProof/>
          <w:sz w:val="24"/>
        </w:rPr>
        <w:t>1</w:t>
      </w:r>
      <w:r>
        <w:rPr>
          <w:rFonts w:ascii="Times New Roman" w:hAnsi="Times New Roman"/>
          <w:noProof/>
          <w:sz w:val="24"/>
        </w:rPr>
        <w:t xml:space="preserve">. Januar </w:t>
      </w:r>
      <w:r w:rsidRPr="0071246C">
        <w:rPr>
          <w:rFonts w:ascii="Times New Roman" w:hAnsi="Times New Roman"/>
          <w:noProof/>
          <w:sz w:val="24"/>
        </w:rPr>
        <w:t>2028</w:t>
      </w:r>
      <w:r>
        <w:rPr>
          <w:rFonts w:ascii="Times New Roman" w:hAnsi="Times New Roman"/>
          <w:noProof/>
          <w:sz w:val="24"/>
        </w:rPr>
        <w:t xml:space="preserve"> aufnehmen und wird hinsichtlich ihrer Zuständigkeiten im Bereich des Risiko- und Krisenmanagements unmittelbar einsatzbereit sein. Sie wird ihren Aufgabenbereich schrittweise mit der Einführung der EU-Zolldatenplattform erweitern, wobei sie künftig mit Zuständigkeiten betraut werden kann, die über das hinausgehen können, was in diesem Reformvorschlag festgelegt wird. Bis </w:t>
      </w:r>
      <w:r w:rsidRPr="0071246C">
        <w:rPr>
          <w:rFonts w:ascii="Times New Roman" w:hAnsi="Times New Roman"/>
          <w:noProof/>
          <w:sz w:val="24"/>
        </w:rPr>
        <w:t>2028</w:t>
      </w:r>
      <w:r>
        <w:rPr>
          <w:rFonts w:ascii="Times New Roman" w:hAnsi="Times New Roman"/>
          <w:noProof/>
          <w:sz w:val="24"/>
        </w:rPr>
        <w:t xml:space="preserve"> werden die Kommissionsdienststellen ihre Tätigkeiten im Bereich des Risikomanagements fortsetzen, die mit der derzeitigen Reform im Einklang stehen und dazu beitragen, den Weg für ihre Umsetzung zu ebnen. Die Einführung wichtiger Infrastrukturen wie des ICS</w:t>
      </w:r>
      <w:r w:rsidRPr="0071246C">
        <w:rPr>
          <w:rFonts w:ascii="Times New Roman" w:hAnsi="Times New Roman"/>
          <w:noProof/>
          <w:sz w:val="24"/>
        </w:rPr>
        <w:t>2</w:t>
      </w:r>
      <w:r>
        <w:rPr>
          <w:rFonts w:ascii="Times New Roman" w:hAnsi="Times New Roman"/>
          <w:noProof/>
          <w:sz w:val="24"/>
        </w:rPr>
        <w:t xml:space="preserve"> und des Zollrisikomanagementsystems (CRMS</w:t>
      </w:r>
      <w:r w:rsidRPr="0071246C">
        <w:rPr>
          <w:rFonts w:ascii="Times New Roman" w:hAnsi="Times New Roman"/>
          <w:noProof/>
          <w:sz w:val="24"/>
        </w:rPr>
        <w:t>2</w:t>
      </w:r>
      <w:r>
        <w:rPr>
          <w:rFonts w:ascii="Times New Roman" w:hAnsi="Times New Roman"/>
          <w:noProof/>
          <w:sz w:val="24"/>
        </w:rPr>
        <w:t xml:space="preserve">) sowie die Stärkung der Datenanalysekapazitäten innerhalb der Kommission werden nicht nur dazu beitragen, die EU-Zollunion auf kurze Sicht besser zu verwalten, sondern auch sicherstellen, dass die EU-Zollbehörde so ausgestattet ist, dass sie ihre Aufgaben von Anfang an erfüllen kann. </w:t>
      </w:r>
    </w:p>
    <w:p w14:paraId="7C952A4C" w14:textId="3630AD1C" w:rsidR="00B871E8" w:rsidRDefault="00C35A09" w:rsidP="00C93F61">
      <w:pPr>
        <w:spacing w:after="240" w:line="240" w:lineRule="auto"/>
        <w:rPr>
          <w:rFonts w:ascii="Times New Roman" w:eastAsia="Times New Roman" w:hAnsi="Times New Roman" w:cs="Times New Roman"/>
          <w:noProof/>
          <w:sz w:val="24"/>
          <w:szCs w:val="20"/>
        </w:rPr>
      </w:pPr>
      <w:r>
        <w:rPr>
          <w:noProof/>
          <w:lang w:val="en-GB" w:eastAsia="en-GB"/>
        </w:rPr>
        <w:drawing>
          <wp:inline distT="0" distB="0" distL="0" distR="0" wp14:anchorId="046DE012" wp14:editId="03A00F98">
            <wp:extent cx="5760720" cy="2416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416175"/>
                    </a:xfrm>
                    <a:prstGeom prst="rect">
                      <a:avLst/>
                    </a:prstGeom>
                  </pic:spPr>
                </pic:pic>
              </a:graphicData>
            </a:graphic>
          </wp:inline>
        </w:drawing>
      </w:r>
    </w:p>
    <w:p w14:paraId="0184B134" w14:textId="77777777" w:rsidR="00B871E8" w:rsidRPr="00CA556D" w:rsidRDefault="00CA556D" w:rsidP="00FD3085">
      <w:pPr>
        <w:pStyle w:val="Heading1"/>
        <w:rPr>
          <w:noProof/>
        </w:rPr>
      </w:pPr>
      <w:bookmarkStart w:id="34" w:name="_Toc129960272"/>
      <w:r w:rsidRPr="0071246C">
        <w:rPr>
          <w:noProof/>
        </w:rPr>
        <w:t>7</w:t>
      </w:r>
      <w:r>
        <w:rPr>
          <w:noProof/>
        </w:rPr>
        <w:t xml:space="preserve">. </w:t>
      </w:r>
      <w:bookmarkStart w:id="35" w:name="_Toc126687451"/>
      <w:bookmarkStart w:id="36" w:name="_Toc126948385"/>
      <w:bookmarkStart w:id="37" w:name="_Toc129165636"/>
      <w:bookmarkStart w:id="38" w:name="_Toc129686589"/>
      <w:r>
        <w:rPr>
          <w:noProof/>
        </w:rPr>
        <w:t>Über die Reform hinaus – globale Modernisierung des Zollwesens</w:t>
      </w:r>
      <w:bookmarkEnd w:id="34"/>
      <w:bookmarkEnd w:id="35"/>
      <w:bookmarkEnd w:id="36"/>
      <w:bookmarkEnd w:id="37"/>
      <w:bookmarkEnd w:id="38"/>
    </w:p>
    <w:p w14:paraId="5A8EDAA7"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der Mitteilung der Kommission von </w:t>
      </w:r>
      <w:r w:rsidRPr="0071246C">
        <w:rPr>
          <w:rFonts w:ascii="Times New Roman" w:hAnsi="Times New Roman"/>
          <w:noProof/>
          <w:sz w:val="24"/>
        </w:rPr>
        <w:t>2021</w:t>
      </w:r>
      <w:r>
        <w:rPr>
          <w:rFonts w:ascii="Times New Roman" w:hAnsi="Times New Roman"/>
          <w:noProof/>
          <w:sz w:val="24"/>
        </w:rPr>
        <w:t xml:space="preserve"> mit dem Titel „Überprüfung der Handelspolitik – Eine offene, nachhaltige und entschlossene Handelspolitik“</w:t>
      </w:r>
      <w:r>
        <w:rPr>
          <w:rStyle w:val="FootnoteReference"/>
          <w:rFonts w:ascii="Times New Roman" w:eastAsia="Times New Roman" w:hAnsi="Times New Roman" w:cs="Times New Roman"/>
          <w:noProof/>
          <w:sz w:val="24"/>
          <w:szCs w:val="20"/>
          <w:lang w:val="en-IE" w:eastAsia="en-IE"/>
        </w:rPr>
        <w:footnoteReference w:id="40"/>
      </w:r>
      <w:r>
        <w:rPr>
          <w:rFonts w:ascii="Times New Roman" w:hAnsi="Times New Roman"/>
          <w:noProof/>
          <w:sz w:val="24"/>
        </w:rPr>
        <w:t xml:space="preserve"> wurden der grüne und der digitale Wandel zu einer zentralen Säule der EU-Handelspolitik erklärt. Aus dem gleichen Grund darf die Modernisierung des Zollwesens nicht an den Grenzen der EU-Zollunion haltmachen. Die Herausforderungen, die sich aus dem Klimanotstand und dem elektronischen Handel ergeben, sind grundsätzlich global und erfordern eine gründliche Überprüfung der weltweiten Zusammenarbeit im Zollwesen. </w:t>
      </w:r>
    </w:p>
    <w:p w14:paraId="35670C71"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Multilateralismus und regelbasierter Handel sind nach wie vor eine Kernkomponente der globalen Handelsstrategie der EU</w:t>
      </w:r>
      <w:r>
        <w:rPr>
          <w:rFonts w:ascii="Times New Roman" w:hAnsi="Times New Roman"/>
          <w:noProof/>
          <w:sz w:val="24"/>
        </w:rPr>
        <w:t xml:space="preserve">. Aus diesem Grund stellt die Reform der Welthandelsorganisation weiterhin eine der Hauptprioritäten der EU dar. Darüber hinaus entwickelte die EU im Jahr </w:t>
      </w:r>
      <w:r w:rsidRPr="0071246C">
        <w:rPr>
          <w:rFonts w:ascii="Times New Roman" w:hAnsi="Times New Roman"/>
          <w:noProof/>
          <w:sz w:val="24"/>
        </w:rPr>
        <w:t>2021</w:t>
      </w:r>
      <w:r>
        <w:rPr>
          <w:rFonts w:ascii="Times New Roman" w:hAnsi="Times New Roman"/>
          <w:noProof/>
          <w:sz w:val="24"/>
        </w:rPr>
        <w:t xml:space="preserve"> eine ambitionierte Vision für die Modernisierung der Weltzollorganisation (WZO)</w:t>
      </w:r>
      <w:r>
        <w:rPr>
          <w:rFonts w:ascii="Times New Roman" w:eastAsia="Times New Roman" w:hAnsi="Times New Roman" w:cs="Times New Roman"/>
          <w:noProof/>
          <w:sz w:val="24"/>
          <w:szCs w:val="20"/>
          <w:vertAlign w:val="superscript"/>
          <w:lang w:val="en-IE" w:eastAsia="en-IE"/>
        </w:rPr>
        <w:footnoteReference w:id="41"/>
      </w:r>
      <w:r>
        <w:rPr>
          <w:rFonts w:ascii="Times New Roman" w:hAnsi="Times New Roman"/>
          <w:noProof/>
          <w:sz w:val="24"/>
        </w:rPr>
        <w:t>, die sich die industrielle Datenrevolution zu eigen macht und auf nachhaltige Wertschöpfungsketten setzt. Sie ist in den Strategieplan der WZO für den Zeitraum </w:t>
      </w:r>
      <w:r w:rsidRPr="0071246C">
        <w:rPr>
          <w:rFonts w:ascii="Times New Roman" w:hAnsi="Times New Roman"/>
          <w:noProof/>
          <w:sz w:val="24"/>
        </w:rPr>
        <w:t>2022</w:t>
      </w:r>
      <w:r>
        <w:rPr>
          <w:rFonts w:ascii="Times New Roman" w:hAnsi="Times New Roman"/>
          <w:noProof/>
          <w:sz w:val="24"/>
        </w:rPr>
        <w:t>–</w:t>
      </w:r>
      <w:r w:rsidRPr="0071246C">
        <w:rPr>
          <w:rFonts w:ascii="Times New Roman" w:hAnsi="Times New Roman"/>
          <w:noProof/>
          <w:sz w:val="24"/>
        </w:rPr>
        <w:t>2025</w:t>
      </w:r>
      <w:r>
        <w:rPr>
          <w:rFonts w:ascii="Times New Roman" w:hAnsi="Times New Roman"/>
          <w:noProof/>
          <w:sz w:val="24"/>
        </w:rPr>
        <w:t xml:space="preserve"> eingeflossen und prägt somit die weltweiten Diskussionen über die Zollreform. In Zukunft muss noch mehr getan werden: Die globale Zollgemeinschaft muss sich mit strukturellen Überlegungen zur Reform der WZO befassen, deren Ziel es sein muss, den Zoll zu einer strategischen Kapazität im Zusammenhang mit dem grünen und dem digitalen Wandel weltweit zu machen, wobei sie sich von der EU-Zollreform inspirieren lassen sollte. </w:t>
      </w:r>
    </w:p>
    <w:p w14:paraId="4D550CD6" w14:textId="66F220EA"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Um das Zollwesen weltweit fit für das digitale Zeitalter zu machen, billigten die EU und ihre internationalen Partner im Jahr </w:t>
      </w:r>
      <w:r w:rsidRPr="0071246C">
        <w:rPr>
          <w:rFonts w:ascii="Times New Roman" w:hAnsi="Times New Roman"/>
          <w:noProof/>
          <w:sz w:val="24"/>
        </w:rPr>
        <w:t>2022</w:t>
      </w:r>
      <w:r>
        <w:rPr>
          <w:rFonts w:ascii="Times New Roman" w:hAnsi="Times New Roman"/>
          <w:noProof/>
          <w:sz w:val="24"/>
        </w:rPr>
        <w:t xml:space="preserve"> eine neue </w:t>
      </w:r>
      <w:r>
        <w:rPr>
          <w:rFonts w:ascii="Times New Roman" w:hAnsi="Times New Roman"/>
          <w:b/>
          <w:noProof/>
          <w:sz w:val="24"/>
        </w:rPr>
        <w:t>WZO-Datenstrategie</w:t>
      </w:r>
      <w:r>
        <w:rPr>
          <w:rFonts w:ascii="Times New Roman" w:hAnsi="Times New Roman"/>
          <w:noProof/>
          <w:sz w:val="24"/>
        </w:rPr>
        <w:t>, die die Schaffung eines globalen Datenökosystems zum Ziel hat. Dies erfordert einen strukturierten, umfassenden Austausch von Zollinformationen auf globaler Ebene, wobei dem Schutz von Geschäftsgeheimnissen und personenbezogenen Daten besondere Beachtung zu schenken ist. Die EU-Zolldatenplattform wird ein Vorbild für die weltweite Einführung der WZO</w:t>
      </w:r>
      <w:r w:rsidR="004B2204">
        <w:rPr>
          <w:rFonts w:ascii="Times New Roman" w:hAnsi="Times New Roman"/>
          <w:noProof/>
          <w:sz w:val="24"/>
        </w:rPr>
        <w:noBreakHyphen/>
      </w:r>
      <w:r>
        <w:rPr>
          <w:rFonts w:ascii="Times New Roman" w:hAnsi="Times New Roman"/>
          <w:noProof/>
          <w:sz w:val="24"/>
        </w:rPr>
        <w:t xml:space="preserve">Datenstrategie sein. Indem die internationalen Partner angeregt werden, ähnliche dialogfähige Datenverwaltungssysteme aufzubauen, wird die Fähigkeit der Zollbehörden, globale Lieferketten effizient zu überwachen und zu kontrollieren, erheblich gestärkt. </w:t>
      </w:r>
    </w:p>
    <w:p w14:paraId="52DA5A03" w14:textId="5E082CC9"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Darüber hinaus sollte die EU eine führende Rolle bei der Entwicklung einer globalen grünen Zollpolitik übernehmen. Es gibt mehrere Bereiche, in denen die globale Zollgemeinschaft </w:t>
      </w:r>
      <w:r>
        <w:rPr>
          <w:rFonts w:ascii="Times New Roman" w:hAnsi="Times New Roman"/>
          <w:b/>
          <w:noProof/>
          <w:sz w:val="24"/>
        </w:rPr>
        <w:t>umweltpolitische Ziele</w:t>
      </w:r>
      <w:r>
        <w:rPr>
          <w:rFonts w:ascii="Times New Roman" w:hAnsi="Times New Roman"/>
          <w:noProof/>
          <w:sz w:val="24"/>
        </w:rPr>
        <w:t xml:space="preserve"> unterstützen kann. Neben der Ökologisierung der Zollverwaltungen selbst</w:t>
      </w:r>
      <w:r>
        <w:rPr>
          <w:rFonts w:ascii="Times New Roman" w:eastAsia="Times New Roman" w:hAnsi="Times New Roman" w:cs="Times New Roman"/>
          <w:noProof/>
          <w:sz w:val="24"/>
          <w:szCs w:val="20"/>
          <w:vertAlign w:val="superscript"/>
          <w:lang w:val="en-IE" w:eastAsia="en-IE"/>
        </w:rPr>
        <w:footnoteReference w:id="42"/>
      </w:r>
      <w:r>
        <w:rPr>
          <w:rFonts w:ascii="Times New Roman" w:hAnsi="Times New Roman"/>
          <w:noProof/>
          <w:sz w:val="24"/>
        </w:rPr>
        <w:t xml:space="preserve"> sollte die Modernisierung der Einreihung von Waren im Einklang mit den Zielen des grünen und des digitalen Wandels Teil der laufenden strategischen Überprüfung des </w:t>
      </w:r>
      <w:r>
        <w:rPr>
          <w:rFonts w:ascii="Times New Roman" w:hAnsi="Times New Roman"/>
          <w:b/>
          <w:noProof/>
          <w:sz w:val="24"/>
        </w:rPr>
        <w:t xml:space="preserve">Übereinkommens über das </w:t>
      </w:r>
      <w:r w:rsidR="004B2204">
        <w:rPr>
          <w:rFonts w:ascii="Times New Roman" w:hAnsi="Times New Roman"/>
          <w:b/>
          <w:noProof/>
          <w:sz w:val="24"/>
        </w:rPr>
        <w:t>H</w:t>
      </w:r>
      <w:r>
        <w:rPr>
          <w:rFonts w:ascii="Times New Roman" w:hAnsi="Times New Roman"/>
          <w:b/>
          <w:noProof/>
          <w:sz w:val="24"/>
        </w:rPr>
        <w:t>armonisierte System</w:t>
      </w:r>
      <w:r>
        <w:rPr>
          <w:rFonts w:ascii="Times New Roman" w:eastAsia="Times New Roman" w:hAnsi="Times New Roman" w:cs="Times New Roman"/>
          <w:noProof/>
          <w:sz w:val="24"/>
          <w:szCs w:val="20"/>
          <w:vertAlign w:val="superscript"/>
          <w:lang w:val="en-IE" w:eastAsia="en-IE"/>
        </w:rPr>
        <w:footnoteReference w:id="43"/>
      </w:r>
      <w:r w:rsidR="004B2204" w:rsidRPr="0071246C">
        <w:rPr>
          <w:rFonts w:ascii="Times New Roman" w:hAnsi="Times New Roman"/>
          <w:noProof/>
          <w:sz w:val="24"/>
        </w:rPr>
        <w:t> </w:t>
      </w:r>
      <w:r>
        <w:rPr>
          <w:rFonts w:ascii="Times New Roman" w:eastAsia="Times New Roman" w:hAnsi="Times New Roman" w:cs="Times New Roman"/>
          <w:noProof/>
          <w:sz w:val="24"/>
          <w:szCs w:val="20"/>
          <w:vertAlign w:val="superscript"/>
          <w:lang w:val="en-IE" w:eastAsia="en-IE"/>
        </w:rPr>
        <w:footnoteReference w:id="44"/>
      </w:r>
      <w:r w:rsidR="004B2204" w:rsidRPr="004B2204">
        <w:rPr>
          <w:rFonts w:ascii="Times New Roman" w:hAnsi="Times New Roman"/>
          <w:noProof/>
          <w:sz w:val="24"/>
        </w:rPr>
        <w:t xml:space="preserve"> </w:t>
      </w:r>
      <w:r w:rsidR="004B2204">
        <w:rPr>
          <w:rFonts w:ascii="Times New Roman" w:hAnsi="Times New Roman"/>
          <w:noProof/>
          <w:sz w:val="24"/>
        </w:rPr>
        <w:t>sein.</w:t>
      </w:r>
      <w:r>
        <w:rPr>
          <w:rFonts w:ascii="Times New Roman" w:hAnsi="Times New Roman"/>
          <w:noProof/>
          <w:sz w:val="24"/>
        </w:rPr>
        <w:t xml:space="preserve"> Die Optionen für die Ökologisierung des </w:t>
      </w:r>
      <w:r w:rsidR="004B2204">
        <w:rPr>
          <w:rFonts w:ascii="Times New Roman" w:hAnsi="Times New Roman"/>
          <w:noProof/>
          <w:sz w:val="24"/>
        </w:rPr>
        <w:t>H</w:t>
      </w:r>
      <w:r>
        <w:rPr>
          <w:rFonts w:ascii="Times New Roman" w:hAnsi="Times New Roman"/>
          <w:noProof/>
          <w:sz w:val="24"/>
        </w:rPr>
        <w:t>armonisierten Systems (HS) reichen von der Erstellung von Listen von Umweltgütern über die Änderung der Struktur des HS bis hin zu Änderungen der Einreihung selbst auf der Grundlage neuer Umweltkriterien. Eine solche Überarbeitung könnte auch dazu beitragen, die Resilienz zu stärken und potenzielle Herausforderungen in Bezug auf die Versorgungssicherheit in Sektoren anzugehen, die für die grüne Energiewende von entscheidender Bedeutung sind. Eine standardisierte Einreihung von Umweltprodukten würde den Ländern eine wichtige Grundlage für eine sorgfältige Kalibrierung der Zolltarife und Regulierungsmaßnahmen bieten und sich als wirksames Instrument zur Stärkung der Nachhaltigkeit der EU-Handelspolitik in der WTO, in Freihandelsabkommen und in neuen Formen des Engagements, zu denen auch Netto-Null-Partnerschaften zählen, erweisen.</w:t>
      </w:r>
    </w:p>
    <w:p w14:paraId="1DBC10FD"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Über die multilaterale Zusammenarbeit hinaus kooperiert die EU auch mit Nicht-EU-Ländern auf der Grundlage bilateraler Handelsabkommen. Das ausgedehnte Netz solcher Abkommen, über das die EU verfügt, erleichtert den Handel und enthält zudem Verpflichtungen zur Zusammenarbeit im Zollwesen, die dadurch, dass sie den rechtmäßigen Handel erleichtert und Betrug, Schmuggel oder kriminelle Aktivitäten gemeinsam aufdeckt, zum beiderseitigen Nutzen gereicht. </w:t>
      </w:r>
    </w:p>
    <w:p w14:paraId="52E482F7"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Wenn es allerdings darum geht, den Zollbehörden Instrumente und Informationen zur Überwachung und Kontrolle internationaler Lieferketten an die Hand zu geben, sind viele dieser Abkommen veraltet. Derzeit werden Informationen auf Ersuchen mit Partnerländern ausgetauscht. Die EU-Zollreform wird – insbesondere durch die EU-Zolldatenplattform – einen systematischeren Austausch von Zollinformationen und sogar von Risikosignalen fördern. Der künftige Ansatz für die internationale Zusammenarbeit im Zollwesen muss ferner dem sich wandelnden geopolitischen Umfeld und der Notwendigkeit Rechnung tragen, kritische Lieferketten zu sichern und die Umgehung wichtiger politischer Strategien der EU, wie beispielsweise Sanktionen, zu kontrollieren. </w:t>
      </w:r>
    </w:p>
    <w:p w14:paraId="23811B65" w14:textId="77777777" w:rsidR="00B871E8" w:rsidRPr="00CA556D" w:rsidRDefault="00CA556D" w:rsidP="00FD3085">
      <w:pPr>
        <w:pStyle w:val="Heading1"/>
        <w:rPr>
          <w:noProof/>
        </w:rPr>
      </w:pPr>
      <w:bookmarkStart w:id="39" w:name="_Toc129620927"/>
      <w:bookmarkStart w:id="40" w:name="_Toc129620928"/>
      <w:bookmarkStart w:id="41" w:name="_Toc129620929"/>
      <w:bookmarkStart w:id="42" w:name="_Toc129620930"/>
      <w:bookmarkStart w:id="43" w:name="_Toc129620931"/>
      <w:bookmarkStart w:id="44" w:name="_Toc126687454"/>
      <w:bookmarkStart w:id="45" w:name="_Toc126948388"/>
      <w:bookmarkStart w:id="46" w:name="_Toc129165639"/>
      <w:bookmarkStart w:id="47" w:name="_Toc129686592"/>
      <w:bookmarkStart w:id="48" w:name="_Toc129960273"/>
      <w:bookmarkEnd w:id="39"/>
      <w:bookmarkEnd w:id="40"/>
      <w:bookmarkEnd w:id="41"/>
      <w:bookmarkEnd w:id="42"/>
      <w:bookmarkEnd w:id="43"/>
      <w:r w:rsidRPr="0071246C">
        <w:rPr>
          <w:noProof/>
        </w:rPr>
        <w:t>8</w:t>
      </w:r>
      <w:r>
        <w:rPr>
          <w:noProof/>
        </w:rPr>
        <w:t>. Schlussfolgerung</w:t>
      </w:r>
      <w:bookmarkEnd w:id="44"/>
      <w:bookmarkEnd w:id="45"/>
      <w:bookmarkEnd w:id="46"/>
      <w:bookmarkEnd w:id="47"/>
      <w:bookmarkEnd w:id="48"/>
    </w:p>
    <w:p w14:paraId="2B04A71E"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Mehr als ein halbes Jahrhundert nach ihrer Gründung ist die Zollunion nach wie vor eine tragende Säule der EU-Integration. Sie bildet das Fundament des Binnenmarkts und seines Regulierungsrahmens, der auf den grünen und den digitalen Wandel ausgerichtet ist. Die jüngsten dramatischen Veränderungen in der Geopolitik und der Weltwirtschaft haben den Welthandel verändert und die Notwendigkeit einer Modernisierung der Zollunion und ihres Regulierungs- und Steuerungsrahmens verschärft. </w:t>
      </w:r>
    </w:p>
    <w:p w14:paraId="6C8BF0EE" w14:textId="77777777" w:rsidR="00B871E8" w:rsidRPr="00CA556D" w:rsidRDefault="00B871E8" w:rsidP="00B871E8">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Die vorliegende Reform ist der ehrgeizigste und umfassendste Versuch, die Zollunion für die kommenden Jahrzehnte fit zu machen. Sie soll die EU-Zollbehörden befähigen, der EU, ihren Bürgerinnen und Bürgern sowie ihren Unternehmen auf bestmögliche Weise zu dienen. Sie soll eine echte Union der EU-Zollbehörden schaffen, die als eine Einheit handelt. </w:t>
      </w:r>
    </w:p>
    <w:p w14:paraId="4FA6BBCB" w14:textId="7276E90D" w:rsidR="00B871E8" w:rsidRPr="00CA556D" w:rsidRDefault="00B871E8" w:rsidP="00CA556D">
      <w:pPr>
        <w:spacing w:after="240" w:line="240" w:lineRule="auto"/>
        <w:jc w:val="both"/>
        <w:rPr>
          <w:noProof/>
        </w:rPr>
      </w:pPr>
      <w:r>
        <w:rPr>
          <w:rFonts w:ascii="Times New Roman" w:hAnsi="Times New Roman"/>
          <w:noProof/>
          <w:sz w:val="24"/>
        </w:rPr>
        <w:t>Die EU-Industrie braucht gleiche Wettbewerbsbedingungen, und die Bürger/innen und Verbraucher/innen verlangen sichere Produkte sowie Umwelt- und Sozialstandards. Die Kommission fordert daher die Mitgliedstaaten und das Europäische Parlament auf, sich rasch auf die heute vorgelegten Vorschläge zu einigen, damit Bürgerinnen und Bürger, Unternehmen und Verwaltungen in vollem Umfang von den Vorteilen einer Zollunion mit einer effizient verwalteten gemeinsamen Grenz</w:t>
      </w:r>
      <w:r w:rsidR="0071246C">
        <w:rPr>
          <w:rFonts w:ascii="Times New Roman" w:hAnsi="Times New Roman"/>
          <w:noProof/>
          <w:sz w:val="24"/>
        </w:rPr>
        <w:t>e für Waren profitieren können.</w:t>
      </w:r>
    </w:p>
    <w:p w14:paraId="4A7F32C9" w14:textId="77777777" w:rsidR="005479FE" w:rsidRPr="006D6620" w:rsidRDefault="005479FE">
      <w:pPr>
        <w:rPr>
          <w:noProof/>
        </w:rPr>
      </w:pPr>
    </w:p>
    <w:sectPr w:rsidR="005479FE" w:rsidRPr="006D6620" w:rsidSect="00B871E8">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1906" w:h="16838"/>
      <w:pgMar w:top="1134" w:right="1417" w:bottom="1134" w:left="141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33EE" w14:textId="77777777" w:rsidR="00DC38F5" w:rsidRDefault="00DC38F5" w:rsidP="00B871E8">
      <w:pPr>
        <w:spacing w:after="0" w:line="240" w:lineRule="auto"/>
      </w:pPr>
      <w:r>
        <w:separator/>
      </w:r>
    </w:p>
  </w:endnote>
  <w:endnote w:type="continuationSeparator" w:id="0">
    <w:p w14:paraId="2AA9B8F7" w14:textId="77777777" w:rsidR="00DC38F5" w:rsidRDefault="00DC38F5" w:rsidP="00B871E8">
      <w:pPr>
        <w:spacing w:after="0" w:line="240" w:lineRule="auto"/>
      </w:pPr>
      <w:r>
        <w:continuationSeparator/>
      </w:r>
    </w:p>
  </w:endnote>
  <w:endnote w:type="continuationNotice" w:id="1">
    <w:p w14:paraId="74CEAEBD" w14:textId="77777777" w:rsidR="00DC38F5" w:rsidRDefault="00DC3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2CC7" w14:textId="31D5EB2D" w:rsidR="00496758" w:rsidRPr="00295FD6" w:rsidRDefault="00496758" w:rsidP="00295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019A" w14:textId="6A37F373" w:rsidR="00496758" w:rsidRPr="00295FD6" w:rsidRDefault="00295FD6" w:rsidP="00295FD6">
    <w:pPr>
      <w:pStyle w:val="FooterCoverPage"/>
      <w:rPr>
        <w:rFonts w:ascii="Arial" w:hAnsi="Arial" w:cs="Arial"/>
        <w:b/>
        <w:sz w:val="48"/>
      </w:rPr>
    </w:pPr>
    <w:r w:rsidRPr="00295FD6">
      <w:rPr>
        <w:rFonts w:ascii="Arial" w:hAnsi="Arial" w:cs="Arial"/>
        <w:b/>
        <w:sz w:val="48"/>
      </w:rPr>
      <w:t>DE</w:t>
    </w:r>
    <w:r w:rsidRPr="00295FD6">
      <w:rPr>
        <w:rFonts w:ascii="Arial" w:hAnsi="Arial" w:cs="Arial"/>
        <w:b/>
        <w:sz w:val="48"/>
      </w:rPr>
      <w:tab/>
    </w:r>
    <w:r w:rsidRPr="00295FD6">
      <w:rPr>
        <w:rFonts w:ascii="Arial" w:hAnsi="Arial" w:cs="Arial"/>
        <w:b/>
        <w:sz w:val="48"/>
      </w:rPr>
      <w:tab/>
    </w:r>
    <w:r w:rsidRPr="00295FD6">
      <w:tab/>
    </w:r>
    <w:r w:rsidRPr="00295FD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7FD1" w14:textId="77777777" w:rsidR="00295FD6" w:rsidRPr="00295FD6" w:rsidRDefault="00295FD6" w:rsidP="00295FD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A09F" w14:textId="77777777" w:rsidR="00AA4380" w:rsidRDefault="00AA43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271438"/>
      <w:docPartObj>
        <w:docPartGallery w:val="Page Numbers (Bottom of Page)"/>
        <w:docPartUnique/>
      </w:docPartObj>
    </w:sdtPr>
    <w:sdtEndPr>
      <w:rPr>
        <w:noProof/>
      </w:rPr>
    </w:sdtEndPr>
    <w:sdtContent>
      <w:p w14:paraId="3F5A7065" w14:textId="66C655C4" w:rsidR="00CA556D" w:rsidRPr="00B871E8" w:rsidRDefault="00CA556D" w:rsidP="00B871E8">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95FD6">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CC72" w14:textId="77777777" w:rsidR="00AA4380" w:rsidRDefault="00AA4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73205" w14:textId="77777777" w:rsidR="00DC38F5" w:rsidRDefault="00DC38F5" w:rsidP="00B871E8">
      <w:pPr>
        <w:spacing w:after="0" w:line="240" w:lineRule="auto"/>
      </w:pPr>
      <w:r>
        <w:separator/>
      </w:r>
    </w:p>
  </w:footnote>
  <w:footnote w:type="continuationSeparator" w:id="0">
    <w:p w14:paraId="5DB0D3B0" w14:textId="77777777" w:rsidR="00DC38F5" w:rsidRDefault="00DC38F5" w:rsidP="00B871E8">
      <w:pPr>
        <w:spacing w:after="0" w:line="240" w:lineRule="auto"/>
      </w:pPr>
      <w:r>
        <w:continuationSeparator/>
      </w:r>
    </w:p>
  </w:footnote>
  <w:footnote w:type="continuationNotice" w:id="1">
    <w:p w14:paraId="57B8B335" w14:textId="77777777" w:rsidR="00DC38F5" w:rsidRDefault="00DC38F5">
      <w:pPr>
        <w:spacing w:after="0" w:line="240" w:lineRule="auto"/>
      </w:pPr>
    </w:p>
  </w:footnote>
  <w:footnote w:id="2">
    <w:p w14:paraId="0F760AE6"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hyperlink r:id="rId1" w:history="1">
        <w:r>
          <w:rPr>
            <w:rStyle w:val="ZnakZnakZnak1"/>
            <w:rFonts w:ascii="Times New Roman" w:hAnsi="Times New Roman"/>
            <w:sz w:val="18"/>
          </w:rPr>
          <w:t xml:space="preserve">Politische Leitlinien für die künftige Europäische Kommission </w:t>
        </w:r>
        <w:r w:rsidRPr="0071246C">
          <w:rPr>
            <w:rStyle w:val="ZnakZnakZnak1"/>
            <w:rFonts w:ascii="Times New Roman" w:hAnsi="Times New Roman"/>
            <w:sz w:val="18"/>
          </w:rPr>
          <w:t>2019</w:t>
        </w:r>
        <w:r>
          <w:rPr>
            <w:rStyle w:val="ZnakZnakZnak1"/>
            <w:rFonts w:ascii="Times New Roman" w:hAnsi="Times New Roman"/>
            <w:sz w:val="18"/>
          </w:rPr>
          <w:t>–</w:t>
        </w:r>
        <w:r w:rsidRPr="0071246C">
          <w:rPr>
            <w:rStyle w:val="ZnakZnakZnak1"/>
            <w:rFonts w:ascii="Times New Roman" w:hAnsi="Times New Roman"/>
            <w:sz w:val="18"/>
          </w:rPr>
          <w:t>2024</w:t>
        </w:r>
      </w:hyperlink>
      <w:r>
        <w:rPr>
          <w:rFonts w:ascii="Times New Roman" w:hAnsi="Times New Roman"/>
          <w:sz w:val="18"/>
        </w:rPr>
        <w:t>, S. </w:t>
      </w:r>
      <w:r w:rsidRPr="0071246C">
        <w:rPr>
          <w:rFonts w:ascii="Times New Roman" w:hAnsi="Times New Roman"/>
          <w:sz w:val="18"/>
        </w:rPr>
        <w:t>16</w:t>
      </w:r>
      <w:r>
        <w:rPr>
          <w:rFonts w:ascii="Times New Roman" w:hAnsi="Times New Roman"/>
          <w:sz w:val="18"/>
        </w:rPr>
        <w:t>.</w:t>
      </w:r>
    </w:p>
  </w:footnote>
  <w:footnote w:id="3">
    <w:p w14:paraId="3E8CE0D0"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Gemessen in Kaufkraftparitäten. Weltwirtschaftsausblick des Internationalen Währungsfonds (IWF).</w:t>
      </w:r>
    </w:p>
  </w:footnote>
  <w:footnote w:id="4">
    <w:p w14:paraId="3D995B70" w14:textId="77777777" w:rsidR="003850D6" w:rsidRPr="005B086C" w:rsidRDefault="003850D6"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hyperlink r:id="rId2" w:history="1">
        <w:r>
          <w:rPr>
            <w:rFonts w:ascii="Times New Roman" w:hAnsi="Times New Roman"/>
            <w:color w:val="0000FF"/>
            <w:sz w:val="18"/>
            <w:u w:val="single"/>
          </w:rPr>
          <w:t>Internationaler Warenhandel – Statistics Explained (europa.eu)</w:t>
        </w:r>
      </w:hyperlink>
      <w:r>
        <w:rPr>
          <w:rFonts w:ascii="Times New Roman" w:hAnsi="Times New Roman"/>
          <w:sz w:val="18"/>
        </w:rPr>
        <w:t>.</w:t>
      </w:r>
    </w:p>
  </w:footnote>
  <w:footnote w:id="5">
    <w:p w14:paraId="3F55A34A" w14:textId="77777777" w:rsidR="003850D6" w:rsidRPr="00AA4380" w:rsidRDefault="003850D6"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hyperlink r:id="rId3" w:history="1">
        <w:r>
          <w:rPr>
            <w:rStyle w:val="Hyperlink"/>
            <w:rFonts w:ascii="Times New Roman" w:hAnsi="Times New Roman"/>
            <w:sz w:val="18"/>
          </w:rPr>
          <w:t>Die EU-Zollunion – einzigartig in der Welt (europa.eu)</w:t>
        </w:r>
      </w:hyperlink>
      <w:r>
        <w:rPr>
          <w:rFonts w:ascii="Times New Roman" w:hAnsi="Times New Roman"/>
          <w:sz w:val="16"/>
        </w:rPr>
        <w:t>.</w:t>
      </w:r>
      <w:r>
        <w:rPr>
          <w:rFonts w:ascii="Times New Roman" w:hAnsi="Times New Roman"/>
          <w:sz w:val="18"/>
        </w:rPr>
        <w:t xml:space="preserve"> </w:t>
      </w:r>
    </w:p>
  </w:footnote>
  <w:footnote w:id="6">
    <w:p w14:paraId="53663249"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 xml:space="preserve">Europäische Kommission, Generaldirektion Steuern und Zollunion, </w:t>
      </w:r>
      <w:hyperlink r:id="rId4" w:history="1">
        <w:r>
          <w:rPr>
            <w:rStyle w:val="ZnakZnakZnak1"/>
            <w:rFonts w:ascii="Times New Roman" w:hAnsi="Times New Roman"/>
            <w:sz w:val="18"/>
          </w:rPr>
          <w:t>Integrierte EU-Liste der Verbote und Beschränkungen</w:t>
        </w:r>
      </w:hyperlink>
      <w:r>
        <w:rPr>
          <w:rFonts w:ascii="Times New Roman" w:hAnsi="Times New Roman"/>
          <w:sz w:val="18"/>
        </w:rPr>
        <w:t xml:space="preserve">: Indikativer Kalender und Liste gemäß rechtlichem Hinweis vom </w:t>
      </w:r>
      <w:r w:rsidRPr="0071246C">
        <w:rPr>
          <w:rFonts w:ascii="Times New Roman" w:hAnsi="Times New Roman"/>
          <w:sz w:val="18"/>
        </w:rPr>
        <w:t>1</w:t>
      </w:r>
      <w:r>
        <w:rPr>
          <w:rFonts w:ascii="Times New Roman" w:hAnsi="Times New Roman"/>
          <w:sz w:val="18"/>
        </w:rPr>
        <w:t>.</w:t>
      </w:r>
      <w:r w:rsidRPr="0071246C">
        <w:rPr>
          <w:rFonts w:ascii="Times New Roman" w:hAnsi="Times New Roman"/>
          <w:sz w:val="18"/>
        </w:rPr>
        <w:t>1</w:t>
      </w:r>
      <w:r>
        <w:rPr>
          <w:rFonts w:ascii="Times New Roman" w:hAnsi="Times New Roman"/>
          <w:sz w:val="18"/>
        </w:rPr>
        <w:t>.</w:t>
      </w:r>
      <w:r w:rsidRPr="0071246C">
        <w:rPr>
          <w:rFonts w:ascii="Times New Roman" w:hAnsi="Times New Roman"/>
          <w:sz w:val="18"/>
        </w:rPr>
        <w:t>2022</w:t>
      </w:r>
      <w:r>
        <w:rPr>
          <w:rFonts w:ascii="Times New Roman" w:hAnsi="Times New Roman"/>
          <w:sz w:val="18"/>
        </w:rPr>
        <w:t xml:space="preserve">, Amt für Veröffentlichungen der Europäischen Union, </w:t>
      </w:r>
      <w:r w:rsidRPr="0071246C">
        <w:rPr>
          <w:rFonts w:ascii="Times New Roman" w:hAnsi="Times New Roman"/>
          <w:sz w:val="18"/>
        </w:rPr>
        <w:t>2022</w:t>
      </w:r>
      <w:r>
        <w:rPr>
          <w:rFonts w:ascii="Times New Roman" w:hAnsi="Times New Roman"/>
          <w:sz w:val="18"/>
        </w:rPr>
        <w:t>.</w:t>
      </w:r>
    </w:p>
  </w:footnote>
  <w:footnote w:id="7">
    <w:p w14:paraId="12A403A6"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Mitteilung der Kommission an das Europäische Parlament, den Rat, den Europäischen Wirtschafts- und Sozialausschuss und den Ausschuss der Regionen – Ein Industrieplan zum Grünen Deal für das klimaneutrale Zeitalter (COM(</w:t>
      </w:r>
      <w:r w:rsidRPr="0071246C">
        <w:rPr>
          <w:rFonts w:ascii="Times New Roman" w:hAnsi="Times New Roman"/>
          <w:sz w:val="18"/>
        </w:rPr>
        <w:t>2023</w:t>
      </w:r>
      <w:r>
        <w:rPr>
          <w:rFonts w:ascii="Times New Roman" w:hAnsi="Times New Roman"/>
          <w:sz w:val="18"/>
        </w:rPr>
        <w:t>) </w:t>
      </w:r>
      <w:r w:rsidRPr="0071246C">
        <w:rPr>
          <w:rFonts w:ascii="Times New Roman" w:hAnsi="Times New Roman"/>
          <w:sz w:val="18"/>
        </w:rPr>
        <w:t>62</w:t>
      </w:r>
      <w:r>
        <w:rPr>
          <w:rFonts w:ascii="Times New Roman" w:hAnsi="Times New Roman"/>
          <w:sz w:val="18"/>
        </w:rPr>
        <w:t xml:space="preserve"> final).</w:t>
      </w:r>
    </w:p>
  </w:footnote>
  <w:footnote w:id="8">
    <w:p w14:paraId="392CA4B6"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 xml:space="preserve">„Putting more Union in the European Customs: Ten proposals to make the EU Customs Union fit for a Geopolitical Europe“, </w:t>
      </w:r>
      <w:hyperlink r:id="rId5" w:history="1">
        <w:r>
          <w:rPr>
            <w:rFonts w:ascii="Times New Roman" w:hAnsi="Times New Roman"/>
            <w:color w:val="0563C1"/>
            <w:sz w:val="18"/>
            <w:u w:val="single"/>
          </w:rPr>
          <w:t>Bericht der Gruppe der Weisen zur Reform der Zollunion</w:t>
        </w:r>
      </w:hyperlink>
      <w:r>
        <w:t>,</w:t>
      </w:r>
      <w:r>
        <w:rPr>
          <w:rFonts w:ascii="Times New Roman" w:hAnsi="Times New Roman"/>
          <w:sz w:val="18"/>
        </w:rPr>
        <w:t xml:space="preserve"> Brüssel, März </w:t>
      </w:r>
      <w:r w:rsidRPr="0071246C">
        <w:rPr>
          <w:rFonts w:ascii="Times New Roman" w:hAnsi="Times New Roman"/>
          <w:sz w:val="18"/>
        </w:rPr>
        <w:t>2022</w:t>
      </w:r>
      <w:r>
        <w:rPr>
          <w:rFonts w:ascii="Times New Roman" w:hAnsi="Times New Roman"/>
          <w:sz w:val="18"/>
        </w:rPr>
        <w:t>.</w:t>
      </w:r>
    </w:p>
  </w:footnote>
  <w:footnote w:id="9">
    <w:p w14:paraId="00B7B6CF"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Verordnung (EU) Nr. </w:t>
      </w:r>
      <w:r w:rsidRPr="0071246C">
        <w:rPr>
          <w:rFonts w:ascii="Times New Roman" w:hAnsi="Times New Roman"/>
          <w:sz w:val="18"/>
        </w:rPr>
        <w:t>952</w:t>
      </w:r>
      <w:r>
        <w:rPr>
          <w:rFonts w:ascii="Times New Roman" w:hAnsi="Times New Roman"/>
          <w:sz w:val="18"/>
        </w:rPr>
        <w:t>/</w:t>
      </w:r>
      <w:r w:rsidRPr="0071246C">
        <w:rPr>
          <w:rFonts w:ascii="Times New Roman" w:hAnsi="Times New Roman"/>
          <w:sz w:val="18"/>
        </w:rPr>
        <w:t>2013</w:t>
      </w:r>
      <w:r>
        <w:rPr>
          <w:rFonts w:ascii="Times New Roman" w:hAnsi="Times New Roman"/>
          <w:sz w:val="18"/>
        </w:rPr>
        <w:t xml:space="preserve"> des Europäischen Parlaments und des Rates zur Festlegung des Zollkodex der Union (ABl. L </w:t>
      </w:r>
      <w:r w:rsidRPr="0071246C">
        <w:rPr>
          <w:rFonts w:ascii="Times New Roman" w:hAnsi="Times New Roman"/>
          <w:sz w:val="18"/>
        </w:rPr>
        <w:t>269</w:t>
      </w:r>
      <w:r>
        <w:rPr>
          <w:rFonts w:ascii="Times New Roman" w:hAnsi="Times New Roman"/>
          <w:sz w:val="18"/>
        </w:rPr>
        <w:t xml:space="preserve"> vom </w:t>
      </w:r>
      <w:r w:rsidRPr="0071246C">
        <w:rPr>
          <w:rFonts w:ascii="Times New Roman" w:hAnsi="Times New Roman"/>
          <w:sz w:val="18"/>
        </w:rPr>
        <w:t>10</w:t>
      </w:r>
      <w:r>
        <w:rPr>
          <w:rFonts w:ascii="Times New Roman" w:hAnsi="Times New Roman"/>
          <w:sz w:val="18"/>
        </w:rPr>
        <w:t>.</w:t>
      </w:r>
      <w:r w:rsidRPr="0071246C">
        <w:rPr>
          <w:rFonts w:ascii="Times New Roman" w:hAnsi="Times New Roman"/>
          <w:sz w:val="18"/>
        </w:rPr>
        <w:t>10</w:t>
      </w:r>
      <w:r>
        <w:rPr>
          <w:rFonts w:ascii="Times New Roman" w:hAnsi="Times New Roman"/>
          <w:sz w:val="18"/>
        </w:rPr>
        <w:t>.</w:t>
      </w:r>
      <w:r w:rsidRPr="0071246C">
        <w:rPr>
          <w:rFonts w:ascii="Times New Roman" w:hAnsi="Times New Roman"/>
          <w:sz w:val="18"/>
        </w:rPr>
        <w:t>2013</w:t>
      </w:r>
      <w:r>
        <w:rPr>
          <w:rFonts w:ascii="Times New Roman" w:hAnsi="Times New Roman"/>
          <w:sz w:val="18"/>
        </w:rPr>
        <w:t>, S. </w:t>
      </w:r>
      <w:r w:rsidRPr="0071246C">
        <w:rPr>
          <w:rFonts w:ascii="Times New Roman" w:hAnsi="Times New Roman"/>
          <w:sz w:val="18"/>
        </w:rPr>
        <w:t>1</w:t>
      </w:r>
      <w:r>
        <w:rPr>
          <w:rFonts w:ascii="Times New Roman" w:hAnsi="Times New Roman"/>
          <w:sz w:val="18"/>
        </w:rPr>
        <w:t>).</w:t>
      </w:r>
    </w:p>
  </w:footnote>
  <w:footnote w:id="10">
    <w:p w14:paraId="22ECCAC3"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Sonderbericht Nr. </w:t>
      </w:r>
      <w:r w:rsidRPr="0071246C">
        <w:rPr>
          <w:rFonts w:ascii="Times New Roman" w:hAnsi="Times New Roman"/>
          <w:sz w:val="18"/>
        </w:rPr>
        <w:t>04</w:t>
      </w:r>
      <w:r>
        <w:rPr>
          <w:rFonts w:ascii="Times New Roman" w:hAnsi="Times New Roman"/>
          <w:sz w:val="18"/>
        </w:rPr>
        <w:t>/</w:t>
      </w:r>
      <w:r w:rsidRPr="0071246C">
        <w:rPr>
          <w:rFonts w:ascii="Times New Roman" w:hAnsi="Times New Roman"/>
          <w:sz w:val="18"/>
        </w:rPr>
        <w:t>2021</w:t>
      </w:r>
      <w:r>
        <w:rPr>
          <w:rFonts w:ascii="Times New Roman" w:hAnsi="Times New Roman"/>
          <w:sz w:val="18"/>
        </w:rPr>
        <w:t xml:space="preserve"> des Europäischen Rechnungshofs: </w:t>
      </w:r>
      <w:hyperlink r:id="rId6" w:history="1">
        <w:r>
          <w:rPr>
            <w:rStyle w:val="ZnakZnakZnak1"/>
            <w:rFonts w:ascii="Times New Roman" w:hAnsi="Times New Roman"/>
            <w:sz w:val="18"/>
          </w:rPr>
          <w:t>Zollkontrollen:</w:t>
        </w:r>
      </w:hyperlink>
      <w:hyperlink r:id="rId7" w:history="1">
        <w:r>
          <w:rPr>
            <w:rStyle w:val="ZnakZnakZnak1"/>
            <w:rFonts w:ascii="Times New Roman" w:hAnsi="Times New Roman"/>
            <w:sz w:val="18"/>
          </w:rPr>
          <w:t xml:space="preserve"> Unzureichende Harmonisierung ist den finanziellen Interessen der EU abträglich</w:t>
        </w:r>
      </w:hyperlink>
      <w:r>
        <w:rPr>
          <w:rFonts w:ascii="Times New Roman" w:hAnsi="Times New Roman"/>
          <w:sz w:val="18"/>
        </w:rPr>
        <w:t>.</w:t>
      </w:r>
    </w:p>
  </w:footnote>
  <w:footnote w:id="11">
    <w:p w14:paraId="712B7115"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 xml:space="preserve">Laut dem jüngsten Bericht über die Durchsetzung der REACH-Verordnung und der Verordnung über die Einstufung, Kennzeichnung und Verpackung von Stoffen und Gemischen (CLP) sind bis zu </w:t>
      </w:r>
      <w:r w:rsidRPr="0071246C">
        <w:rPr>
          <w:rFonts w:ascii="Times New Roman" w:hAnsi="Times New Roman"/>
          <w:sz w:val="18"/>
        </w:rPr>
        <w:t>28</w:t>
      </w:r>
      <w:r>
        <w:rPr>
          <w:rFonts w:ascii="Times New Roman" w:hAnsi="Times New Roman"/>
          <w:sz w:val="18"/>
        </w:rPr>
        <w:t> % der Einfuhren nicht mit den REACH- und den CLP-Vorschriften vereinbar. Einem aktuellen Bericht des Europäischen Verbands der chemischen Industrie (CEFIC) zufolge stammten im Jahr </w:t>
      </w:r>
      <w:r w:rsidRPr="0071246C">
        <w:rPr>
          <w:rFonts w:ascii="Times New Roman" w:hAnsi="Times New Roman"/>
          <w:sz w:val="18"/>
        </w:rPr>
        <w:t>2020</w:t>
      </w:r>
      <w:r>
        <w:rPr>
          <w:rFonts w:ascii="Times New Roman" w:hAnsi="Times New Roman"/>
          <w:sz w:val="18"/>
        </w:rPr>
        <w:t xml:space="preserve"> </w:t>
      </w:r>
      <w:r w:rsidRPr="0071246C">
        <w:rPr>
          <w:rFonts w:ascii="Times New Roman" w:hAnsi="Times New Roman"/>
          <w:sz w:val="18"/>
        </w:rPr>
        <w:t>80</w:t>
      </w:r>
      <w:r>
        <w:rPr>
          <w:rFonts w:ascii="Times New Roman" w:hAnsi="Times New Roman"/>
          <w:sz w:val="18"/>
        </w:rPr>
        <w:t> % der nicht konformen Waren, die verbotene oder beschränkte Chemikalien enthielten, aus Ländern außerhalb der EU/des EWR.</w:t>
      </w:r>
    </w:p>
  </w:footnote>
  <w:footnote w:id="12">
    <w:p w14:paraId="2A9E1A98"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Im Zeitraum </w:t>
      </w:r>
      <w:r w:rsidRPr="0071246C">
        <w:rPr>
          <w:rFonts w:ascii="Times New Roman" w:hAnsi="Times New Roman"/>
          <w:sz w:val="18"/>
        </w:rPr>
        <w:t>2016</w:t>
      </w:r>
      <w:r>
        <w:rPr>
          <w:rFonts w:ascii="Times New Roman" w:hAnsi="Times New Roman"/>
          <w:sz w:val="18"/>
        </w:rPr>
        <w:t>–</w:t>
      </w:r>
      <w:r w:rsidRPr="0071246C">
        <w:rPr>
          <w:rFonts w:ascii="Times New Roman" w:hAnsi="Times New Roman"/>
          <w:sz w:val="18"/>
        </w:rPr>
        <w:t>2021</w:t>
      </w:r>
      <w:r>
        <w:rPr>
          <w:rFonts w:ascii="Times New Roman" w:hAnsi="Times New Roman"/>
          <w:sz w:val="18"/>
        </w:rPr>
        <w:t xml:space="preserve"> machten gefährliche Spielzeuge, die auf dem EU-Markt gefunden wurden, mehr als ein Viertel aller RAPEX</w:t>
      </w:r>
      <w:r>
        <w:rPr>
          <w:rFonts w:ascii="Times New Roman" w:hAnsi="Times New Roman"/>
          <w:sz w:val="18"/>
        </w:rPr>
        <w:noBreakHyphen/>
        <w:t>/Safety-Gate-Warnungen aus, wobei ein erheblicher Anteil des unsicheren Spielzeugs aus Nicht-EU-Ländern stammte (</w:t>
      </w:r>
      <w:r w:rsidRPr="0071246C">
        <w:rPr>
          <w:rFonts w:ascii="Times New Roman" w:hAnsi="Times New Roman"/>
          <w:sz w:val="18"/>
        </w:rPr>
        <w:t>85</w:t>
      </w:r>
      <w:r>
        <w:rPr>
          <w:rFonts w:ascii="Times New Roman" w:hAnsi="Times New Roman"/>
          <w:sz w:val="18"/>
        </w:rPr>
        <w:t xml:space="preserve"> % allein aus China). </w:t>
      </w:r>
    </w:p>
  </w:footnote>
  <w:footnote w:id="13">
    <w:p w14:paraId="0E6F00EE" w14:textId="77777777" w:rsidR="00D4516B" w:rsidRPr="006D6620" w:rsidRDefault="00D4516B" w:rsidP="00AA4380">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sidRPr="006D6620">
        <w:rPr>
          <w:rFonts w:ascii="Times New Roman" w:hAnsi="Times New Roman"/>
          <w:sz w:val="18"/>
          <w:lang w:val="en-IE"/>
        </w:rPr>
        <w:t xml:space="preserve"> </w:t>
      </w:r>
      <w:r w:rsidRPr="006D6620">
        <w:rPr>
          <w:lang w:val="en-IE"/>
        </w:rPr>
        <w:tab/>
      </w:r>
      <w:hyperlink r:id="rId8" w:history="1">
        <w:r w:rsidRPr="006D6620">
          <w:rPr>
            <w:rStyle w:val="Hyperlink"/>
            <w:rFonts w:ascii="Times New Roman" w:hAnsi="Times New Roman"/>
            <w:sz w:val="18"/>
            <w:lang w:val="en-IE"/>
          </w:rPr>
          <w:t>EEB-Bericht „Online Platforms</w:t>
        </w:r>
      </w:hyperlink>
      <w:r w:rsidRPr="006D6620">
        <w:rPr>
          <w:rFonts w:ascii="Times New Roman" w:hAnsi="Times New Roman"/>
          <w:sz w:val="18"/>
          <w:lang w:val="en-IE"/>
        </w:rPr>
        <w:t>: Role and Responsibility in Ecodesign policy“.</w:t>
      </w:r>
    </w:p>
  </w:footnote>
  <w:footnote w:id="14">
    <w:p w14:paraId="5383576B"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Folgenabschätzung – Begleitunterlage zum Vorschlag für eine Verordnung des Europäischen Parlaments und des Rates über die allgemeine Produktsicherheit (SWD(</w:t>
      </w:r>
      <w:r w:rsidRPr="0071246C">
        <w:rPr>
          <w:rFonts w:ascii="Times New Roman" w:hAnsi="Times New Roman"/>
          <w:sz w:val="18"/>
        </w:rPr>
        <w:t>2021</w:t>
      </w:r>
      <w:r>
        <w:rPr>
          <w:rFonts w:ascii="Times New Roman" w:hAnsi="Times New Roman"/>
          <w:sz w:val="18"/>
        </w:rPr>
        <w:t>) </w:t>
      </w:r>
      <w:r w:rsidRPr="0071246C">
        <w:rPr>
          <w:rFonts w:ascii="Times New Roman" w:hAnsi="Times New Roman"/>
          <w:sz w:val="18"/>
        </w:rPr>
        <w:t>168</w:t>
      </w:r>
      <w:r>
        <w:rPr>
          <w:rFonts w:ascii="Times New Roman" w:hAnsi="Times New Roman"/>
          <w:sz w:val="18"/>
        </w:rPr>
        <w:t> final).</w:t>
      </w:r>
    </w:p>
  </w:footnote>
  <w:footnote w:id="15">
    <w:p w14:paraId="70BD7D1C"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Vorschlag für eine Verordnung des Europäischen Parlaments und des Rates über die allgemeine Produktsicherheit, zur Änderung der Verordnung (EU) Nr. </w:t>
      </w:r>
      <w:r w:rsidRPr="0071246C">
        <w:rPr>
          <w:rFonts w:ascii="Times New Roman" w:hAnsi="Times New Roman"/>
          <w:sz w:val="18"/>
        </w:rPr>
        <w:t>1025</w:t>
      </w:r>
      <w:r>
        <w:rPr>
          <w:rFonts w:ascii="Times New Roman" w:hAnsi="Times New Roman"/>
          <w:sz w:val="18"/>
        </w:rPr>
        <w:t>/</w:t>
      </w:r>
      <w:r w:rsidRPr="0071246C">
        <w:rPr>
          <w:rFonts w:ascii="Times New Roman" w:hAnsi="Times New Roman"/>
          <w:sz w:val="18"/>
        </w:rPr>
        <w:t>2012</w:t>
      </w:r>
      <w:r>
        <w:rPr>
          <w:rFonts w:ascii="Times New Roman" w:hAnsi="Times New Roman"/>
          <w:sz w:val="18"/>
        </w:rPr>
        <w:t xml:space="preserve"> des Europäischen Parlaments und des Rates sowie zur Aufhebung der Richtlinie </w:t>
      </w:r>
      <w:r w:rsidRPr="0071246C">
        <w:rPr>
          <w:rFonts w:ascii="Times New Roman" w:hAnsi="Times New Roman"/>
          <w:sz w:val="18"/>
        </w:rPr>
        <w:t>87</w:t>
      </w:r>
      <w:r>
        <w:rPr>
          <w:rFonts w:ascii="Times New Roman" w:hAnsi="Times New Roman"/>
          <w:sz w:val="18"/>
        </w:rPr>
        <w:t>/</w:t>
      </w:r>
      <w:r w:rsidRPr="0071246C">
        <w:rPr>
          <w:rFonts w:ascii="Times New Roman" w:hAnsi="Times New Roman"/>
          <w:sz w:val="18"/>
        </w:rPr>
        <w:t>357</w:t>
      </w:r>
      <w:r>
        <w:rPr>
          <w:rFonts w:ascii="Times New Roman" w:hAnsi="Times New Roman"/>
          <w:sz w:val="18"/>
        </w:rPr>
        <w:t>/EWG des Rates und der Richtlinie </w:t>
      </w:r>
      <w:r w:rsidRPr="0071246C">
        <w:rPr>
          <w:rFonts w:ascii="Times New Roman" w:hAnsi="Times New Roman"/>
          <w:sz w:val="18"/>
        </w:rPr>
        <w:t>2001</w:t>
      </w:r>
      <w:r>
        <w:rPr>
          <w:rFonts w:ascii="Times New Roman" w:hAnsi="Times New Roman"/>
          <w:sz w:val="18"/>
        </w:rPr>
        <w:t>/</w:t>
      </w:r>
      <w:r w:rsidRPr="0071246C">
        <w:rPr>
          <w:rFonts w:ascii="Times New Roman" w:hAnsi="Times New Roman"/>
          <w:sz w:val="18"/>
        </w:rPr>
        <w:t>95</w:t>
      </w:r>
      <w:r>
        <w:rPr>
          <w:rFonts w:ascii="Times New Roman" w:hAnsi="Times New Roman"/>
          <w:sz w:val="18"/>
        </w:rPr>
        <w:t>/EG des Europäischen Parlaments und des Rates (COM(</w:t>
      </w:r>
      <w:r w:rsidRPr="0071246C">
        <w:rPr>
          <w:rFonts w:ascii="Times New Roman" w:hAnsi="Times New Roman"/>
          <w:sz w:val="18"/>
        </w:rPr>
        <w:t>2021</w:t>
      </w:r>
      <w:r>
        <w:rPr>
          <w:rFonts w:ascii="Times New Roman" w:hAnsi="Times New Roman"/>
          <w:sz w:val="18"/>
        </w:rPr>
        <w:t>) </w:t>
      </w:r>
      <w:r w:rsidRPr="0071246C">
        <w:rPr>
          <w:rFonts w:ascii="Times New Roman" w:hAnsi="Times New Roman"/>
          <w:sz w:val="18"/>
        </w:rPr>
        <w:t>346</w:t>
      </w:r>
      <w:r>
        <w:rPr>
          <w:rFonts w:ascii="Times New Roman" w:hAnsi="Times New Roman"/>
          <w:sz w:val="18"/>
        </w:rPr>
        <w:t>).</w:t>
      </w:r>
    </w:p>
  </w:footnote>
  <w:footnote w:id="16">
    <w:p w14:paraId="307581D3"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Vorschlag für eine Verordnung des Europäischen Parlaments und des Rates über die Bereitstellung bestimmter Rohstoffe und Erzeugnisse, die mit Entwaldung und Waldschädigung in Verbindung stehen, auf dem Unionsmarkt sowie ihre Ausfuhr aus der Union und zur Aufhebung der Verordnung (EU) Nr. </w:t>
      </w:r>
      <w:r w:rsidRPr="0071246C">
        <w:rPr>
          <w:rFonts w:ascii="Times New Roman" w:hAnsi="Times New Roman"/>
          <w:sz w:val="18"/>
        </w:rPr>
        <w:t>995</w:t>
      </w:r>
      <w:r>
        <w:rPr>
          <w:rFonts w:ascii="Times New Roman" w:hAnsi="Times New Roman"/>
          <w:sz w:val="18"/>
        </w:rPr>
        <w:t>/</w:t>
      </w:r>
      <w:r w:rsidRPr="0071246C">
        <w:rPr>
          <w:rFonts w:ascii="Times New Roman" w:hAnsi="Times New Roman"/>
          <w:sz w:val="18"/>
        </w:rPr>
        <w:t>2010</w:t>
      </w:r>
      <w:r>
        <w:rPr>
          <w:rFonts w:ascii="Times New Roman" w:hAnsi="Times New Roman"/>
          <w:sz w:val="18"/>
        </w:rPr>
        <w:t xml:space="preserve"> (COM(</w:t>
      </w:r>
      <w:r w:rsidRPr="0071246C">
        <w:rPr>
          <w:rFonts w:ascii="Times New Roman" w:hAnsi="Times New Roman"/>
          <w:sz w:val="18"/>
        </w:rPr>
        <w:t>2021</w:t>
      </w:r>
      <w:r>
        <w:rPr>
          <w:rFonts w:ascii="Times New Roman" w:hAnsi="Times New Roman"/>
          <w:sz w:val="18"/>
        </w:rPr>
        <w:t>) </w:t>
      </w:r>
      <w:r w:rsidRPr="0071246C">
        <w:rPr>
          <w:rFonts w:ascii="Times New Roman" w:hAnsi="Times New Roman"/>
          <w:sz w:val="18"/>
        </w:rPr>
        <w:t>706</w:t>
      </w:r>
      <w:r>
        <w:rPr>
          <w:rFonts w:ascii="Times New Roman" w:hAnsi="Times New Roman"/>
          <w:sz w:val="18"/>
        </w:rPr>
        <w:t>).</w:t>
      </w:r>
    </w:p>
  </w:footnote>
  <w:footnote w:id="17">
    <w:p w14:paraId="27024FCC" w14:textId="77777777" w:rsidR="0081493A" w:rsidRPr="00AA4380" w:rsidRDefault="0081493A"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Vorschlag für eine Verordnung des Europäischen Parlaments und des Rates über ein Verbot von in Zwangsarbeit hergestellten Produkten auf dem Unionsmarkt (COM(</w:t>
      </w:r>
      <w:r w:rsidRPr="0071246C">
        <w:rPr>
          <w:rFonts w:ascii="Times New Roman" w:hAnsi="Times New Roman"/>
          <w:sz w:val="18"/>
        </w:rPr>
        <w:t>2022</w:t>
      </w:r>
      <w:r>
        <w:rPr>
          <w:rFonts w:ascii="Times New Roman" w:hAnsi="Times New Roman"/>
          <w:sz w:val="18"/>
        </w:rPr>
        <w:t>) </w:t>
      </w:r>
      <w:r w:rsidRPr="0071246C">
        <w:rPr>
          <w:rFonts w:ascii="Times New Roman" w:hAnsi="Times New Roman"/>
          <w:sz w:val="18"/>
        </w:rPr>
        <w:t>453</w:t>
      </w:r>
      <w:r>
        <w:rPr>
          <w:rFonts w:ascii="Times New Roman" w:hAnsi="Times New Roman"/>
          <w:sz w:val="18"/>
        </w:rPr>
        <w:t>).</w:t>
      </w:r>
    </w:p>
  </w:footnote>
  <w:footnote w:id="18">
    <w:p w14:paraId="1EBC1E47"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Vorschlag für eine Verordnung des Europäischen Parlaments und des Rates zur Schaffung eines CO</w:t>
      </w:r>
      <w:r w:rsidRPr="0071246C">
        <w:rPr>
          <w:rFonts w:ascii="Times New Roman" w:hAnsi="Times New Roman"/>
          <w:sz w:val="18"/>
          <w:vertAlign w:val="subscript"/>
        </w:rPr>
        <w:t>2</w:t>
      </w:r>
      <w:r>
        <w:rPr>
          <w:rFonts w:ascii="Times New Roman" w:hAnsi="Times New Roman"/>
          <w:sz w:val="18"/>
        </w:rPr>
        <w:t>-Grenzausgleichssystems (COM(</w:t>
      </w:r>
      <w:r w:rsidRPr="0071246C">
        <w:rPr>
          <w:rFonts w:ascii="Times New Roman" w:hAnsi="Times New Roman"/>
          <w:sz w:val="18"/>
        </w:rPr>
        <w:t>2021</w:t>
      </w:r>
      <w:r>
        <w:rPr>
          <w:rFonts w:ascii="Times New Roman" w:hAnsi="Times New Roman"/>
          <w:sz w:val="18"/>
        </w:rPr>
        <w:t>) </w:t>
      </w:r>
      <w:r w:rsidRPr="0071246C">
        <w:rPr>
          <w:rFonts w:ascii="Times New Roman" w:hAnsi="Times New Roman"/>
          <w:sz w:val="18"/>
        </w:rPr>
        <w:t>564</w:t>
      </w:r>
      <w:r>
        <w:rPr>
          <w:rFonts w:ascii="Times New Roman" w:hAnsi="Times New Roman"/>
          <w:sz w:val="18"/>
        </w:rPr>
        <w:t xml:space="preserve"> final).</w:t>
      </w:r>
    </w:p>
  </w:footnote>
  <w:footnote w:id="19">
    <w:p w14:paraId="31E2431D" w14:textId="77777777" w:rsidR="00660101" w:rsidRPr="00660101" w:rsidRDefault="00660101" w:rsidP="0066010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z w:val="18"/>
        </w:rPr>
        <w:t>Richtlinie (EU) </w:t>
      </w:r>
      <w:r w:rsidRPr="0071246C">
        <w:rPr>
          <w:rFonts w:ascii="Times New Roman" w:hAnsi="Times New Roman"/>
          <w:sz w:val="18"/>
        </w:rPr>
        <w:t>2019</w:t>
      </w:r>
      <w:r>
        <w:rPr>
          <w:rFonts w:ascii="Times New Roman" w:hAnsi="Times New Roman"/>
          <w:sz w:val="18"/>
        </w:rPr>
        <w:t>/</w:t>
      </w:r>
      <w:r w:rsidRPr="0071246C">
        <w:rPr>
          <w:rFonts w:ascii="Times New Roman" w:hAnsi="Times New Roman"/>
          <w:sz w:val="18"/>
        </w:rPr>
        <w:t>882</w:t>
      </w:r>
      <w:r>
        <w:rPr>
          <w:rFonts w:ascii="Times New Roman" w:hAnsi="Times New Roman"/>
          <w:sz w:val="18"/>
        </w:rPr>
        <w:t xml:space="preserve"> des Europäischen Parlaments und des Rates vom </w:t>
      </w:r>
      <w:r w:rsidRPr="0071246C">
        <w:rPr>
          <w:rFonts w:ascii="Times New Roman" w:hAnsi="Times New Roman"/>
          <w:sz w:val="18"/>
        </w:rPr>
        <w:t>17</w:t>
      </w:r>
      <w:r>
        <w:rPr>
          <w:rFonts w:ascii="Times New Roman" w:hAnsi="Times New Roman"/>
          <w:sz w:val="18"/>
        </w:rPr>
        <w:t xml:space="preserve">. April </w:t>
      </w:r>
      <w:r w:rsidRPr="0071246C">
        <w:rPr>
          <w:rFonts w:ascii="Times New Roman" w:hAnsi="Times New Roman"/>
          <w:sz w:val="18"/>
        </w:rPr>
        <w:t>2019</w:t>
      </w:r>
      <w:r>
        <w:rPr>
          <w:rFonts w:ascii="Times New Roman" w:hAnsi="Times New Roman"/>
          <w:sz w:val="18"/>
        </w:rPr>
        <w:t xml:space="preserve"> über die Barrierefreiheitsanforderungen für Produkte und Dienstleistungen (ABl. L </w:t>
      </w:r>
      <w:r w:rsidRPr="0071246C">
        <w:rPr>
          <w:rFonts w:ascii="Times New Roman" w:hAnsi="Times New Roman"/>
          <w:sz w:val="18"/>
        </w:rPr>
        <w:t>151</w:t>
      </w:r>
      <w:r>
        <w:rPr>
          <w:rFonts w:ascii="Times New Roman" w:hAnsi="Times New Roman"/>
          <w:sz w:val="18"/>
        </w:rPr>
        <w:t xml:space="preserve"> vom </w:t>
      </w:r>
      <w:r w:rsidRPr="0071246C">
        <w:rPr>
          <w:rFonts w:ascii="Times New Roman" w:hAnsi="Times New Roman"/>
          <w:sz w:val="18"/>
        </w:rPr>
        <w:t>7</w:t>
      </w:r>
      <w:r>
        <w:rPr>
          <w:rFonts w:ascii="Times New Roman" w:hAnsi="Times New Roman"/>
          <w:sz w:val="18"/>
        </w:rPr>
        <w:t>.</w:t>
      </w:r>
      <w:r w:rsidRPr="0071246C">
        <w:rPr>
          <w:rFonts w:ascii="Times New Roman" w:hAnsi="Times New Roman"/>
          <w:sz w:val="18"/>
        </w:rPr>
        <w:t>6</w:t>
      </w:r>
      <w:r>
        <w:rPr>
          <w:rFonts w:ascii="Times New Roman" w:hAnsi="Times New Roman"/>
          <w:sz w:val="18"/>
        </w:rPr>
        <w:t>.</w:t>
      </w:r>
      <w:r w:rsidRPr="0071246C">
        <w:rPr>
          <w:rFonts w:ascii="Times New Roman" w:hAnsi="Times New Roman"/>
          <w:sz w:val="18"/>
        </w:rPr>
        <w:t>2019</w:t>
      </w:r>
      <w:r>
        <w:rPr>
          <w:rFonts w:ascii="Times New Roman" w:hAnsi="Times New Roman"/>
          <w:sz w:val="18"/>
        </w:rPr>
        <w:t>, S. </w:t>
      </w:r>
      <w:r w:rsidRPr="0071246C">
        <w:rPr>
          <w:rFonts w:ascii="Times New Roman" w:hAnsi="Times New Roman"/>
          <w:sz w:val="18"/>
        </w:rPr>
        <w:t>70</w:t>
      </w:r>
      <w:r>
        <w:rPr>
          <w:rFonts w:ascii="Times New Roman" w:hAnsi="Times New Roman"/>
          <w:sz w:val="18"/>
        </w:rPr>
        <w:t>).</w:t>
      </w:r>
    </w:p>
  </w:footnote>
  <w:footnote w:id="20">
    <w:p w14:paraId="503587A6" w14:textId="77777777" w:rsidR="00BF3003" w:rsidRPr="006D6620" w:rsidRDefault="00BF3003" w:rsidP="00AA4380">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tab/>
      </w:r>
      <w:r>
        <w:rPr>
          <w:rFonts w:ascii="Times New Roman" w:hAnsi="Times New Roman"/>
          <w:sz w:val="18"/>
        </w:rPr>
        <w:t xml:space="preserve">Richtlinie (EU) </w:t>
      </w:r>
      <w:r w:rsidRPr="0071246C">
        <w:rPr>
          <w:rFonts w:ascii="Times New Roman" w:hAnsi="Times New Roman"/>
          <w:sz w:val="18"/>
        </w:rPr>
        <w:t>2017</w:t>
      </w:r>
      <w:r>
        <w:rPr>
          <w:rFonts w:ascii="Times New Roman" w:hAnsi="Times New Roman"/>
          <w:sz w:val="18"/>
        </w:rPr>
        <w:t>/</w:t>
      </w:r>
      <w:r w:rsidRPr="0071246C">
        <w:rPr>
          <w:rFonts w:ascii="Times New Roman" w:hAnsi="Times New Roman"/>
          <w:sz w:val="18"/>
        </w:rPr>
        <w:t>2455</w:t>
      </w:r>
      <w:r>
        <w:rPr>
          <w:rFonts w:ascii="Times New Roman" w:hAnsi="Times New Roman"/>
          <w:sz w:val="18"/>
        </w:rPr>
        <w:t xml:space="preserve"> des Rates vom </w:t>
      </w:r>
      <w:r w:rsidRPr="0071246C">
        <w:rPr>
          <w:rFonts w:ascii="Times New Roman" w:hAnsi="Times New Roman"/>
          <w:sz w:val="18"/>
        </w:rPr>
        <w:t>5</w:t>
      </w:r>
      <w:r>
        <w:rPr>
          <w:rFonts w:ascii="Times New Roman" w:hAnsi="Times New Roman"/>
          <w:sz w:val="18"/>
        </w:rPr>
        <w:t>. Dezember </w:t>
      </w:r>
      <w:r w:rsidRPr="0071246C">
        <w:rPr>
          <w:rFonts w:ascii="Times New Roman" w:hAnsi="Times New Roman"/>
          <w:sz w:val="18"/>
        </w:rPr>
        <w:t>2017</w:t>
      </w:r>
      <w:r>
        <w:rPr>
          <w:rFonts w:ascii="Times New Roman" w:hAnsi="Times New Roman"/>
          <w:sz w:val="18"/>
        </w:rPr>
        <w:t xml:space="preserve"> zur Änderung der Richtlinie </w:t>
      </w:r>
      <w:r w:rsidRPr="0071246C">
        <w:rPr>
          <w:rFonts w:ascii="Times New Roman" w:hAnsi="Times New Roman"/>
          <w:sz w:val="18"/>
        </w:rPr>
        <w:t>2006</w:t>
      </w:r>
      <w:r>
        <w:rPr>
          <w:rFonts w:ascii="Times New Roman" w:hAnsi="Times New Roman"/>
          <w:sz w:val="18"/>
        </w:rPr>
        <w:t>/</w:t>
      </w:r>
      <w:r w:rsidRPr="0071246C">
        <w:rPr>
          <w:rFonts w:ascii="Times New Roman" w:hAnsi="Times New Roman"/>
          <w:sz w:val="18"/>
        </w:rPr>
        <w:t>112</w:t>
      </w:r>
      <w:r>
        <w:rPr>
          <w:rFonts w:ascii="Times New Roman" w:hAnsi="Times New Roman"/>
          <w:sz w:val="18"/>
        </w:rPr>
        <w:t>/EG und der Richtlinie </w:t>
      </w:r>
      <w:r w:rsidRPr="0071246C">
        <w:rPr>
          <w:rFonts w:ascii="Times New Roman" w:hAnsi="Times New Roman"/>
          <w:sz w:val="18"/>
        </w:rPr>
        <w:t>2009</w:t>
      </w:r>
      <w:r>
        <w:rPr>
          <w:rFonts w:ascii="Times New Roman" w:hAnsi="Times New Roman"/>
          <w:sz w:val="18"/>
        </w:rPr>
        <w:t>/</w:t>
      </w:r>
      <w:r w:rsidRPr="0071246C">
        <w:rPr>
          <w:rFonts w:ascii="Times New Roman" w:hAnsi="Times New Roman"/>
          <w:sz w:val="18"/>
        </w:rPr>
        <w:t>132</w:t>
      </w:r>
      <w:r>
        <w:rPr>
          <w:rFonts w:ascii="Times New Roman" w:hAnsi="Times New Roman"/>
          <w:sz w:val="18"/>
        </w:rPr>
        <w:t xml:space="preserve">/EG in Bezug auf bestimmte mehrwertsteuerliche Pflichten für die Erbringung von Dienstleistungen und für Fernverkäufe von Gegenständen (ABl. </w:t>
      </w:r>
      <w:r w:rsidRPr="006D6620">
        <w:rPr>
          <w:rFonts w:ascii="Times New Roman" w:hAnsi="Times New Roman"/>
          <w:sz w:val="18"/>
          <w:lang w:val="en-IE"/>
        </w:rPr>
        <w:t>L </w:t>
      </w:r>
      <w:r w:rsidRPr="0071246C">
        <w:rPr>
          <w:rFonts w:ascii="Times New Roman" w:hAnsi="Times New Roman"/>
          <w:sz w:val="18"/>
          <w:lang w:val="en-IE"/>
        </w:rPr>
        <w:t>348</w:t>
      </w:r>
      <w:r w:rsidRPr="006D6620">
        <w:rPr>
          <w:rFonts w:ascii="Times New Roman" w:hAnsi="Times New Roman"/>
          <w:sz w:val="18"/>
          <w:lang w:val="en-IE"/>
        </w:rPr>
        <w:t xml:space="preserve"> vom </w:t>
      </w:r>
      <w:r w:rsidRPr="0071246C">
        <w:rPr>
          <w:rFonts w:ascii="Times New Roman" w:hAnsi="Times New Roman"/>
          <w:sz w:val="18"/>
          <w:lang w:val="en-IE"/>
        </w:rPr>
        <w:t>29</w:t>
      </w:r>
      <w:r w:rsidRPr="006D6620">
        <w:rPr>
          <w:rFonts w:ascii="Times New Roman" w:hAnsi="Times New Roman"/>
          <w:sz w:val="18"/>
          <w:lang w:val="en-IE"/>
        </w:rPr>
        <w:t>.</w:t>
      </w:r>
      <w:r w:rsidRPr="0071246C">
        <w:rPr>
          <w:rFonts w:ascii="Times New Roman" w:hAnsi="Times New Roman"/>
          <w:sz w:val="18"/>
          <w:lang w:val="en-IE"/>
        </w:rPr>
        <w:t>12</w:t>
      </w:r>
      <w:r w:rsidRPr="006D6620">
        <w:rPr>
          <w:rFonts w:ascii="Times New Roman" w:hAnsi="Times New Roman"/>
          <w:sz w:val="18"/>
          <w:lang w:val="en-IE"/>
        </w:rPr>
        <w:t>.</w:t>
      </w:r>
      <w:r w:rsidRPr="0071246C">
        <w:rPr>
          <w:rFonts w:ascii="Times New Roman" w:hAnsi="Times New Roman"/>
          <w:sz w:val="18"/>
          <w:lang w:val="en-IE"/>
        </w:rPr>
        <w:t>2017</w:t>
      </w:r>
      <w:r w:rsidRPr="006D6620">
        <w:rPr>
          <w:rFonts w:ascii="Times New Roman" w:hAnsi="Times New Roman"/>
          <w:sz w:val="18"/>
          <w:lang w:val="en-IE"/>
        </w:rPr>
        <w:t>, S. </w:t>
      </w:r>
      <w:r w:rsidRPr="0071246C">
        <w:rPr>
          <w:rFonts w:ascii="Times New Roman" w:hAnsi="Times New Roman"/>
          <w:sz w:val="18"/>
          <w:lang w:val="en-IE"/>
        </w:rPr>
        <w:t>7</w:t>
      </w:r>
      <w:r w:rsidRPr="006D6620">
        <w:rPr>
          <w:rFonts w:ascii="Times New Roman" w:hAnsi="Times New Roman"/>
          <w:sz w:val="18"/>
          <w:lang w:val="en-IE"/>
        </w:rPr>
        <w:t>).</w:t>
      </w:r>
    </w:p>
  </w:footnote>
  <w:footnote w:id="21">
    <w:p w14:paraId="30A1DC86" w14:textId="77777777" w:rsidR="005727B1" w:rsidRPr="006D6620" w:rsidRDefault="005727B1" w:rsidP="00AA4380">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sidRPr="006D6620">
        <w:rPr>
          <w:lang w:val="en-IE"/>
        </w:rPr>
        <w:tab/>
      </w:r>
      <w:bookmarkStart w:id="5" w:name="_Hlk132622691"/>
      <w:r w:rsidRPr="006D6620">
        <w:rPr>
          <w:rFonts w:ascii="Times New Roman" w:hAnsi="Times New Roman"/>
          <w:sz w:val="18"/>
          <w:lang w:val="en-IE"/>
        </w:rPr>
        <w:t>Copenhagen Economics (</w:t>
      </w:r>
      <w:r w:rsidRPr="0071246C">
        <w:rPr>
          <w:rFonts w:ascii="Times New Roman" w:hAnsi="Times New Roman"/>
          <w:sz w:val="18"/>
          <w:lang w:val="en-IE"/>
        </w:rPr>
        <w:t>2016</w:t>
      </w:r>
      <w:r w:rsidRPr="006D6620">
        <w:rPr>
          <w:rFonts w:ascii="Times New Roman" w:hAnsi="Times New Roman"/>
          <w:sz w:val="18"/>
          <w:lang w:val="en-IE"/>
        </w:rPr>
        <w:t>), E-commerce imports into Europe: VAT and Customs treatment.</w:t>
      </w:r>
    </w:p>
    <w:bookmarkEnd w:id="5"/>
  </w:footnote>
  <w:footnote w:id="22">
    <w:p w14:paraId="4C95C5C3" w14:textId="77777777" w:rsidR="005727B1" w:rsidRPr="006D6620" w:rsidRDefault="005727B1" w:rsidP="00AA4380">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sidRPr="006D6620">
        <w:rPr>
          <w:lang w:val="en-IE"/>
        </w:rPr>
        <w:tab/>
      </w:r>
      <w:hyperlink r:id="rId9" w:history="1">
        <w:r w:rsidRPr="006D6620">
          <w:rPr>
            <w:rStyle w:val="ZnakZnakZnak1"/>
            <w:rFonts w:ascii="Times New Roman" w:hAnsi="Times New Roman"/>
            <w:sz w:val="18"/>
            <w:lang w:val="en-IE"/>
          </w:rPr>
          <w:t>https://www.beuc.eu/publications/beuc-x-</w:t>
        </w:r>
        <w:r w:rsidRPr="0071246C">
          <w:rPr>
            <w:rStyle w:val="ZnakZnakZnak1"/>
            <w:rFonts w:ascii="Times New Roman" w:hAnsi="Times New Roman"/>
            <w:sz w:val="18"/>
            <w:lang w:val="en-IE"/>
          </w:rPr>
          <w:t>2021</w:t>
        </w:r>
        <w:r w:rsidRPr="006D6620">
          <w:rPr>
            <w:rStyle w:val="ZnakZnakZnak1"/>
            <w:rFonts w:ascii="Times New Roman" w:hAnsi="Times New Roman"/>
            <w:sz w:val="18"/>
            <w:lang w:val="en-IE"/>
          </w:rPr>
          <w:t>-</w:t>
        </w:r>
        <w:r w:rsidRPr="0071246C">
          <w:rPr>
            <w:rStyle w:val="ZnakZnakZnak1"/>
            <w:rFonts w:ascii="Times New Roman" w:hAnsi="Times New Roman"/>
            <w:sz w:val="18"/>
            <w:lang w:val="en-IE"/>
          </w:rPr>
          <w:t>004</w:t>
        </w:r>
        <w:r w:rsidRPr="006D6620">
          <w:rPr>
            <w:rStyle w:val="ZnakZnakZnak1"/>
            <w:rFonts w:ascii="Times New Roman" w:hAnsi="Times New Roman"/>
            <w:sz w:val="18"/>
            <w:lang w:val="en-IE"/>
          </w:rPr>
          <w:t>_is_it_safe_to_shop_on_online_marketplaces.pdf</w:t>
        </w:r>
      </w:hyperlink>
      <w:r w:rsidRPr="006D6620">
        <w:rPr>
          <w:rStyle w:val="ZnakZnakZnak1"/>
          <w:rFonts w:ascii="Times New Roman" w:hAnsi="Times New Roman"/>
          <w:sz w:val="18"/>
          <w:lang w:val="en-IE"/>
        </w:rPr>
        <w:t xml:space="preserve"> </w:t>
      </w:r>
    </w:p>
  </w:footnote>
  <w:footnote w:id="23">
    <w:p w14:paraId="28D0B5D0" w14:textId="0037264E" w:rsidR="00B871E8" w:rsidRPr="00AA4380" w:rsidRDefault="00B871E8" w:rsidP="00AA4380">
      <w:pPr>
        <w:pStyle w:val="FootnoteText"/>
        <w:jc w:val="both"/>
        <w:rPr>
          <w:rFonts w:ascii="Times New Roman" w:hAnsi="Times New Roman" w:cs="Times New Roman"/>
          <w:sz w:val="18"/>
          <w:szCs w:val="18"/>
          <w:vertAlign w:val="superscript"/>
        </w:rPr>
      </w:pPr>
      <w:r>
        <w:rPr>
          <w:rStyle w:val="FootnoteReference"/>
          <w:rFonts w:ascii="Times New Roman" w:hAnsi="Times New Roman" w:cs="Times New Roman"/>
          <w:sz w:val="18"/>
          <w:szCs w:val="18"/>
        </w:rPr>
        <w:footnoteRef/>
      </w:r>
      <w:r>
        <w:tab/>
      </w:r>
      <w:r>
        <w:rPr>
          <w:rFonts w:ascii="Times New Roman" w:hAnsi="Times New Roman"/>
          <w:sz w:val="18"/>
        </w:rPr>
        <w:t xml:space="preserve">Mitteilung der Kommission an das Europäische Parlament, den Rat und den Europäischen Wirtschafts- und Sozialausschuss, „Aktionsplan für den Ausbau der </w:t>
      </w:r>
      <w:r w:rsidR="0071246C">
        <w:rPr>
          <w:rFonts w:ascii="Times New Roman" w:hAnsi="Times New Roman"/>
          <w:sz w:val="18"/>
        </w:rPr>
        <w:t>Zollunion“ (COM</w:t>
      </w:r>
      <w:r>
        <w:rPr>
          <w:rFonts w:ascii="Times New Roman" w:hAnsi="Times New Roman"/>
          <w:sz w:val="18"/>
        </w:rPr>
        <w:t>(</w:t>
      </w:r>
      <w:r w:rsidRPr="0071246C">
        <w:rPr>
          <w:rFonts w:ascii="Times New Roman" w:hAnsi="Times New Roman"/>
          <w:sz w:val="18"/>
        </w:rPr>
        <w:t>2020</w:t>
      </w:r>
      <w:r>
        <w:rPr>
          <w:rFonts w:ascii="Times New Roman" w:hAnsi="Times New Roman"/>
          <w:sz w:val="18"/>
        </w:rPr>
        <w:t>) </w:t>
      </w:r>
      <w:r w:rsidRPr="0071246C">
        <w:rPr>
          <w:rFonts w:ascii="Times New Roman" w:hAnsi="Times New Roman"/>
          <w:sz w:val="18"/>
        </w:rPr>
        <w:t>581</w:t>
      </w:r>
      <w:r>
        <w:rPr>
          <w:rFonts w:ascii="Times New Roman" w:hAnsi="Times New Roman"/>
          <w:sz w:val="18"/>
        </w:rPr>
        <w:t xml:space="preserve"> final).</w:t>
      </w:r>
    </w:p>
  </w:footnote>
  <w:footnote w:id="24">
    <w:p w14:paraId="69DBBC95" w14:textId="77777777" w:rsidR="00B871E8" w:rsidRPr="00AA4380" w:rsidRDefault="00B871E8" w:rsidP="00AA4380">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 xml:space="preserve">Entschließung des Europäischen Parlaments vom </w:t>
      </w:r>
      <w:r w:rsidRPr="0071246C">
        <w:rPr>
          <w:rFonts w:ascii="Times New Roman" w:hAnsi="Times New Roman"/>
          <w:sz w:val="18"/>
        </w:rPr>
        <w:t>18</w:t>
      </w:r>
      <w:r>
        <w:rPr>
          <w:rFonts w:ascii="Times New Roman" w:hAnsi="Times New Roman"/>
          <w:sz w:val="18"/>
        </w:rPr>
        <w:t xml:space="preserve">. Januar </w:t>
      </w:r>
      <w:r w:rsidRPr="0071246C">
        <w:rPr>
          <w:rFonts w:ascii="Times New Roman" w:hAnsi="Times New Roman"/>
          <w:sz w:val="18"/>
        </w:rPr>
        <w:t>2023</w:t>
      </w:r>
      <w:r>
        <w:rPr>
          <w:rFonts w:ascii="Times New Roman" w:hAnsi="Times New Roman"/>
          <w:sz w:val="18"/>
        </w:rPr>
        <w:t xml:space="preserve"> zum </w:t>
      </w:r>
      <w:r w:rsidRPr="0071246C">
        <w:rPr>
          <w:rFonts w:ascii="Times New Roman" w:hAnsi="Times New Roman"/>
          <w:sz w:val="18"/>
        </w:rPr>
        <w:t>30</w:t>
      </w:r>
      <w:r>
        <w:rPr>
          <w:rFonts w:ascii="Times New Roman" w:hAnsi="Times New Roman"/>
          <w:sz w:val="18"/>
        </w:rPr>
        <w:t>-jährigen Bestehen des Binnenmarkts: Würdigung der Errungenschaften und Ausblick auf künftige Entwicklungen (</w:t>
      </w:r>
      <w:hyperlink r:id="rId10" w:history="1">
        <w:r w:rsidRPr="0071246C">
          <w:rPr>
            <w:rStyle w:val="Hyperlink"/>
            <w:rFonts w:ascii="Times New Roman" w:hAnsi="Times New Roman"/>
            <w:sz w:val="18"/>
          </w:rPr>
          <w:t>2022</w:t>
        </w:r>
        <w:r>
          <w:rPr>
            <w:rStyle w:val="Hyperlink"/>
            <w:rFonts w:ascii="Times New Roman" w:hAnsi="Times New Roman"/>
            <w:sz w:val="18"/>
          </w:rPr>
          <w:t>/</w:t>
        </w:r>
        <w:r w:rsidRPr="0071246C">
          <w:rPr>
            <w:rStyle w:val="Hyperlink"/>
            <w:rFonts w:ascii="Times New Roman" w:hAnsi="Times New Roman"/>
            <w:sz w:val="18"/>
          </w:rPr>
          <w:t>3015</w:t>
        </w:r>
        <w:r>
          <w:rPr>
            <w:rStyle w:val="Hyperlink"/>
            <w:rFonts w:ascii="Times New Roman" w:hAnsi="Times New Roman"/>
            <w:sz w:val="18"/>
          </w:rPr>
          <w:t>(RSP)</w:t>
        </w:r>
      </w:hyperlink>
      <w:r>
        <w:rPr>
          <w:rFonts w:ascii="Times New Roman" w:hAnsi="Times New Roman"/>
          <w:sz w:val="18"/>
        </w:rPr>
        <w:t>).</w:t>
      </w:r>
    </w:p>
  </w:footnote>
  <w:footnote w:id="25">
    <w:p w14:paraId="2DDEA008"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Die Vorteile und Kosteneinsparungen sind sogar noch ausgeprägter im Vergleich zu einem kontrafaktischen Szenario einer unkoordinierten Einführung von Datenplattformen auf nationaler Ebene, die die Zollunion weiter fragmentieren würde.</w:t>
      </w:r>
    </w:p>
  </w:footnote>
  <w:footnote w:id="26">
    <w:p w14:paraId="50AE2F11"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 xml:space="preserve">Der AEO-Status wird von der Zollverwaltung bewilligt. Durch die Bewilligung wird bescheinigt, dass ein Wirtschaftsbeteiligter bestimmte Standards hinsichtlich der Zuverlässigkeit, der Sicherheit, der Einhaltung der Zollvorschriften, der Zahlungsfähigkeit usw. erfüllt. </w:t>
      </w:r>
    </w:p>
  </w:footnote>
  <w:footnote w:id="27">
    <w:p w14:paraId="4550890D" w14:textId="77777777" w:rsidR="00E67F4A" w:rsidRPr="00AA4380" w:rsidRDefault="00E67F4A"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Ausgenommen sind Waren, die Beschränkungen unterliegen.</w:t>
      </w:r>
    </w:p>
  </w:footnote>
  <w:footnote w:id="28">
    <w:p w14:paraId="3DA68473" w14:textId="77777777" w:rsidR="00551273" w:rsidRPr="00AA4380" w:rsidRDefault="00551273"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Entsprechend dem Vorschlag für eine Verordnung zur Schaffung eines Rahmens für die Festlegung von Ökodesign-Anforderungen für nachhaltige Produkte und zur Aufhebung der Richtlinie </w:t>
      </w:r>
      <w:r w:rsidRPr="0071246C">
        <w:rPr>
          <w:rFonts w:ascii="Times New Roman" w:hAnsi="Times New Roman"/>
          <w:sz w:val="18"/>
        </w:rPr>
        <w:t>2009</w:t>
      </w:r>
      <w:r>
        <w:rPr>
          <w:rFonts w:ascii="Times New Roman" w:hAnsi="Times New Roman"/>
          <w:sz w:val="18"/>
        </w:rPr>
        <w:t>/</w:t>
      </w:r>
      <w:r w:rsidRPr="0071246C">
        <w:rPr>
          <w:rFonts w:ascii="Times New Roman" w:hAnsi="Times New Roman"/>
          <w:sz w:val="18"/>
        </w:rPr>
        <w:t>125</w:t>
      </w:r>
      <w:r>
        <w:rPr>
          <w:rFonts w:ascii="Times New Roman" w:hAnsi="Times New Roman"/>
          <w:sz w:val="18"/>
        </w:rPr>
        <w:t>/EG (COM(</w:t>
      </w:r>
      <w:r w:rsidRPr="0071246C">
        <w:rPr>
          <w:rFonts w:ascii="Times New Roman" w:hAnsi="Times New Roman"/>
          <w:sz w:val="18"/>
        </w:rPr>
        <w:t>2022</w:t>
      </w:r>
      <w:r>
        <w:rPr>
          <w:rFonts w:ascii="Times New Roman" w:hAnsi="Times New Roman"/>
          <w:sz w:val="18"/>
        </w:rPr>
        <w:t>) </w:t>
      </w:r>
      <w:r w:rsidRPr="0071246C">
        <w:rPr>
          <w:rFonts w:ascii="Times New Roman" w:hAnsi="Times New Roman"/>
          <w:sz w:val="18"/>
        </w:rPr>
        <w:t>142</w:t>
      </w:r>
      <w:r>
        <w:rPr>
          <w:rFonts w:ascii="Times New Roman" w:hAnsi="Times New Roman"/>
          <w:sz w:val="18"/>
        </w:rPr>
        <w:t xml:space="preserve"> final).</w:t>
      </w:r>
    </w:p>
  </w:footnote>
  <w:footnote w:id="29">
    <w:p w14:paraId="3834099E" w14:textId="77777777" w:rsidR="00A1469F" w:rsidRPr="00AA4380" w:rsidRDefault="00A1469F"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Die Verpflichtung, bestimmte Mindestinformationen vor dem Verladen und vor der Ankunft bereitzustellen, muss hingegen bestehen bleiben.</w:t>
      </w:r>
    </w:p>
  </w:footnote>
  <w:footnote w:id="30">
    <w:p w14:paraId="3F61C412" w14:textId="44435130"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Siehe Fußnote </w:t>
      </w:r>
      <w:r w:rsidRPr="0071246C">
        <w:rPr>
          <w:rFonts w:ascii="Times New Roman" w:hAnsi="Times New Roman"/>
          <w:sz w:val="18"/>
        </w:rPr>
        <w:t>9</w:t>
      </w:r>
      <w:r>
        <w:rPr>
          <w:rFonts w:ascii="Times New Roman" w:hAnsi="Times New Roman"/>
          <w:sz w:val="18"/>
        </w:rPr>
        <w:t xml:space="preserve">. Siehe auch </w:t>
      </w:r>
      <w:hyperlink r:id="rId11" w:history="1">
        <w:r>
          <w:rPr>
            <w:rStyle w:val="ZnakZnakZnak1"/>
            <w:rFonts w:ascii="Times New Roman" w:hAnsi="Times New Roman"/>
            <w:sz w:val="18"/>
          </w:rPr>
          <w:t>EU</w:t>
        </w:r>
        <w:r w:rsidR="006D6620">
          <w:rPr>
            <w:rStyle w:val="ZnakZnakZnak1"/>
            <w:rFonts w:ascii="Times New Roman" w:hAnsi="Times New Roman"/>
            <w:sz w:val="18"/>
          </w:rPr>
          <w:t xml:space="preserve">-Mehrwertsteuervorschriften </w:t>
        </w:r>
        <w:r>
          <w:rPr>
            <w:rStyle w:val="ZnakZnakZnak1"/>
            <w:rFonts w:ascii="Times New Roman" w:hAnsi="Times New Roman"/>
            <w:sz w:val="18"/>
          </w:rPr>
          <w:t>(europa.eu)</w:t>
        </w:r>
      </w:hyperlink>
      <w:r>
        <w:rPr>
          <w:rFonts w:ascii="Times New Roman" w:hAnsi="Times New Roman"/>
          <w:sz w:val="18"/>
        </w:rPr>
        <w:t>.</w:t>
      </w:r>
    </w:p>
  </w:footnote>
  <w:footnote w:id="31">
    <w:p w14:paraId="24ABBFEE" w14:textId="77777777" w:rsidR="005727B1" w:rsidRPr="00AA4380" w:rsidRDefault="005727B1"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Die neuen Vorschriften werden den multilateralen Verhandlungen im Rahmen der WTO oder den mit Japan, Korea und Singapur geschlossenen digitalen Partnerschaften gebührend Rechnung tragen.</w:t>
      </w:r>
    </w:p>
  </w:footnote>
  <w:footnote w:id="32">
    <w:p w14:paraId="6BEEDBAF" w14:textId="77777777" w:rsidR="001553F7" w:rsidRPr="00AA4380" w:rsidRDefault="001553F7"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Die Plattformen werden auch dafür verantwortlich sein sicherzustellen, dass Fernverkäufer in Bezug auf Waren, die einer erweiterten Herstellerverantwortung unterliegen, bei Organisationen für die Herstellerverantwortung registriert sind, um gleiche Wettbewerbsbedingungen für alle Händler zu gewährleisten.</w:t>
      </w:r>
    </w:p>
  </w:footnote>
  <w:footnote w:id="33">
    <w:p w14:paraId="456EBAB1" w14:textId="77777777" w:rsidR="00E45C53" w:rsidRPr="00AA4380" w:rsidRDefault="00E45C53"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„Zoll, der nicht nach Gewicht oder Anzahl der Einheiten, sondern als Prozentsatz des Wertes der eingeführten Dienstleistungen oder Waren erhoben wird.“</w:t>
      </w:r>
    </w:p>
  </w:footnote>
  <w:footnote w:id="34">
    <w:p w14:paraId="43FCE45A"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 xml:space="preserve">Siehe </w:t>
      </w:r>
      <w:hyperlink r:id="rId12" w:history="1">
        <w:r>
          <w:rPr>
            <w:rStyle w:val="ZnakZnakZnak1"/>
            <w:rFonts w:ascii="Times New Roman" w:hAnsi="Times New Roman"/>
            <w:sz w:val="18"/>
          </w:rPr>
          <w:t>https://www.wto.org/english/tratop_e/msmes_e/canada_sept</w:t>
        </w:r>
        <w:r w:rsidRPr="0071246C">
          <w:rPr>
            <w:rStyle w:val="ZnakZnakZnak1"/>
            <w:rFonts w:ascii="Times New Roman" w:hAnsi="Times New Roman"/>
            <w:sz w:val="18"/>
          </w:rPr>
          <w:t>21</w:t>
        </w:r>
        <w:r>
          <w:rPr>
            <w:rStyle w:val="ZnakZnakZnak1"/>
            <w:rFonts w:ascii="Times New Roman" w:hAnsi="Times New Roman"/>
            <w:sz w:val="18"/>
          </w:rPr>
          <w:t>_e.pdf</w:t>
        </w:r>
      </w:hyperlink>
      <w:r>
        <w:rPr>
          <w:rStyle w:val="ZnakZnakZnak1"/>
          <w:rFonts w:ascii="Times New Roman" w:hAnsi="Times New Roman"/>
          <w:sz w:val="18"/>
        </w:rPr>
        <w:t>.</w:t>
      </w:r>
    </w:p>
  </w:footnote>
  <w:footnote w:id="35">
    <w:p w14:paraId="57D1388B"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ab/>
        <w:t>Verordnung (EU) </w:t>
      </w:r>
      <w:r w:rsidRPr="0071246C">
        <w:rPr>
          <w:rFonts w:ascii="Times New Roman" w:hAnsi="Times New Roman"/>
          <w:sz w:val="18"/>
        </w:rPr>
        <w:t>2022</w:t>
      </w:r>
      <w:r>
        <w:rPr>
          <w:rFonts w:ascii="Times New Roman" w:hAnsi="Times New Roman"/>
          <w:sz w:val="18"/>
        </w:rPr>
        <w:t>/</w:t>
      </w:r>
      <w:r w:rsidRPr="0071246C">
        <w:rPr>
          <w:rFonts w:ascii="Times New Roman" w:hAnsi="Times New Roman"/>
          <w:sz w:val="18"/>
        </w:rPr>
        <w:t>2065</w:t>
      </w:r>
      <w:r>
        <w:rPr>
          <w:rFonts w:ascii="Times New Roman" w:hAnsi="Times New Roman"/>
          <w:sz w:val="18"/>
        </w:rPr>
        <w:t xml:space="preserve"> des Europäischen Parlaments und des Rates vom </w:t>
      </w:r>
      <w:r w:rsidRPr="0071246C">
        <w:rPr>
          <w:rFonts w:ascii="Times New Roman" w:hAnsi="Times New Roman"/>
          <w:sz w:val="18"/>
        </w:rPr>
        <w:t>19</w:t>
      </w:r>
      <w:r>
        <w:rPr>
          <w:rFonts w:ascii="Times New Roman" w:hAnsi="Times New Roman"/>
          <w:sz w:val="18"/>
        </w:rPr>
        <w:t xml:space="preserve">. Oktober </w:t>
      </w:r>
      <w:r w:rsidRPr="0071246C">
        <w:rPr>
          <w:rFonts w:ascii="Times New Roman" w:hAnsi="Times New Roman"/>
          <w:sz w:val="18"/>
        </w:rPr>
        <w:t>2022</w:t>
      </w:r>
      <w:r>
        <w:rPr>
          <w:rFonts w:ascii="Times New Roman" w:hAnsi="Times New Roman"/>
          <w:sz w:val="18"/>
        </w:rPr>
        <w:t xml:space="preserve"> über einen Binnenmarkt für digitale Dienste und zur Änderung der Richtlinie </w:t>
      </w:r>
      <w:r w:rsidRPr="0071246C">
        <w:rPr>
          <w:rFonts w:ascii="Times New Roman" w:hAnsi="Times New Roman"/>
          <w:sz w:val="18"/>
        </w:rPr>
        <w:t>2000</w:t>
      </w:r>
      <w:r>
        <w:rPr>
          <w:rFonts w:ascii="Times New Roman" w:hAnsi="Times New Roman"/>
          <w:sz w:val="18"/>
        </w:rPr>
        <w:t>/</w:t>
      </w:r>
      <w:r w:rsidRPr="0071246C">
        <w:rPr>
          <w:rFonts w:ascii="Times New Roman" w:hAnsi="Times New Roman"/>
          <w:sz w:val="18"/>
        </w:rPr>
        <w:t>31</w:t>
      </w:r>
      <w:r>
        <w:rPr>
          <w:rFonts w:ascii="Times New Roman" w:hAnsi="Times New Roman"/>
          <w:sz w:val="18"/>
        </w:rPr>
        <w:t>/EG (Gesetz über digitale Dienste) (Text von Bedeutung für den EWR) (ABl. L </w:t>
      </w:r>
      <w:r w:rsidRPr="0071246C">
        <w:rPr>
          <w:rFonts w:ascii="Times New Roman" w:hAnsi="Times New Roman"/>
          <w:sz w:val="18"/>
        </w:rPr>
        <w:t>277</w:t>
      </w:r>
      <w:r>
        <w:rPr>
          <w:rFonts w:ascii="Times New Roman" w:hAnsi="Times New Roman"/>
          <w:sz w:val="18"/>
        </w:rPr>
        <w:t xml:space="preserve"> vom </w:t>
      </w:r>
      <w:r w:rsidRPr="0071246C">
        <w:rPr>
          <w:rFonts w:ascii="Times New Roman" w:hAnsi="Times New Roman"/>
          <w:sz w:val="18"/>
        </w:rPr>
        <w:t>27</w:t>
      </w:r>
      <w:r>
        <w:rPr>
          <w:rFonts w:ascii="Times New Roman" w:hAnsi="Times New Roman"/>
          <w:sz w:val="18"/>
        </w:rPr>
        <w:t>.</w:t>
      </w:r>
      <w:r w:rsidRPr="0071246C">
        <w:rPr>
          <w:rFonts w:ascii="Times New Roman" w:hAnsi="Times New Roman"/>
          <w:sz w:val="18"/>
        </w:rPr>
        <w:t>10</w:t>
      </w:r>
      <w:r>
        <w:rPr>
          <w:rFonts w:ascii="Times New Roman" w:hAnsi="Times New Roman"/>
          <w:sz w:val="18"/>
        </w:rPr>
        <w:t>.</w:t>
      </w:r>
      <w:r w:rsidRPr="0071246C">
        <w:rPr>
          <w:rFonts w:ascii="Times New Roman" w:hAnsi="Times New Roman"/>
          <w:sz w:val="18"/>
        </w:rPr>
        <w:t>2022</w:t>
      </w:r>
      <w:r>
        <w:rPr>
          <w:rFonts w:ascii="Times New Roman" w:hAnsi="Times New Roman"/>
          <w:sz w:val="18"/>
        </w:rPr>
        <w:t>, S. </w:t>
      </w:r>
      <w:r w:rsidRPr="0071246C">
        <w:rPr>
          <w:rFonts w:ascii="Times New Roman" w:hAnsi="Times New Roman"/>
          <w:sz w:val="18"/>
        </w:rPr>
        <w:t>1</w:t>
      </w:r>
      <w:r>
        <w:rPr>
          <w:rFonts w:ascii="Times New Roman" w:hAnsi="Times New Roman"/>
          <w:sz w:val="18"/>
        </w:rPr>
        <w:t>).</w:t>
      </w:r>
    </w:p>
  </w:footnote>
  <w:footnote w:id="36">
    <w:p w14:paraId="10732343" w14:textId="77777777" w:rsidR="00946127" w:rsidRPr="00AA4380" w:rsidRDefault="00946127"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Zur Erleichterung dieser bereichsübergreifenden Zusammenarbeit wird die EU-Zolldatenplattform in enger Abstimmung mit dem Europäischen Interoperabilitätsrahmen (COM(</w:t>
      </w:r>
      <w:r w:rsidRPr="0071246C">
        <w:rPr>
          <w:rFonts w:ascii="Times New Roman" w:hAnsi="Times New Roman"/>
          <w:sz w:val="18"/>
        </w:rPr>
        <w:t>2017</w:t>
      </w:r>
      <w:r>
        <w:rPr>
          <w:rFonts w:ascii="Times New Roman" w:hAnsi="Times New Roman"/>
          <w:sz w:val="18"/>
        </w:rPr>
        <w:t>) </w:t>
      </w:r>
      <w:r w:rsidRPr="0071246C">
        <w:rPr>
          <w:rFonts w:ascii="Times New Roman" w:hAnsi="Times New Roman"/>
          <w:sz w:val="18"/>
        </w:rPr>
        <w:t>134</w:t>
      </w:r>
      <w:r>
        <w:rPr>
          <w:rFonts w:ascii="Times New Roman" w:hAnsi="Times New Roman"/>
          <w:sz w:val="18"/>
        </w:rPr>
        <w:t xml:space="preserve"> final) und dem damit verbundenen Rahmen für die Zusammenarbeit entsprechend dem Vorschlag der Kommission für eine Verordnung für ein interoperables Europa (COM(</w:t>
      </w:r>
      <w:r w:rsidRPr="0071246C">
        <w:rPr>
          <w:rFonts w:ascii="Times New Roman" w:hAnsi="Times New Roman"/>
          <w:sz w:val="18"/>
        </w:rPr>
        <w:t>2022</w:t>
      </w:r>
      <w:r>
        <w:rPr>
          <w:rFonts w:ascii="Times New Roman" w:hAnsi="Times New Roman"/>
          <w:sz w:val="18"/>
        </w:rPr>
        <w:t>) </w:t>
      </w:r>
      <w:r w:rsidRPr="0071246C">
        <w:rPr>
          <w:rFonts w:ascii="Times New Roman" w:hAnsi="Times New Roman"/>
          <w:sz w:val="18"/>
        </w:rPr>
        <w:t>720</w:t>
      </w:r>
      <w:r>
        <w:rPr>
          <w:rFonts w:ascii="Times New Roman" w:hAnsi="Times New Roman"/>
          <w:sz w:val="18"/>
        </w:rPr>
        <w:t xml:space="preserve"> final) aufgebaut werden.</w:t>
      </w:r>
    </w:p>
  </w:footnote>
  <w:footnote w:id="37">
    <w:p w14:paraId="2C1C70FF" w14:textId="77777777" w:rsidR="00946127" w:rsidRPr="00AA4380" w:rsidRDefault="00946127"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 xml:space="preserve">Beispielsweise könnte die Europäische Chemikalienagentur (ECHA) dank eines direkten Zugangs zur Datenbank für jeden Stoff, der von einer juristischen Person in einer Menge von </w:t>
      </w:r>
      <w:r w:rsidRPr="0071246C">
        <w:rPr>
          <w:rFonts w:ascii="Times New Roman" w:hAnsi="Times New Roman"/>
          <w:sz w:val="18"/>
        </w:rPr>
        <w:t>1</w:t>
      </w:r>
      <w:r>
        <w:rPr>
          <w:rFonts w:ascii="Times New Roman" w:hAnsi="Times New Roman"/>
          <w:sz w:val="18"/>
        </w:rPr>
        <w:t> t oder mehr hergestellt oder eingeführt wird, die Existenz einer gültigen Registrierungsnummer überprüfen. Ohne eine solche Registrierung ist das Inverkehrbringen nicht zulässig. Umgekehrt könnten die Zollbehörden in Fällen, in denen die Kommission eine Ausnahme für Stoffe gewährt hat, die nach den REACH-Vorschriften verboten sind, dank des Zugriffs auf die ECHA-Datenbank die Bewilligungsentscheidungen überprüfen. Derzeit sind die Zollbehörden bei der Überprüfung dieser Informationen oft mit Problemen konfrontiert, da Bewilligungsentscheidungen an den Verwender und nicht an den Einführer des Stoffes gerichtet sind.</w:t>
      </w:r>
    </w:p>
  </w:footnote>
  <w:footnote w:id="38">
    <w:p w14:paraId="5A27AE31" w14:textId="77777777" w:rsidR="00946127" w:rsidRPr="00AA4380" w:rsidRDefault="00946127"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Sie wird darüber hinaus die Zusammenarbeit mit Behörden stärken, die Ermittlungsarbeit bei Straftaten leisten und/oder strafrechtliche Ermittlungen unterstützen, sowie mit der Agentur Frontex, die mit der Aufdeckung, Verhütung und Bekämpfung grenzüberschreitender Kriminalität an den Außengrenzen der EU betraut ist.</w:t>
      </w:r>
    </w:p>
  </w:footnote>
  <w:footnote w:id="39">
    <w:p w14:paraId="3F52798C"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Dazu gehören: CRMS</w:t>
      </w:r>
      <w:r w:rsidRPr="0071246C">
        <w:rPr>
          <w:rFonts w:ascii="Times New Roman" w:hAnsi="Times New Roman"/>
          <w:sz w:val="18"/>
        </w:rPr>
        <w:t>2</w:t>
      </w:r>
      <w:r>
        <w:rPr>
          <w:rFonts w:ascii="Times New Roman" w:hAnsi="Times New Roman"/>
          <w:sz w:val="18"/>
        </w:rPr>
        <w:t>, ICS</w:t>
      </w:r>
      <w:r w:rsidRPr="0071246C">
        <w:rPr>
          <w:rFonts w:ascii="Times New Roman" w:hAnsi="Times New Roman"/>
          <w:sz w:val="18"/>
        </w:rPr>
        <w:t>2</w:t>
      </w:r>
      <w:r>
        <w:rPr>
          <w:rFonts w:ascii="Times New Roman" w:hAnsi="Times New Roman"/>
          <w:sz w:val="18"/>
        </w:rPr>
        <w:t>, EU CSW-CERTEX, CCI.</w:t>
      </w:r>
    </w:p>
  </w:footnote>
  <w:footnote w:id="40">
    <w:p w14:paraId="5A0DD157" w14:textId="77777777" w:rsidR="006F2D75" w:rsidRPr="00AA4380" w:rsidRDefault="006F2D75"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tab/>
      </w:r>
      <w:r>
        <w:rPr>
          <w:rFonts w:ascii="Times New Roman" w:hAnsi="Times New Roman"/>
          <w:sz w:val="18"/>
        </w:rPr>
        <w:t>Mitteilung der Kommission an das Europäische Parlament, den Rat, den Europäischen Wirtschafts- und Sozialausschuss und den Ausschuss der Regionen: Überprüfung der Handelspolitik – Eine offene, nachhaltige und entschlossene Handelspolitik (COM(</w:t>
      </w:r>
      <w:r w:rsidRPr="0071246C">
        <w:rPr>
          <w:rFonts w:ascii="Times New Roman" w:hAnsi="Times New Roman"/>
          <w:sz w:val="18"/>
        </w:rPr>
        <w:t>2021</w:t>
      </w:r>
      <w:r>
        <w:rPr>
          <w:rFonts w:ascii="Times New Roman" w:hAnsi="Times New Roman"/>
          <w:sz w:val="18"/>
        </w:rPr>
        <w:t>) </w:t>
      </w:r>
      <w:r w:rsidRPr="0071246C">
        <w:rPr>
          <w:rFonts w:ascii="Times New Roman" w:hAnsi="Times New Roman"/>
          <w:sz w:val="18"/>
        </w:rPr>
        <w:t>66</w:t>
      </w:r>
      <w:r>
        <w:rPr>
          <w:rFonts w:ascii="Times New Roman" w:hAnsi="Times New Roman"/>
          <w:sz w:val="18"/>
        </w:rPr>
        <w:t xml:space="preserve"> final).</w:t>
      </w:r>
    </w:p>
  </w:footnote>
  <w:footnote w:id="41">
    <w:p w14:paraId="5F24DC82"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Die Weltzollorganisation (WZO) ist eine zwischenstaatliche Organisation, die sich mit zollrelevanten Fragen wie Warensystematik, Bewertung, Ursprungsregeln, Sicherheit der Lieferkette und Handelserleichterung befasst.</w:t>
      </w:r>
    </w:p>
  </w:footnote>
  <w:footnote w:id="42">
    <w:p w14:paraId="242C4244"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Beispielsweise durch die Entwicklung von EMAS-ähnlichen Normen auch auf weltweiter Ebene unter dem Dach der WZO.</w:t>
      </w:r>
    </w:p>
  </w:footnote>
  <w:footnote w:id="43">
    <w:p w14:paraId="50F6F8C7"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Das Harmonisierte System ist die von der WZO entwickelte universelle internationale Warennomenklatur. Sie wird von den meisten Ländern weltweit als Grundlage für ihre zolltarifliche Einreihung herangezogen.</w:t>
      </w:r>
    </w:p>
  </w:footnote>
  <w:footnote w:id="44">
    <w:p w14:paraId="2DB2CE79" w14:textId="77777777" w:rsidR="00B871E8" w:rsidRPr="00AA4380" w:rsidRDefault="00B871E8" w:rsidP="00AA438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rPr>
        <w:t xml:space="preserve">Der Bericht über die Sondierungsstudie der WZO über eine mögliche strategische Überprüfung des HS wird </w:t>
      </w:r>
      <w:r w:rsidRPr="0071246C">
        <w:rPr>
          <w:rFonts w:ascii="Times New Roman" w:hAnsi="Times New Roman"/>
          <w:sz w:val="18"/>
        </w:rPr>
        <w:t>2024</w:t>
      </w:r>
      <w:r>
        <w:rPr>
          <w:rFonts w:ascii="Times New Roman" w:hAnsi="Times New Roman"/>
          <w:sz w:val="18"/>
        </w:rPr>
        <w:t xml:space="preserve"> erwartet.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0BAB" w14:textId="77777777" w:rsidR="00295FD6" w:rsidRPr="00295FD6" w:rsidRDefault="00295FD6" w:rsidP="00295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63F3" w14:textId="77777777" w:rsidR="00295FD6" w:rsidRPr="00295FD6" w:rsidRDefault="00295FD6" w:rsidP="00295FD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938E6" w14:textId="77777777" w:rsidR="00295FD6" w:rsidRPr="00295FD6" w:rsidRDefault="00295FD6" w:rsidP="00295FD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5EC8" w14:textId="77777777" w:rsidR="00AA4380" w:rsidRDefault="00AA43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E337" w14:textId="77777777" w:rsidR="00AA4380" w:rsidRDefault="00AA43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2217" w14:textId="77777777" w:rsidR="00AA4380" w:rsidRDefault="00AA4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7AB"/>
    <w:multiLevelType w:val="hybridMultilevel"/>
    <w:tmpl w:val="829889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0C6614E"/>
    <w:multiLevelType w:val="hybridMultilevel"/>
    <w:tmpl w:val="52F29CC0"/>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8E42FA1"/>
    <w:multiLevelType w:val="hybridMultilevel"/>
    <w:tmpl w:val="648EF5C2"/>
    <w:lvl w:ilvl="0" w:tplc="4350D13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AA05D06"/>
    <w:multiLevelType w:val="hybridMultilevel"/>
    <w:tmpl w:val="59A0D1E2"/>
    <w:lvl w:ilvl="0" w:tplc="1809000F">
      <w:start w:val="1"/>
      <w:numFmt w:val="decimal"/>
      <w:lvlText w:val="%1."/>
      <w:lvlJc w:val="left"/>
      <w:pPr>
        <w:ind w:left="363" w:hanging="360"/>
      </w:pPr>
      <w:rPr>
        <w:rFonts w:hint="default"/>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4" w15:restartNumberingAfterBreak="0">
    <w:nsid w:val="73240D69"/>
    <w:multiLevelType w:val="hybridMultilevel"/>
    <w:tmpl w:val="FCE8E1EC"/>
    <w:lvl w:ilvl="0" w:tplc="CBE6D4CE">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E002AC3"/>
    <w:multiLevelType w:val="hybridMultilevel"/>
    <w:tmpl w:val="513AA1A6"/>
    <w:lvl w:ilvl="0" w:tplc="BEA8A840">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46A6C84-3897-4962-BA90-514CE567E1E1"/>
    <w:docVar w:name="LW_COVERPAGE_TYPE" w:val="1"/>
    <w:docVar w:name="LW_CROSSREFERENCE" w:val="&lt;UNUSED&gt;"/>
    <w:docVar w:name="LW_DocType" w:val="NORMAL"/>
    <w:docVar w:name="LW_EMISSION" w:val="17.5.2023"/>
    <w:docVar w:name="LW_EMISSION_ISODATE" w:val="2023-05-17"/>
    <w:docVar w:name="LW_EMISSION_LOCATION" w:val="BRX"/>
    <w:docVar w:name="LW_EMISSION_PREFIX" w:val="Brüssel, den "/>
    <w:docVar w:name="LW_EMISSION_SUFFIX" w:val=" "/>
    <w:docVar w:name="LW_ID_DOCTYPE_NONLW" w:val="CP-013"/>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ollreform: Ausbau der Zollunion"/>
    <w:docVar w:name="LW_TYPE.DOC.CP" w:val="MITTEILUNG DER KOMMISSION AN DAS EUROPÄISCHE PARLAMENT, DEN RAT UND DEN EUROPÄISCHEN WIRTSCHAFTS- UND SOZIALAUSSCHUSS"/>
    <w:docVar w:name="LW_TYPE.DOC.CP.USERTEXT" w:val="&lt;EMPTY&gt;"/>
    <w:docVar w:name="LwApiVersions" w:val="LW4CoDe 1.23.2.0; LW 8.0, Build 20211117"/>
  </w:docVars>
  <w:rsids>
    <w:rsidRoot w:val="00B871E8"/>
    <w:rsid w:val="0001071B"/>
    <w:rsid w:val="00025CB8"/>
    <w:rsid w:val="0003024F"/>
    <w:rsid w:val="000379DE"/>
    <w:rsid w:val="00037C0A"/>
    <w:rsid w:val="00041A9B"/>
    <w:rsid w:val="00042803"/>
    <w:rsid w:val="00051CDA"/>
    <w:rsid w:val="00056BCA"/>
    <w:rsid w:val="00062836"/>
    <w:rsid w:val="000640DB"/>
    <w:rsid w:val="00066DE5"/>
    <w:rsid w:val="00082F0E"/>
    <w:rsid w:val="00085C2F"/>
    <w:rsid w:val="0008701F"/>
    <w:rsid w:val="00087568"/>
    <w:rsid w:val="00092918"/>
    <w:rsid w:val="000954E4"/>
    <w:rsid w:val="000A24EC"/>
    <w:rsid w:val="000B391D"/>
    <w:rsid w:val="000B6612"/>
    <w:rsid w:val="000C137E"/>
    <w:rsid w:val="000C14F6"/>
    <w:rsid w:val="000C42BA"/>
    <w:rsid w:val="000C5B33"/>
    <w:rsid w:val="000D0E6E"/>
    <w:rsid w:val="000D58F5"/>
    <w:rsid w:val="000F6152"/>
    <w:rsid w:val="00105919"/>
    <w:rsid w:val="001100FE"/>
    <w:rsid w:val="001106D0"/>
    <w:rsid w:val="00111C2A"/>
    <w:rsid w:val="00121D08"/>
    <w:rsid w:val="001248F9"/>
    <w:rsid w:val="00151361"/>
    <w:rsid w:val="001543D1"/>
    <w:rsid w:val="001553F7"/>
    <w:rsid w:val="00162027"/>
    <w:rsid w:val="0018303B"/>
    <w:rsid w:val="00187237"/>
    <w:rsid w:val="00191383"/>
    <w:rsid w:val="00193683"/>
    <w:rsid w:val="00195160"/>
    <w:rsid w:val="001A4EE3"/>
    <w:rsid w:val="001B2873"/>
    <w:rsid w:val="001B2A14"/>
    <w:rsid w:val="001B4720"/>
    <w:rsid w:val="001C15B9"/>
    <w:rsid w:val="001C1CCB"/>
    <w:rsid w:val="001C1D5D"/>
    <w:rsid w:val="001C65A4"/>
    <w:rsid w:val="001C7B2D"/>
    <w:rsid w:val="001D2101"/>
    <w:rsid w:val="001E4E0F"/>
    <w:rsid w:val="001E5C79"/>
    <w:rsid w:val="001F3142"/>
    <w:rsid w:val="001F4D02"/>
    <w:rsid w:val="00201BD4"/>
    <w:rsid w:val="0020352D"/>
    <w:rsid w:val="00203F78"/>
    <w:rsid w:val="002125C4"/>
    <w:rsid w:val="00222133"/>
    <w:rsid w:val="002269A8"/>
    <w:rsid w:val="00227C49"/>
    <w:rsid w:val="00245603"/>
    <w:rsid w:val="002513A0"/>
    <w:rsid w:val="00253BEC"/>
    <w:rsid w:val="00276BC6"/>
    <w:rsid w:val="00283A54"/>
    <w:rsid w:val="002862ED"/>
    <w:rsid w:val="002870D0"/>
    <w:rsid w:val="00295F9D"/>
    <w:rsid w:val="00295FD6"/>
    <w:rsid w:val="002B0F2D"/>
    <w:rsid w:val="002E6095"/>
    <w:rsid w:val="003013E2"/>
    <w:rsid w:val="00306A5C"/>
    <w:rsid w:val="00311265"/>
    <w:rsid w:val="00313B30"/>
    <w:rsid w:val="00322873"/>
    <w:rsid w:val="003263BE"/>
    <w:rsid w:val="00333E55"/>
    <w:rsid w:val="00335201"/>
    <w:rsid w:val="00340B0B"/>
    <w:rsid w:val="003441D9"/>
    <w:rsid w:val="00344F83"/>
    <w:rsid w:val="00361011"/>
    <w:rsid w:val="00363561"/>
    <w:rsid w:val="00364F06"/>
    <w:rsid w:val="00366BBE"/>
    <w:rsid w:val="00367DA0"/>
    <w:rsid w:val="003850D6"/>
    <w:rsid w:val="003A34CD"/>
    <w:rsid w:val="003A6105"/>
    <w:rsid w:val="003A6159"/>
    <w:rsid w:val="003B6F19"/>
    <w:rsid w:val="003C031A"/>
    <w:rsid w:val="003D5B33"/>
    <w:rsid w:val="003F5E92"/>
    <w:rsid w:val="003F6E3E"/>
    <w:rsid w:val="0043582B"/>
    <w:rsid w:val="00460F2B"/>
    <w:rsid w:val="00466CD7"/>
    <w:rsid w:val="00471623"/>
    <w:rsid w:val="004726D4"/>
    <w:rsid w:val="00472EFE"/>
    <w:rsid w:val="0047501E"/>
    <w:rsid w:val="00485886"/>
    <w:rsid w:val="004921D6"/>
    <w:rsid w:val="004948ED"/>
    <w:rsid w:val="00496758"/>
    <w:rsid w:val="004A0392"/>
    <w:rsid w:val="004A2919"/>
    <w:rsid w:val="004A42E2"/>
    <w:rsid w:val="004A6C3D"/>
    <w:rsid w:val="004B2204"/>
    <w:rsid w:val="004B252D"/>
    <w:rsid w:val="004B29C5"/>
    <w:rsid w:val="004B5A55"/>
    <w:rsid w:val="004B5E25"/>
    <w:rsid w:val="004C0FD9"/>
    <w:rsid w:val="004C1462"/>
    <w:rsid w:val="004D11E7"/>
    <w:rsid w:val="004D72F5"/>
    <w:rsid w:val="004E47F0"/>
    <w:rsid w:val="004E5405"/>
    <w:rsid w:val="004F23E2"/>
    <w:rsid w:val="00505BFF"/>
    <w:rsid w:val="0052464B"/>
    <w:rsid w:val="005275FD"/>
    <w:rsid w:val="005321B5"/>
    <w:rsid w:val="00541476"/>
    <w:rsid w:val="00545671"/>
    <w:rsid w:val="00546717"/>
    <w:rsid w:val="005479FE"/>
    <w:rsid w:val="00551273"/>
    <w:rsid w:val="00552CB8"/>
    <w:rsid w:val="00553D86"/>
    <w:rsid w:val="00553F4D"/>
    <w:rsid w:val="00564704"/>
    <w:rsid w:val="005656D0"/>
    <w:rsid w:val="005727B1"/>
    <w:rsid w:val="00577308"/>
    <w:rsid w:val="00577692"/>
    <w:rsid w:val="00583088"/>
    <w:rsid w:val="005A4203"/>
    <w:rsid w:val="005A53F0"/>
    <w:rsid w:val="005A65C5"/>
    <w:rsid w:val="005B086C"/>
    <w:rsid w:val="005B0FBE"/>
    <w:rsid w:val="005B4AEC"/>
    <w:rsid w:val="005C123D"/>
    <w:rsid w:val="005D1F48"/>
    <w:rsid w:val="005D5E21"/>
    <w:rsid w:val="005D687A"/>
    <w:rsid w:val="005E0112"/>
    <w:rsid w:val="005E3861"/>
    <w:rsid w:val="005E7D7C"/>
    <w:rsid w:val="005F1320"/>
    <w:rsid w:val="00603142"/>
    <w:rsid w:val="00606E37"/>
    <w:rsid w:val="00612A43"/>
    <w:rsid w:val="00614D88"/>
    <w:rsid w:val="00616780"/>
    <w:rsid w:val="00623339"/>
    <w:rsid w:val="00631AEB"/>
    <w:rsid w:val="00634C7B"/>
    <w:rsid w:val="0064763D"/>
    <w:rsid w:val="0065784C"/>
    <w:rsid w:val="00660101"/>
    <w:rsid w:val="00670C36"/>
    <w:rsid w:val="00675870"/>
    <w:rsid w:val="0068487B"/>
    <w:rsid w:val="00695309"/>
    <w:rsid w:val="006B602B"/>
    <w:rsid w:val="006D2379"/>
    <w:rsid w:val="006D4B38"/>
    <w:rsid w:val="006D6620"/>
    <w:rsid w:val="006E45BE"/>
    <w:rsid w:val="006E780B"/>
    <w:rsid w:val="006F1483"/>
    <w:rsid w:val="006F2D75"/>
    <w:rsid w:val="006F6E11"/>
    <w:rsid w:val="0070432F"/>
    <w:rsid w:val="0071246C"/>
    <w:rsid w:val="00726240"/>
    <w:rsid w:val="00726449"/>
    <w:rsid w:val="00727750"/>
    <w:rsid w:val="00743A34"/>
    <w:rsid w:val="0074553B"/>
    <w:rsid w:val="00746AEF"/>
    <w:rsid w:val="00760435"/>
    <w:rsid w:val="00760D65"/>
    <w:rsid w:val="00781ED7"/>
    <w:rsid w:val="00790F28"/>
    <w:rsid w:val="00791A12"/>
    <w:rsid w:val="00796936"/>
    <w:rsid w:val="007A3686"/>
    <w:rsid w:val="007A4EA6"/>
    <w:rsid w:val="007B0250"/>
    <w:rsid w:val="007B389A"/>
    <w:rsid w:val="007B6D10"/>
    <w:rsid w:val="007D0282"/>
    <w:rsid w:val="007F5158"/>
    <w:rsid w:val="00804E87"/>
    <w:rsid w:val="00806CC8"/>
    <w:rsid w:val="00813090"/>
    <w:rsid w:val="0081493A"/>
    <w:rsid w:val="00816B01"/>
    <w:rsid w:val="008217DB"/>
    <w:rsid w:val="00821B57"/>
    <w:rsid w:val="008260A6"/>
    <w:rsid w:val="008268FE"/>
    <w:rsid w:val="00831133"/>
    <w:rsid w:val="00831430"/>
    <w:rsid w:val="008421AA"/>
    <w:rsid w:val="00843DCB"/>
    <w:rsid w:val="00850962"/>
    <w:rsid w:val="00852967"/>
    <w:rsid w:val="00861F61"/>
    <w:rsid w:val="00867DA5"/>
    <w:rsid w:val="00893877"/>
    <w:rsid w:val="00894C64"/>
    <w:rsid w:val="00897D76"/>
    <w:rsid w:val="008A4210"/>
    <w:rsid w:val="008A5CDF"/>
    <w:rsid w:val="008B21DA"/>
    <w:rsid w:val="008B2A8E"/>
    <w:rsid w:val="008B42D0"/>
    <w:rsid w:val="008B6F20"/>
    <w:rsid w:val="008C7D23"/>
    <w:rsid w:val="008D1B32"/>
    <w:rsid w:val="008E583B"/>
    <w:rsid w:val="008E7B56"/>
    <w:rsid w:val="008F2FD9"/>
    <w:rsid w:val="00900155"/>
    <w:rsid w:val="0092144B"/>
    <w:rsid w:val="0092277A"/>
    <w:rsid w:val="0092312E"/>
    <w:rsid w:val="009305DC"/>
    <w:rsid w:val="00930ACD"/>
    <w:rsid w:val="00931E4A"/>
    <w:rsid w:val="009331BB"/>
    <w:rsid w:val="00936ACE"/>
    <w:rsid w:val="00936C56"/>
    <w:rsid w:val="00945240"/>
    <w:rsid w:val="009452F5"/>
    <w:rsid w:val="00946127"/>
    <w:rsid w:val="00956035"/>
    <w:rsid w:val="00960786"/>
    <w:rsid w:val="00997EF0"/>
    <w:rsid w:val="009B7706"/>
    <w:rsid w:val="009C0106"/>
    <w:rsid w:val="009C0206"/>
    <w:rsid w:val="009C4A4F"/>
    <w:rsid w:val="009C52D2"/>
    <w:rsid w:val="009C541E"/>
    <w:rsid w:val="009C63C5"/>
    <w:rsid w:val="009D170B"/>
    <w:rsid w:val="009D4C1E"/>
    <w:rsid w:val="009E2295"/>
    <w:rsid w:val="009E2516"/>
    <w:rsid w:val="009E6371"/>
    <w:rsid w:val="009E6E4B"/>
    <w:rsid w:val="009F082D"/>
    <w:rsid w:val="009F19C6"/>
    <w:rsid w:val="009F2E0D"/>
    <w:rsid w:val="009F5D9B"/>
    <w:rsid w:val="00A006A9"/>
    <w:rsid w:val="00A023FC"/>
    <w:rsid w:val="00A0668B"/>
    <w:rsid w:val="00A10634"/>
    <w:rsid w:val="00A13423"/>
    <w:rsid w:val="00A1469F"/>
    <w:rsid w:val="00A20D2E"/>
    <w:rsid w:val="00A26288"/>
    <w:rsid w:val="00A35C0F"/>
    <w:rsid w:val="00A36B75"/>
    <w:rsid w:val="00A43680"/>
    <w:rsid w:val="00A45B35"/>
    <w:rsid w:val="00A80A92"/>
    <w:rsid w:val="00A8379A"/>
    <w:rsid w:val="00A84C98"/>
    <w:rsid w:val="00AA4380"/>
    <w:rsid w:val="00AA4D6C"/>
    <w:rsid w:val="00AB214B"/>
    <w:rsid w:val="00AB2F85"/>
    <w:rsid w:val="00AC4451"/>
    <w:rsid w:val="00AC7DBB"/>
    <w:rsid w:val="00AD14D3"/>
    <w:rsid w:val="00AD1755"/>
    <w:rsid w:val="00AD56AA"/>
    <w:rsid w:val="00AD76C2"/>
    <w:rsid w:val="00AE1DA8"/>
    <w:rsid w:val="00AE1F19"/>
    <w:rsid w:val="00B14490"/>
    <w:rsid w:val="00B14C01"/>
    <w:rsid w:val="00B36072"/>
    <w:rsid w:val="00B36669"/>
    <w:rsid w:val="00B456F1"/>
    <w:rsid w:val="00B526F6"/>
    <w:rsid w:val="00B67505"/>
    <w:rsid w:val="00B76A92"/>
    <w:rsid w:val="00B805B8"/>
    <w:rsid w:val="00B871E8"/>
    <w:rsid w:val="00B87AE3"/>
    <w:rsid w:val="00B96F84"/>
    <w:rsid w:val="00B971C8"/>
    <w:rsid w:val="00B97E43"/>
    <w:rsid w:val="00BA0AB3"/>
    <w:rsid w:val="00BA35FF"/>
    <w:rsid w:val="00BA6D70"/>
    <w:rsid w:val="00BA77F4"/>
    <w:rsid w:val="00BB26B7"/>
    <w:rsid w:val="00BB3402"/>
    <w:rsid w:val="00BB505D"/>
    <w:rsid w:val="00BC1CF3"/>
    <w:rsid w:val="00BD310B"/>
    <w:rsid w:val="00BD7703"/>
    <w:rsid w:val="00BE6CFC"/>
    <w:rsid w:val="00BF17C7"/>
    <w:rsid w:val="00BF3003"/>
    <w:rsid w:val="00BF30F1"/>
    <w:rsid w:val="00BF3FED"/>
    <w:rsid w:val="00C0532B"/>
    <w:rsid w:val="00C07B39"/>
    <w:rsid w:val="00C12D0B"/>
    <w:rsid w:val="00C14C5F"/>
    <w:rsid w:val="00C21608"/>
    <w:rsid w:val="00C22701"/>
    <w:rsid w:val="00C30A6D"/>
    <w:rsid w:val="00C33AE4"/>
    <w:rsid w:val="00C35226"/>
    <w:rsid w:val="00C35A09"/>
    <w:rsid w:val="00C406A9"/>
    <w:rsid w:val="00C4375B"/>
    <w:rsid w:val="00C61B3D"/>
    <w:rsid w:val="00C711E5"/>
    <w:rsid w:val="00C74A94"/>
    <w:rsid w:val="00C83241"/>
    <w:rsid w:val="00C83D52"/>
    <w:rsid w:val="00C84520"/>
    <w:rsid w:val="00C85055"/>
    <w:rsid w:val="00C85E78"/>
    <w:rsid w:val="00C9248C"/>
    <w:rsid w:val="00C93F61"/>
    <w:rsid w:val="00C9521F"/>
    <w:rsid w:val="00CA056A"/>
    <w:rsid w:val="00CA556D"/>
    <w:rsid w:val="00CA7C4D"/>
    <w:rsid w:val="00CB0E2E"/>
    <w:rsid w:val="00CD2604"/>
    <w:rsid w:val="00CD4231"/>
    <w:rsid w:val="00CF1834"/>
    <w:rsid w:val="00CF4CEE"/>
    <w:rsid w:val="00CF5215"/>
    <w:rsid w:val="00CF5F04"/>
    <w:rsid w:val="00CF76BA"/>
    <w:rsid w:val="00CF79D5"/>
    <w:rsid w:val="00D06441"/>
    <w:rsid w:val="00D10DC1"/>
    <w:rsid w:val="00D14B6A"/>
    <w:rsid w:val="00D15D38"/>
    <w:rsid w:val="00D3077B"/>
    <w:rsid w:val="00D4516B"/>
    <w:rsid w:val="00D46A78"/>
    <w:rsid w:val="00D53C34"/>
    <w:rsid w:val="00D60DBE"/>
    <w:rsid w:val="00D62F6F"/>
    <w:rsid w:val="00D719E8"/>
    <w:rsid w:val="00D80BED"/>
    <w:rsid w:val="00D83A89"/>
    <w:rsid w:val="00D90709"/>
    <w:rsid w:val="00D96561"/>
    <w:rsid w:val="00DA3C67"/>
    <w:rsid w:val="00DA698F"/>
    <w:rsid w:val="00DA7916"/>
    <w:rsid w:val="00DB4C0B"/>
    <w:rsid w:val="00DC18D7"/>
    <w:rsid w:val="00DC2FFD"/>
    <w:rsid w:val="00DC38F5"/>
    <w:rsid w:val="00DD26A6"/>
    <w:rsid w:val="00DD421B"/>
    <w:rsid w:val="00DD6CB5"/>
    <w:rsid w:val="00DE38C2"/>
    <w:rsid w:val="00DE3BE2"/>
    <w:rsid w:val="00DF590C"/>
    <w:rsid w:val="00E07B16"/>
    <w:rsid w:val="00E16BD7"/>
    <w:rsid w:val="00E263D4"/>
    <w:rsid w:val="00E33614"/>
    <w:rsid w:val="00E45C53"/>
    <w:rsid w:val="00E47D71"/>
    <w:rsid w:val="00E50D17"/>
    <w:rsid w:val="00E53CF7"/>
    <w:rsid w:val="00E67F4A"/>
    <w:rsid w:val="00E81550"/>
    <w:rsid w:val="00E85B2C"/>
    <w:rsid w:val="00E870BD"/>
    <w:rsid w:val="00E9263A"/>
    <w:rsid w:val="00E96053"/>
    <w:rsid w:val="00EA50FD"/>
    <w:rsid w:val="00EB51C1"/>
    <w:rsid w:val="00EB69CC"/>
    <w:rsid w:val="00EC00C5"/>
    <w:rsid w:val="00EC1798"/>
    <w:rsid w:val="00ED0529"/>
    <w:rsid w:val="00ED3980"/>
    <w:rsid w:val="00ED6922"/>
    <w:rsid w:val="00EE191B"/>
    <w:rsid w:val="00EE4C7D"/>
    <w:rsid w:val="00EE5993"/>
    <w:rsid w:val="00EF40B5"/>
    <w:rsid w:val="00EF6DD3"/>
    <w:rsid w:val="00F05AAB"/>
    <w:rsid w:val="00F12367"/>
    <w:rsid w:val="00F12938"/>
    <w:rsid w:val="00F23907"/>
    <w:rsid w:val="00F240B9"/>
    <w:rsid w:val="00F2497C"/>
    <w:rsid w:val="00F30D6C"/>
    <w:rsid w:val="00F310BD"/>
    <w:rsid w:val="00F40846"/>
    <w:rsid w:val="00F451F9"/>
    <w:rsid w:val="00F45C36"/>
    <w:rsid w:val="00F508E9"/>
    <w:rsid w:val="00F57346"/>
    <w:rsid w:val="00F60547"/>
    <w:rsid w:val="00F66947"/>
    <w:rsid w:val="00F808F8"/>
    <w:rsid w:val="00F84B72"/>
    <w:rsid w:val="00F903A2"/>
    <w:rsid w:val="00F911F1"/>
    <w:rsid w:val="00FA5930"/>
    <w:rsid w:val="00FB0A67"/>
    <w:rsid w:val="00FB4BC9"/>
    <w:rsid w:val="00FC0893"/>
    <w:rsid w:val="00FC5528"/>
    <w:rsid w:val="00FD24ED"/>
    <w:rsid w:val="00FD3085"/>
    <w:rsid w:val="00FF48D6"/>
    <w:rsid w:val="00FF59C6"/>
    <w:rsid w:val="08CD9C9B"/>
    <w:rsid w:val="0F99FC7A"/>
    <w:rsid w:val="1011A10E"/>
    <w:rsid w:val="123A4912"/>
    <w:rsid w:val="16EEDBEF"/>
    <w:rsid w:val="19F0D9B4"/>
    <w:rsid w:val="1A587CF9"/>
    <w:rsid w:val="23675320"/>
    <w:rsid w:val="27B13B0C"/>
    <w:rsid w:val="28AA0786"/>
    <w:rsid w:val="2E91583C"/>
    <w:rsid w:val="310F7DE8"/>
    <w:rsid w:val="33998B94"/>
    <w:rsid w:val="341F5C32"/>
    <w:rsid w:val="34887A5A"/>
    <w:rsid w:val="365A69C3"/>
    <w:rsid w:val="3845F56D"/>
    <w:rsid w:val="3EDA2CA5"/>
    <w:rsid w:val="45E8C94B"/>
    <w:rsid w:val="47259FF7"/>
    <w:rsid w:val="479CD0BC"/>
    <w:rsid w:val="479FA456"/>
    <w:rsid w:val="4A4CA9DD"/>
    <w:rsid w:val="572592BD"/>
    <w:rsid w:val="64BF7BB6"/>
    <w:rsid w:val="67FBCCB6"/>
    <w:rsid w:val="688D050F"/>
    <w:rsid w:val="69395203"/>
    <w:rsid w:val="71BDBDAC"/>
    <w:rsid w:val="75D77CA8"/>
    <w:rsid w:val="787AD0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EDC3E"/>
  <w15:chartTrackingRefBased/>
  <w15:docId w15:val="{E2F4A456-CDC2-4E5A-BB7E-0DDAB7A9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3085"/>
    <w:pPr>
      <w:keepNext/>
      <w:tabs>
        <w:tab w:val="num" w:pos="482"/>
      </w:tabs>
      <w:spacing w:after="240" w:line="240" w:lineRule="auto"/>
      <w:ind w:left="482" w:hanging="482"/>
      <w:jc w:val="both"/>
      <w:outlineLvl w:val="0"/>
    </w:pPr>
    <w:rPr>
      <w:rFonts w:ascii="Times New Roman" w:eastAsia="Times New Roman" w:hAnsi="Times New Roman" w:cs="Times New Roman"/>
      <w:b/>
      <w:smallCaps/>
      <w:sz w:val="24"/>
      <w:szCs w:val="20"/>
      <w:lang w:eastAsia="en-IE"/>
    </w:rPr>
  </w:style>
  <w:style w:type="paragraph" w:styleId="Heading2">
    <w:name w:val="heading 2"/>
    <w:basedOn w:val="Normal"/>
    <w:next w:val="Normal"/>
    <w:link w:val="Heading2Char"/>
    <w:uiPriority w:val="9"/>
    <w:unhideWhenUsed/>
    <w:qFormat/>
    <w:rsid w:val="00FD3085"/>
    <w:pPr>
      <w:keepNext/>
      <w:numPr>
        <w:ilvl w:val="1"/>
      </w:numPr>
      <w:tabs>
        <w:tab w:val="num" w:pos="1202"/>
      </w:tabs>
      <w:spacing w:after="240" w:line="240" w:lineRule="auto"/>
      <w:ind w:left="1202" w:hanging="720"/>
      <w:jc w:val="both"/>
      <w:outlineLvl w:val="1"/>
    </w:pPr>
    <w:rPr>
      <w:rFonts w:ascii="Times New Roman" w:eastAsia="Times New Roman" w:hAnsi="Times New Roman" w:cs="Times New Roman"/>
      <w:b/>
      <w:sz w:val="24"/>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871E8"/>
    <w:rPr>
      <w:color w:val="0000FF"/>
      <w:shd w:val="clear" w:color="auto" w:fill="auto"/>
    </w:rPr>
  </w:style>
  <w:style w:type="paragraph" w:styleId="Header">
    <w:name w:val="header"/>
    <w:basedOn w:val="Normal"/>
    <w:link w:val="HeaderChar"/>
    <w:uiPriority w:val="99"/>
    <w:unhideWhenUsed/>
    <w:rsid w:val="00B87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1E8"/>
  </w:style>
  <w:style w:type="paragraph" w:styleId="Footer">
    <w:name w:val="footer"/>
    <w:basedOn w:val="Normal"/>
    <w:link w:val="FooterChar"/>
    <w:uiPriority w:val="99"/>
    <w:unhideWhenUsed/>
    <w:rsid w:val="00B87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1E8"/>
  </w:style>
  <w:style w:type="paragraph" w:customStyle="1" w:styleId="Pagedecouverture">
    <w:name w:val="Page de couverture"/>
    <w:basedOn w:val="Normal"/>
    <w:next w:val="Normal"/>
    <w:rsid w:val="00B871E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871E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871E8"/>
    <w:rPr>
      <w:rFonts w:ascii="Times New Roman" w:hAnsi="Times New Roman" w:cs="Times New Roman"/>
      <w:sz w:val="24"/>
    </w:rPr>
  </w:style>
  <w:style w:type="paragraph" w:customStyle="1" w:styleId="FooterSensitivity">
    <w:name w:val="Footer Sensitivity"/>
    <w:basedOn w:val="Normal"/>
    <w:link w:val="FooterSensitivityChar"/>
    <w:rsid w:val="00B871E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871E8"/>
    <w:rPr>
      <w:rFonts w:ascii="Times New Roman" w:hAnsi="Times New Roman" w:cs="Times New Roman"/>
      <w:b/>
      <w:sz w:val="32"/>
    </w:rPr>
  </w:style>
  <w:style w:type="paragraph" w:customStyle="1" w:styleId="HeaderCoverPage">
    <w:name w:val="Header Cover Page"/>
    <w:basedOn w:val="Normal"/>
    <w:link w:val="HeaderCoverPageChar"/>
    <w:rsid w:val="00B871E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871E8"/>
    <w:rPr>
      <w:rFonts w:ascii="Times New Roman" w:hAnsi="Times New Roman" w:cs="Times New Roman"/>
      <w:sz w:val="24"/>
    </w:rPr>
  </w:style>
  <w:style w:type="paragraph" w:customStyle="1" w:styleId="HeaderSensitivity">
    <w:name w:val="Header Sensitivity"/>
    <w:basedOn w:val="Normal"/>
    <w:link w:val="HeaderSensitivityChar"/>
    <w:rsid w:val="00B871E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871E8"/>
    <w:rPr>
      <w:rFonts w:ascii="Times New Roman" w:hAnsi="Times New Roman" w:cs="Times New Roman"/>
      <w:b/>
      <w:sz w:val="32"/>
    </w:rPr>
  </w:style>
  <w:style w:type="paragraph" w:customStyle="1" w:styleId="HeaderSensitivityRight">
    <w:name w:val="Header Sensitivity Right"/>
    <w:basedOn w:val="Normal"/>
    <w:link w:val="HeaderSensitivityRightChar"/>
    <w:rsid w:val="00B871E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871E8"/>
    <w:rPr>
      <w:rFonts w:ascii="Times New Roman" w:hAnsi="Times New Roman" w:cs="Times New Roman"/>
      <w:sz w:val="28"/>
    </w:rPr>
  </w:style>
  <w:style w:type="paragraph" w:styleId="FootnoteText">
    <w:name w:val="footnote text"/>
    <w:basedOn w:val="Normal"/>
    <w:link w:val="FootnoteTextChar"/>
    <w:uiPriority w:val="99"/>
    <w:semiHidden/>
    <w:unhideWhenUsed/>
    <w:rsid w:val="00B87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1E8"/>
    <w:rPr>
      <w:sz w:val="20"/>
      <w:szCs w:val="20"/>
      <w:lang w:val="de-DE"/>
    </w:rPr>
  </w:style>
  <w:style w:type="character" w:customStyle="1" w:styleId="ZnakZnakZnak1">
    <w:name w:val="Znak Znak Znak1"/>
    <w:basedOn w:val="DefaultParagraphFont"/>
    <w:uiPriority w:val="99"/>
    <w:unhideWhenUsed/>
    <w:qFormat/>
    <w:locked/>
    <w:rsid w:val="00B871E8"/>
    <w:rPr>
      <w:color w:val="0563C1"/>
      <w:u w:val="single"/>
    </w:rPr>
  </w:style>
  <w:style w:type="character" w:styleId="FootnoteReference">
    <w:name w:val="footnote reference"/>
    <w:aliases w:val="Footnote Reference Superscript,Footnote symbol,Times 10 Point,Exposant 3 Point,Appel note de bas de p,PBO Footnote Reference,FR + (Complex) Arial,(Latin) 9 pt,(Complex) 10 pt + (Compl...,Footnote reference number,R,ftref,note TESI,Ref"/>
    <w:basedOn w:val="DefaultParagraphFont"/>
    <w:link w:val="FootnotesymbolCarZchn"/>
    <w:uiPriority w:val="99"/>
    <w:qFormat/>
    <w:rsid w:val="00B871E8"/>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B871E8"/>
    <w:pPr>
      <w:spacing w:line="240" w:lineRule="exact"/>
      <w:jc w:val="both"/>
    </w:pPr>
    <w:rPr>
      <w:vertAlign w:val="superscript"/>
    </w:rPr>
  </w:style>
  <w:style w:type="paragraph" w:styleId="TOC1">
    <w:name w:val="toc 1"/>
    <w:basedOn w:val="Normal"/>
    <w:next w:val="Normal"/>
    <w:autoRedefine/>
    <w:uiPriority w:val="39"/>
    <w:unhideWhenUsed/>
    <w:rsid w:val="00B871E8"/>
    <w:pPr>
      <w:spacing w:after="100"/>
    </w:pPr>
  </w:style>
  <w:style w:type="character" w:styleId="Hyperlink">
    <w:name w:val="Hyperlink"/>
    <w:basedOn w:val="DefaultParagraphFont"/>
    <w:uiPriority w:val="99"/>
    <w:unhideWhenUsed/>
    <w:rsid w:val="00B871E8"/>
    <w:rPr>
      <w:color w:val="0563C1" w:themeColor="hyperlink"/>
      <w:u w:val="single"/>
    </w:rPr>
  </w:style>
  <w:style w:type="paragraph" w:styleId="ListParagraph">
    <w:name w:val="List Paragraph"/>
    <w:basedOn w:val="Normal"/>
    <w:uiPriority w:val="34"/>
    <w:qFormat/>
    <w:rsid w:val="00CA556D"/>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616780"/>
    <w:rPr>
      <w:sz w:val="20"/>
      <w:szCs w:val="20"/>
    </w:rPr>
  </w:style>
  <w:style w:type="paragraph" w:styleId="CommentSubject">
    <w:name w:val="annotation subject"/>
    <w:basedOn w:val="CommentText"/>
    <w:next w:val="CommentText"/>
    <w:link w:val="CommentSubjectChar"/>
    <w:uiPriority w:val="99"/>
    <w:semiHidden/>
    <w:unhideWhenUsed/>
    <w:rsid w:val="00616780"/>
    <w:rPr>
      <w:b/>
      <w:bCs/>
    </w:rPr>
  </w:style>
  <w:style w:type="character" w:customStyle="1" w:styleId="CommentSubjectChar">
    <w:name w:val="Comment Subject Char"/>
    <w:basedOn w:val="CommentTextChar"/>
    <w:link w:val="CommentSubject"/>
    <w:uiPriority w:val="99"/>
    <w:semiHidden/>
    <w:rsid w:val="00616780"/>
    <w:rPr>
      <w:b/>
      <w:bCs/>
      <w:sz w:val="20"/>
      <w:szCs w:val="20"/>
    </w:rPr>
  </w:style>
  <w:style w:type="paragraph" w:styleId="Revision">
    <w:name w:val="Revision"/>
    <w:hidden/>
    <w:uiPriority w:val="99"/>
    <w:semiHidden/>
    <w:rsid w:val="00616780"/>
    <w:pPr>
      <w:spacing w:after="0" w:line="240" w:lineRule="auto"/>
    </w:pPr>
  </w:style>
  <w:style w:type="paragraph" w:styleId="BalloonText">
    <w:name w:val="Balloon Text"/>
    <w:basedOn w:val="Normal"/>
    <w:link w:val="BalloonTextChar"/>
    <w:uiPriority w:val="99"/>
    <w:semiHidden/>
    <w:unhideWhenUsed/>
    <w:rsid w:val="00F84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B72"/>
    <w:rPr>
      <w:rFonts w:ascii="Segoe UI" w:hAnsi="Segoe UI" w:cs="Segoe UI"/>
      <w:sz w:val="18"/>
      <w:szCs w:val="18"/>
    </w:rPr>
  </w:style>
  <w:style w:type="character" w:styleId="FollowedHyperlink">
    <w:name w:val="FollowedHyperlink"/>
    <w:basedOn w:val="DefaultParagraphFont"/>
    <w:uiPriority w:val="99"/>
    <w:semiHidden/>
    <w:unhideWhenUsed/>
    <w:rsid w:val="00956035"/>
    <w:rPr>
      <w:color w:val="954F72" w:themeColor="followedHyperlink"/>
      <w:u w:val="single"/>
    </w:rPr>
  </w:style>
  <w:style w:type="character" w:styleId="PlaceholderText">
    <w:name w:val="Placeholder Text"/>
    <w:basedOn w:val="DefaultParagraphFont"/>
    <w:uiPriority w:val="99"/>
    <w:semiHidden/>
    <w:rsid w:val="00956035"/>
    <w:rPr>
      <w:color w:val="808080"/>
    </w:rPr>
  </w:style>
  <w:style w:type="character" w:customStyle="1" w:styleId="Heading1Char">
    <w:name w:val="Heading 1 Char"/>
    <w:basedOn w:val="DefaultParagraphFont"/>
    <w:link w:val="Heading1"/>
    <w:uiPriority w:val="9"/>
    <w:rsid w:val="00FD3085"/>
    <w:rPr>
      <w:rFonts w:ascii="Times New Roman" w:eastAsia="Times New Roman" w:hAnsi="Times New Roman" w:cs="Times New Roman"/>
      <w:b/>
      <w:smallCaps/>
      <w:sz w:val="24"/>
      <w:szCs w:val="20"/>
      <w:lang w:val="de-DE" w:eastAsia="en-IE"/>
    </w:rPr>
  </w:style>
  <w:style w:type="character" w:customStyle="1" w:styleId="Heading2Char">
    <w:name w:val="Heading 2 Char"/>
    <w:basedOn w:val="DefaultParagraphFont"/>
    <w:link w:val="Heading2"/>
    <w:uiPriority w:val="9"/>
    <w:rsid w:val="00FD3085"/>
    <w:rPr>
      <w:rFonts w:ascii="Times New Roman" w:eastAsia="Times New Roman" w:hAnsi="Times New Roman" w:cs="Times New Roman"/>
      <w:b/>
      <w:sz w:val="24"/>
      <w:szCs w:val="20"/>
      <w:lang w:val="de-DE" w:eastAsia="en-IE"/>
    </w:rPr>
  </w:style>
  <w:style w:type="paragraph" w:styleId="TOCHeading">
    <w:name w:val="TOC Heading"/>
    <w:basedOn w:val="Heading1"/>
    <w:next w:val="Normal"/>
    <w:uiPriority w:val="39"/>
    <w:unhideWhenUsed/>
    <w:qFormat/>
    <w:rsid w:val="00FD3085"/>
    <w:pPr>
      <w:keepLines/>
      <w:tabs>
        <w:tab w:val="clear" w:pos="482"/>
      </w:tabs>
      <w:spacing w:before="240" w:after="0" w:line="259" w:lineRule="auto"/>
      <w:ind w:left="0" w:firstLine="0"/>
      <w:jc w:val="left"/>
      <w:outlineLvl w:val="9"/>
    </w:pPr>
    <w:rPr>
      <w:rFonts w:asciiTheme="majorHAnsi" w:eastAsiaTheme="majorEastAsia" w:hAnsiTheme="majorHAnsi" w:cstheme="majorBidi"/>
      <w:b w:val="0"/>
      <w:smallCaps w:val="0"/>
      <w:color w:val="2E74B5" w:themeColor="accent1" w:themeShade="BF"/>
      <w:sz w:val="32"/>
      <w:szCs w:val="32"/>
      <w:lang w:eastAsia="en-US"/>
    </w:rPr>
  </w:style>
  <w:style w:type="paragraph" w:styleId="TOC2">
    <w:name w:val="toc 2"/>
    <w:basedOn w:val="Normal"/>
    <w:next w:val="Normal"/>
    <w:autoRedefine/>
    <w:uiPriority w:val="39"/>
    <w:unhideWhenUsed/>
    <w:rsid w:val="00FD3085"/>
    <w:pPr>
      <w:spacing w:after="100"/>
      <w:ind w:left="220"/>
    </w:pPr>
  </w:style>
  <w:style w:type="character" w:customStyle="1" w:styleId="UnresolvedMention1">
    <w:name w:val="Unresolved Mention1"/>
    <w:basedOn w:val="DefaultParagraphFont"/>
    <w:uiPriority w:val="99"/>
    <w:semiHidden/>
    <w:unhideWhenUsed/>
    <w:rsid w:val="00AA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7442">
      <w:bodyDiv w:val="1"/>
      <w:marLeft w:val="0"/>
      <w:marRight w:val="0"/>
      <w:marTop w:val="0"/>
      <w:marBottom w:val="0"/>
      <w:divBdr>
        <w:top w:val="none" w:sz="0" w:space="0" w:color="auto"/>
        <w:left w:val="none" w:sz="0" w:space="0" w:color="auto"/>
        <w:bottom w:val="none" w:sz="0" w:space="0" w:color="auto"/>
        <w:right w:val="none" w:sz="0" w:space="0" w:color="auto"/>
      </w:divBdr>
    </w:div>
    <w:div w:id="8842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statistics-explained/index.php?title=International_trade_in_goods" TargetMode="External"/><Relationship Id="rId3" Type="http://schemas.openxmlformats.org/officeDocument/2006/relationships/hyperlink" Target="https://taxation-customs.ec.europa.eu/customs-4/eu-customs-union-facts-and-figures/eu-customs-union-unique-world_de" TargetMode="External"/><Relationship Id="rId7" Type="http://schemas.openxmlformats.org/officeDocument/2006/relationships/hyperlink" Target="https://www.eca.europa.eu/de/Pages/DocItem.aspx?did=58256" TargetMode="External"/><Relationship Id="rId12" Type="http://schemas.openxmlformats.org/officeDocument/2006/relationships/hyperlink" Target="https://www.wto.org/english/tratop_e/msmes_e/canada_sept21_e.pdf" TargetMode="External"/><Relationship Id="rId2" Type="http://schemas.openxmlformats.org/officeDocument/2006/relationships/hyperlink" Target="https://ec.europa.eu/eurostat/statistics-explained/index.php?title=International_trade_in_goods" TargetMode="External"/><Relationship Id="rId1" Type="http://schemas.openxmlformats.org/officeDocument/2006/relationships/hyperlink" Target="https://commission.europa.eu/strategy-and-policy/priorities-2019-2024_de" TargetMode="External"/><Relationship Id="rId6" Type="http://schemas.openxmlformats.org/officeDocument/2006/relationships/hyperlink" Target="https://www.eca.europa.eu/de/Pages/DocItem.aspx?did=58256" TargetMode="External"/><Relationship Id="rId11" Type="http://schemas.openxmlformats.org/officeDocument/2006/relationships/hyperlink" Target="https://vat-one-stop-shop.ec.europa.eu/eu-legislation_de" TargetMode="External"/><Relationship Id="rId5" Type="http://schemas.openxmlformats.org/officeDocument/2006/relationships/hyperlink" Target="https://taxation-customs.ec.europa.eu/system/files/2022-03/TAX-20-002-Future%20customs-REPORT_BIS_v5%20%28WEB%29.pdf" TargetMode="External"/><Relationship Id="rId10" Type="http://schemas.openxmlformats.org/officeDocument/2006/relationships/hyperlink" Target="https://www.europarl.europa.eu/doceo/document/TA-9-2023-0007_DE.html" TargetMode="External"/><Relationship Id="rId4" Type="http://schemas.openxmlformats.org/officeDocument/2006/relationships/hyperlink" Target="https://data.europa.eu/doi/10.2778/163387" TargetMode="External"/><Relationship Id="rId9" Type="http://schemas.openxmlformats.org/officeDocument/2006/relationships/hyperlink" Target="https://www.beuc.eu/publications/beuc-x-2021-004_is_it_safe_to_shop_on_online_marketpla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be695353-483f-4291-a26d-4153b7d4f496">EN</EC_Collab_DocumentLanguage>
    <EC_Collab_Reference xmlns="be695353-483f-4291-a26d-4153b7d4f496" xsi:nil="true"/>
    <EC_Collab_Status xmlns="be695353-483f-4291-a26d-4153b7d4f496">Not Started</EC_Collab_Statu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96ce2639-67af-4546-8b5d-3c8eead5f69b">EN</EC_Collab_DocumentLanguage>
    <_Status xmlns="http://schemas.microsoft.com/sharepoint/v3/fields">Not Started</_Status>
    <EC_Collab_Reference xmlns="96ce2639-67af-4546-8b5d-3c8eead5f69b" xsi:nil="true"/>
    <EC_Collab_Status xmlns="96ce2639-67af-4546-8b5d-3c8eead5f69b">Not Started</EC_Collab_Status>
    <SharedWithUsers xmlns="9ba73340-007a-4591-8d29-148129f5b437">
      <UserInfo>
        <DisplayName>SJ.F - All</DisplayName>
        <AccountId>240</AccountId>
        <AccountType/>
      </UserInfo>
      <UserInfo>
        <DisplayName>SJ.I - All</DisplayName>
        <AccountId>716</AccountId>
        <AccountType/>
      </UserInfo>
      <UserInfo>
        <DisplayName>SJ.L - All</DisplayName>
        <AccountId>889</AccountId>
        <AccountType/>
      </UserInfo>
      <UserInfo>
        <DisplayName>SJ.N - All</DisplayName>
        <AccountId>289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84B9496ACF2852459133A2D91F22ABF6" ma:contentTypeVersion="3" ma:contentTypeDescription="Create a new document in this library." ma:contentTypeScope="" ma:versionID="6b35358946b072b962c4750adf91bbd4">
  <xsd:schema xmlns:xsd="http://www.w3.org/2001/XMLSchema" xmlns:xs="http://www.w3.org/2001/XMLSchema" xmlns:p="http://schemas.microsoft.com/office/2006/metadata/properties" xmlns:ns3="be695353-483f-4291-a26d-4153b7d4f496" xmlns:ns4="230e2f6b-67a1-4bbe-836c-6cf83f4215af" targetNamespace="http://schemas.microsoft.com/office/2006/metadata/properties" ma:root="true" ma:fieldsID="3c3dc80f2e61d9f485223a6b8b2b0ff4" ns3:_="" ns4:_="">
    <xsd:import namespace="be695353-483f-4291-a26d-4153b7d4f496"/>
    <xsd:import namespace="230e2f6b-67a1-4bbe-836c-6cf83f4215a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5353-483f-4291-a26d-4153b7d4f49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230e2f6b-67a1-4bbe-836c-6cf83f4215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3F9F-A59F-4BB2-93AD-84833EB73477}">
  <ds:schemaRefs>
    <ds:schemaRef ds:uri="http://schemas.microsoft.com/sharepoint/v3/contenttype/forms"/>
  </ds:schemaRefs>
</ds:datastoreItem>
</file>

<file path=customXml/itemProps2.xml><?xml version="1.0" encoding="utf-8"?>
<ds:datastoreItem xmlns:ds="http://schemas.openxmlformats.org/officeDocument/2006/customXml" ds:itemID="{9B8A00B7-D3C1-436B-810E-C791F05A4211}">
  <ds:schemaRefs>
    <ds:schemaRef ds:uri="http://schemas.microsoft.com/office/2006/metadata/properties"/>
    <ds:schemaRef ds:uri="http://schemas.microsoft.com/office/infopath/2007/PartnerControls"/>
    <ds:schemaRef ds:uri="be695353-483f-4291-a26d-4153b7d4f496"/>
  </ds:schemaRefs>
</ds:datastoreItem>
</file>

<file path=customXml/itemProps3.xml><?xml version="1.0" encoding="utf-8"?>
<ds:datastoreItem xmlns:ds="http://schemas.openxmlformats.org/officeDocument/2006/customXml" ds:itemID="{E3A62AA7-B417-4323-BEB7-971B2237423A}">
  <ds:schemaRefs>
    <ds:schemaRef ds:uri="http://schemas.microsoft.com/office/2006/metadata/properties"/>
    <ds:schemaRef ds:uri="http://schemas.microsoft.com/office/infopath/2007/PartnerControls"/>
    <ds:schemaRef ds:uri="96ce2639-67af-4546-8b5d-3c8eead5f69b"/>
    <ds:schemaRef ds:uri="http://schemas.microsoft.com/sharepoint/v3/fields"/>
    <ds:schemaRef ds:uri="9ba73340-007a-4591-8d29-148129f5b437"/>
  </ds:schemaRefs>
</ds:datastoreItem>
</file>

<file path=customXml/itemProps4.xml><?xml version="1.0" encoding="utf-8"?>
<ds:datastoreItem xmlns:ds="http://schemas.openxmlformats.org/officeDocument/2006/customXml" ds:itemID="{AA1A57E1-88C3-4DEF-8396-724A9FF34340}">
  <ds:schemaRefs>
    <ds:schemaRef ds:uri="http://schemas.microsoft.com/sharepoint/v3/contenttype/forms"/>
  </ds:schemaRefs>
</ds:datastoreItem>
</file>

<file path=customXml/itemProps5.xml><?xml version="1.0" encoding="utf-8"?>
<ds:datastoreItem xmlns:ds="http://schemas.openxmlformats.org/officeDocument/2006/customXml" ds:itemID="{CBFF7C84-12C1-4929-A910-31CE455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5353-483f-4291-a26d-4153b7d4f496"/>
    <ds:schemaRef ds:uri="230e2f6b-67a1-4bbe-836c-6cf83f42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CC98CC-8AB4-4A78-8718-D67C70D6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6810</Words>
  <Characters>45906</Characters>
  <Application>Microsoft Office Word</Application>
  <DocSecurity>0</DocSecurity>
  <Lines>655</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dcterms:created xsi:type="dcterms:W3CDTF">2023-06-05T14:00:00Z</dcterms:created>
  <dcterms:modified xsi:type="dcterms:W3CDTF">2023-06-05T18:08:00Z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CP-013</vt:lpwstr>
  </property>
  <property fmtid="{D5CDD505-2E9C-101B-9397-08002B2CF9AE}" pid="7" name="Last edited using">
    <vt:lpwstr>LW 9.0, Build 20230317</vt:lpwstr>
  </property>
  <property fmtid="{D5CDD505-2E9C-101B-9397-08002B2CF9AE}" pid="8" name="Created using">
    <vt:lpwstr>LW 8.1, Build 20230124</vt:lpwstr>
  </property>
  <property fmtid="{D5CDD505-2E9C-101B-9397-08002B2CF9AE}" pid="9" name="MSIP_Label_6bd9ddd1-4d20-43f6-abfa-fc3c07406f94_Enabled">
    <vt:lpwstr>true</vt:lpwstr>
  </property>
  <property fmtid="{D5CDD505-2E9C-101B-9397-08002B2CF9AE}" pid="10" name="MSIP_Label_6bd9ddd1-4d20-43f6-abfa-fc3c07406f94_SetDate">
    <vt:lpwstr>2023-03-17T14:30:06Z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da64d7ff-5c39-46f6-a3ae-581de4e5a447</vt:lpwstr>
  </property>
  <property fmtid="{D5CDD505-2E9C-101B-9397-08002B2CF9AE}" pid="15" name="MSIP_Label_6bd9ddd1-4d20-43f6-abfa-fc3c07406f94_ContentBits">
    <vt:lpwstr>0</vt:lpwstr>
  </property>
  <property fmtid="{D5CDD505-2E9C-101B-9397-08002B2CF9AE}" pid="16" name="ContentTypeId">
    <vt:lpwstr>0x010100258AA79CEB83498886A3A086811232500084B9496ACF2852459133A2D91F22ABF6</vt:lpwstr>
  </property>
  <property fmtid="{D5CDD505-2E9C-101B-9397-08002B2CF9AE}" pid="17" name="MediaServiceImageTags">
    <vt:lpwstr/>
  </property>
  <property fmtid="{D5CDD505-2E9C-101B-9397-08002B2CF9AE}" pid="18" name="Comment">
    <vt:lpwstr>ISC/2023/02404 accompanying the UCC reform -DDL 14/04</vt:lpwstr>
  </property>
  <property fmtid="{D5CDD505-2E9C-101B-9397-08002B2CF9AE}" pid="19" name="Status">
    <vt:lpwstr>For review</vt:lpwstr>
  </property>
  <property fmtid="{D5CDD505-2E9C-101B-9397-08002B2CF9AE}" pid="20" name="lcf76f155ced4ddcb4097134ff3c332f">
    <vt:lpwstr>|</vt:lpwstr>
  </property>
</Properties>
</file>