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78A65" w14:textId="12F4BDB4" w:rsidR="00096C3F" w:rsidRDefault="001D19D8" w:rsidP="001D19D8">
      <w:pPr>
        <w:pStyle w:val="Pagedecouverture"/>
        <w:rPr>
          <w:noProof/>
        </w:rPr>
      </w:pPr>
      <w:bookmarkStart w:id="0" w:name="LW_BM_COVERPAGE"/>
      <w:r>
        <w:rPr>
          <w:noProof/>
        </w:rPr>
        <w:pict w14:anchorId="38497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97E67A2-1FCB-434B-A64F-F800BE7A86C9" style="width:455.25pt;height:439.5pt">
            <v:imagedata r:id="rId12" o:title=""/>
          </v:shape>
        </w:pict>
      </w:r>
    </w:p>
    <w:bookmarkEnd w:id="0"/>
    <w:p w14:paraId="07D48CFC" w14:textId="77777777" w:rsidR="00A47606" w:rsidRPr="00A47606" w:rsidRDefault="00A47606" w:rsidP="00A47606">
      <w:pPr>
        <w:pStyle w:val="Pagedecouverture"/>
        <w:rPr>
          <w:noProof/>
        </w:rPr>
        <w:sectPr w:rsidR="00A47606" w:rsidRPr="00A47606" w:rsidSect="001D19D8">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13FD2DF5" w14:textId="1935DB6D" w:rsidR="003A5A48" w:rsidRDefault="003A5A48" w:rsidP="00FC735C">
      <w:pPr>
        <w:pStyle w:val="Heading1"/>
        <w:numPr>
          <w:ilvl w:val="0"/>
          <w:numId w:val="0"/>
        </w:numPr>
        <w:tabs>
          <w:tab w:val="left" w:pos="720"/>
        </w:tabs>
        <w:rPr>
          <w:noProof/>
        </w:rPr>
      </w:pPr>
      <w:bookmarkStart w:id="1" w:name="_GoBack"/>
      <w:bookmarkEnd w:id="1"/>
      <w:r>
        <w:rPr>
          <w:noProof/>
        </w:rPr>
        <w:lastRenderedPageBreak/>
        <w:t>Réexamen et évaluation de l’application de la règle du droit moindre dans les enquêtes antidumping et antisubventions</w:t>
      </w:r>
    </w:p>
    <w:p w14:paraId="13FD2DF6" w14:textId="77777777" w:rsidR="003A5A48" w:rsidRPr="009A7E8E" w:rsidRDefault="003A5A48" w:rsidP="009A7E8E">
      <w:pPr>
        <w:pStyle w:val="Heading1"/>
        <w:numPr>
          <w:ilvl w:val="0"/>
          <w:numId w:val="9"/>
        </w:numPr>
        <w:rPr>
          <w:noProof/>
        </w:rPr>
      </w:pPr>
      <w:r>
        <w:rPr>
          <w:noProof/>
        </w:rPr>
        <w:t>Introduction</w:t>
      </w:r>
    </w:p>
    <w:p w14:paraId="2C77D01D" w14:textId="77777777" w:rsidR="00FC735C" w:rsidRDefault="003A5A48" w:rsidP="003A5A48">
      <w:pPr>
        <w:jc w:val="both"/>
        <w:rPr>
          <w:noProof/>
        </w:rPr>
      </w:pPr>
      <w:r>
        <w:rPr>
          <w:noProof/>
        </w:rPr>
        <w:t>Le 8 juin 2018, de nouvelles règles antidumping et antisubventions sont entrées en vigueur pour moderniser et renforcer les instruments de défense commerciale de l’Union</w:t>
      </w:r>
      <w:r>
        <w:rPr>
          <w:rStyle w:val="FootnoteReference"/>
          <w:noProof/>
          <w:lang w:eastAsia="en-US"/>
        </w:rPr>
        <w:footnoteReference w:id="2"/>
      </w:r>
      <w:r>
        <w:rPr>
          <w:noProof/>
        </w:rPr>
        <w:t>. L’une des principales modifications concernait la manière dont l’UE applique une règle appelée la «règle du droit moindre». Le nouvel article 23, paragraphe 4, du règlement antidumping de base</w:t>
      </w:r>
      <w:r>
        <w:rPr>
          <w:rStyle w:val="FootnoteReference"/>
          <w:noProof/>
        </w:rPr>
        <w:footnoteReference w:id="3"/>
      </w:r>
      <w:r>
        <w:rPr>
          <w:noProof/>
        </w:rPr>
        <w:t xml:space="preserve"> ainsi que le nouvel article 32 </w:t>
      </w:r>
      <w:r>
        <w:rPr>
          <w:i/>
          <w:noProof/>
        </w:rPr>
        <w:t>bis</w:t>
      </w:r>
      <w:r>
        <w:rPr>
          <w:noProof/>
        </w:rPr>
        <w:t>, paragraphe 2, du règlement antisubventions de base</w:t>
      </w:r>
      <w:r>
        <w:rPr>
          <w:rStyle w:val="FootnoteReference"/>
          <w:noProof/>
        </w:rPr>
        <w:footnoteReference w:id="4"/>
      </w:r>
      <w:r>
        <w:rPr>
          <w:noProof/>
        </w:rPr>
        <w:t xml:space="preserve"> prévoient que la Commission présente, au plus tard le 9 j</w:t>
      </w:r>
      <w:r w:rsidR="00096C3F">
        <w:rPr>
          <w:noProof/>
        </w:rPr>
        <w:t xml:space="preserve">uin </w:t>
      </w:r>
      <w:r>
        <w:rPr>
          <w:noProof/>
        </w:rPr>
        <w:t>2023, un réexamen et une évaluation de l’application des nouvelles dispositions relatives à la règle du droit moindre accompagnés, le cas échéant, d’une proposition législative. Le présent réexamen couvre les procédures engagées après le 9 juin 2018 et clôturées avant la fin du mois de mars 2023. Il décrit la manière dont les nouvelles dispositions ont été appliquées et leur incidence, le cas échéant, sur le niveau des mesures.</w:t>
      </w:r>
    </w:p>
    <w:p w14:paraId="13FD2DF8" w14:textId="4EFF1FE7" w:rsidR="003A5A48" w:rsidRDefault="003A5A48" w:rsidP="003A5A48">
      <w:pPr>
        <w:jc w:val="both"/>
        <w:rPr>
          <w:noProof/>
          <w:lang w:eastAsia="en-US"/>
        </w:rPr>
      </w:pPr>
    </w:p>
    <w:p w14:paraId="13FD2DF9" w14:textId="77777777" w:rsidR="003A5A48" w:rsidRDefault="003A5A48" w:rsidP="003A5A48">
      <w:pPr>
        <w:jc w:val="both"/>
        <w:rPr>
          <w:b/>
          <w:i/>
          <w:noProof/>
        </w:rPr>
      </w:pPr>
      <w:r>
        <w:rPr>
          <w:b/>
          <w:i/>
          <w:noProof/>
        </w:rPr>
        <w:t>Contexte</w:t>
      </w:r>
    </w:p>
    <w:p w14:paraId="13FD2DFA" w14:textId="77777777" w:rsidR="003A5A48" w:rsidRDefault="003A5A48" w:rsidP="003A5A48">
      <w:pPr>
        <w:jc w:val="both"/>
        <w:rPr>
          <w:noProof/>
          <w:lang w:eastAsia="en-US"/>
        </w:rPr>
      </w:pPr>
    </w:p>
    <w:p w14:paraId="63539BFA" w14:textId="77777777" w:rsidR="00FC735C" w:rsidRDefault="003A5A48" w:rsidP="003A5A48">
      <w:pPr>
        <w:jc w:val="both"/>
        <w:rPr>
          <w:noProof/>
        </w:rPr>
      </w:pPr>
      <w:r>
        <w:rPr>
          <w:noProof/>
        </w:rPr>
        <w:t>Au titre des règles de l’OMC, le niveau d’un droit antidumping ou d’un droit compensateur ne peut pas être supérieur au montant du dumping ou de la subvention, mais il est souhaitable que ce droit soit inférieur si ce niveau suffirait pour éliminer le préjudice causé à l’industrie de l’Union. Ce taux est calculé en comparant les prix à l’importation au coût de production de l’industrie de l’Union et une marge bénéficiaire raisonnable (la «marge de sous-cotation»).</w:t>
      </w:r>
    </w:p>
    <w:p w14:paraId="13FD2DFC" w14:textId="744A5960" w:rsidR="003A5A48" w:rsidRDefault="003A5A48" w:rsidP="003A5A48">
      <w:pPr>
        <w:jc w:val="both"/>
        <w:rPr>
          <w:noProof/>
          <w:lang w:eastAsia="en-US"/>
        </w:rPr>
      </w:pPr>
    </w:p>
    <w:p w14:paraId="1B8F37FA" w14:textId="77777777" w:rsidR="00FC735C" w:rsidRDefault="003A5A48" w:rsidP="003A5A48">
      <w:pPr>
        <w:jc w:val="both"/>
        <w:rPr>
          <w:noProof/>
        </w:rPr>
      </w:pPr>
      <w:r>
        <w:rPr>
          <w:noProof/>
        </w:rPr>
        <w:t>Avant juin 2018, l’UE appliquait toujours la règle du droit moindre dans les enquêtes antidumping et antisubventions. Toutefois, afin de renforcer les instruments de défense commerciale, les colégislateurs ont estimé que certains types de distorsions sont particulièrement préjudiciables et que, de ce fait, un droit calculé sur la base des principes existants concernant la règle du droit moindre ne permettrait pas de saisir toute l’ampleur du préjudice causé par lesdites distorsions. Il s’agit, d’une part, des pratiques de subvention et, d’autre part, de certains types de mesures faussant le prix de toute matière première (qu’elle soit brute ou transformée, y compris l’énergie) qui confèrent un avantage indu aux entreprises sur le marché du pays concerné.</w:t>
      </w:r>
    </w:p>
    <w:p w14:paraId="4336D7B4" w14:textId="047BC708" w:rsidR="000B6262" w:rsidRDefault="000B6262" w:rsidP="003A5A48">
      <w:pPr>
        <w:jc w:val="both"/>
        <w:rPr>
          <w:noProof/>
        </w:rPr>
      </w:pPr>
    </w:p>
    <w:p w14:paraId="13FD2DFE" w14:textId="77777777" w:rsidR="003A5A48" w:rsidRDefault="003A5A48" w:rsidP="003A5A48">
      <w:pPr>
        <w:jc w:val="both"/>
        <w:rPr>
          <w:noProof/>
          <w:lang w:eastAsia="en-US"/>
        </w:rPr>
      </w:pPr>
    </w:p>
    <w:p w14:paraId="533DBB94" w14:textId="543CCDD6" w:rsidR="00FC735C" w:rsidRDefault="00DA7DAC" w:rsidP="003A5A48">
      <w:pPr>
        <w:jc w:val="both"/>
        <w:rPr>
          <w:noProof/>
        </w:rPr>
      </w:pPr>
      <w:r>
        <w:rPr>
          <w:noProof/>
        </w:rPr>
        <w:t>Conformément à cette nouvelle législation, dans les enquêtes antisubventions, il n’est plus possible d’appliquer la règle du droit moindre</w:t>
      </w:r>
      <w:r w:rsidR="00FC735C">
        <w:rPr>
          <w:noProof/>
        </w:rPr>
        <w:t xml:space="preserve">. </w:t>
      </w:r>
      <w:r>
        <w:rPr>
          <w:noProof/>
        </w:rPr>
        <w:t>Le montant du droit compensateur est fixé au niveau de la subvention passible de mesures compensatoires établi.</w:t>
      </w:r>
      <w:r w:rsidR="00FC735C">
        <w:rPr>
          <w:noProof/>
        </w:rPr>
        <w:t xml:space="preserve"> </w:t>
      </w:r>
      <w:r>
        <w:rPr>
          <w:noProof/>
        </w:rPr>
        <w:t>La règle du droit moindre ne s’applique que lorsqu’il peut être clairement conclu qu’il n’est pas dans l’intérêt de l’Union de déterminer les mesures sur la base du montant de la subvention. Cela signifie que, par défaut, les mesures compensatoires contrebalanceront entièrement les subventions perçues par un exportateur, permettant dès lors à l’UE de lutter plus rigoureusement contre les distorsions et les préjudices provoqués par les importations faisant l’objet de subventions.</w:t>
      </w:r>
    </w:p>
    <w:p w14:paraId="13FD2E00" w14:textId="1993B970" w:rsidR="003A5A48" w:rsidRDefault="003A5A48" w:rsidP="003A5A48">
      <w:pPr>
        <w:jc w:val="both"/>
        <w:rPr>
          <w:noProof/>
        </w:rPr>
      </w:pPr>
    </w:p>
    <w:p w14:paraId="11A4162E" w14:textId="77777777" w:rsidR="00FC735C" w:rsidRDefault="003A5A48" w:rsidP="003A5A48">
      <w:pPr>
        <w:jc w:val="both"/>
        <w:rPr>
          <w:noProof/>
        </w:rPr>
      </w:pPr>
      <w:r>
        <w:rPr>
          <w:noProof/>
        </w:rPr>
        <w:t>Les modalités de l’application de la règle du droit moindre lors des enquêtes antidumping ont également été modifiées. Bien que la règle du droit moindre s’applique toujours dans de tels cas, dans certaines circonstances particulières (à savoir l’existence de distorsions significatives sur les matières premières), la Commission peut instituer des mesures au niveau de la marge de dumping totale et non au niveau de la marge de sous-cotation potentiellement plus faible, parce qu’il est jugé nécessaire d’éliminer le préjudice supplémentaire subi par l’industrie du fait des distorsions sur les matières premières. Les conditions cumulatives concernées sont:</w:t>
      </w:r>
    </w:p>
    <w:p w14:paraId="13FD2E02" w14:textId="2C8F545C" w:rsidR="003A5A48" w:rsidRDefault="003A5A48" w:rsidP="003A5A48">
      <w:pPr>
        <w:jc w:val="both"/>
        <w:rPr>
          <w:noProof/>
        </w:rPr>
      </w:pPr>
    </w:p>
    <w:p w14:paraId="13FD2E03" w14:textId="26ADDD32" w:rsidR="003A5A48" w:rsidRPr="006508BD" w:rsidRDefault="003A5A48" w:rsidP="003A5A48">
      <w:pPr>
        <w:pStyle w:val="ListParagraph"/>
        <w:numPr>
          <w:ilvl w:val="0"/>
          <w:numId w:val="3"/>
        </w:numPr>
        <w:ind w:left="426" w:hanging="426"/>
        <w:jc w:val="both"/>
        <w:rPr>
          <w:rFonts w:ascii="Times New Roman" w:hAnsi="Times New Roman" w:cs="Times New Roman"/>
          <w:noProof/>
        </w:rPr>
      </w:pPr>
      <w:r>
        <w:rPr>
          <w:rFonts w:ascii="Times New Roman" w:hAnsi="Times New Roman"/>
          <w:noProof/>
        </w:rPr>
        <w:t>L’existence de distorsions significatives sur les matières premières. Ces distorsions comprennent: les systèmes de double prix, les taxes à l’exportation, les surtaxes à l’exportation, les contingents d’exportation, les interdictions d’exportation, les redevances à l’exportation, les régimes de licences, les prix minimaux à l’exportation, le remboursement, la réduction ou la déduction de la taxe sur la valeur ajoutée (TVA), les restrictions concernant le point de dédouanement pour les exportateurs, les listes d’exportateurs habilités, les obligations relatives au marché intérieur et les droits d’exploitation exclusive de mines si le prix d’une matière première est significativement inférieur aux prix pratiqués sur les marchés internationaux représentatifs. Cette liste peut être modifiée si l’inventaire des restrictions à l’exportation de matières premières industrielles de l’OCDE, ou toute base de données de l’OCDE qui remplace cet inventaire, identifie d’autres types de mesures.</w:t>
      </w:r>
    </w:p>
    <w:p w14:paraId="13FD2E04" w14:textId="2EBCABBB" w:rsidR="003A5A48" w:rsidRPr="006508BD" w:rsidRDefault="003A5A48" w:rsidP="003A5A48">
      <w:pPr>
        <w:pStyle w:val="ListParagraph"/>
        <w:numPr>
          <w:ilvl w:val="0"/>
          <w:numId w:val="4"/>
        </w:numPr>
        <w:ind w:left="426" w:hanging="426"/>
        <w:jc w:val="both"/>
        <w:rPr>
          <w:rFonts w:ascii="Times New Roman" w:hAnsi="Times New Roman" w:cs="Times New Roman"/>
          <w:noProof/>
        </w:rPr>
      </w:pPr>
      <w:r>
        <w:rPr>
          <w:rFonts w:ascii="Times New Roman" w:hAnsi="Times New Roman"/>
          <w:noProof/>
        </w:rPr>
        <w:t>Ces distorsions doivent toucher au moins une matière première qui représente, à elle seule, plus de 17 % du coût de production du produit concerné dans le pays exportateur.</w:t>
      </w:r>
    </w:p>
    <w:p w14:paraId="13FD2E05" w14:textId="1714DE2E" w:rsidR="003A5A48" w:rsidRPr="006508BD" w:rsidRDefault="003A5A48" w:rsidP="003A5A48">
      <w:pPr>
        <w:pStyle w:val="ListParagraph"/>
        <w:numPr>
          <w:ilvl w:val="0"/>
          <w:numId w:val="4"/>
        </w:numPr>
        <w:ind w:left="426" w:hanging="426"/>
        <w:jc w:val="both"/>
        <w:rPr>
          <w:rFonts w:ascii="Times New Roman" w:hAnsi="Times New Roman" w:cs="Times New Roman"/>
          <w:noProof/>
        </w:rPr>
      </w:pPr>
      <w:r>
        <w:rPr>
          <w:rFonts w:ascii="Times New Roman" w:hAnsi="Times New Roman"/>
          <w:noProof/>
        </w:rPr>
        <w:t>Le prix de la matière première pour laquelle une distorsion existe doit être considérablement plus faible que les prix pratiqués sur les marchés internationaux représentatifs.</w:t>
      </w:r>
    </w:p>
    <w:p w14:paraId="1DA227A8" w14:textId="77777777" w:rsidR="00FC735C" w:rsidRDefault="003A5A48" w:rsidP="003A5A48">
      <w:pPr>
        <w:pStyle w:val="ListParagraph"/>
        <w:numPr>
          <w:ilvl w:val="0"/>
          <w:numId w:val="4"/>
        </w:numPr>
        <w:ind w:left="426" w:hanging="426"/>
        <w:jc w:val="both"/>
        <w:rPr>
          <w:rFonts w:ascii="Times New Roman" w:hAnsi="Times New Roman"/>
          <w:noProof/>
        </w:rPr>
      </w:pPr>
      <w:r>
        <w:rPr>
          <w:rFonts w:ascii="Times New Roman" w:hAnsi="Times New Roman"/>
          <w:noProof/>
        </w:rPr>
        <w:t>La Commission doit établir qu’un niveau de mesures supérieur est conforme à l’intérêt de l’Union, en examinant toutes les informations pertinentes, telles que les capacités inutilisées dans le pays exportateur, la concurrence sur le marché des matières premières et l’effet sur les chaînes d’approvisionnement pour les entreprises de l’Union.</w:t>
      </w:r>
    </w:p>
    <w:p w14:paraId="56791ED9" w14:textId="0251F7F5" w:rsidR="007F6A7C" w:rsidRDefault="003A5A48" w:rsidP="009A7E8E">
      <w:pPr>
        <w:pStyle w:val="Heading1"/>
        <w:numPr>
          <w:ilvl w:val="0"/>
          <w:numId w:val="9"/>
        </w:numPr>
        <w:rPr>
          <w:noProof/>
        </w:rPr>
      </w:pPr>
      <w:r>
        <w:rPr>
          <w:noProof/>
        </w:rPr>
        <w:t>La règle du droit moindre dans les enquêtes antidumping – article 7, paragraphe 2 </w:t>
      </w:r>
      <w:r>
        <w:rPr>
          <w:i/>
          <w:noProof/>
        </w:rPr>
        <w:t>bis</w:t>
      </w:r>
      <w:r>
        <w:rPr>
          <w:noProof/>
        </w:rPr>
        <w:t>, du règlement antidumping de base</w:t>
      </w:r>
    </w:p>
    <w:p w14:paraId="7DE60BE5" w14:textId="3841B4DE" w:rsidR="007F6A7C" w:rsidRPr="00CD6D66" w:rsidRDefault="007F6A7C" w:rsidP="007F6A7C">
      <w:pPr>
        <w:pStyle w:val="Heading1"/>
        <w:numPr>
          <w:ilvl w:val="1"/>
          <w:numId w:val="9"/>
        </w:numPr>
        <w:rPr>
          <w:smallCaps w:val="0"/>
          <w:noProof/>
          <w:szCs w:val="24"/>
        </w:rPr>
      </w:pPr>
      <w:r>
        <w:rPr>
          <w:smallCaps w:val="0"/>
          <w:noProof/>
        </w:rPr>
        <w:t>La procédure</w:t>
      </w:r>
    </w:p>
    <w:p w14:paraId="7DC48143" w14:textId="77777777" w:rsidR="00FC735C" w:rsidRDefault="009561B3" w:rsidP="003A5A48">
      <w:pPr>
        <w:jc w:val="both"/>
        <w:rPr>
          <w:noProof/>
        </w:rPr>
      </w:pPr>
      <w:r>
        <w:rPr>
          <w:noProof/>
        </w:rPr>
        <w:t xml:space="preserve">Pour qu’elle puisse déterminer comment la règle du droit moindre doit s’appliquer, la Commission doit disposer de suffisamment d’éléments de preuve de l’existence de «distorsions significatives sur les matières premières» remplissant les conditions énumérées ci-dessus. Ces distorsions sont examinées lors de l’enquête uniquement </w:t>
      </w:r>
      <w:r>
        <w:rPr>
          <w:i/>
          <w:noProof/>
        </w:rPr>
        <w:t>après</w:t>
      </w:r>
      <w:r>
        <w:rPr>
          <w:noProof/>
        </w:rPr>
        <w:t xml:space="preserve"> que la Commission a établi que les marges de dumping sont plus élevées que les marges de sous-cotation. En vertu des règles fondamentales de l’OMC et de l’UE, le niveau de droit imposé ne peut pas être supérieur à la marge de dumping constatée, de sorte que la question de l’analyse de l’existence de distorsions et des conditions juridiques ne se poserait plus dans ces circonstances.</w:t>
      </w:r>
    </w:p>
    <w:p w14:paraId="238AC5F7" w14:textId="7D4FE9AD" w:rsidR="00143BBA" w:rsidRPr="00CD6D66" w:rsidRDefault="003A5A48" w:rsidP="007F6A7C">
      <w:pPr>
        <w:pStyle w:val="Heading1"/>
        <w:numPr>
          <w:ilvl w:val="1"/>
          <w:numId w:val="9"/>
        </w:numPr>
        <w:rPr>
          <w:smallCaps w:val="0"/>
          <w:noProof/>
          <w:szCs w:val="24"/>
        </w:rPr>
      </w:pPr>
      <w:r>
        <w:rPr>
          <w:smallCaps w:val="0"/>
          <w:noProof/>
        </w:rPr>
        <w:t>Les enquêtes</w:t>
      </w:r>
    </w:p>
    <w:p w14:paraId="13FD2E0C" w14:textId="14FE6E6D" w:rsidR="003A5A48" w:rsidRDefault="003A5A48" w:rsidP="003A5A48">
      <w:pPr>
        <w:jc w:val="both"/>
        <w:rPr>
          <w:noProof/>
        </w:rPr>
      </w:pPr>
      <w:r>
        <w:rPr>
          <w:noProof/>
        </w:rPr>
        <w:t>La Commission a imposé des droits antidumping définitifs dans 34 procédures engagées couvertes par le présent réexamen. Une liste de ces affaires figure à l’annexe 1.</w:t>
      </w:r>
    </w:p>
    <w:p w14:paraId="13FD2E0D" w14:textId="77777777" w:rsidR="003A5A48" w:rsidRDefault="003A5A48" w:rsidP="003A5A48">
      <w:pPr>
        <w:jc w:val="both"/>
        <w:rPr>
          <w:noProof/>
          <w:lang w:eastAsia="en-US"/>
        </w:rPr>
      </w:pPr>
    </w:p>
    <w:p w14:paraId="70180A84" w14:textId="77777777" w:rsidR="00FC735C" w:rsidRDefault="003A5A48" w:rsidP="003A5A48">
      <w:pPr>
        <w:jc w:val="both"/>
        <w:rPr>
          <w:noProof/>
        </w:rPr>
      </w:pPr>
      <w:r>
        <w:rPr>
          <w:noProof/>
        </w:rPr>
        <w:t>Sur ces 34 enquêtes, la question des distorsions significatives sur les matières premières a été soulevée dans 13 affaires.</w:t>
      </w:r>
    </w:p>
    <w:p w14:paraId="13FD2E0F" w14:textId="769FEB6F" w:rsidR="003A5A48" w:rsidRDefault="003A5A48" w:rsidP="003A5A48">
      <w:pPr>
        <w:jc w:val="both"/>
        <w:rPr>
          <w:noProof/>
        </w:rPr>
      </w:pPr>
    </w:p>
    <w:p w14:paraId="224326E0" w14:textId="77777777" w:rsidR="00CD6D66" w:rsidRPr="00A563A5" w:rsidRDefault="00CD6D66" w:rsidP="00474428">
      <w:pPr>
        <w:keepNext/>
        <w:spacing w:after="240"/>
        <w:jc w:val="both"/>
        <w:outlineLvl w:val="1"/>
        <w:rPr>
          <w:b/>
          <w:noProof/>
          <w:vanish/>
        </w:rPr>
      </w:pPr>
    </w:p>
    <w:p w14:paraId="098BEDB3" w14:textId="77777777" w:rsidR="00FC735C" w:rsidRDefault="003A5A48" w:rsidP="00474428">
      <w:pPr>
        <w:pStyle w:val="Heading1"/>
        <w:numPr>
          <w:ilvl w:val="2"/>
          <w:numId w:val="9"/>
        </w:numPr>
        <w:rPr>
          <w:noProof/>
        </w:rPr>
      </w:pPr>
      <w:r>
        <w:rPr>
          <w:noProof/>
        </w:rPr>
        <w:t>Marges de dumping inférieures aux marges de sous-cotation – distorsions significatives non examinées</w:t>
      </w:r>
    </w:p>
    <w:p w14:paraId="13FD2E11" w14:textId="65585A45" w:rsidR="003A5A48" w:rsidRDefault="003A5A48" w:rsidP="003A5A48">
      <w:pPr>
        <w:jc w:val="both"/>
        <w:rPr>
          <w:noProof/>
        </w:rPr>
      </w:pPr>
      <w:r>
        <w:rPr>
          <w:noProof/>
        </w:rPr>
        <w:t>Lors de quatre enquêtes [produits extrudés en aluminium originaires de Chine (2021); produits plats laminés à chaud en fer/acier originaires de Turquie (2021); Produits plats laminés à froid en acier inoxydable originaires d’Indonésie (2021) et électrodes de graphite en provenance de Chine (2022)], les marges de dumping constatées étaient inférieures aux marges de sous-cotation des prix indicatifs. Dès lors, la Commission n’a pas examiné les distorsions sur les matières premières, étant donné que des mesures ne pouvaient être imposées qu’au niveau des marges de dumping.</w:t>
      </w:r>
    </w:p>
    <w:p w14:paraId="13FD2E12" w14:textId="77777777" w:rsidR="003A5A48" w:rsidRDefault="003A5A48" w:rsidP="003A5A48">
      <w:pPr>
        <w:jc w:val="both"/>
        <w:rPr>
          <w:noProof/>
        </w:rPr>
      </w:pPr>
    </w:p>
    <w:p w14:paraId="75E28D48" w14:textId="77777777" w:rsidR="00FC735C" w:rsidRDefault="00B011D0" w:rsidP="00474428">
      <w:pPr>
        <w:pStyle w:val="Heading1"/>
        <w:numPr>
          <w:ilvl w:val="2"/>
          <w:numId w:val="9"/>
        </w:numPr>
        <w:rPr>
          <w:noProof/>
        </w:rPr>
      </w:pPr>
      <w:r>
        <w:rPr>
          <w:noProof/>
        </w:rPr>
        <w:t>Marges de sous-cotation inférieures à la marge de dumping – distorsions significatives examinées</w:t>
      </w:r>
    </w:p>
    <w:p w14:paraId="13FD2E14" w14:textId="689AEDD3" w:rsidR="003A5A48" w:rsidRDefault="00FC735C" w:rsidP="003A5A48">
      <w:pPr>
        <w:jc w:val="both"/>
        <w:rPr>
          <w:noProof/>
        </w:rPr>
      </w:pPr>
      <w:r>
        <w:rPr>
          <w:noProof/>
        </w:rPr>
        <w:t xml:space="preserve">Pour les neuf </w:t>
      </w:r>
      <w:r w:rsidR="003A5A48">
        <w:rPr>
          <w:noProof/>
        </w:rPr>
        <w:t>affaires restantes, les marges de dumping étaient supérieures, pour certaines entreprises, aux marg</w:t>
      </w:r>
      <w:r>
        <w:rPr>
          <w:noProof/>
        </w:rPr>
        <w:t xml:space="preserve">es de sous-cotation. Dès lors, </w:t>
      </w:r>
      <w:r w:rsidR="003A5A48">
        <w:rPr>
          <w:noProof/>
        </w:rPr>
        <w:t>la Commission a examiné si les conditions énoncées à l’article 7, paragraphe 2 </w:t>
      </w:r>
      <w:r w:rsidR="003A5A48">
        <w:rPr>
          <w:i/>
          <w:noProof/>
        </w:rPr>
        <w:t>bis</w:t>
      </w:r>
      <w:r w:rsidR="003A5A48">
        <w:rPr>
          <w:noProof/>
        </w:rPr>
        <w:t>, du règlement antidumping de base étaient remplies.</w:t>
      </w:r>
    </w:p>
    <w:p w14:paraId="5851D3AF" w14:textId="77777777" w:rsidR="00600674" w:rsidRDefault="00600674" w:rsidP="003A5A48">
      <w:pPr>
        <w:jc w:val="both"/>
        <w:rPr>
          <w:noProof/>
          <w:lang w:eastAsia="en-US"/>
        </w:rPr>
      </w:pPr>
    </w:p>
    <w:p w14:paraId="7F4D0B3C" w14:textId="619FBAB0" w:rsidR="00FC735C" w:rsidRDefault="003A5A48" w:rsidP="003A5A48">
      <w:pPr>
        <w:jc w:val="both"/>
        <w:rPr>
          <w:noProof/>
        </w:rPr>
      </w:pPr>
      <w:r>
        <w:rPr>
          <w:noProof/>
        </w:rPr>
        <w:t xml:space="preserve">Dans trois de ces neuf cas [silicone de calcium (2022), produits laminés plats en aluminium (2021) et feuilles en aluminium destinées à la transformation (2021) – tous originaires de Chine], les matières premières représentaient à elles seules plus de 17 % des coûts de production du produit concerné. Toutefois, dans l’affaire relative au silico-calcium, la Commission n’a trouvé aucun élément de preuve à l’appui des allégations selon lesquelles le prix de l’électricité dans les provinces du nord de la République populaire de Chine était faussé par un système de double prix et, par ailleurs, aucun producteur-exportateur ayant coopéré n’était situé dans cette région. Un producteur a en outre apporté la preuve que les prix de l’électricité étaient plus élevés dans sa région que dans les régions indiquées </w:t>
      </w:r>
      <w:r w:rsidR="00FC735C">
        <w:rPr>
          <w:noProof/>
        </w:rPr>
        <w:t xml:space="preserve">dans la plainte. Quant aux deux </w:t>
      </w:r>
      <w:r>
        <w:rPr>
          <w:noProof/>
        </w:rPr>
        <w:t>affaires portant sur des produits en aluminium, les prix des lingots d’aluminium sur le marché intérieur chinois, pour lesquels des distorsions étaient alléguées, n’étaient pas significativement inférieurs aux prix pratiqués sur les marchés internationaux représentatifs. Concernant les feuilles et bandes minces en aluminium, les prix fluctuaient au-delà et en deçà des prix de référence internationaux. Par conséquent, les conditions prévues à l’article 7, paragraphe 2 </w:t>
      </w:r>
      <w:r>
        <w:rPr>
          <w:i/>
          <w:noProof/>
        </w:rPr>
        <w:t>bis</w:t>
      </w:r>
      <w:r>
        <w:rPr>
          <w:noProof/>
        </w:rPr>
        <w:t>, du règlement antidumping de base, n’étaient re</w:t>
      </w:r>
      <w:r w:rsidR="00FC735C">
        <w:rPr>
          <w:noProof/>
        </w:rPr>
        <w:t xml:space="preserve">mplies pour aucune de ces trois </w:t>
      </w:r>
      <w:r>
        <w:rPr>
          <w:noProof/>
        </w:rPr>
        <w:t>enquêtes, et les mesures ont été imposées au niveau de la marge de sous-cotation.</w:t>
      </w:r>
    </w:p>
    <w:p w14:paraId="13FD2E17" w14:textId="0F530755" w:rsidR="003A5A48" w:rsidRDefault="003A5A48" w:rsidP="003A5A48">
      <w:pPr>
        <w:jc w:val="both"/>
        <w:rPr>
          <w:noProof/>
        </w:rPr>
      </w:pPr>
    </w:p>
    <w:p w14:paraId="410CC74B" w14:textId="77777777" w:rsidR="00FC735C" w:rsidRDefault="003A5A48" w:rsidP="003A5A48">
      <w:pPr>
        <w:jc w:val="both"/>
        <w:rPr>
          <w:noProof/>
        </w:rPr>
      </w:pPr>
      <w:r>
        <w:rPr>
          <w:noProof/>
        </w:rPr>
        <w:t>Dans l’affaire relative aux produits plats laminés à froid en aciers inoxydables originaires de l’Inde (2021), les distorsions concernaient le chrome, qui représentait plus de 17 % des coûts de production. La marge de sous-cotation pour un producteur-exportateur indien, à savoir Chromeni, était inférieure à la marge de dumping. Cependant, Chromeni n’avait, en réalité, pas recours à la matière première faisant l’objet des distorsions, et, partant, aucune autre analyse concernant l’application de l’article 7, paragraphes 2 </w:t>
      </w:r>
      <w:r>
        <w:rPr>
          <w:i/>
          <w:noProof/>
        </w:rPr>
        <w:t>bis</w:t>
      </w:r>
      <w:r>
        <w:rPr>
          <w:noProof/>
        </w:rPr>
        <w:t xml:space="preserve"> et 2 </w:t>
      </w:r>
      <w:r>
        <w:rPr>
          <w:i/>
          <w:noProof/>
        </w:rPr>
        <w:t>ter</w:t>
      </w:r>
      <w:r>
        <w:rPr>
          <w:noProof/>
        </w:rPr>
        <w:t>, du règlement antidumping de base, n’était requise.</w:t>
      </w:r>
    </w:p>
    <w:p w14:paraId="13FD2E1A" w14:textId="49B50850" w:rsidR="003A5A48" w:rsidRDefault="003A5A48" w:rsidP="003A5A48">
      <w:pPr>
        <w:jc w:val="both"/>
        <w:rPr>
          <w:noProof/>
        </w:rPr>
      </w:pPr>
    </w:p>
    <w:p w14:paraId="2B8EDF48" w14:textId="52F5A8A2" w:rsidR="00FC735C" w:rsidRDefault="00371042" w:rsidP="00C05EF9">
      <w:pPr>
        <w:jc w:val="both"/>
        <w:rPr>
          <w:noProof/>
        </w:rPr>
      </w:pPr>
      <w:r>
        <w:rPr>
          <w:noProof/>
        </w:rPr>
        <w:t xml:space="preserve">Dans deux </w:t>
      </w:r>
      <w:r w:rsidR="003A5A48">
        <w:rPr>
          <w:noProof/>
        </w:rPr>
        <w:t>autres enquêtes [certains produits laminés à chaud plats en aciers inoxydables, enroulés ou en feuilles, originaires d’Indonésie et de Chine (2020)], la question des distorsions sur les matières premières était comme suit. Concernant l’Indonésie, les distorsions existaient pour le minerai de nickel, qui représentait plus de 17 % des coûts de production. Ces distorsions englobaient une interdiction d’exportation, une taxe à l’exportation, un régime de licence et un contingent d’exportation de fait. Le prix pour le minerai de nickel était significativement plus faible (de plus de 30 %) que le prix pratiqué sur le marché international représentatif (les Philippines). Pour ce qui est de la Chine, des distorsions significatives avaient été constatées, notamment une taxe à l’exportation ou un régime de licence applicables à certaines matières premières (débris d’acier inoxydable, ferrosilicium, fonte brute de nickel et ferro-chrome, vanadium et ferronickel). Il a été démontré qu’au moins une de ces matières premières représentait plus de 17 % du coût de production du produit faisant l’objet de l’enquête. Les prix pour ces matières premières principales étaient significativement moins élevés que les prix pratiqués sur les marchés internationaux représentatifs, et les conditions fixées à l’article 7, paragraphe 2 </w:t>
      </w:r>
      <w:r w:rsidR="003A5A48">
        <w:rPr>
          <w:i/>
          <w:noProof/>
        </w:rPr>
        <w:t>bis</w:t>
      </w:r>
      <w:r w:rsidR="003A5A48">
        <w:rPr>
          <w:noProof/>
        </w:rPr>
        <w:t>, du règlement antidumping</w:t>
      </w:r>
      <w:r>
        <w:rPr>
          <w:noProof/>
        </w:rPr>
        <w:t xml:space="preserve"> de base, étaient donc remplies</w:t>
      </w:r>
      <w:r w:rsidR="003A5A48">
        <w:rPr>
          <w:noProof/>
        </w:rPr>
        <w:t>. Néanmoins, dans le cadre de l’examen du critère de l’intérêt de l’Union au titre de l’article 7, paragraphe 2 </w:t>
      </w:r>
      <w:r w:rsidR="003A5A48">
        <w:rPr>
          <w:i/>
          <w:noProof/>
        </w:rPr>
        <w:t>ter</w:t>
      </w:r>
      <w:r w:rsidR="003A5A48">
        <w:rPr>
          <w:noProof/>
        </w:rPr>
        <w:t>, du règlement antidumping de base, il s’est avéré que l’incidence des mesures sur les importations à partir de la République populaire de Chine et d’Indonésie, au niveau de la marge de dumping, serait disproportionnée, compte tenu des effets négatifs considérables attendus sur les chaînes d’approvisionnement et sur la viabilité financière d’un utilisateur important, qui comptait pour 30 à 40 % de la consommation de l’Union. Au sujet de l’incidence sur les chaînes d’approvisionnement, la Commission a noté que d’autres producteurs de l’Union du produit concerné, bien que disposant de capacités inutilisées considérables, n’avaient presque pas approvisionné l’utilisateur en question. Qui plus est, les volumes d’importation potentiels en provenance d’autres pays exportateurs étaient limités. En outre, l’utilisateur touché devait déjà réorganiser les chaînes de valeur afin de se prémunir contre l’incidence des mesures fondées sur la marge de sous-cotation inférieure, étant donné l’impact probable de ces mesures sur la rentabilité. La Commission a observé que la capacité de l’utilisateur à répercuter de fortes hausses des coûts sur ses clients était discutable, car les principaux concurrents de l’utilisateur sur le marché en aval étaient les mêmes producteurs de produits laminés à chaud plats en aciers inoxydables, enroulés ou en feuilles, de l’Union. En conséquence, il n’était pas dans l’intérêt de l’Union d’appliquer un taux de droit supérieur, et les mesures ont donc été imposées au taux inférieur pour éliminer le préjudice causé à l’industrie de l’Union.</w:t>
      </w:r>
    </w:p>
    <w:p w14:paraId="13FD2E1D" w14:textId="70D80D9B" w:rsidR="003A5A48" w:rsidRDefault="003A5A48" w:rsidP="003A5A48">
      <w:pPr>
        <w:jc w:val="both"/>
        <w:rPr>
          <w:noProof/>
        </w:rPr>
      </w:pPr>
    </w:p>
    <w:p w14:paraId="13FD2E1F" w14:textId="7AF09398" w:rsidR="003A5A48" w:rsidRDefault="007C3D25" w:rsidP="003A5A48">
      <w:pPr>
        <w:jc w:val="both"/>
        <w:rPr>
          <w:noProof/>
        </w:rPr>
      </w:pPr>
      <w:r>
        <w:rPr>
          <w:noProof/>
        </w:rPr>
        <w:t xml:space="preserve">Quant aux trois </w:t>
      </w:r>
      <w:r w:rsidR="003A5A48">
        <w:rPr>
          <w:noProof/>
        </w:rPr>
        <w:t>affaires restantes, la règle du droit moindre a été modulée pour l’ensemble des exportateurs ou certains d’entre eux.</w:t>
      </w:r>
    </w:p>
    <w:p w14:paraId="13FD2E20" w14:textId="77777777" w:rsidR="003A5A48" w:rsidRDefault="003A5A48" w:rsidP="003A5A48">
      <w:pPr>
        <w:jc w:val="both"/>
        <w:rPr>
          <w:noProof/>
        </w:rPr>
      </w:pPr>
    </w:p>
    <w:p w14:paraId="3B49539E" w14:textId="21B36ADD" w:rsidR="00FC735C" w:rsidRDefault="003A5A48" w:rsidP="003A5A48">
      <w:pPr>
        <w:jc w:val="both"/>
        <w:rPr>
          <w:noProof/>
        </w:rPr>
      </w:pPr>
      <w:r>
        <w:rPr>
          <w:noProof/>
        </w:rPr>
        <w:t>La première affaire antidumping dans l’UE dans laquelle la règle du droit</w:t>
      </w:r>
      <w:r w:rsidR="007C3D25">
        <w:rPr>
          <w:noProof/>
        </w:rPr>
        <w:t xml:space="preserve"> moindre a été modulée concernai</w:t>
      </w:r>
      <w:r>
        <w:rPr>
          <w:noProof/>
        </w:rPr>
        <w:t>t les importations de nitrate d’urée et d’ammonium («UAN») en provenance de Russie (2019). Des distorsions avaient été constatées en ce qui concerne le gaz naturel, matière première principale entrant dans la production des mélanges d’urée et de nitrate d’ammonium, à savoir une taxe à l’exportation, des régimes de licences et un système de double prix. Les prix pour le gaz naturel étaient significativement plus faibles que le prix Waidhaus (le prix du gaz russe exporté à la frontière germano-tchèque). Pour l’ensemble des entreprises exportatrices ayant coopéré, les marges de dumping étaient supérieures aux marges de sous-cotation. Concernant le critère de l’intérêt de l’Union, la Commission est parvenue à la conclusion que des mesures au niveau de dumping supérieur n’auraient pas de retombées négatives sur la chaîne d’approvisionnement dans l’UE et que toute incidence serait limitée et proportionnée. Dès lors, la Commission a estimé que les engrais représentaient globalement 1 % des coûts de l’agriculture à l’époque. Pour les exploitations spécialisées davantage dépendantes des mélanges d’urée et de nitrate d’ammonium, ces engrais pouvaient représenter jusqu’à 10 % des coûts de production, et une augmentation des droits, même au niveau maximal proposé, aurait eu une incidence sur les coûts de l’ordre de 3 % environ</w:t>
      </w:r>
      <w:r w:rsidR="00FC735C">
        <w:rPr>
          <w:noProof/>
        </w:rPr>
        <w:t xml:space="preserve">. </w:t>
      </w:r>
      <w:r>
        <w:rPr>
          <w:noProof/>
        </w:rPr>
        <w:t>Étant donné que les producteurs de l’Union n’étaient pas seulement lésés par le dumping, mais qu’ils subissaient de surcroît des distorsions supplémentaires sur les échanges commerciaux par rapport aux producteurs-exportateurs russes, la Commission a conclu qu’un droit inférieur à la marge de dumping ne suffirait pas à éliminer le préjudice causé à l’industrie de l’Union. En conséquence, les mesures reposant sur les marges de dumping allaient de 20 à 31,9 %, contre 13,7 à 16,3 % pour les marges de sous-cotation qui se seraient appliquées en l’absence de distorsions sur les matières premières.</w:t>
      </w:r>
    </w:p>
    <w:p w14:paraId="13FD2E22" w14:textId="2E5984D3" w:rsidR="003A5A48" w:rsidRDefault="003A5A48" w:rsidP="003A5A48">
      <w:pPr>
        <w:jc w:val="both"/>
        <w:rPr>
          <w:noProof/>
        </w:rPr>
      </w:pPr>
    </w:p>
    <w:p w14:paraId="2C9026CA" w14:textId="77777777" w:rsidR="00FC735C" w:rsidRDefault="003A5A48" w:rsidP="003A5A48">
      <w:pPr>
        <w:jc w:val="both"/>
        <w:rPr>
          <w:noProof/>
        </w:rPr>
      </w:pPr>
      <w:r>
        <w:rPr>
          <w:noProof/>
        </w:rPr>
        <w:t>Dans le cadre de deux autres enquêtes [produits en acier chromé par électrolyse originaires de Chine (2022) et acide gras originaire d’Indonésie (2023)], la règle du droit moindre a été modulée pour un exportateur ayant coopéré et pour «tous les autres» dans chacune des affaires.</w:t>
      </w:r>
    </w:p>
    <w:p w14:paraId="13FD2E24" w14:textId="554E012E" w:rsidR="003A5A48" w:rsidRDefault="003A5A48" w:rsidP="003A5A48">
      <w:pPr>
        <w:jc w:val="both"/>
        <w:rPr>
          <w:noProof/>
        </w:rPr>
      </w:pPr>
    </w:p>
    <w:p w14:paraId="338BFC39" w14:textId="530F91F8" w:rsidR="00FC735C" w:rsidRDefault="003A5A48" w:rsidP="003A5A48">
      <w:pPr>
        <w:jc w:val="both"/>
        <w:rPr>
          <w:noProof/>
        </w:rPr>
      </w:pPr>
      <w:r>
        <w:rPr>
          <w:noProof/>
        </w:rPr>
        <w:t xml:space="preserve">Lors de l’enquête relative aux produits en acier chromé par électrolyse originaires de Chine, la Commission a examiné l’existence de distorsions significatives en ce qui concerne une des entreprises uniquement (Handan Jintai), car sa marge de dumping était plus élevée que sa marge de sous-cotation. L’enquête a révélé des distorsions significatives, qui prenaient la forme de remboursements de la TVA sur les bobines de produits laminés à chaud, et a également permis de constater que les prix observés pour cette matière première sur un marché représentatif non faussé étaient de 30 à 50 % supérieurs à ceux payés par Handan Jintai. Il existait en Chine des capacités inutilisées considérables </w:t>
      </w:r>
      <w:r w:rsidR="00E0672D">
        <w:rPr>
          <w:noProof/>
        </w:rPr>
        <w:t xml:space="preserve">susceptibles </w:t>
      </w:r>
      <w:r>
        <w:rPr>
          <w:noProof/>
        </w:rPr>
        <w:t>d’accroître l’offre mondiale, de déprimer les prix et de compromettre l’efficacité de la mesure si celle-ci n’était pas fixée au niveau du dumping. En outre, les utilisateurs auraient eu accès à des produits en acier chromé par électrolyse en provenance de l’industrie de l’Union ou d’autres pays tiers, même en cas de diminution des importations depuis la Chine due au droit plus élevé. La Commission est dès lors arrivée à la conclusion qu’il était dans l’intérêt de l’Union d’imposer des droits plus élevés pour cette entreprise (53,9 % au lieu de 23,9 %). Le droit à l’échelle nationale pour les producteurs-exportateurs n’ayant pas coopéré a été calculé sur la base de la marge de dumping plus élevée constatée pour Handan Jintai. Pour des raisons liées à l’intérêt de l’Union, en application de l’article 21 du règlement antidumping de base, la Commission a décidé que les mesures devraient prendre la forme d’un montant fixe par tonne.</w:t>
      </w:r>
    </w:p>
    <w:p w14:paraId="13FD2E26" w14:textId="2AF9284E" w:rsidR="003A5A48" w:rsidRDefault="003A5A48" w:rsidP="003A5A48">
      <w:pPr>
        <w:jc w:val="both"/>
        <w:rPr>
          <w:noProof/>
        </w:rPr>
      </w:pPr>
    </w:p>
    <w:p w14:paraId="13FD2E27" w14:textId="0766B1B6" w:rsidR="003A5A48" w:rsidRDefault="003A5A48" w:rsidP="00764C8F">
      <w:pPr>
        <w:jc w:val="both"/>
        <w:rPr>
          <w:noProof/>
        </w:rPr>
      </w:pPr>
      <w:r>
        <w:rPr>
          <w:noProof/>
        </w:rPr>
        <w:t>Pour ce qui est de l’enquête relative à l’acide gras, la marge de dumping d’un des exportateurs ayant coopéré, à savoir P.T. Musim Mas, était supérieure à la marge de sous-cotation. Pour cette entreprise, l’enquête a constaté des distorsions significatives sous la forme d’une taxe à l’exportation sur l’huile de palme brute et l’huile de palmiste brute. Ces matières premières concernées représentaient plus de 40 </w:t>
      </w:r>
      <w:r w:rsidR="00DE2201">
        <w:rPr>
          <w:noProof/>
        </w:rPr>
        <w:t xml:space="preserve">% </w:t>
      </w:r>
      <w:r>
        <w:rPr>
          <w:noProof/>
        </w:rPr>
        <w:t xml:space="preserve">et 50 %, respectivement, du coût de production, tandis que les prix s’étaient révélés significativement inférieurs aux prix pratiqués sur le marché international. Lorsqu’elle a appliqué le critère de l’intérêt de l’Union au titre de l’article 7, paragraphe 2, point b), du règlement antidumping de base, la Commission a constaté qu’il existait, en Indonésie, d’importantes capacités inutilisées </w:t>
      </w:r>
      <w:r w:rsidR="00FC735C">
        <w:rPr>
          <w:noProof/>
        </w:rPr>
        <w:t>susceptible</w:t>
      </w:r>
      <w:r w:rsidR="00813956">
        <w:rPr>
          <w:noProof/>
        </w:rPr>
        <w:t>s</w:t>
      </w:r>
      <w:r>
        <w:rPr>
          <w:noProof/>
        </w:rPr>
        <w:t xml:space="preserve"> d’accroître l’offre mondiale, de faire baisser les prix et de compromettre l’efficacité de la mesure si elle n’était pas fixée au niveau du dumping. La Commission a également conclu que les producteurs de l’Union ou d’autres pays tiers pouvaient approvisionner les utilisateurs, même si les importations en provenance d’Indonésie devaient diminue</w:t>
      </w:r>
      <w:r w:rsidR="00FC735C">
        <w:rPr>
          <w:noProof/>
        </w:rPr>
        <w:t xml:space="preserve">r. </w:t>
      </w:r>
      <w:r>
        <w:rPr>
          <w:noProof/>
        </w:rPr>
        <w:t>Par conséquent, il était approprié d’imposer des mesures au niveau plus élevé (46,4 % contre 30,5 %) pour P.T. Musim Mas.</w:t>
      </w:r>
    </w:p>
    <w:p w14:paraId="13FD2E28" w14:textId="77777777" w:rsidR="003A5A48" w:rsidRDefault="003A5A48" w:rsidP="00764C8F">
      <w:pPr>
        <w:jc w:val="both"/>
        <w:rPr>
          <w:noProof/>
        </w:rPr>
      </w:pPr>
    </w:p>
    <w:p w14:paraId="059A7371" w14:textId="77777777" w:rsidR="00FC735C" w:rsidRDefault="003A5A48" w:rsidP="00764C8F">
      <w:pPr>
        <w:pStyle w:val="Heading1"/>
        <w:numPr>
          <w:ilvl w:val="1"/>
          <w:numId w:val="9"/>
        </w:numPr>
        <w:spacing w:before="0" w:after="0"/>
        <w:rPr>
          <w:smallCaps w:val="0"/>
          <w:noProof/>
        </w:rPr>
      </w:pPr>
      <w:r>
        <w:rPr>
          <w:smallCaps w:val="0"/>
          <w:noProof/>
        </w:rPr>
        <w:t>L’évaluation</w:t>
      </w:r>
    </w:p>
    <w:p w14:paraId="6AA33D03" w14:textId="75EC4EDD" w:rsidR="00764C8F" w:rsidRPr="00764C8F" w:rsidRDefault="00764C8F" w:rsidP="00764C8F">
      <w:pPr>
        <w:rPr>
          <w:noProof/>
          <w:lang w:eastAsia="en-US"/>
        </w:rPr>
      </w:pPr>
    </w:p>
    <w:p w14:paraId="1686616C" w14:textId="45C3ACD9" w:rsidR="00FC735C" w:rsidRDefault="00532858" w:rsidP="00764C8F">
      <w:pPr>
        <w:jc w:val="both"/>
        <w:rPr>
          <w:noProof/>
        </w:rPr>
      </w:pPr>
      <w:r>
        <w:rPr>
          <w:noProof/>
        </w:rPr>
        <w:t>Conformément à la législation révisée et renforcée sur les instruments de défense commerciale (IDC), l’UE a jugé nécessaire de s’attaquer aux distorsions significatives sur les matières premières dans les pays exportateurs, qui confèrent à certains producteurs-exportateurs un avantage indu considérable dans leurs coûts des principaux intrants. Ces pratiques viennent aggraver le préjudice causé par les importations faisant l’objet d’un dumping à l’industrie de l’Union</w:t>
      </w:r>
      <w:r w:rsidR="00FC735C">
        <w:rPr>
          <w:noProof/>
        </w:rPr>
        <w:t xml:space="preserve">. </w:t>
      </w:r>
      <w:r>
        <w:rPr>
          <w:noProof/>
        </w:rPr>
        <w:t>Les modifications apportées, qui s’inscrivent dans le paquet de modernisation, garantissent que les principes révisés concernant la règle du droit moindre procurent une protection suffisante contre ces pratiques nocives à l’origine de distorsions dans le pays d’exportation. Il est important que l’instrument antidumping soit développé de manière adéquate pour remédier au préjudice supplémentaire découlant des avantages indus et artificiels, qui profitent à certains exportateurs et faussent les conditions de concurrence.</w:t>
      </w:r>
    </w:p>
    <w:p w14:paraId="13FD2E2B" w14:textId="114B72F8" w:rsidR="003A5A48" w:rsidRDefault="003A5A48" w:rsidP="003A5A48">
      <w:pPr>
        <w:jc w:val="both"/>
        <w:rPr>
          <w:noProof/>
        </w:rPr>
      </w:pPr>
    </w:p>
    <w:p w14:paraId="75A85189" w14:textId="720139CB" w:rsidR="00FC735C" w:rsidRDefault="003A5A48" w:rsidP="003A5A48">
      <w:pPr>
        <w:jc w:val="both"/>
        <w:rPr>
          <w:noProof/>
        </w:rPr>
      </w:pPr>
      <w:r>
        <w:rPr>
          <w:noProof/>
        </w:rPr>
        <w:t xml:space="preserve">La mise en œuvre des nouvelles règles montre qu’elles sont pratiques, réalisables et ont une incidence lorsque les conditions sont remplies. Dans le même temps, les règles ont été conçues pour faire en sorte que l’application de la règle du droit </w:t>
      </w:r>
      <w:r w:rsidR="002E6E1D">
        <w:rPr>
          <w:noProof/>
        </w:rPr>
        <w:t>moindre</w:t>
      </w:r>
      <w:r>
        <w:rPr>
          <w:noProof/>
        </w:rPr>
        <w:t>, pierre angulaire des règles antidumping de l’Union, ne puisse être écartée que dans des circonstances très particulières, lorsque cela se justifie.</w:t>
      </w:r>
    </w:p>
    <w:p w14:paraId="13FD2E2D" w14:textId="1C57F6EB" w:rsidR="003A5A48" w:rsidRDefault="003A5A48" w:rsidP="003A5A48">
      <w:pPr>
        <w:jc w:val="both"/>
        <w:rPr>
          <w:noProof/>
        </w:rPr>
      </w:pPr>
    </w:p>
    <w:p w14:paraId="64C2B932" w14:textId="77777777" w:rsidR="00FC735C" w:rsidRDefault="006B152C" w:rsidP="003A5A48">
      <w:pPr>
        <w:jc w:val="both"/>
        <w:rPr>
          <w:noProof/>
        </w:rPr>
      </w:pPr>
      <w:r>
        <w:rPr>
          <w:noProof/>
        </w:rPr>
        <w:t>L’analyse des cas concernés a montré que:</w:t>
      </w:r>
    </w:p>
    <w:p w14:paraId="5EE79ACA" w14:textId="04B72023" w:rsidR="00FC735C" w:rsidRDefault="003A5A48" w:rsidP="003A5A48">
      <w:pPr>
        <w:pStyle w:val="ListParagraph"/>
        <w:numPr>
          <w:ilvl w:val="0"/>
          <w:numId w:val="5"/>
        </w:numPr>
        <w:jc w:val="both"/>
        <w:rPr>
          <w:rFonts w:ascii="Times New Roman" w:hAnsi="Times New Roman"/>
          <w:noProof/>
        </w:rPr>
      </w:pPr>
      <w:r>
        <w:rPr>
          <w:rFonts w:ascii="Times New Roman" w:hAnsi="Times New Roman"/>
          <w:noProof/>
        </w:rPr>
        <w:t>les règles sont suffisamment détaillées et nuancées pour traiter les nombreux scénarios différents susceptibles d</w:t>
      </w:r>
      <w:r w:rsidR="002E6E1D">
        <w:rPr>
          <w:rFonts w:ascii="Times New Roman" w:hAnsi="Times New Roman"/>
          <w:noProof/>
        </w:rPr>
        <w:t>e se présenter dans ce contexte;</w:t>
      </w:r>
    </w:p>
    <w:p w14:paraId="13FD2E30" w14:textId="4641B219" w:rsidR="003A5A48" w:rsidRPr="00444D4C" w:rsidRDefault="002E6E1D" w:rsidP="003A5A48">
      <w:pPr>
        <w:pStyle w:val="ListParagraph"/>
        <w:numPr>
          <w:ilvl w:val="0"/>
          <w:numId w:val="5"/>
        </w:numPr>
        <w:jc w:val="both"/>
        <w:rPr>
          <w:rFonts w:ascii="Times New Roman" w:hAnsi="Times New Roman" w:cs="Times New Roman"/>
          <w:noProof/>
        </w:rPr>
      </w:pPr>
      <w:r>
        <w:rPr>
          <w:rFonts w:ascii="Times New Roman" w:hAnsi="Times New Roman"/>
          <w:noProof/>
        </w:rPr>
        <w:t>l</w:t>
      </w:r>
      <w:r w:rsidR="003F77C1">
        <w:rPr>
          <w:rFonts w:ascii="Times New Roman" w:hAnsi="Times New Roman"/>
          <w:noProof/>
        </w:rPr>
        <w:t>es enquêtes faisant l’objet du réexamen n’ont pas révélé que le seuil de 17 % (c’est-à-dire la règle selon laquelle les matières premières doivent représenter, à elles seules, plus de 17 % des coûts de production) ne serait plus adéquat. Effectivement, ce seuil a permis à l’industrie de faire valoir les dispositions au stade de la plainte dans 38 % des procédures antidumping engagées au cours de la période de réexamen</w:t>
      </w:r>
      <w:r w:rsidR="00FC735C">
        <w:rPr>
          <w:rFonts w:ascii="Times New Roman" w:hAnsi="Times New Roman"/>
          <w:noProof/>
        </w:rPr>
        <w:t xml:space="preserve">. </w:t>
      </w:r>
      <w:r w:rsidR="003F77C1">
        <w:rPr>
          <w:rFonts w:ascii="Times New Roman" w:hAnsi="Times New Roman"/>
          <w:noProof/>
        </w:rPr>
        <w:t>Qui plus est, l’ensemble des enquêtes a confirmé que les allégations contenues dans la plainte, selon lesquelles le seuil av</w:t>
      </w:r>
      <w:r>
        <w:rPr>
          <w:rFonts w:ascii="Times New Roman" w:hAnsi="Times New Roman"/>
          <w:noProof/>
        </w:rPr>
        <w:t>ait été atteint, étaient vraies;</w:t>
      </w:r>
    </w:p>
    <w:p w14:paraId="49D4A77F" w14:textId="4C040EA8" w:rsidR="00FC735C" w:rsidRDefault="002E6E1D" w:rsidP="003A5A48">
      <w:pPr>
        <w:pStyle w:val="ListParagraph"/>
        <w:numPr>
          <w:ilvl w:val="0"/>
          <w:numId w:val="5"/>
        </w:numPr>
        <w:jc w:val="both"/>
        <w:rPr>
          <w:rFonts w:ascii="Times New Roman" w:hAnsi="Times New Roman"/>
          <w:noProof/>
        </w:rPr>
      </w:pPr>
      <w:r>
        <w:rPr>
          <w:rFonts w:ascii="Times New Roman" w:hAnsi="Times New Roman"/>
          <w:noProof/>
        </w:rPr>
        <w:t>l</w:t>
      </w:r>
      <w:r w:rsidR="003A5A48">
        <w:rPr>
          <w:rFonts w:ascii="Times New Roman" w:hAnsi="Times New Roman"/>
          <w:noProof/>
        </w:rPr>
        <w:t xml:space="preserve">’analyse, bien que ciblée, a une portée suffisamment large et traite de toutes les distorsions sur les matières premières qui ont une incidence concrète sur les coûts de production, ce qui permet à la Commission d’agir lorsque cela se justifie. Dans le même temps, elle ne pénalise pas les entreprises qui ne bénéficient pas de distorsions sur les matières premières, par exemple lorsque les entreprises exportatrices n’utilisent pas </w:t>
      </w:r>
      <w:r>
        <w:rPr>
          <w:rFonts w:ascii="Times New Roman" w:hAnsi="Times New Roman"/>
          <w:noProof/>
        </w:rPr>
        <w:t>la matière première en question;</w:t>
      </w:r>
    </w:p>
    <w:p w14:paraId="40892ED7" w14:textId="11685C13" w:rsidR="00FC735C" w:rsidRDefault="002E6E1D" w:rsidP="003A5A48">
      <w:pPr>
        <w:pStyle w:val="ListParagraph"/>
        <w:numPr>
          <w:ilvl w:val="0"/>
          <w:numId w:val="5"/>
        </w:numPr>
        <w:jc w:val="both"/>
        <w:rPr>
          <w:rFonts w:ascii="Times New Roman" w:hAnsi="Times New Roman"/>
          <w:noProof/>
        </w:rPr>
      </w:pPr>
      <w:r>
        <w:rPr>
          <w:rFonts w:ascii="Times New Roman" w:hAnsi="Times New Roman"/>
          <w:noProof/>
        </w:rPr>
        <w:t>l</w:t>
      </w:r>
      <w:r w:rsidR="003A5A48">
        <w:rPr>
          <w:rFonts w:ascii="Times New Roman" w:hAnsi="Times New Roman"/>
          <w:noProof/>
        </w:rPr>
        <w:t xml:space="preserve">’examen du critère de l’intérêt de l’Union </w:t>
      </w:r>
      <w:r>
        <w:rPr>
          <w:rFonts w:ascii="Times New Roman" w:hAnsi="Times New Roman"/>
          <w:noProof/>
        </w:rPr>
        <w:t xml:space="preserve">au titre </w:t>
      </w:r>
      <w:r w:rsidR="003A5A48">
        <w:rPr>
          <w:rFonts w:ascii="Times New Roman" w:hAnsi="Times New Roman"/>
          <w:noProof/>
        </w:rPr>
        <w:t>de l’article 7, paragraphe 2 </w:t>
      </w:r>
      <w:r w:rsidR="003A5A48">
        <w:rPr>
          <w:rFonts w:ascii="Times New Roman" w:hAnsi="Times New Roman"/>
          <w:i/>
          <w:noProof/>
        </w:rPr>
        <w:t>ter</w:t>
      </w:r>
      <w:r w:rsidR="003A5A48">
        <w:rPr>
          <w:rFonts w:ascii="Times New Roman" w:hAnsi="Times New Roman"/>
          <w:noProof/>
        </w:rPr>
        <w:t>, est une garantie supplémentaire cruciale pour s’assurer que des mesures plus élevées ne sont pas imposées dans les situations où elles auraient des retombées néfastes, par exemple sur les utilisateurs ou la chaîne de valeur. L’examen des deux cas dans lesquels des mesures n’ont pas été instituées à un niveau de dumping plus élevé en raison de considérations liées à l’intérêt de l’Union (certaines feuilles et bobines de produits laminés à chaud en acier inoxydable en provenance d’Indonésie et de Chine) a montré que le niveau inférieur des mesures avait eu une incidence importante sur le volume des importations, tout en permettant à un utilisateur majeur et employeur important dans l’Union de continuer à importer sans être affecté négativement par un niveau de droits plus élevé.</w:t>
      </w:r>
    </w:p>
    <w:p w14:paraId="13FD2E33" w14:textId="7E2A86FA" w:rsidR="003A5A48" w:rsidRPr="00130F23" w:rsidRDefault="003A5A48" w:rsidP="003A5A48">
      <w:pPr>
        <w:pStyle w:val="ListParagraph"/>
        <w:numPr>
          <w:ilvl w:val="0"/>
          <w:numId w:val="5"/>
        </w:numPr>
        <w:jc w:val="both"/>
        <w:rPr>
          <w:rFonts w:ascii="Times New Roman" w:hAnsi="Times New Roman" w:cs="Times New Roman"/>
          <w:noProof/>
        </w:rPr>
      </w:pPr>
      <w:r>
        <w:rPr>
          <w:rFonts w:ascii="Times New Roman" w:hAnsi="Times New Roman"/>
          <w:noProof/>
        </w:rPr>
        <w:t>Ces règles sont non discriminatoires, comme l’atteste le fait qu’une modulation de la règle du droit moindre a eu lieu dans les affaires concernant Russie, la Chine et l’Indonésie.</w:t>
      </w:r>
    </w:p>
    <w:p w14:paraId="13FD2E34" w14:textId="77777777" w:rsidR="003A5A48" w:rsidRDefault="003A5A48" w:rsidP="003A5A48">
      <w:pPr>
        <w:jc w:val="both"/>
        <w:rPr>
          <w:noProof/>
        </w:rPr>
      </w:pPr>
    </w:p>
    <w:p w14:paraId="13FD2E44" w14:textId="77777777" w:rsidR="003A5A48" w:rsidRDefault="003A5A48" w:rsidP="003A5A48">
      <w:pPr>
        <w:jc w:val="both"/>
        <w:rPr>
          <w:noProof/>
          <w:lang w:eastAsia="en-US"/>
        </w:rPr>
      </w:pPr>
    </w:p>
    <w:p w14:paraId="13FD2E45" w14:textId="3CD0CCA0" w:rsidR="003A5A48" w:rsidRDefault="00DA4089" w:rsidP="00102E4B">
      <w:pPr>
        <w:pStyle w:val="Heading1"/>
        <w:numPr>
          <w:ilvl w:val="0"/>
          <w:numId w:val="9"/>
        </w:numPr>
        <w:rPr>
          <w:noProof/>
        </w:rPr>
      </w:pPr>
      <w:r>
        <w:rPr>
          <w:noProof/>
        </w:rPr>
        <w:t>La règle du droit moindre dans les enquêtes antisubventions –  article 12, paragraphe 1, et article 15, paragraphe 1, du règlement antisubventions de base</w:t>
      </w:r>
    </w:p>
    <w:p w14:paraId="13FD2E46" w14:textId="77777777" w:rsidR="003A5A48" w:rsidRPr="00CD6D66" w:rsidRDefault="003A5A48" w:rsidP="007F6A7C">
      <w:pPr>
        <w:pStyle w:val="Heading1"/>
        <w:numPr>
          <w:ilvl w:val="1"/>
          <w:numId w:val="9"/>
        </w:numPr>
        <w:rPr>
          <w:smallCaps w:val="0"/>
          <w:noProof/>
          <w:szCs w:val="24"/>
        </w:rPr>
      </w:pPr>
      <w:r>
        <w:rPr>
          <w:smallCaps w:val="0"/>
          <w:noProof/>
        </w:rPr>
        <w:t>La procédure</w:t>
      </w:r>
    </w:p>
    <w:p w14:paraId="23C6532F" w14:textId="77777777" w:rsidR="00FC735C" w:rsidRDefault="00260E58" w:rsidP="003A5A48">
      <w:pPr>
        <w:jc w:val="both"/>
        <w:rPr>
          <w:noProof/>
          <w:color w:val="000000"/>
        </w:rPr>
      </w:pPr>
      <w:r>
        <w:rPr>
          <w:noProof/>
        </w:rPr>
        <w:t>Les modifications apportées en juin 2018 à l’article 12, paragraphe 1, et à l’article 15, paragraphe 1, du règlement antisubventions de base ont effectivement réduit l’application de la règle du droit moindre aux cas où la Commission estime qu’il n’est pas dans l’intérêt de l’Union de fixer le montant des mesures au niveau des subventions passibles de mesures compensatoires constatées.</w:t>
      </w:r>
      <w:r>
        <w:rPr>
          <w:noProof/>
          <w:color w:val="000000"/>
        </w:rPr>
        <w:t xml:space="preserve"> </w:t>
      </w:r>
      <w:r>
        <w:rPr>
          <w:noProof/>
        </w:rPr>
        <w:t>Lorsque le critère de l’intérêt de l’Union, qui tient compte de tous les intérêts en jeu, y compris ceux de l’industrie de l’Union, des importateurs et des utilisateurs, montre qu’il est dans l’intérêt de l’Union d’appliquer des mesures antisubventions, la Commission impose des droits compensateurs à ce niveau (plus élevé).</w:t>
      </w:r>
    </w:p>
    <w:p w14:paraId="1CD7C86B" w14:textId="312CEE7F" w:rsidR="00FC735C" w:rsidRDefault="003A5A48" w:rsidP="007F6A7C">
      <w:pPr>
        <w:pStyle w:val="Heading1"/>
        <w:numPr>
          <w:ilvl w:val="1"/>
          <w:numId w:val="9"/>
        </w:numPr>
        <w:rPr>
          <w:smallCaps w:val="0"/>
          <w:noProof/>
        </w:rPr>
      </w:pPr>
      <w:r>
        <w:rPr>
          <w:smallCaps w:val="0"/>
          <w:noProof/>
        </w:rPr>
        <w:t>Les enquêtes</w:t>
      </w:r>
    </w:p>
    <w:p w14:paraId="13FD2E4C" w14:textId="4840EBF9" w:rsidR="003A5A48" w:rsidRDefault="003A5A48" w:rsidP="003A5A48">
      <w:pPr>
        <w:jc w:val="both"/>
        <w:rPr>
          <w:noProof/>
        </w:rPr>
      </w:pPr>
      <w:r>
        <w:rPr>
          <w:noProof/>
        </w:rPr>
        <w:t>La Commission a imposé des mesures compensatoires dans huit procédures engagées depuis le 8 juin 2018</w:t>
      </w:r>
      <w:r w:rsidR="00FC735C">
        <w:rPr>
          <w:noProof/>
        </w:rPr>
        <w:t xml:space="preserve">. </w:t>
      </w:r>
      <w:r>
        <w:rPr>
          <w:noProof/>
        </w:rPr>
        <w:t>Dans six de ces cas, la Commission a mené des enquêtes antidumping distinctes concernant les mêmes produits de même origine</w:t>
      </w:r>
      <w:r w:rsidR="00FC735C">
        <w:rPr>
          <w:noProof/>
        </w:rPr>
        <w:t xml:space="preserve">. </w:t>
      </w:r>
      <w:r>
        <w:rPr>
          <w:noProof/>
        </w:rPr>
        <w:t>Une liste de ces affaires figure à l’annexe 2.</w:t>
      </w:r>
    </w:p>
    <w:p w14:paraId="13FD2E4D" w14:textId="77777777" w:rsidR="003A5A48" w:rsidRDefault="003A5A48" w:rsidP="003A5A48">
      <w:pPr>
        <w:jc w:val="both"/>
        <w:rPr>
          <w:noProof/>
          <w:lang w:eastAsia="en-US"/>
        </w:rPr>
      </w:pPr>
    </w:p>
    <w:p w14:paraId="24D3B1C6" w14:textId="77777777" w:rsidR="00FC735C" w:rsidRDefault="00884572" w:rsidP="00884572">
      <w:pPr>
        <w:jc w:val="both"/>
        <w:rPr>
          <w:noProof/>
        </w:rPr>
      </w:pPr>
      <w:r>
        <w:rPr>
          <w:noProof/>
        </w:rPr>
        <w:t>Dans tous les cas, conformément au critère de l’intérêt de l’Union énoncé à l’article 15, paragraphe 1, la Commission a conclu qu’il n’existait aucune raison impérieuse de conclure qu’il n’était pas dans l’intérêt de l’Union d’instituer des mesures compensatoires au niveau du montant total des subventions passibles de mesures compensatoires. Dans deux de ces affaires [Biodiesel originaire d’Indonésie (2019) et Produits de fibre de verre à filament continu originaires d’Égypte (2020)], cette conclusion avait déjà été tirée au stade provisoire au titre de l’article 12, paragraphe 1.</w:t>
      </w:r>
    </w:p>
    <w:p w14:paraId="13FD2E55" w14:textId="4B660B7E" w:rsidR="003A5A48" w:rsidRDefault="003A5A48" w:rsidP="003A5A48">
      <w:pPr>
        <w:jc w:val="both"/>
        <w:rPr>
          <w:noProof/>
        </w:rPr>
      </w:pPr>
    </w:p>
    <w:p w14:paraId="68E7E5ED" w14:textId="2C52C1B6" w:rsidR="00FC735C" w:rsidRDefault="00A93B9E" w:rsidP="003A5A48">
      <w:pPr>
        <w:jc w:val="both"/>
        <w:rPr>
          <w:noProof/>
        </w:rPr>
      </w:pPr>
      <w:r>
        <w:rPr>
          <w:noProof/>
        </w:rPr>
        <w:t>En examinant les deux affaires antisubventions dans lesquelles il n’y avait pas d’enquêtes antidumping distinctes portant sur les mêmes produits de même origine, la Commission a constaté que le montant des subventions était inférieur aux marges de sous-cotation des prix indicatifs constatées, de sorte que le montant total de la subvention aurait également été imposé en vertu des règles antérieures à la modernisation.</w:t>
      </w:r>
    </w:p>
    <w:p w14:paraId="13FD2E59" w14:textId="53185E56" w:rsidR="003A5A48" w:rsidRDefault="003A5A48" w:rsidP="003A5A48">
      <w:pPr>
        <w:jc w:val="both"/>
        <w:rPr>
          <w:noProof/>
          <w:lang w:eastAsia="en-US"/>
        </w:rPr>
      </w:pPr>
    </w:p>
    <w:p w14:paraId="13FD2E5A" w14:textId="573D7F25" w:rsidR="003A5A48" w:rsidRDefault="003A5A48" w:rsidP="003A5A48">
      <w:pPr>
        <w:jc w:val="both"/>
        <w:rPr>
          <w:noProof/>
        </w:rPr>
      </w:pPr>
      <w:r>
        <w:rPr>
          <w:noProof/>
        </w:rPr>
        <w:t>La situation dans les six enquêtes ayant donné lieu à des enquêtes antidumping et antisubventions distinctes donne des résultats différents.</w:t>
      </w:r>
    </w:p>
    <w:p w14:paraId="13FD2E5B" w14:textId="77777777" w:rsidR="003A5A48" w:rsidRDefault="003A5A48" w:rsidP="003A5A48">
      <w:pPr>
        <w:jc w:val="both"/>
        <w:rPr>
          <w:noProof/>
          <w:lang w:eastAsia="en-US"/>
        </w:rPr>
      </w:pPr>
    </w:p>
    <w:p w14:paraId="13FD2E5C" w14:textId="55B88255" w:rsidR="003A5A48" w:rsidRDefault="00C45C1B" w:rsidP="003A5A48">
      <w:pPr>
        <w:jc w:val="both"/>
        <w:rPr>
          <w:noProof/>
        </w:rPr>
      </w:pPr>
      <w:r>
        <w:rPr>
          <w:noProof/>
        </w:rPr>
        <w:t>Avant la révision/le renforcement de l’IDC, la règle du droit moindre applicable aux enquêtes antidumping et antisubventions signifiait qu’il n’y avait qu’un seul niveau d’élimination du préjudice pour les deux procédures puisqu’elles couvraient les mêmes importations. En conséquence, les mesures antidumping et compensatoires combinées ont été plafonnées par le niveau d’élimination du préjudice. Depuis les changements introduits en juin 2018, la situation est différente. En général, à l’exception des cas où des considérations liées à l’intérêt de l’Union l’exigent, les mesures compensatoires désormais instituées viennent s’ajouter à tout droit antidumping distinct, qui couvre déjà la totalité de la marge de préjudice établie dans ces affaires.</w:t>
      </w:r>
    </w:p>
    <w:p w14:paraId="236CA963" w14:textId="77777777" w:rsidR="00FC735C" w:rsidRDefault="00FC735C" w:rsidP="003A5A48">
      <w:pPr>
        <w:jc w:val="both"/>
        <w:rPr>
          <w:noProof/>
        </w:rPr>
      </w:pPr>
    </w:p>
    <w:p w14:paraId="7BD83617" w14:textId="00FA4A6F" w:rsidR="00FC735C" w:rsidRDefault="003A5A48" w:rsidP="003A5A48">
      <w:pPr>
        <w:jc w:val="both"/>
        <w:rPr>
          <w:noProof/>
        </w:rPr>
      </w:pPr>
      <w:r>
        <w:rPr>
          <w:noProof/>
        </w:rPr>
        <w:t>C’est ce que démontrent les enquêtes antidumping et antisubventions concernant les feuilles d’aluminium en provenance de Chine</w:t>
      </w:r>
      <w:r w:rsidR="00FC735C">
        <w:rPr>
          <w:noProof/>
        </w:rPr>
        <w:t xml:space="preserve">. </w:t>
      </w:r>
      <w:r>
        <w:rPr>
          <w:noProof/>
        </w:rPr>
        <w:t>Des mesures antidumping ont été imposées au niveau des marges de sous-cotation comprises entre 23,6 % et 28,5 %. Avant la modernisation, le niveau total des mesures instituées tant dans le cadre des mesures antidumping que dans le cadre des mesures antisubventions aurait été plafonné à ce niveau d’élimination du préjudice. Toutefois, en vertu des règles actuelles, la Commission a institué des mesures compensatoires à tous les niveaux des subventions constatées sans réduire en conséquence les mesures antidumping distinctes</w:t>
      </w:r>
      <w:r>
        <w:rPr>
          <w:rStyle w:val="FootnoteReference"/>
          <w:noProof/>
        </w:rPr>
        <w:footnoteReference w:id="5"/>
      </w:r>
      <w:r>
        <w:rPr>
          <w:noProof/>
        </w:rPr>
        <w:t>, étant donné qu’il n’était pas contraire à l’intérêt de l’Union de le faire. Il en a résulté une protection supplémentaire comprise entre 0,7 % et 18,2 %.</w:t>
      </w:r>
    </w:p>
    <w:p w14:paraId="13FD2E5F" w14:textId="5113B373" w:rsidR="003A5A48" w:rsidRDefault="003A5A48" w:rsidP="003A5A48">
      <w:pPr>
        <w:jc w:val="both"/>
        <w:rPr>
          <w:noProof/>
        </w:rPr>
      </w:pPr>
    </w:p>
    <w:p w14:paraId="13FD2E60" w14:textId="3FDAA018" w:rsidR="003A5A48" w:rsidRDefault="003A5A48" w:rsidP="003A5A48">
      <w:pPr>
        <w:jc w:val="both"/>
        <w:rPr>
          <w:noProof/>
        </w:rPr>
      </w:pPr>
      <w:r>
        <w:rPr>
          <w:noProof/>
        </w:rPr>
        <w:t xml:space="preserve">Les enquêtes antidumping et antisubventions distinctes concernant les produits plats laminés à froid en acier inoxydable originaires de l’Inde (2022) et les tissus en fibre de verre en provenance de Chine (2020) ont également eu une incidence sur le niveau des mesures. Les changements législatifs ont entraîné pour certains exportateurs un niveau de mesures plus élevé </w:t>
      </w:r>
      <w:r w:rsidR="007B519B">
        <w:rPr>
          <w:noProof/>
        </w:rPr>
        <w:t xml:space="preserve">que </w:t>
      </w:r>
      <w:r>
        <w:rPr>
          <w:noProof/>
        </w:rPr>
        <w:t>celui qui aurait été appliqué dans le cadre des règles antérieures. Dans le cas des produits plats laminés à froid en acier inoxydable, le niveau final des mesures applicables à Chromeni Steels Private Ltd. comprenait le montant total des subventions de 7,5 % et un taux de droit antidumping de 35,3 % couvrant déjà la marge de préjudice. De même, dans l’affaire des tissus en fibre de verre, le montant total de la subvention de 17 % a été imposé au groupe Yuntianhua et un taux de droit antidumping de 37,6 % a été institué, couvrant également la totalité de la marge de préjudice. Dans ces deux cas, avant les changements, le niveau final global des mesures aurait été plafonné aux niveaux d’élimination du préjudice.</w:t>
      </w:r>
    </w:p>
    <w:p w14:paraId="13FD2E61" w14:textId="77777777" w:rsidR="003A5A48" w:rsidRDefault="003A5A48" w:rsidP="003A5A48">
      <w:pPr>
        <w:jc w:val="both"/>
        <w:rPr>
          <w:noProof/>
        </w:rPr>
      </w:pPr>
    </w:p>
    <w:p w14:paraId="08862C0C" w14:textId="77777777" w:rsidR="00FC735C" w:rsidRDefault="003A5A48" w:rsidP="003A5A48">
      <w:pPr>
        <w:jc w:val="both"/>
        <w:rPr>
          <w:noProof/>
        </w:rPr>
      </w:pPr>
      <w:r>
        <w:rPr>
          <w:noProof/>
        </w:rPr>
        <w:t>D’autre part, dans les enquêtes antidumping et antisubventions concernant les câbles en fibre optique en provenance de Chine (2022), les mesures antidumping et compensatoires combinées instituées étaient fondées sur le dumping et les montants de subvention et, bien qu’importantes (allant de 19,7 % à 44 %), elles étaient inférieures à la marge de préjudice. Les nouvelles règles ne pouvaient donc avoir aucune incidence puisque le niveau de mesures correspondait au niveau maximal de protection autorisé par les règles de l’OMC.</w:t>
      </w:r>
    </w:p>
    <w:p w14:paraId="2EAE0418" w14:textId="6857B9F7" w:rsidR="00CD6D66" w:rsidRPr="00A563A5" w:rsidRDefault="00CD6D66" w:rsidP="00474428">
      <w:pPr>
        <w:keepNext/>
        <w:spacing w:before="240" w:after="240"/>
        <w:jc w:val="both"/>
        <w:outlineLvl w:val="0"/>
        <w:rPr>
          <w:b/>
          <w:smallCaps/>
          <w:noProof/>
          <w:vanish/>
        </w:rPr>
      </w:pPr>
    </w:p>
    <w:p w14:paraId="092689A3" w14:textId="77777777" w:rsidR="00CD6D66" w:rsidRPr="00A563A5" w:rsidRDefault="00CD6D66" w:rsidP="00474428">
      <w:pPr>
        <w:keepNext/>
        <w:spacing w:after="240"/>
        <w:jc w:val="both"/>
        <w:outlineLvl w:val="1"/>
        <w:rPr>
          <w:b/>
          <w:noProof/>
          <w:vanish/>
        </w:rPr>
      </w:pPr>
    </w:p>
    <w:p w14:paraId="0FDCF436" w14:textId="77777777" w:rsidR="00FC735C" w:rsidRDefault="003A5A48" w:rsidP="00764C8F">
      <w:pPr>
        <w:pStyle w:val="Heading1"/>
        <w:numPr>
          <w:ilvl w:val="1"/>
          <w:numId w:val="9"/>
        </w:numPr>
        <w:rPr>
          <w:smallCaps w:val="0"/>
          <w:noProof/>
        </w:rPr>
      </w:pPr>
      <w:r>
        <w:rPr>
          <w:smallCaps w:val="0"/>
          <w:noProof/>
        </w:rPr>
        <w:t>L’évaluation</w:t>
      </w:r>
    </w:p>
    <w:p w14:paraId="277407FF" w14:textId="77777777" w:rsidR="00FC735C" w:rsidRDefault="003A5A48" w:rsidP="003A5A48">
      <w:pPr>
        <w:jc w:val="both"/>
        <w:rPr>
          <w:noProof/>
        </w:rPr>
      </w:pPr>
      <w:r>
        <w:rPr>
          <w:noProof/>
        </w:rPr>
        <w:t>Le subventionnement par des pays tiers est une préoccupation croissante et il est important de montrer que lorsque de telles pratiques portent préjudice aux producteurs de l’Union, elles sont combattues avec fermeté. En imposant des mesures compensatoires à un niveau qui reflète pleinement les montants des subventions, l’UE montre qu’elle remédie rigoureusement aux effets néfastes graves de cette pratique commerciale déloyale et qu’elle garantit également une protection adéquate de l’industrie de l’UE et des conditions de concurrence équitables.</w:t>
      </w:r>
    </w:p>
    <w:p w14:paraId="296393AF" w14:textId="77777777" w:rsidR="00FC735C" w:rsidRDefault="00FC735C" w:rsidP="003A5A48">
      <w:pPr>
        <w:jc w:val="both"/>
        <w:rPr>
          <w:noProof/>
        </w:rPr>
      </w:pPr>
    </w:p>
    <w:p w14:paraId="743DAD08" w14:textId="7A870142" w:rsidR="00FC735C" w:rsidRDefault="003A5A48" w:rsidP="003A5A48">
      <w:pPr>
        <w:jc w:val="both"/>
        <w:rPr>
          <w:noProof/>
        </w:rPr>
      </w:pPr>
      <w:r>
        <w:rPr>
          <w:noProof/>
        </w:rPr>
        <w:t>Cela est particulièrement évident lorsqu’il existe des mesures antidumping et antisubventions distinctes sur les mêmes produits de même origine. Comme indiqué à la section 1.5.4, cette disposition a fait une différence significative dans un certain nombre d’enquêtes antidumping et antisubventions distinctes portant sur les mêmes produits de même origine, notamment les feuilles d’aluminium destinées à la transformation, les produits plats en acier inoxydable laminés à froid et les tissus en fibre de verre, en augmentant le niveau combiné de protection de l’industrie de l’Union. Cela signifie que l’industrie a désormais tout intérêt à déposer une plainte antisubventions en plus des plaintes antidumping, car elle peut ainsi bénéficier d’une protection supplémentaire, mais en même temps adéquate.</w:t>
      </w:r>
    </w:p>
    <w:p w14:paraId="13FD2E68" w14:textId="6C257671" w:rsidR="007C6C26" w:rsidRDefault="007C6C26" w:rsidP="003A5A48">
      <w:pPr>
        <w:jc w:val="both"/>
        <w:rPr>
          <w:noProof/>
        </w:rPr>
      </w:pPr>
    </w:p>
    <w:p w14:paraId="2014AE61" w14:textId="77777777" w:rsidR="00FC735C" w:rsidRDefault="004C249C" w:rsidP="003A5A48">
      <w:pPr>
        <w:jc w:val="both"/>
        <w:rPr>
          <w:noProof/>
        </w:rPr>
      </w:pPr>
      <w:r>
        <w:rPr>
          <w:noProof/>
        </w:rPr>
        <w:t>En outre, il est clair que, depuis la modernisation, les enquêtes antisubventions ont mis au jour des modalités d’octroi des subventions de plus en plus complexes, y compris au moyen d’un soutien financier transfrontières. Compte tenu de l’évolution de ces pratiques particulièrement préjudiciables, la Commission estime qu’il est impératif qu’elle continue d’appliquer des mesures compensatoires pour contrebalancer les montants totaux des subventions constatées, lorsque cela est justifié. En même temps, le critère de l’intérêt de l’Union maintient un équilibre et une flexibilité cruciaux dans le système, permettant à la Commission de prendre en considération l’intérêt de tous les opérateurs économiques.</w:t>
      </w:r>
    </w:p>
    <w:p w14:paraId="1469E110" w14:textId="75DC50CD" w:rsidR="00FC735C" w:rsidRDefault="00F11E01" w:rsidP="002A6493">
      <w:pPr>
        <w:pStyle w:val="Heading1"/>
        <w:numPr>
          <w:ilvl w:val="0"/>
          <w:numId w:val="9"/>
        </w:numPr>
        <w:rPr>
          <w:noProof/>
        </w:rPr>
      </w:pPr>
      <w:r>
        <w:rPr>
          <w:noProof/>
        </w:rPr>
        <w:t>La règle du droit moindre dans les entreprises – l’article 8, paragraphe 1, du règlement antidumping de base et l’article 13, paragraphe 1, du règlement antisubventions de base</w:t>
      </w:r>
    </w:p>
    <w:p w14:paraId="40DE9728" w14:textId="77777777" w:rsidR="00FC735C" w:rsidRDefault="006F6803" w:rsidP="002A6493">
      <w:pPr>
        <w:jc w:val="both"/>
        <w:rPr>
          <w:noProof/>
        </w:rPr>
      </w:pPr>
      <w:r>
        <w:rPr>
          <w:noProof/>
        </w:rPr>
        <w:t>La Commission n’a accepté aucun nouvel engagement de prix dans les enquêtes antidumping et antisubventions ouvertes depuis l’entrée en vigueur du paquet de modernisation.</w:t>
      </w:r>
    </w:p>
    <w:p w14:paraId="4A8A2493" w14:textId="3CEBE5E0" w:rsidR="006F6803" w:rsidRDefault="00F11E01" w:rsidP="002A6493">
      <w:pPr>
        <w:pStyle w:val="Heading1"/>
        <w:numPr>
          <w:ilvl w:val="0"/>
          <w:numId w:val="9"/>
        </w:numPr>
        <w:rPr>
          <w:noProof/>
        </w:rPr>
      </w:pPr>
      <w:r>
        <w:rPr>
          <w:noProof/>
        </w:rPr>
        <w:t>Réexamen de l’application de l’article 9, paragraphe 4, du règlement antidumping de base – période de notification préalable</w:t>
      </w:r>
    </w:p>
    <w:p w14:paraId="2A687381" w14:textId="77777777" w:rsidR="00FC735C" w:rsidRDefault="009C656F" w:rsidP="00764C8F">
      <w:pPr>
        <w:jc w:val="both"/>
        <w:rPr>
          <w:noProof/>
        </w:rPr>
      </w:pPr>
      <w:r>
        <w:rPr>
          <w:noProof/>
        </w:rPr>
        <w:t>Les modifications apportées dans le cadre de la modernisation ont introduit l’obligation pour la Commission d’informer toutes les parties intéressées trois semaines avant (quatre semaines à partir de juin 2020 à la suite d’un réexamen</w:t>
      </w:r>
      <w:r>
        <w:rPr>
          <w:rStyle w:val="FootnoteReference"/>
          <w:noProof/>
        </w:rPr>
        <w:footnoteReference w:id="6"/>
      </w:r>
      <w:r>
        <w:rPr>
          <w:noProof/>
        </w:rPr>
        <w:t>) de son intention d’instituer ou non des mesures antidumping provisoires (notification préalable)</w:t>
      </w:r>
      <w:r>
        <w:rPr>
          <w:rStyle w:val="FootnoteReference"/>
          <w:noProof/>
        </w:rPr>
        <w:footnoteReference w:id="7"/>
      </w:r>
      <w:r>
        <w:rPr>
          <w:noProof/>
        </w:rPr>
        <w:t>. Au cours de cette période, la Commission peut enregistrer les importations afin d’éviter la constitution de stocks susceptibles de compromettre l’effet correctif des droits, ce qui permet, le cas échéant, la perception rétroactive des droits pour cette période.</w:t>
      </w:r>
    </w:p>
    <w:p w14:paraId="0399988B" w14:textId="3659B458" w:rsidR="006F6803" w:rsidRDefault="006F6803" w:rsidP="00764C8F">
      <w:pPr>
        <w:jc w:val="both"/>
        <w:rPr>
          <w:noProof/>
        </w:rPr>
      </w:pPr>
    </w:p>
    <w:p w14:paraId="703D0717" w14:textId="77777777" w:rsidR="00FC735C" w:rsidRDefault="006F6803" w:rsidP="00764C8F">
      <w:pPr>
        <w:jc w:val="both"/>
        <w:rPr>
          <w:noProof/>
        </w:rPr>
      </w:pPr>
      <w:r>
        <w:rPr>
          <w:noProof/>
        </w:rPr>
        <w:t>L’article 9, paragraphe 4, du règlement antidumping de base a également été modifié pour permettre à la Commission d’analyser, dans les cas où les importations n’ont pas été enregistrées, s’il y a eu une augmentation substantielle des importations au cours de la période de notification préalable causant un préjudice supplémentaire. Si l’analyse montrait que c’était le cas, la Commission pourrait refléter ce préjudice supplémentaire en ajustant à la hausse la marge de préjudice.</w:t>
      </w:r>
    </w:p>
    <w:p w14:paraId="782D011A" w14:textId="0423E60C" w:rsidR="00764C8F" w:rsidRDefault="00764C8F" w:rsidP="00764C8F">
      <w:pPr>
        <w:pStyle w:val="Heading3"/>
        <w:numPr>
          <w:ilvl w:val="0"/>
          <w:numId w:val="0"/>
        </w:numPr>
        <w:tabs>
          <w:tab w:val="left" w:pos="720"/>
        </w:tabs>
        <w:spacing w:after="0"/>
        <w:rPr>
          <w:i w:val="0"/>
          <w:noProof/>
          <w:szCs w:val="24"/>
          <w:lang w:eastAsia="ko-KR"/>
        </w:rPr>
      </w:pPr>
    </w:p>
    <w:p w14:paraId="44E42DBD" w14:textId="77777777" w:rsidR="00FC735C" w:rsidRDefault="00801CB8" w:rsidP="00764C8F">
      <w:pPr>
        <w:pStyle w:val="Heading3"/>
        <w:numPr>
          <w:ilvl w:val="0"/>
          <w:numId w:val="0"/>
        </w:numPr>
        <w:tabs>
          <w:tab w:val="left" w:pos="720"/>
        </w:tabs>
        <w:spacing w:after="0"/>
        <w:rPr>
          <w:i w:val="0"/>
          <w:noProof/>
        </w:rPr>
      </w:pPr>
      <w:r>
        <w:rPr>
          <w:i w:val="0"/>
          <w:noProof/>
        </w:rPr>
        <w:t>La Commission a institué des droits antidumping définitifs</w:t>
      </w:r>
      <w:r>
        <w:rPr>
          <w:noProof/>
        </w:rPr>
        <w:t xml:space="preserve"> </w:t>
      </w:r>
      <w:r>
        <w:rPr>
          <w:i w:val="0"/>
          <w:noProof/>
        </w:rPr>
        <w:t>dans 34 procédures engagées après le 8 juin 2018. La Commission a institué des mesures provisoires dans 22 de ces cas et n’a pas enregistré les importations dans 11 cas. La dernière colonne de l’annexe 1 donne des précisions sur les cas.</w:t>
      </w:r>
    </w:p>
    <w:p w14:paraId="00BB7E9C" w14:textId="77777777" w:rsidR="00FC735C" w:rsidRDefault="00FC735C" w:rsidP="00764C8F">
      <w:pPr>
        <w:pStyle w:val="Heading3"/>
        <w:numPr>
          <w:ilvl w:val="0"/>
          <w:numId w:val="0"/>
        </w:numPr>
        <w:tabs>
          <w:tab w:val="left" w:pos="720"/>
        </w:tabs>
        <w:spacing w:after="0"/>
        <w:rPr>
          <w:i w:val="0"/>
          <w:noProof/>
        </w:rPr>
      </w:pPr>
    </w:p>
    <w:p w14:paraId="53D1D06F" w14:textId="77777777" w:rsidR="00FC735C" w:rsidRDefault="0033288A" w:rsidP="006F6803">
      <w:pPr>
        <w:jc w:val="both"/>
        <w:rPr>
          <w:noProof/>
        </w:rPr>
      </w:pPr>
      <w:r>
        <w:rPr>
          <w:noProof/>
        </w:rPr>
        <w:t>L’analyse des 11 cas a révélé ce qui suit:</w:t>
      </w:r>
    </w:p>
    <w:p w14:paraId="3C0EA25D" w14:textId="77777777" w:rsidR="00FC735C" w:rsidRDefault="006F6803" w:rsidP="006F6803">
      <w:pPr>
        <w:pStyle w:val="ListParagraph"/>
        <w:numPr>
          <w:ilvl w:val="1"/>
          <w:numId w:val="5"/>
        </w:numPr>
        <w:jc w:val="both"/>
        <w:rPr>
          <w:rFonts w:ascii="Times New Roman" w:hAnsi="Times New Roman"/>
          <w:noProof/>
        </w:rPr>
      </w:pPr>
      <w:r>
        <w:rPr>
          <w:rFonts w:ascii="Times New Roman" w:hAnsi="Times New Roman"/>
          <w:noProof/>
        </w:rPr>
        <w:t>Dans les enquêtes concernant les feuilles et bandes minces en aluminium (2021) et le silico-calcium (2022), deux produits originaires de Chine, les importations ont chuté en moyenne de 47 % et 36 % respectivement au cours de la période de notification préalable. Dans l’enquête relative au monoéthylène glycol en provenance d’Arabie saoudite (2021), les importations ont diminué de 15,3 % au cours de la période.</w:t>
      </w:r>
    </w:p>
    <w:p w14:paraId="2178A124" w14:textId="33360FF3" w:rsidR="006F6803" w:rsidRPr="00130F23" w:rsidRDefault="006F6803" w:rsidP="006F6803">
      <w:pPr>
        <w:pStyle w:val="ListParagraph"/>
        <w:numPr>
          <w:ilvl w:val="1"/>
          <w:numId w:val="5"/>
        </w:numPr>
        <w:jc w:val="both"/>
        <w:rPr>
          <w:rFonts w:ascii="Times New Roman" w:hAnsi="Times New Roman" w:cs="Times New Roman"/>
          <w:noProof/>
        </w:rPr>
      </w:pPr>
      <w:r>
        <w:rPr>
          <w:rFonts w:ascii="Times New Roman" w:hAnsi="Times New Roman"/>
          <w:noProof/>
        </w:rPr>
        <w:t>Dans les enquêtes concernant les roues en acier (2020) et les produits laminés plats en aluminium (2021), deux produits originaires de Chine, aucune augmentation des importations n’a été constatée au cours de la période de notification préalable.</w:t>
      </w:r>
    </w:p>
    <w:p w14:paraId="3DC4E5B7" w14:textId="77777777" w:rsidR="00FC735C" w:rsidRDefault="006F6803" w:rsidP="006F6803">
      <w:pPr>
        <w:pStyle w:val="ListParagraph"/>
        <w:numPr>
          <w:ilvl w:val="1"/>
          <w:numId w:val="5"/>
        </w:numPr>
        <w:jc w:val="both"/>
        <w:rPr>
          <w:rFonts w:ascii="Times New Roman" w:hAnsi="Times New Roman"/>
          <w:noProof/>
        </w:rPr>
      </w:pPr>
      <w:r>
        <w:rPr>
          <w:rFonts w:ascii="Times New Roman" w:hAnsi="Times New Roman"/>
          <w:noProof/>
        </w:rPr>
        <w:t>Dans l’enquête relative aux systèmes d’électrodes en graphite originaires de Chine (2022), les importations ont augmenté de 5,5 % au cours de la période de notification préalable, mais cette augmentation n’était pas substantielle.</w:t>
      </w:r>
    </w:p>
    <w:p w14:paraId="0CB39598" w14:textId="54E7F5B5" w:rsidR="00FC735C" w:rsidRDefault="006F6803" w:rsidP="006F6803">
      <w:pPr>
        <w:pStyle w:val="ListParagraph"/>
        <w:numPr>
          <w:ilvl w:val="1"/>
          <w:numId w:val="5"/>
        </w:numPr>
        <w:jc w:val="both"/>
        <w:rPr>
          <w:noProof/>
        </w:rPr>
      </w:pPr>
      <w:r>
        <w:rPr>
          <w:rFonts w:ascii="Times New Roman" w:hAnsi="Times New Roman"/>
          <w:noProof/>
        </w:rPr>
        <w:t>Dans les cinq enquêtes restantes [certains papiers thermosensibles lourd</w:t>
      </w:r>
      <w:r w:rsidR="007B519B">
        <w:rPr>
          <w:rFonts w:ascii="Times New Roman" w:hAnsi="Times New Roman"/>
          <w:noProof/>
        </w:rPr>
        <w:t xml:space="preserve">s originaires de Corée (2020); </w:t>
      </w:r>
      <w:r>
        <w:rPr>
          <w:rFonts w:ascii="Times New Roman" w:hAnsi="Times New Roman"/>
          <w:noProof/>
        </w:rPr>
        <w:t>monoéthylène glycol or</w:t>
      </w:r>
      <w:r w:rsidR="007B519B">
        <w:rPr>
          <w:rFonts w:ascii="Times New Roman" w:hAnsi="Times New Roman"/>
          <w:noProof/>
        </w:rPr>
        <w:t>iginaire des États-Unis (2021);</w:t>
      </w:r>
      <w:r>
        <w:rPr>
          <w:rFonts w:ascii="Times New Roman" w:hAnsi="Times New Roman"/>
          <w:noProof/>
        </w:rPr>
        <w:t xml:space="preserve"> contreplaqué de boulea</w:t>
      </w:r>
      <w:r w:rsidR="007B519B">
        <w:rPr>
          <w:rFonts w:ascii="Times New Roman" w:hAnsi="Times New Roman"/>
          <w:noProof/>
        </w:rPr>
        <w:t xml:space="preserve">u originaire de Russie (2021); </w:t>
      </w:r>
      <w:r>
        <w:rPr>
          <w:rFonts w:ascii="Times New Roman" w:hAnsi="Times New Roman"/>
          <w:noProof/>
        </w:rPr>
        <w:t>acier chromé par électrolyse originaire de Chine et du Brésil (2022)], la Commission a constaté que les importations avaient considérablement augmenté au cours de la période de notification préalable</w:t>
      </w:r>
      <w:r w:rsidR="00FC735C">
        <w:rPr>
          <w:rFonts w:ascii="Times New Roman" w:hAnsi="Times New Roman"/>
          <w:noProof/>
        </w:rPr>
        <w:t xml:space="preserve">. </w:t>
      </w:r>
      <w:r>
        <w:rPr>
          <w:rFonts w:ascii="Times New Roman" w:hAnsi="Times New Roman"/>
          <w:noProof/>
        </w:rPr>
        <w:t>Les augmentations allaient de 39 % pour le monoéthylène glycol à près de 99 % pour le contreplaqué de bouleau</w:t>
      </w:r>
      <w:r w:rsidR="00FC735C">
        <w:rPr>
          <w:rFonts w:ascii="Times New Roman" w:hAnsi="Times New Roman"/>
          <w:noProof/>
        </w:rPr>
        <w:t xml:space="preserve">. </w:t>
      </w:r>
      <w:r>
        <w:rPr>
          <w:rFonts w:ascii="Times New Roman" w:hAnsi="Times New Roman"/>
          <w:noProof/>
        </w:rPr>
        <w:t>Afin de remédier au préjudice supplémentaire causé par cette augmentation substantielle des importations, la Commission a procédé aux ajustements nécessaires pour relever les niveaux d’élimination du préjudice</w:t>
      </w:r>
      <w:r w:rsidR="00FC735C">
        <w:rPr>
          <w:rFonts w:ascii="Times New Roman" w:hAnsi="Times New Roman"/>
          <w:noProof/>
        </w:rPr>
        <w:t xml:space="preserve">. </w:t>
      </w:r>
      <w:r>
        <w:rPr>
          <w:rFonts w:ascii="Times New Roman" w:hAnsi="Times New Roman"/>
          <w:noProof/>
        </w:rPr>
        <w:t>À l’exception des mesures sur l’acier chromé par électrolyse en provenance de Chine et du Brésil, les mesures dans les autres cas ont été basées sur la marge de dumping</w:t>
      </w:r>
      <w:r w:rsidR="00FC735C">
        <w:rPr>
          <w:rFonts w:ascii="Times New Roman" w:hAnsi="Times New Roman"/>
          <w:noProof/>
        </w:rPr>
        <w:t xml:space="preserve">. </w:t>
      </w:r>
      <w:r>
        <w:rPr>
          <w:rFonts w:ascii="Times New Roman" w:hAnsi="Times New Roman"/>
          <w:noProof/>
        </w:rPr>
        <w:t>En conséquence, l’ajustement du niveau d’élimination du préjudice n’a pas eu d’incidence sur le niveau des mesures imposées, puisque les droits ont été plafonnés par les marges de dumping respectives, ce qui constitue la protection maximale autorisée par le droit de l’OMC et de l’Union</w:t>
      </w:r>
      <w:r w:rsidR="00FC735C">
        <w:rPr>
          <w:rFonts w:ascii="Times New Roman" w:hAnsi="Times New Roman"/>
          <w:noProof/>
        </w:rPr>
        <w:t xml:space="preserve">. </w:t>
      </w:r>
      <w:r>
        <w:rPr>
          <w:rFonts w:ascii="Times New Roman" w:hAnsi="Times New Roman"/>
          <w:noProof/>
        </w:rPr>
        <w:t>Dans les affaires relatives à l’acier chromé par électrolyse, l’ajustement de 4,1 % pour tenir compte du préjudice supplémentaire subi au cours de la période de notification préalable a eu une incidence sur le niveau des mesures finales</w:t>
      </w:r>
      <w:r>
        <w:rPr>
          <w:noProof/>
        </w:rPr>
        <w:t>.</w:t>
      </w:r>
    </w:p>
    <w:p w14:paraId="13FD2E6B" w14:textId="41704FD6" w:rsidR="00CF7BF0" w:rsidRDefault="00CF7BF0" w:rsidP="007F6A7C">
      <w:pPr>
        <w:pStyle w:val="Heading1"/>
        <w:numPr>
          <w:ilvl w:val="0"/>
          <w:numId w:val="9"/>
        </w:numPr>
        <w:rPr>
          <w:noProof/>
        </w:rPr>
      </w:pPr>
      <w:r>
        <w:rPr>
          <w:noProof/>
        </w:rPr>
        <w:t>Conclusion</w:t>
      </w:r>
    </w:p>
    <w:p w14:paraId="13FD2E6C" w14:textId="18F8E84C" w:rsidR="00CF7BF0" w:rsidRDefault="00CF7BF0" w:rsidP="003A5A48">
      <w:pPr>
        <w:jc w:val="both"/>
        <w:rPr>
          <w:iCs/>
          <w:noProof/>
        </w:rPr>
      </w:pPr>
      <w:r>
        <w:rPr>
          <w:noProof/>
        </w:rPr>
        <w:t>Le réexamen et l’évaluation des dispositions modernisées pertinentes en ce qui concerne l’application révisée de la règle du droit moindre montrent qu’elles ont pleinement atteint leurs objectifs visés, à savoir fournir des mesures correctives suffisantes contre le dumping et le subventionnement.</w:t>
      </w:r>
    </w:p>
    <w:p w14:paraId="3D717A1E" w14:textId="77777777" w:rsidR="007713F7" w:rsidRDefault="007713F7" w:rsidP="007713F7">
      <w:pPr>
        <w:jc w:val="both"/>
        <w:rPr>
          <w:iCs/>
          <w:noProof/>
          <w:lang w:eastAsia="en-US"/>
        </w:rPr>
      </w:pPr>
    </w:p>
    <w:p w14:paraId="7ABE59EE" w14:textId="53265C9E" w:rsidR="007713F7" w:rsidRDefault="007713F7" w:rsidP="007713F7">
      <w:pPr>
        <w:jc w:val="both"/>
        <w:rPr>
          <w:iCs/>
          <w:noProof/>
        </w:rPr>
      </w:pPr>
      <w:r>
        <w:rPr>
          <w:noProof/>
        </w:rPr>
        <w:t>Les changements législatifs en question ont été soigneusement rédigés afin d’offrir une protection plus solide contre les types particulièrement nuisibles de distorsions significatives sur les matières premières et les pratiques générales de subventionnement. Dans pas moins de 38 % des procédures antidumping engagées au co</w:t>
      </w:r>
      <w:r w:rsidR="00C979A6">
        <w:rPr>
          <w:noProof/>
        </w:rPr>
        <w:t>urs de la période de réexamen,</w:t>
      </w:r>
      <w:r>
        <w:rPr>
          <w:noProof/>
        </w:rPr>
        <w:t xml:space="preserve"> l’industrie de l’Union a signalé des distorsions significatives sur les matières premières, telles qu’elles sont définies dans la nouvelle législation. Dans certains de ces cas, la Commission pourrait adopter une mesure à un niveau plus élevé que celui qui aurait été imposé avant les changements législatifs respectifs. Un examen de la pratique montre que le champ d’application et les seuils actuels sont suffisants et adéquats pour assurer une protection appropriée et équilibrée contre les distorsions sur les matières premières. De même, la suppression de la règle du droit moindre dans la pratique antisubventions a permis de renforcer la protection des producteurs de l’Union exposés à des importations faisant l’objet de subventions.</w:t>
      </w:r>
    </w:p>
    <w:p w14:paraId="4447E3BF" w14:textId="77777777" w:rsidR="007713F7" w:rsidRDefault="007713F7" w:rsidP="007713F7">
      <w:pPr>
        <w:jc w:val="both"/>
        <w:rPr>
          <w:iCs/>
          <w:noProof/>
          <w:lang w:eastAsia="en-US"/>
        </w:rPr>
      </w:pPr>
    </w:p>
    <w:p w14:paraId="4CDACD7E" w14:textId="237E66A3" w:rsidR="007713F7" w:rsidRDefault="00065A22" w:rsidP="007713F7">
      <w:pPr>
        <w:jc w:val="both"/>
        <w:rPr>
          <w:iCs/>
          <w:noProof/>
        </w:rPr>
      </w:pPr>
      <w:r>
        <w:rPr>
          <w:noProof/>
        </w:rPr>
        <w:t>Le critère de l’intérêt de l’Union a permis de s’assurer que la pratique renforcée de défense commerciale reste ciblée et équilibrée.</w:t>
      </w:r>
    </w:p>
    <w:p w14:paraId="13FD2E6D" w14:textId="77777777" w:rsidR="00130F23" w:rsidRDefault="00130F23" w:rsidP="003A5A48">
      <w:pPr>
        <w:jc w:val="both"/>
        <w:rPr>
          <w:iCs/>
          <w:noProof/>
          <w:lang w:eastAsia="en-US"/>
        </w:rPr>
      </w:pPr>
    </w:p>
    <w:p w14:paraId="2B40EF62" w14:textId="65163247" w:rsidR="00065A22" w:rsidRPr="007713F7" w:rsidRDefault="00065A22" w:rsidP="00065A22">
      <w:pPr>
        <w:jc w:val="both"/>
        <w:rPr>
          <w:iCs/>
          <w:noProof/>
        </w:rPr>
      </w:pPr>
      <w:r>
        <w:rPr>
          <w:noProof/>
        </w:rPr>
        <w:t>Sur cette base, la Commission n’a pas jugé opportun de préparer une proposition législative pour accompagner le réexamen et l’évaluation actuels, comme le prévoient l’article 23, paragraphe 4, du règlement antidumping de base et l’article 32 </w:t>
      </w:r>
      <w:r w:rsidRPr="00D27AB3">
        <w:rPr>
          <w:i/>
          <w:noProof/>
        </w:rPr>
        <w:t>bis</w:t>
      </w:r>
      <w:r>
        <w:rPr>
          <w:noProof/>
        </w:rPr>
        <w:t>, paragraphe 2, du règlement antisubventions de base.</w:t>
      </w:r>
      <w:r w:rsidR="00096C3F">
        <w:rPr>
          <w:noProof/>
        </w:rPr>
        <w:t xml:space="preserve"> </w:t>
      </w:r>
      <w:r>
        <w:rPr>
          <w:noProof/>
        </w:rPr>
        <w:t>Conformément aux dispositions susmentionnées, la Commission continuera à suivre de près la situation en tenant compte de l’évolution des priorités stratégiques et du contexte géopolitique toujours difficile.</w:t>
      </w:r>
    </w:p>
    <w:p w14:paraId="13FD2E6F" w14:textId="77777777" w:rsidR="009121E6" w:rsidRDefault="009121E6" w:rsidP="003A5A48">
      <w:pPr>
        <w:jc w:val="both"/>
        <w:rPr>
          <w:iCs/>
          <w:noProof/>
          <w:lang w:eastAsia="en-US"/>
        </w:rPr>
        <w:sectPr w:rsidR="009121E6" w:rsidSect="00CB72E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pPr>
    </w:p>
    <w:p w14:paraId="13FD2E71" w14:textId="77777777" w:rsidR="00377531" w:rsidRDefault="00377531" w:rsidP="00377531">
      <w:pPr>
        <w:ind w:right="708"/>
        <w:jc w:val="center"/>
        <w:rPr>
          <w:b/>
          <w:noProof/>
          <w:u w:val="single"/>
        </w:rPr>
      </w:pPr>
      <w:r>
        <w:rPr>
          <w:b/>
          <w:noProof/>
          <w:u w:val="single"/>
        </w:rPr>
        <w:t>Annexe 1</w:t>
      </w:r>
    </w:p>
    <w:p w14:paraId="13FD2E72" w14:textId="328C19FF" w:rsidR="00377531" w:rsidRDefault="00377531" w:rsidP="00377531">
      <w:pPr>
        <w:ind w:right="708"/>
        <w:jc w:val="center"/>
        <w:rPr>
          <w:b/>
          <w:noProof/>
          <w:u w:val="single"/>
        </w:rPr>
      </w:pPr>
    </w:p>
    <w:p w14:paraId="13FD2E74" w14:textId="719B09C7" w:rsidR="00377531" w:rsidRDefault="00377531" w:rsidP="00377531">
      <w:pPr>
        <w:ind w:right="708"/>
        <w:jc w:val="center"/>
        <w:rPr>
          <w:b/>
          <w:noProof/>
          <w:sz w:val="20"/>
          <w:szCs w:val="20"/>
          <w:u w:val="single"/>
        </w:rPr>
      </w:pPr>
      <w:r>
        <w:rPr>
          <w:b/>
          <w:noProof/>
          <w:sz w:val="20"/>
          <w:u w:val="single"/>
        </w:rPr>
        <w:t>MESURES ANTIDUMPING</w:t>
      </w:r>
    </w:p>
    <w:p w14:paraId="63D2FF24" w14:textId="77777777" w:rsidR="00F11E01" w:rsidRPr="00377531" w:rsidRDefault="00F11E01" w:rsidP="00377531">
      <w:pPr>
        <w:ind w:right="708"/>
        <w:jc w:val="center"/>
        <w:rPr>
          <w:b/>
          <w:noProof/>
          <w:sz w:val="20"/>
          <w:szCs w:val="20"/>
          <w:u w:val="single"/>
        </w:rPr>
      </w:pPr>
    </w:p>
    <w:tbl>
      <w:tblPr>
        <w:tblStyle w:val="TableGrid"/>
        <w:tblW w:w="5000" w:type="pct"/>
        <w:tblLayout w:type="fixed"/>
        <w:tblLook w:val="04A0" w:firstRow="1" w:lastRow="0" w:firstColumn="1" w:lastColumn="0" w:noHBand="0" w:noVBand="1"/>
      </w:tblPr>
      <w:tblGrid>
        <w:gridCol w:w="1528"/>
        <w:gridCol w:w="1314"/>
        <w:gridCol w:w="1757"/>
        <w:gridCol w:w="1314"/>
        <w:gridCol w:w="1755"/>
        <w:gridCol w:w="1451"/>
        <w:gridCol w:w="1668"/>
        <w:gridCol w:w="1571"/>
        <w:gridCol w:w="1590"/>
      </w:tblGrid>
      <w:tr w:rsidR="00377531" w:rsidRPr="00377531" w14:paraId="13FD2E82" w14:textId="77777777" w:rsidTr="00377531">
        <w:tc>
          <w:tcPr>
            <w:tcW w:w="548" w:type="pct"/>
          </w:tcPr>
          <w:p w14:paraId="13FD2E75" w14:textId="77777777" w:rsidR="00377531" w:rsidRPr="00377531" w:rsidRDefault="00377531" w:rsidP="004F2670">
            <w:pPr>
              <w:jc w:val="center"/>
              <w:rPr>
                <w:b/>
                <w:noProof/>
                <w:sz w:val="20"/>
                <w:szCs w:val="20"/>
              </w:rPr>
            </w:pPr>
            <w:r>
              <w:rPr>
                <w:b/>
                <w:noProof/>
                <w:sz w:val="20"/>
              </w:rPr>
              <w:t>PRODUIT</w:t>
            </w:r>
          </w:p>
        </w:tc>
        <w:tc>
          <w:tcPr>
            <w:tcW w:w="471" w:type="pct"/>
          </w:tcPr>
          <w:p w14:paraId="13FD2E76" w14:textId="77777777" w:rsidR="00377531" w:rsidRPr="00377531" w:rsidRDefault="00377531" w:rsidP="004F2670">
            <w:pPr>
              <w:jc w:val="center"/>
              <w:rPr>
                <w:b/>
                <w:noProof/>
                <w:sz w:val="20"/>
                <w:szCs w:val="20"/>
              </w:rPr>
            </w:pPr>
            <w:r>
              <w:rPr>
                <w:b/>
                <w:noProof/>
                <w:sz w:val="20"/>
              </w:rPr>
              <w:t>PAYS</w:t>
            </w:r>
          </w:p>
        </w:tc>
        <w:tc>
          <w:tcPr>
            <w:tcW w:w="630" w:type="pct"/>
          </w:tcPr>
          <w:p w14:paraId="13FD2E77" w14:textId="77777777" w:rsidR="00377531" w:rsidRPr="00377531" w:rsidRDefault="00377531" w:rsidP="004F2670">
            <w:pPr>
              <w:jc w:val="center"/>
              <w:rPr>
                <w:b/>
                <w:noProof/>
                <w:sz w:val="20"/>
                <w:szCs w:val="20"/>
              </w:rPr>
            </w:pPr>
            <w:r>
              <w:rPr>
                <w:b/>
                <w:noProof/>
                <w:sz w:val="20"/>
              </w:rPr>
              <w:t>MESURES PROVISOIRES</w:t>
            </w:r>
          </w:p>
        </w:tc>
        <w:tc>
          <w:tcPr>
            <w:tcW w:w="471" w:type="pct"/>
          </w:tcPr>
          <w:p w14:paraId="5B2D5F64" w14:textId="77777777" w:rsidR="00FC735C" w:rsidRDefault="00377531" w:rsidP="004F2670">
            <w:pPr>
              <w:jc w:val="center"/>
              <w:rPr>
                <w:b/>
                <w:noProof/>
                <w:sz w:val="20"/>
              </w:rPr>
            </w:pPr>
            <w:r>
              <w:rPr>
                <w:b/>
                <w:noProof/>
                <w:sz w:val="20"/>
              </w:rPr>
              <w:t>MESURES</w:t>
            </w:r>
          </w:p>
          <w:p w14:paraId="13FD2E79" w14:textId="03331EB3" w:rsidR="00377531" w:rsidRPr="00377531" w:rsidRDefault="00377531" w:rsidP="004F2670">
            <w:pPr>
              <w:jc w:val="center"/>
              <w:rPr>
                <w:b/>
                <w:noProof/>
                <w:sz w:val="20"/>
                <w:szCs w:val="20"/>
              </w:rPr>
            </w:pPr>
            <w:r>
              <w:rPr>
                <w:b/>
                <w:noProof/>
                <w:sz w:val="20"/>
              </w:rPr>
              <w:t>DÉFINITIVES</w:t>
            </w:r>
          </w:p>
        </w:tc>
        <w:tc>
          <w:tcPr>
            <w:tcW w:w="629" w:type="pct"/>
          </w:tcPr>
          <w:p w14:paraId="13FD2E7A" w14:textId="77777777" w:rsidR="00377531" w:rsidRPr="00377531" w:rsidRDefault="00377531" w:rsidP="004F2670">
            <w:pPr>
              <w:jc w:val="center"/>
              <w:rPr>
                <w:b/>
                <w:noProof/>
                <w:sz w:val="20"/>
                <w:szCs w:val="20"/>
              </w:rPr>
            </w:pPr>
            <w:r>
              <w:rPr>
                <w:b/>
                <w:noProof/>
                <w:sz w:val="20"/>
              </w:rPr>
              <w:t>DISTORSIONS SUR LES MATIÈRES PREMIÈRES ALLÉGUÉES</w:t>
            </w:r>
          </w:p>
        </w:tc>
        <w:tc>
          <w:tcPr>
            <w:tcW w:w="520" w:type="pct"/>
          </w:tcPr>
          <w:p w14:paraId="13FD2E7B" w14:textId="77777777" w:rsidR="00377531" w:rsidRPr="00377531" w:rsidRDefault="00377531" w:rsidP="004F2670">
            <w:pPr>
              <w:jc w:val="center"/>
              <w:rPr>
                <w:b/>
                <w:noProof/>
                <w:sz w:val="20"/>
                <w:szCs w:val="20"/>
              </w:rPr>
            </w:pPr>
            <w:r>
              <w:rPr>
                <w:b/>
                <w:noProof/>
                <w:sz w:val="20"/>
              </w:rPr>
              <w:t>DISTORSIONS SUR LES MATIÈRES PREMIÈRES</w:t>
            </w:r>
          </w:p>
          <w:p w14:paraId="13FD2E7C" w14:textId="77777777" w:rsidR="00377531" w:rsidRPr="00377531" w:rsidRDefault="00377531" w:rsidP="004F2670">
            <w:pPr>
              <w:jc w:val="center"/>
              <w:rPr>
                <w:b/>
                <w:noProof/>
                <w:sz w:val="20"/>
                <w:szCs w:val="20"/>
              </w:rPr>
            </w:pPr>
            <w:r>
              <w:rPr>
                <w:b/>
                <w:noProof/>
                <w:sz w:val="20"/>
              </w:rPr>
              <w:t>EXAMINÉES SI LA MARGE DE DUMPING EST SUPÉRIEURE AU PRÉJUDICE</w:t>
            </w:r>
          </w:p>
        </w:tc>
        <w:tc>
          <w:tcPr>
            <w:tcW w:w="598" w:type="pct"/>
          </w:tcPr>
          <w:p w14:paraId="13FD2E7D" w14:textId="77777777" w:rsidR="00377531" w:rsidRPr="00377531" w:rsidRDefault="00377531" w:rsidP="004F2670">
            <w:pPr>
              <w:jc w:val="center"/>
              <w:rPr>
                <w:b/>
                <w:noProof/>
                <w:sz w:val="20"/>
                <w:szCs w:val="20"/>
              </w:rPr>
            </w:pPr>
            <w:r>
              <w:rPr>
                <w:b/>
                <w:noProof/>
                <w:sz w:val="20"/>
              </w:rPr>
              <w:t xml:space="preserve">DISTORSIONS SUR LES MATIÈRES PREMIÈRES / INTÉRÊT DE L’UNION </w:t>
            </w:r>
          </w:p>
        </w:tc>
        <w:tc>
          <w:tcPr>
            <w:tcW w:w="563" w:type="pct"/>
          </w:tcPr>
          <w:p w14:paraId="13FD2E7E" w14:textId="77777777" w:rsidR="00377531" w:rsidRPr="00377531" w:rsidRDefault="00377531" w:rsidP="004F2670">
            <w:pPr>
              <w:jc w:val="center"/>
              <w:rPr>
                <w:b/>
                <w:noProof/>
                <w:sz w:val="20"/>
                <w:szCs w:val="20"/>
              </w:rPr>
            </w:pPr>
            <w:r>
              <w:rPr>
                <w:b/>
                <w:noProof/>
                <w:sz w:val="20"/>
              </w:rPr>
              <w:t>CONDITIONS RESPECTÉES</w:t>
            </w:r>
          </w:p>
        </w:tc>
        <w:tc>
          <w:tcPr>
            <w:tcW w:w="570" w:type="pct"/>
          </w:tcPr>
          <w:p w14:paraId="0CB6AF4D" w14:textId="77777777" w:rsidR="00FC735C" w:rsidRDefault="00377531" w:rsidP="004F2670">
            <w:pPr>
              <w:jc w:val="center"/>
              <w:rPr>
                <w:b/>
                <w:noProof/>
                <w:sz w:val="20"/>
              </w:rPr>
            </w:pPr>
            <w:r>
              <w:rPr>
                <w:b/>
                <w:noProof/>
                <w:sz w:val="20"/>
              </w:rPr>
              <w:t>ARTICLE 9, PARAGRAPHE 4 - IMPORTATIONS ENREGISTRÉES</w:t>
            </w:r>
          </w:p>
          <w:p w14:paraId="13FD2E80" w14:textId="76B1592B" w:rsidR="00377531" w:rsidRPr="00377531" w:rsidRDefault="00377531" w:rsidP="004F2670">
            <w:pPr>
              <w:jc w:val="center"/>
              <w:rPr>
                <w:b/>
                <w:noProof/>
                <w:sz w:val="20"/>
                <w:szCs w:val="20"/>
              </w:rPr>
            </w:pPr>
            <w:r>
              <w:rPr>
                <w:b/>
                <w:noProof/>
                <w:sz w:val="20"/>
              </w:rPr>
              <w:t>OUI/NON</w:t>
            </w:r>
          </w:p>
          <w:p w14:paraId="13FD2E81" w14:textId="77777777" w:rsidR="00377531" w:rsidRPr="00377531" w:rsidRDefault="00377531" w:rsidP="004F2670">
            <w:pPr>
              <w:jc w:val="center"/>
              <w:rPr>
                <w:b/>
                <w:noProof/>
                <w:sz w:val="20"/>
                <w:szCs w:val="20"/>
              </w:rPr>
            </w:pPr>
          </w:p>
        </w:tc>
      </w:tr>
      <w:tr w:rsidR="00377531" w:rsidRPr="00377531" w14:paraId="13FD2E98" w14:textId="77777777" w:rsidTr="00377531">
        <w:tc>
          <w:tcPr>
            <w:tcW w:w="548" w:type="pct"/>
          </w:tcPr>
          <w:p w14:paraId="13FD2E83" w14:textId="77777777" w:rsidR="00377531" w:rsidRPr="00377531" w:rsidRDefault="00377531" w:rsidP="004F2670">
            <w:pPr>
              <w:jc w:val="center"/>
              <w:rPr>
                <w:noProof/>
                <w:sz w:val="20"/>
                <w:szCs w:val="20"/>
                <w:u w:val="single"/>
              </w:rPr>
            </w:pPr>
            <w:r>
              <w:rPr>
                <w:noProof/>
                <w:sz w:val="20"/>
              </w:rPr>
              <w:t>Mélanges d’urée et de nitrate d’ammonium</w:t>
            </w:r>
          </w:p>
        </w:tc>
        <w:tc>
          <w:tcPr>
            <w:tcW w:w="471" w:type="pct"/>
          </w:tcPr>
          <w:p w14:paraId="76326DBE" w14:textId="77777777" w:rsidR="00FC735C" w:rsidRDefault="00377531" w:rsidP="004F2670">
            <w:pPr>
              <w:jc w:val="center"/>
              <w:rPr>
                <w:noProof/>
                <w:sz w:val="20"/>
              </w:rPr>
            </w:pPr>
            <w:r>
              <w:rPr>
                <w:noProof/>
                <w:sz w:val="20"/>
              </w:rPr>
              <w:t>Russie, Trinité-et-Tobago</w:t>
            </w:r>
          </w:p>
          <w:p w14:paraId="13FD2E85" w14:textId="576FC702" w:rsidR="00377531" w:rsidRPr="00377531" w:rsidRDefault="00377531" w:rsidP="004F2670">
            <w:pPr>
              <w:jc w:val="center"/>
              <w:rPr>
                <w:noProof/>
                <w:sz w:val="20"/>
                <w:szCs w:val="20"/>
                <w:u w:val="single"/>
              </w:rPr>
            </w:pPr>
            <w:r>
              <w:rPr>
                <w:noProof/>
                <w:sz w:val="20"/>
              </w:rPr>
              <w:t>États-Unis</w:t>
            </w:r>
          </w:p>
        </w:tc>
        <w:tc>
          <w:tcPr>
            <w:tcW w:w="630" w:type="pct"/>
          </w:tcPr>
          <w:p w14:paraId="13FD2E86" w14:textId="77777777" w:rsidR="00377531" w:rsidRPr="00377531" w:rsidRDefault="001D19D8" w:rsidP="004F2670">
            <w:pPr>
              <w:jc w:val="center"/>
              <w:rPr>
                <w:rStyle w:val="Hyperlink"/>
                <w:noProof/>
                <w:sz w:val="20"/>
                <w:szCs w:val="20"/>
              </w:rPr>
            </w:pPr>
            <w:hyperlink r:id="rId25" w:history="1">
              <w:r w:rsidR="004175A3">
                <w:rPr>
                  <w:rStyle w:val="Hyperlink"/>
                  <w:noProof/>
                  <w:sz w:val="20"/>
                </w:rPr>
                <w:t xml:space="preserve">Règlement provisoire </w:t>
              </w:r>
            </w:hyperlink>
          </w:p>
          <w:p w14:paraId="13FD2E87" w14:textId="77777777" w:rsidR="00377531" w:rsidRPr="00377531" w:rsidRDefault="00377531" w:rsidP="004F2670">
            <w:pPr>
              <w:jc w:val="center"/>
              <w:rPr>
                <w:noProof/>
                <w:sz w:val="20"/>
                <w:szCs w:val="20"/>
                <w:u w:val="single"/>
                <w:lang w:val="fr-BE"/>
              </w:rPr>
            </w:pPr>
          </w:p>
        </w:tc>
        <w:tc>
          <w:tcPr>
            <w:tcW w:w="471" w:type="pct"/>
          </w:tcPr>
          <w:p w14:paraId="13FD2E88" w14:textId="77777777" w:rsidR="00377531" w:rsidRPr="00377531" w:rsidRDefault="001D19D8" w:rsidP="004F2670">
            <w:pPr>
              <w:jc w:val="center"/>
              <w:rPr>
                <w:rStyle w:val="Hyperlink"/>
                <w:noProof/>
                <w:sz w:val="20"/>
                <w:szCs w:val="20"/>
              </w:rPr>
            </w:pPr>
            <w:hyperlink r:id="rId26" w:history="1">
              <w:r w:rsidR="004175A3">
                <w:rPr>
                  <w:rStyle w:val="Hyperlink"/>
                  <w:noProof/>
                  <w:sz w:val="20"/>
                </w:rPr>
                <w:t xml:space="preserve">Règlement définitif </w:t>
              </w:r>
            </w:hyperlink>
          </w:p>
          <w:p w14:paraId="13FD2E89" w14:textId="77777777" w:rsidR="00377531" w:rsidRPr="00377531" w:rsidRDefault="00377531" w:rsidP="004F2670">
            <w:pPr>
              <w:jc w:val="center"/>
              <w:rPr>
                <w:noProof/>
                <w:sz w:val="20"/>
                <w:szCs w:val="20"/>
              </w:rPr>
            </w:pPr>
          </w:p>
        </w:tc>
        <w:tc>
          <w:tcPr>
            <w:tcW w:w="629" w:type="pct"/>
          </w:tcPr>
          <w:p w14:paraId="13FD2E8A" w14:textId="77777777" w:rsidR="00377531" w:rsidRPr="00377531" w:rsidRDefault="00377531" w:rsidP="004F2670">
            <w:pPr>
              <w:jc w:val="center"/>
              <w:rPr>
                <w:noProof/>
                <w:sz w:val="20"/>
                <w:szCs w:val="20"/>
              </w:rPr>
            </w:pPr>
            <w:r>
              <w:rPr>
                <w:noProof/>
                <w:sz w:val="20"/>
              </w:rPr>
              <w:t>Russie: OUI</w:t>
            </w:r>
          </w:p>
          <w:p w14:paraId="13FD2E8B" w14:textId="77777777" w:rsidR="00377531" w:rsidRPr="00377531" w:rsidRDefault="00377531" w:rsidP="004F2670">
            <w:pPr>
              <w:jc w:val="center"/>
              <w:rPr>
                <w:noProof/>
                <w:sz w:val="20"/>
                <w:szCs w:val="20"/>
                <w:u w:val="single"/>
              </w:rPr>
            </w:pPr>
          </w:p>
          <w:p w14:paraId="13FD2E8C" w14:textId="77777777" w:rsidR="00377531" w:rsidRPr="00377531" w:rsidRDefault="00377531" w:rsidP="004F2670">
            <w:pPr>
              <w:jc w:val="center"/>
              <w:rPr>
                <w:noProof/>
                <w:sz w:val="20"/>
                <w:szCs w:val="20"/>
              </w:rPr>
            </w:pPr>
            <w:r>
              <w:rPr>
                <w:noProof/>
                <w:sz w:val="20"/>
              </w:rPr>
              <w:t>Trinité-et-Tobago/États-Unis: NON</w:t>
            </w:r>
          </w:p>
        </w:tc>
        <w:tc>
          <w:tcPr>
            <w:tcW w:w="520" w:type="pct"/>
          </w:tcPr>
          <w:p w14:paraId="13FD2E8D" w14:textId="77777777" w:rsidR="00377531" w:rsidRPr="00377531" w:rsidRDefault="00377531" w:rsidP="004F2670">
            <w:pPr>
              <w:jc w:val="center"/>
              <w:rPr>
                <w:noProof/>
                <w:sz w:val="20"/>
                <w:szCs w:val="20"/>
              </w:rPr>
            </w:pPr>
            <w:r>
              <w:rPr>
                <w:noProof/>
                <w:sz w:val="20"/>
              </w:rPr>
              <w:t>OUI</w:t>
            </w:r>
          </w:p>
        </w:tc>
        <w:tc>
          <w:tcPr>
            <w:tcW w:w="598" w:type="pct"/>
          </w:tcPr>
          <w:p w14:paraId="796FAC5F" w14:textId="77777777" w:rsidR="00FC735C" w:rsidRDefault="00377531" w:rsidP="004F2670">
            <w:pPr>
              <w:jc w:val="center"/>
              <w:rPr>
                <w:noProof/>
                <w:sz w:val="20"/>
              </w:rPr>
            </w:pPr>
            <w:r>
              <w:rPr>
                <w:noProof/>
                <w:sz w:val="20"/>
              </w:rPr>
              <w:t>Gaz naturel</w:t>
            </w:r>
          </w:p>
          <w:p w14:paraId="13FD2E8F" w14:textId="07A8FFF2" w:rsidR="00377531" w:rsidRPr="00377531" w:rsidRDefault="00377531" w:rsidP="004F2670">
            <w:pPr>
              <w:jc w:val="center"/>
              <w:rPr>
                <w:noProof/>
                <w:sz w:val="20"/>
                <w:szCs w:val="20"/>
              </w:rPr>
            </w:pPr>
            <w:r>
              <w:rPr>
                <w:noProof/>
                <w:sz w:val="20"/>
              </w:rPr>
              <w:t>&gt;50 % du CDP</w:t>
            </w:r>
          </w:p>
          <w:p w14:paraId="13FD2E90" w14:textId="77777777" w:rsidR="00377531" w:rsidRPr="00377531" w:rsidRDefault="00377531" w:rsidP="004F2670">
            <w:pPr>
              <w:jc w:val="center"/>
              <w:rPr>
                <w:noProof/>
                <w:sz w:val="20"/>
                <w:szCs w:val="20"/>
              </w:rPr>
            </w:pPr>
          </w:p>
          <w:p w14:paraId="13FD2E91" w14:textId="77777777" w:rsidR="00377531" w:rsidRPr="00377531" w:rsidRDefault="00377531" w:rsidP="004F2670">
            <w:pPr>
              <w:jc w:val="center"/>
              <w:rPr>
                <w:noProof/>
                <w:sz w:val="20"/>
                <w:szCs w:val="20"/>
              </w:rPr>
            </w:pPr>
            <w:r>
              <w:rPr>
                <w:noProof/>
                <w:sz w:val="20"/>
              </w:rPr>
              <w:t>Prix significativement inférieur au prix de référence</w:t>
            </w:r>
          </w:p>
          <w:p w14:paraId="13FD2E92" w14:textId="77777777" w:rsidR="00377531" w:rsidRPr="00377531" w:rsidRDefault="00377531" w:rsidP="004F2670">
            <w:pPr>
              <w:jc w:val="center"/>
              <w:rPr>
                <w:noProof/>
                <w:sz w:val="20"/>
                <w:szCs w:val="20"/>
              </w:rPr>
            </w:pPr>
          </w:p>
          <w:p w14:paraId="13FD2E93" w14:textId="77777777" w:rsidR="00377531" w:rsidRPr="00377531" w:rsidRDefault="00377531" w:rsidP="004F2670">
            <w:pPr>
              <w:jc w:val="center"/>
              <w:rPr>
                <w:noProof/>
                <w:sz w:val="20"/>
                <w:szCs w:val="20"/>
              </w:rPr>
            </w:pPr>
            <w:r>
              <w:rPr>
                <w:noProof/>
                <w:sz w:val="20"/>
              </w:rPr>
              <w:t>Intérêt de l’Union - OUI</w:t>
            </w:r>
          </w:p>
          <w:p w14:paraId="13FD2E94" w14:textId="77777777" w:rsidR="00377531" w:rsidRPr="00377531" w:rsidRDefault="00377531" w:rsidP="004F2670">
            <w:pPr>
              <w:jc w:val="center"/>
              <w:rPr>
                <w:noProof/>
                <w:sz w:val="20"/>
                <w:szCs w:val="20"/>
              </w:rPr>
            </w:pPr>
            <w:r>
              <w:rPr>
                <w:noProof/>
                <w:sz w:val="20"/>
              </w:rPr>
              <w:t xml:space="preserve"> </w:t>
            </w:r>
          </w:p>
        </w:tc>
        <w:tc>
          <w:tcPr>
            <w:tcW w:w="563" w:type="pct"/>
          </w:tcPr>
          <w:p w14:paraId="13FD2E95" w14:textId="77777777" w:rsidR="00377531" w:rsidRPr="00377531" w:rsidRDefault="00377531" w:rsidP="004F2670">
            <w:pPr>
              <w:jc w:val="center"/>
              <w:rPr>
                <w:noProof/>
                <w:sz w:val="20"/>
                <w:szCs w:val="20"/>
              </w:rPr>
            </w:pPr>
            <w:r>
              <w:rPr>
                <w:noProof/>
                <w:sz w:val="20"/>
              </w:rPr>
              <w:t xml:space="preserve"> OUI</w:t>
            </w:r>
          </w:p>
          <w:p w14:paraId="13FD2E96" w14:textId="77777777" w:rsidR="00377531" w:rsidRPr="00377531" w:rsidRDefault="00377531" w:rsidP="004F2670">
            <w:pPr>
              <w:jc w:val="center"/>
              <w:rPr>
                <w:noProof/>
                <w:sz w:val="20"/>
                <w:szCs w:val="20"/>
                <w:u w:val="single"/>
              </w:rPr>
            </w:pPr>
          </w:p>
        </w:tc>
        <w:tc>
          <w:tcPr>
            <w:tcW w:w="570" w:type="pct"/>
          </w:tcPr>
          <w:p w14:paraId="13FD2E97" w14:textId="77777777" w:rsidR="00377531" w:rsidRPr="00377531" w:rsidRDefault="00377531" w:rsidP="004F2670">
            <w:pPr>
              <w:jc w:val="center"/>
              <w:rPr>
                <w:noProof/>
                <w:sz w:val="20"/>
                <w:szCs w:val="20"/>
              </w:rPr>
            </w:pPr>
            <w:r>
              <w:rPr>
                <w:noProof/>
                <w:sz w:val="20"/>
              </w:rPr>
              <w:t>OUI</w:t>
            </w:r>
          </w:p>
        </w:tc>
      </w:tr>
      <w:tr w:rsidR="00377531" w:rsidRPr="00377531" w14:paraId="13FD2EA6" w14:textId="77777777" w:rsidTr="00377531">
        <w:tc>
          <w:tcPr>
            <w:tcW w:w="548" w:type="pct"/>
          </w:tcPr>
          <w:p w14:paraId="13FD2E99" w14:textId="77777777" w:rsidR="00377531" w:rsidRPr="00377531" w:rsidRDefault="00377531" w:rsidP="004F2670">
            <w:pPr>
              <w:jc w:val="center"/>
              <w:rPr>
                <w:noProof/>
                <w:sz w:val="20"/>
                <w:szCs w:val="20"/>
              </w:rPr>
            </w:pPr>
            <w:r>
              <w:rPr>
                <w:noProof/>
                <w:sz w:val="20"/>
              </w:rPr>
              <w:t>Roues en acier</w:t>
            </w:r>
          </w:p>
        </w:tc>
        <w:tc>
          <w:tcPr>
            <w:tcW w:w="471" w:type="pct"/>
          </w:tcPr>
          <w:p w14:paraId="13FD2E9A" w14:textId="77777777" w:rsidR="00377531" w:rsidRPr="00377531" w:rsidRDefault="00377531" w:rsidP="004F2670">
            <w:pPr>
              <w:jc w:val="center"/>
              <w:rPr>
                <w:noProof/>
                <w:sz w:val="20"/>
                <w:szCs w:val="20"/>
              </w:rPr>
            </w:pPr>
            <w:r>
              <w:rPr>
                <w:noProof/>
                <w:sz w:val="20"/>
              </w:rPr>
              <w:t>Chine</w:t>
            </w:r>
          </w:p>
        </w:tc>
        <w:tc>
          <w:tcPr>
            <w:tcW w:w="630" w:type="pct"/>
          </w:tcPr>
          <w:p w14:paraId="13FD2E9B" w14:textId="77777777" w:rsidR="00377531" w:rsidRPr="00377531" w:rsidRDefault="001D19D8" w:rsidP="004F2670">
            <w:pPr>
              <w:jc w:val="center"/>
              <w:rPr>
                <w:rStyle w:val="Hyperlink"/>
                <w:noProof/>
                <w:sz w:val="20"/>
                <w:szCs w:val="20"/>
              </w:rPr>
            </w:pPr>
            <w:hyperlink r:id="rId27" w:history="1">
              <w:r w:rsidR="004175A3">
                <w:rPr>
                  <w:rStyle w:val="Hyperlink"/>
                  <w:noProof/>
                  <w:sz w:val="20"/>
                </w:rPr>
                <w:t xml:space="preserve">Règlement provisoire </w:t>
              </w:r>
            </w:hyperlink>
          </w:p>
          <w:p w14:paraId="13FD2E9C" w14:textId="77777777" w:rsidR="00377531" w:rsidRPr="00377531" w:rsidRDefault="00377531" w:rsidP="004F2670">
            <w:pPr>
              <w:jc w:val="center"/>
              <w:rPr>
                <w:rStyle w:val="Hyperlink"/>
                <w:noProof/>
                <w:sz w:val="20"/>
                <w:szCs w:val="20"/>
              </w:rPr>
            </w:pPr>
          </w:p>
        </w:tc>
        <w:tc>
          <w:tcPr>
            <w:tcW w:w="471" w:type="pct"/>
          </w:tcPr>
          <w:p w14:paraId="13FD2E9D" w14:textId="77777777" w:rsidR="00377531" w:rsidRPr="00377531" w:rsidRDefault="001D19D8" w:rsidP="004F2670">
            <w:pPr>
              <w:jc w:val="center"/>
              <w:rPr>
                <w:rStyle w:val="Hyperlink"/>
                <w:noProof/>
                <w:sz w:val="20"/>
                <w:szCs w:val="20"/>
              </w:rPr>
            </w:pPr>
            <w:hyperlink r:id="rId28" w:history="1">
              <w:r w:rsidR="004175A3">
                <w:rPr>
                  <w:rStyle w:val="Hyperlink"/>
                  <w:noProof/>
                  <w:sz w:val="20"/>
                </w:rPr>
                <w:t xml:space="preserve">Règlement définitif </w:t>
              </w:r>
            </w:hyperlink>
          </w:p>
          <w:p w14:paraId="13FD2E9E" w14:textId="77777777" w:rsidR="00377531" w:rsidRPr="00377531" w:rsidRDefault="00377531" w:rsidP="004F2670">
            <w:pPr>
              <w:jc w:val="center"/>
              <w:rPr>
                <w:noProof/>
                <w:sz w:val="20"/>
                <w:szCs w:val="20"/>
              </w:rPr>
            </w:pPr>
          </w:p>
        </w:tc>
        <w:tc>
          <w:tcPr>
            <w:tcW w:w="629" w:type="pct"/>
          </w:tcPr>
          <w:p w14:paraId="13FD2E9F" w14:textId="77777777" w:rsidR="00377531" w:rsidRPr="00377531" w:rsidRDefault="00377531" w:rsidP="004F2670">
            <w:pPr>
              <w:jc w:val="center"/>
              <w:rPr>
                <w:noProof/>
                <w:sz w:val="20"/>
                <w:szCs w:val="20"/>
              </w:rPr>
            </w:pPr>
            <w:r>
              <w:rPr>
                <w:noProof/>
                <w:sz w:val="20"/>
              </w:rPr>
              <w:t>NON</w:t>
            </w:r>
          </w:p>
        </w:tc>
        <w:tc>
          <w:tcPr>
            <w:tcW w:w="520" w:type="pct"/>
          </w:tcPr>
          <w:p w14:paraId="13FD2EA0" w14:textId="77777777" w:rsidR="00377531" w:rsidRPr="00377531" w:rsidRDefault="00377531" w:rsidP="004F2670">
            <w:pPr>
              <w:jc w:val="center"/>
              <w:rPr>
                <w:noProof/>
                <w:sz w:val="20"/>
                <w:szCs w:val="20"/>
              </w:rPr>
            </w:pPr>
            <w:r>
              <w:rPr>
                <w:noProof/>
                <w:sz w:val="20"/>
              </w:rPr>
              <w:t xml:space="preserve">— </w:t>
            </w:r>
          </w:p>
        </w:tc>
        <w:tc>
          <w:tcPr>
            <w:tcW w:w="598" w:type="pct"/>
          </w:tcPr>
          <w:p w14:paraId="13FD2EA1" w14:textId="77777777" w:rsidR="00377531" w:rsidRPr="00377531" w:rsidRDefault="00377531" w:rsidP="004F2670">
            <w:pPr>
              <w:jc w:val="center"/>
              <w:rPr>
                <w:noProof/>
                <w:sz w:val="20"/>
                <w:szCs w:val="20"/>
              </w:rPr>
            </w:pPr>
            <w:r>
              <w:rPr>
                <w:noProof/>
                <w:sz w:val="20"/>
              </w:rPr>
              <w:t>—</w:t>
            </w:r>
          </w:p>
        </w:tc>
        <w:tc>
          <w:tcPr>
            <w:tcW w:w="563" w:type="pct"/>
          </w:tcPr>
          <w:p w14:paraId="13FD2EA2" w14:textId="77777777" w:rsidR="00377531" w:rsidRPr="00377531" w:rsidRDefault="00377531" w:rsidP="004F2670">
            <w:pPr>
              <w:jc w:val="center"/>
              <w:rPr>
                <w:noProof/>
                <w:sz w:val="20"/>
                <w:szCs w:val="20"/>
              </w:rPr>
            </w:pPr>
            <w:r>
              <w:rPr>
                <w:noProof/>
                <w:sz w:val="20"/>
              </w:rPr>
              <w:t>—</w:t>
            </w:r>
          </w:p>
        </w:tc>
        <w:tc>
          <w:tcPr>
            <w:tcW w:w="570" w:type="pct"/>
          </w:tcPr>
          <w:p w14:paraId="13FD2EA3" w14:textId="77777777" w:rsidR="00377531" w:rsidRPr="00377531" w:rsidRDefault="00377531" w:rsidP="004F2670">
            <w:pPr>
              <w:jc w:val="center"/>
              <w:rPr>
                <w:noProof/>
                <w:sz w:val="20"/>
                <w:szCs w:val="20"/>
              </w:rPr>
            </w:pPr>
            <w:r>
              <w:rPr>
                <w:noProof/>
                <w:sz w:val="20"/>
              </w:rPr>
              <w:t>NON</w:t>
            </w:r>
          </w:p>
          <w:p w14:paraId="13FD2EA4" w14:textId="77777777" w:rsidR="00377531" w:rsidRPr="00377531" w:rsidRDefault="00377531" w:rsidP="004F2670">
            <w:pPr>
              <w:jc w:val="center"/>
              <w:rPr>
                <w:noProof/>
                <w:sz w:val="20"/>
                <w:szCs w:val="20"/>
              </w:rPr>
            </w:pPr>
          </w:p>
          <w:p w14:paraId="13FD2EA5" w14:textId="77777777" w:rsidR="00377531" w:rsidRPr="00377531" w:rsidRDefault="00377531" w:rsidP="004F2670">
            <w:pPr>
              <w:jc w:val="center"/>
              <w:rPr>
                <w:noProof/>
                <w:sz w:val="20"/>
                <w:szCs w:val="20"/>
              </w:rPr>
            </w:pPr>
            <w:r>
              <w:rPr>
                <w:noProof/>
                <w:sz w:val="20"/>
              </w:rPr>
              <w:t>Pas d’augmentation des importations</w:t>
            </w:r>
          </w:p>
        </w:tc>
      </w:tr>
      <w:tr w:rsidR="00377531" w:rsidRPr="00377531" w14:paraId="13FD2EB2" w14:textId="77777777" w:rsidTr="00377531">
        <w:tc>
          <w:tcPr>
            <w:tcW w:w="548" w:type="pct"/>
          </w:tcPr>
          <w:p w14:paraId="13FD2EA7" w14:textId="77777777" w:rsidR="00377531" w:rsidRPr="00377531" w:rsidRDefault="00377531" w:rsidP="004F2670">
            <w:pPr>
              <w:jc w:val="center"/>
              <w:rPr>
                <w:noProof/>
                <w:sz w:val="20"/>
                <w:szCs w:val="20"/>
                <w:u w:val="single"/>
              </w:rPr>
            </w:pPr>
            <w:r>
              <w:rPr>
                <w:noProof/>
                <w:sz w:val="20"/>
              </w:rPr>
              <w:t>Certains tissus en fibre de verre tissée et/ou cousue</w:t>
            </w:r>
          </w:p>
        </w:tc>
        <w:tc>
          <w:tcPr>
            <w:tcW w:w="471" w:type="pct"/>
          </w:tcPr>
          <w:p w14:paraId="13FD2EA8" w14:textId="77777777" w:rsidR="00377531" w:rsidRPr="00377531" w:rsidRDefault="00377531" w:rsidP="004F2670">
            <w:pPr>
              <w:jc w:val="center"/>
              <w:rPr>
                <w:noProof/>
                <w:sz w:val="20"/>
                <w:szCs w:val="20"/>
              </w:rPr>
            </w:pPr>
            <w:r>
              <w:rPr>
                <w:noProof/>
                <w:sz w:val="20"/>
              </w:rPr>
              <w:t>Égypte</w:t>
            </w:r>
          </w:p>
          <w:p w14:paraId="13FD2EA9" w14:textId="77777777" w:rsidR="00377531" w:rsidRPr="00377531" w:rsidRDefault="00377531" w:rsidP="004F2670">
            <w:pPr>
              <w:jc w:val="center"/>
              <w:rPr>
                <w:noProof/>
                <w:sz w:val="20"/>
                <w:szCs w:val="20"/>
                <w:u w:val="single"/>
              </w:rPr>
            </w:pPr>
            <w:r>
              <w:rPr>
                <w:noProof/>
                <w:sz w:val="20"/>
              </w:rPr>
              <w:t>Chine</w:t>
            </w:r>
          </w:p>
        </w:tc>
        <w:tc>
          <w:tcPr>
            <w:tcW w:w="630" w:type="pct"/>
          </w:tcPr>
          <w:p w14:paraId="13FD2EAA" w14:textId="77777777" w:rsidR="00377531" w:rsidRPr="00377531" w:rsidRDefault="00377531" w:rsidP="004F2670">
            <w:pPr>
              <w:jc w:val="center"/>
              <w:rPr>
                <w:noProof/>
                <w:sz w:val="20"/>
                <w:szCs w:val="20"/>
              </w:rPr>
            </w:pPr>
            <w:r>
              <w:rPr>
                <w:noProof/>
                <w:sz w:val="20"/>
              </w:rPr>
              <w:t>—</w:t>
            </w:r>
          </w:p>
        </w:tc>
        <w:tc>
          <w:tcPr>
            <w:tcW w:w="471" w:type="pct"/>
          </w:tcPr>
          <w:p w14:paraId="13FD2EAB" w14:textId="77777777" w:rsidR="00377531" w:rsidRPr="00377531" w:rsidRDefault="001D19D8" w:rsidP="004F2670">
            <w:pPr>
              <w:jc w:val="center"/>
              <w:rPr>
                <w:rStyle w:val="Hyperlink"/>
                <w:noProof/>
                <w:sz w:val="20"/>
                <w:szCs w:val="20"/>
              </w:rPr>
            </w:pPr>
            <w:hyperlink r:id="rId29" w:history="1">
              <w:r w:rsidR="004175A3">
                <w:rPr>
                  <w:rStyle w:val="Hyperlink"/>
                  <w:noProof/>
                  <w:sz w:val="20"/>
                </w:rPr>
                <w:t xml:space="preserve">Règlement définitif </w:t>
              </w:r>
            </w:hyperlink>
          </w:p>
        </w:tc>
        <w:tc>
          <w:tcPr>
            <w:tcW w:w="629" w:type="pct"/>
          </w:tcPr>
          <w:p w14:paraId="13FD2EAC" w14:textId="77777777" w:rsidR="00377531" w:rsidRPr="00377531" w:rsidRDefault="00377531" w:rsidP="004F2670">
            <w:pPr>
              <w:jc w:val="center"/>
              <w:rPr>
                <w:noProof/>
                <w:sz w:val="20"/>
                <w:szCs w:val="20"/>
              </w:rPr>
            </w:pPr>
            <w:r>
              <w:rPr>
                <w:noProof/>
                <w:sz w:val="20"/>
              </w:rPr>
              <w:t xml:space="preserve">NON </w:t>
            </w:r>
          </w:p>
        </w:tc>
        <w:tc>
          <w:tcPr>
            <w:tcW w:w="520" w:type="pct"/>
          </w:tcPr>
          <w:p w14:paraId="13FD2EAD" w14:textId="77777777" w:rsidR="00377531" w:rsidRPr="00377531" w:rsidRDefault="00377531" w:rsidP="004F2670">
            <w:pPr>
              <w:jc w:val="center"/>
              <w:rPr>
                <w:noProof/>
                <w:sz w:val="20"/>
                <w:szCs w:val="20"/>
              </w:rPr>
            </w:pPr>
            <w:r>
              <w:rPr>
                <w:noProof/>
                <w:sz w:val="20"/>
              </w:rPr>
              <w:t>—</w:t>
            </w:r>
          </w:p>
        </w:tc>
        <w:tc>
          <w:tcPr>
            <w:tcW w:w="598" w:type="pct"/>
          </w:tcPr>
          <w:p w14:paraId="13FD2EAE" w14:textId="77777777" w:rsidR="00377531" w:rsidRPr="00377531" w:rsidRDefault="00377531" w:rsidP="004F2670">
            <w:pPr>
              <w:pStyle w:val="ListParagraph"/>
              <w:rPr>
                <w:rFonts w:ascii="Times New Roman" w:hAnsi="Times New Roman" w:cs="Times New Roman"/>
                <w:noProof/>
                <w:sz w:val="20"/>
                <w:szCs w:val="20"/>
              </w:rPr>
            </w:pPr>
            <w:r>
              <w:rPr>
                <w:rFonts w:ascii="Times New Roman" w:hAnsi="Times New Roman"/>
                <w:noProof/>
                <w:sz w:val="20"/>
              </w:rPr>
              <w:t>—</w:t>
            </w:r>
          </w:p>
        </w:tc>
        <w:tc>
          <w:tcPr>
            <w:tcW w:w="563" w:type="pct"/>
          </w:tcPr>
          <w:p w14:paraId="13FD2EAF" w14:textId="77777777" w:rsidR="00377531" w:rsidRPr="00377531" w:rsidRDefault="00377531" w:rsidP="004F2670">
            <w:pPr>
              <w:jc w:val="center"/>
              <w:rPr>
                <w:noProof/>
                <w:sz w:val="20"/>
                <w:szCs w:val="20"/>
              </w:rPr>
            </w:pPr>
            <w:r>
              <w:rPr>
                <w:noProof/>
                <w:sz w:val="20"/>
              </w:rPr>
              <w:t>—</w:t>
            </w:r>
          </w:p>
          <w:p w14:paraId="13FD2EB0" w14:textId="77777777" w:rsidR="00377531" w:rsidRPr="00377531" w:rsidRDefault="00377531" w:rsidP="004F2670">
            <w:pPr>
              <w:jc w:val="center"/>
              <w:rPr>
                <w:noProof/>
                <w:sz w:val="20"/>
                <w:szCs w:val="20"/>
              </w:rPr>
            </w:pPr>
          </w:p>
        </w:tc>
        <w:tc>
          <w:tcPr>
            <w:tcW w:w="570" w:type="pct"/>
          </w:tcPr>
          <w:p w14:paraId="13FD2EB1" w14:textId="77777777" w:rsidR="00377531" w:rsidRPr="00377531" w:rsidRDefault="00377531" w:rsidP="004F2670">
            <w:pPr>
              <w:jc w:val="center"/>
              <w:rPr>
                <w:noProof/>
                <w:sz w:val="20"/>
                <w:szCs w:val="20"/>
              </w:rPr>
            </w:pPr>
            <w:r>
              <w:rPr>
                <w:noProof/>
                <w:sz w:val="20"/>
              </w:rPr>
              <w:t>—</w:t>
            </w:r>
          </w:p>
        </w:tc>
      </w:tr>
      <w:tr w:rsidR="00377531" w:rsidRPr="00377531" w14:paraId="13FD2EBD" w14:textId="77777777" w:rsidTr="00377531">
        <w:tc>
          <w:tcPr>
            <w:tcW w:w="548" w:type="pct"/>
          </w:tcPr>
          <w:p w14:paraId="13FD2EB3" w14:textId="77777777" w:rsidR="00377531" w:rsidRPr="00377531" w:rsidRDefault="00377531" w:rsidP="004F2670">
            <w:pPr>
              <w:jc w:val="center"/>
              <w:rPr>
                <w:noProof/>
                <w:sz w:val="20"/>
                <w:szCs w:val="20"/>
              </w:rPr>
            </w:pPr>
            <w:r>
              <w:rPr>
                <w:noProof/>
                <w:sz w:val="20"/>
              </w:rPr>
              <w:t>Certains alcools polyvinyliques</w:t>
            </w:r>
          </w:p>
        </w:tc>
        <w:tc>
          <w:tcPr>
            <w:tcW w:w="471" w:type="pct"/>
          </w:tcPr>
          <w:p w14:paraId="13FD2EB4" w14:textId="77777777" w:rsidR="00377531" w:rsidRPr="00377531" w:rsidRDefault="00377531" w:rsidP="004F2670">
            <w:pPr>
              <w:jc w:val="center"/>
              <w:rPr>
                <w:noProof/>
                <w:sz w:val="20"/>
                <w:szCs w:val="20"/>
              </w:rPr>
            </w:pPr>
            <w:r>
              <w:rPr>
                <w:noProof/>
                <w:sz w:val="20"/>
              </w:rPr>
              <w:t>Chine</w:t>
            </w:r>
          </w:p>
        </w:tc>
        <w:tc>
          <w:tcPr>
            <w:tcW w:w="630" w:type="pct"/>
          </w:tcPr>
          <w:p w14:paraId="13FD2EB5" w14:textId="77777777" w:rsidR="00377531" w:rsidRPr="00377531" w:rsidRDefault="00377531" w:rsidP="004F2670">
            <w:pPr>
              <w:jc w:val="center"/>
              <w:rPr>
                <w:noProof/>
                <w:sz w:val="20"/>
                <w:szCs w:val="20"/>
              </w:rPr>
            </w:pPr>
            <w:r>
              <w:rPr>
                <w:noProof/>
                <w:sz w:val="20"/>
              </w:rPr>
              <w:t>—</w:t>
            </w:r>
          </w:p>
        </w:tc>
        <w:tc>
          <w:tcPr>
            <w:tcW w:w="471" w:type="pct"/>
          </w:tcPr>
          <w:p w14:paraId="13FD2EB6" w14:textId="77777777" w:rsidR="00377531" w:rsidRPr="00377531" w:rsidRDefault="00377531" w:rsidP="004F2670">
            <w:pPr>
              <w:jc w:val="center"/>
              <w:rPr>
                <w:noProof/>
                <w:sz w:val="20"/>
                <w:szCs w:val="20"/>
              </w:rPr>
            </w:pPr>
            <w:r>
              <w:rPr>
                <w:rStyle w:val="Hyperlink"/>
                <w:noProof/>
                <w:sz w:val="20"/>
              </w:rPr>
              <w:t>Règlement définitif</w:t>
            </w:r>
            <w:r>
              <w:rPr>
                <w:noProof/>
                <w:sz w:val="20"/>
              </w:rPr>
              <w:t xml:space="preserve"> </w:t>
            </w:r>
          </w:p>
        </w:tc>
        <w:tc>
          <w:tcPr>
            <w:tcW w:w="629" w:type="pct"/>
          </w:tcPr>
          <w:p w14:paraId="13FD2EB7" w14:textId="77777777" w:rsidR="00377531" w:rsidRPr="00377531" w:rsidRDefault="00377531" w:rsidP="004F2670">
            <w:pPr>
              <w:jc w:val="center"/>
              <w:rPr>
                <w:noProof/>
                <w:sz w:val="20"/>
                <w:szCs w:val="20"/>
              </w:rPr>
            </w:pPr>
            <w:r>
              <w:rPr>
                <w:noProof/>
                <w:sz w:val="20"/>
              </w:rPr>
              <w:t>NON</w:t>
            </w:r>
          </w:p>
        </w:tc>
        <w:tc>
          <w:tcPr>
            <w:tcW w:w="520" w:type="pct"/>
          </w:tcPr>
          <w:p w14:paraId="13FD2EB8" w14:textId="77777777" w:rsidR="00377531" w:rsidRPr="00377531" w:rsidRDefault="00377531" w:rsidP="004F2670">
            <w:pPr>
              <w:jc w:val="center"/>
              <w:rPr>
                <w:noProof/>
                <w:sz w:val="20"/>
                <w:szCs w:val="20"/>
              </w:rPr>
            </w:pPr>
            <w:r>
              <w:rPr>
                <w:noProof/>
                <w:sz w:val="20"/>
              </w:rPr>
              <w:t>—</w:t>
            </w:r>
          </w:p>
        </w:tc>
        <w:tc>
          <w:tcPr>
            <w:tcW w:w="598" w:type="pct"/>
          </w:tcPr>
          <w:p w14:paraId="13FD2EB9" w14:textId="77777777" w:rsidR="00377531" w:rsidRPr="00377531" w:rsidRDefault="00377531" w:rsidP="004F2670">
            <w:pPr>
              <w:jc w:val="center"/>
              <w:rPr>
                <w:noProof/>
                <w:sz w:val="20"/>
                <w:szCs w:val="20"/>
              </w:rPr>
            </w:pPr>
            <w:r>
              <w:rPr>
                <w:noProof/>
                <w:sz w:val="20"/>
              </w:rPr>
              <w:t>—</w:t>
            </w:r>
          </w:p>
        </w:tc>
        <w:tc>
          <w:tcPr>
            <w:tcW w:w="563" w:type="pct"/>
          </w:tcPr>
          <w:p w14:paraId="13FD2EBA" w14:textId="77777777" w:rsidR="00377531" w:rsidRPr="00377531" w:rsidRDefault="00377531" w:rsidP="004F2670">
            <w:pPr>
              <w:jc w:val="center"/>
              <w:rPr>
                <w:noProof/>
                <w:sz w:val="20"/>
                <w:szCs w:val="20"/>
              </w:rPr>
            </w:pPr>
            <w:r>
              <w:rPr>
                <w:noProof/>
                <w:sz w:val="20"/>
              </w:rPr>
              <w:t>—</w:t>
            </w:r>
          </w:p>
        </w:tc>
        <w:tc>
          <w:tcPr>
            <w:tcW w:w="570" w:type="pct"/>
          </w:tcPr>
          <w:p w14:paraId="13FD2EBB" w14:textId="77777777" w:rsidR="00377531" w:rsidRPr="00377531" w:rsidRDefault="00377531" w:rsidP="004F2670">
            <w:pPr>
              <w:jc w:val="center"/>
              <w:rPr>
                <w:noProof/>
                <w:sz w:val="20"/>
                <w:szCs w:val="20"/>
              </w:rPr>
            </w:pPr>
            <w:r>
              <w:rPr>
                <w:noProof/>
                <w:sz w:val="20"/>
              </w:rPr>
              <w:t>—</w:t>
            </w:r>
          </w:p>
          <w:p w14:paraId="13FD2EBC" w14:textId="77777777" w:rsidR="00377531" w:rsidRPr="00377531" w:rsidRDefault="00377531" w:rsidP="004F2670">
            <w:pPr>
              <w:jc w:val="center"/>
              <w:rPr>
                <w:noProof/>
                <w:sz w:val="20"/>
                <w:szCs w:val="20"/>
              </w:rPr>
            </w:pPr>
          </w:p>
        </w:tc>
      </w:tr>
      <w:tr w:rsidR="00377531" w:rsidRPr="00377531" w14:paraId="13FD2ED4" w14:textId="77777777" w:rsidTr="00377531">
        <w:tc>
          <w:tcPr>
            <w:tcW w:w="548" w:type="pct"/>
          </w:tcPr>
          <w:p w14:paraId="13FD2EBE" w14:textId="77777777" w:rsidR="00377531" w:rsidRPr="00377531" w:rsidRDefault="00377531" w:rsidP="004F2670">
            <w:pPr>
              <w:jc w:val="center"/>
              <w:rPr>
                <w:noProof/>
                <w:sz w:val="20"/>
                <w:szCs w:val="20"/>
              </w:rPr>
            </w:pPr>
            <w:r>
              <w:rPr>
                <w:noProof/>
                <w:sz w:val="20"/>
              </w:rPr>
              <w:t>Certains produits laminés à chaud plats en aciers inoxydables, enroulés ou en feuilles</w:t>
            </w:r>
          </w:p>
        </w:tc>
        <w:tc>
          <w:tcPr>
            <w:tcW w:w="471" w:type="pct"/>
          </w:tcPr>
          <w:p w14:paraId="1A0FDF4D" w14:textId="77777777" w:rsidR="00FC735C" w:rsidRDefault="00377531" w:rsidP="004F2670">
            <w:pPr>
              <w:jc w:val="center"/>
              <w:rPr>
                <w:noProof/>
                <w:sz w:val="20"/>
              </w:rPr>
            </w:pPr>
            <w:r>
              <w:rPr>
                <w:noProof/>
                <w:sz w:val="20"/>
              </w:rPr>
              <w:t>Indonésie</w:t>
            </w:r>
          </w:p>
          <w:p w14:paraId="13FD2EC0" w14:textId="4C34A0F6" w:rsidR="00377531" w:rsidRPr="00377531" w:rsidRDefault="00377531" w:rsidP="004F2670">
            <w:pPr>
              <w:jc w:val="center"/>
              <w:rPr>
                <w:noProof/>
                <w:sz w:val="20"/>
                <w:szCs w:val="20"/>
              </w:rPr>
            </w:pPr>
            <w:r>
              <w:rPr>
                <w:noProof/>
                <w:sz w:val="20"/>
              </w:rPr>
              <w:t>Chine</w:t>
            </w:r>
          </w:p>
          <w:p w14:paraId="13FD2EC1" w14:textId="77777777" w:rsidR="00377531" w:rsidRPr="00377531" w:rsidRDefault="00377531" w:rsidP="004F2670">
            <w:pPr>
              <w:jc w:val="center"/>
              <w:rPr>
                <w:noProof/>
                <w:sz w:val="20"/>
                <w:szCs w:val="20"/>
              </w:rPr>
            </w:pPr>
            <w:r>
              <w:rPr>
                <w:noProof/>
                <w:sz w:val="20"/>
              </w:rPr>
              <w:t xml:space="preserve"> Taïwan</w:t>
            </w:r>
          </w:p>
        </w:tc>
        <w:tc>
          <w:tcPr>
            <w:tcW w:w="630" w:type="pct"/>
          </w:tcPr>
          <w:p w14:paraId="13FD2EC2" w14:textId="77777777" w:rsidR="00377531" w:rsidRPr="00377531" w:rsidRDefault="001D19D8" w:rsidP="004F2670">
            <w:pPr>
              <w:jc w:val="center"/>
              <w:rPr>
                <w:noProof/>
                <w:sz w:val="20"/>
                <w:szCs w:val="20"/>
              </w:rPr>
            </w:pPr>
            <w:hyperlink r:id="rId30" w:history="1">
              <w:r w:rsidR="004175A3">
                <w:rPr>
                  <w:rStyle w:val="Hyperlink"/>
                  <w:noProof/>
                  <w:sz w:val="20"/>
                </w:rPr>
                <w:t>Règlement provisoire</w:t>
              </w:r>
            </w:hyperlink>
          </w:p>
          <w:p w14:paraId="13FD2EC3" w14:textId="77777777" w:rsidR="00377531" w:rsidRPr="00377531" w:rsidRDefault="00377531" w:rsidP="004F2670">
            <w:pPr>
              <w:jc w:val="center"/>
              <w:rPr>
                <w:noProof/>
                <w:sz w:val="20"/>
                <w:szCs w:val="20"/>
              </w:rPr>
            </w:pPr>
          </w:p>
        </w:tc>
        <w:tc>
          <w:tcPr>
            <w:tcW w:w="471" w:type="pct"/>
          </w:tcPr>
          <w:p w14:paraId="13FD2EC4" w14:textId="77777777" w:rsidR="00377531" w:rsidRPr="00377531" w:rsidRDefault="001D19D8" w:rsidP="004F2670">
            <w:pPr>
              <w:jc w:val="center"/>
              <w:rPr>
                <w:noProof/>
                <w:sz w:val="20"/>
                <w:szCs w:val="20"/>
              </w:rPr>
            </w:pPr>
            <w:hyperlink r:id="rId31" w:history="1">
              <w:r w:rsidR="004175A3">
                <w:rPr>
                  <w:rStyle w:val="Hyperlink"/>
                  <w:noProof/>
                  <w:sz w:val="20"/>
                </w:rPr>
                <w:t xml:space="preserve">Règlement définitif </w:t>
              </w:r>
            </w:hyperlink>
          </w:p>
          <w:p w14:paraId="13FD2EC5" w14:textId="77777777" w:rsidR="00377531" w:rsidRPr="00377531" w:rsidRDefault="00377531" w:rsidP="004F2670">
            <w:pPr>
              <w:jc w:val="center"/>
              <w:rPr>
                <w:noProof/>
                <w:sz w:val="20"/>
                <w:szCs w:val="20"/>
              </w:rPr>
            </w:pPr>
          </w:p>
        </w:tc>
        <w:tc>
          <w:tcPr>
            <w:tcW w:w="629" w:type="pct"/>
          </w:tcPr>
          <w:p w14:paraId="13FD2EC6" w14:textId="77777777" w:rsidR="00377531" w:rsidRPr="00377531" w:rsidRDefault="00377531" w:rsidP="004F2670">
            <w:pPr>
              <w:jc w:val="center"/>
              <w:rPr>
                <w:noProof/>
                <w:sz w:val="20"/>
                <w:szCs w:val="20"/>
              </w:rPr>
            </w:pPr>
            <w:r>
              <w:rPr>
                <w:noProof/>
                <w:sz w:val="20"/>
              </w:rPr>
              <w:t>Indonésie et Chine: OUI</w:t>
            </w:r>
          </w:p>
          <w:p w14:paraId="13FD2EC7" w14:textId="77777777" w:rsidR="00377531" w:rsidRPr="00377531" w:rsidRDefault="00377531" w:rsidP="004F2670">
            <w:pPr>
              <w:jc w:val="center"/>
              <w:rPr>
                <w:noProof/>
                <w:sz w:val="20"/>
                <w:szCs w:val="20"/>
              </w:rPr>
            </w:pPr>
          </w:p>
          <w:p w14:paraId="13FD2EC8" w14:textId="77777777" w:rsidR="00377531" w:rsidRPr="00377531" w:rsidRDefault="00377531" w:rsidP="004F2670">
            <w:pPr>
              <w:jc w:val="center"/>
              <w:rPr>
                <w:noProof/>
                <w:sz w:val="20"/>
                <w:szCs w:val="20"/>
              </w:rPr>
            </w:pPr>
            <w:r>
              <w:rPr>
                <w:noProof/>
                <w:sz w:val="20"/>
              </w:rPr>
              <w:t>Taïwan: NON</w:t>
            </w:r>
          </w:p>
        </w:tc>
        <w:tc>
          <w:tcPr>
            <w:tcW w:w="520" w:type="pct"/>
          </w:tcPr>
          <w:p w14:paraId="13FD2EC9" w14:textId="77777777" w:rsidR="00377531" w:rsidRPr="00377531" w:rsidRDefault="00377531" w:rsidP="004F2670">
            <w:pPr>
              <w:jc w:val="center"/>
              <w:rPr>
                <w:noProof/>
                <w:sz w:val="20"/>
                <w:szCs w:val="20"/>
              </w:rPr>
            </w:pPr>
            <w:r>
              <w:rPr>
                <w:noProof/>
                <w:sz w:val="20"/>
              </w:rPr>
              <w:t>Indonésie et Chine: OUI</w:t>
            </w:r>
          </w:p>
          <w:p w14:paraId="13FD2ECA" w14:textId="77777777" w:rsidR="00377531" w:rsidRPr="00377531" w:rsidRDefault="00377531" w:rsidP="004F2670">
            <w:pPr>
              <w:jc w:val="both"/>
              <w:rPr>
                <w:noProof/>
                <w:sz w:val="20"/>
                <w:szCs w:val="20"/>
              </w:rPr>
            </w:pPr>
          </w:p>
        </w:tc>
        <w:tc>
          <w:tcPr>
            <w:tcW w:w="598" w:type="pct"/>
          </w:tcPr>
          <w:p w14:paraId="13FD2ECB" w14:textId="77777777" w:rsidR="00377531" w:rsidRPr="00377531" w:rsidRDefault="00377531" w:rsidP="004F2670">
            <w:pPr>
              <w:jc w:val="both"/>
              <w:rPr>
                <w:noProof/>
                <w:sz w:val="20"/>
                <w:szCs w:val="20"/>
              </w:rPr>
            </w:pPr>
            <w:r>
              <w:rPr>
                <w:noProof/>
                <w:sz w:val="20"/>
              </w:rPr>
              <w:t>Chine: Matières premières principales &gt;17 % du CDP</w:t>
            </w:r>
          </w:p>
          <w:p w14:paraId="1D6652AE" w14:textId="77777777" w:rsidR="00FC735C" w:rsidRDefault="00377531" w:rsidP="004F2670">
            <w:pPr>
              <w:jc w:val="both"/>
              <w:rPr>
                <w:noProof/>
                <w:sz w:val="20"/>
              </w:rPr>
            </w:pPr>
            <w:r>
              <w:rPr>
                <w:noProof/>
                <w:sz w:val="20"/>
              </w:rPr>
              <w:t>Prix inférieur au prix de référence.</w:t>
            </w:r>
          </w:p>
          <w:p w14:paraId="13FD2ECD" w14:textId="6DF64FF5" w:rsidR="00377531" w:rsidRPr="00377531" w:rsidRDefault="00377531" w:rsidP="004F2670">
            <w:pPr>
              <w:jc w:val="both"/>
              <w:rPr>
                <w:noProof/>
                <w:sz w:val="20"/>
                <w:szCs w:val="20"/>
              </w:rPr>
            </w:pPr>
            <w:r>
              <w:rPr>
                <w:noProof/>
                <w:sz w:val="20"/>
              </w:rPr>
              <w:t>Indonésie: Minerai de nickel &gt;17 % du CDP</w:t>
            </w:r>
          </w:p>
          <w:p w14:paraId="13FD2ECE" w14:textId="77777777" w:rsidR="00377531" w:rsidRPr="00377531" w:rsidRDefault="00377531" w:rsidP="004F2670">
            <w:pPr>
              <w:jc w:val="both"/>
              <w:rPr>
                <w:noProof/>
                <w:sz w:val="20"/>
                <w:szCs w:val="20"/>
              </w:rPr>
            </w:pPr>
            <w:r>
              <w:rPr>
                <w:noProof/>
                <w:sz w:val="20"/>
              </w:rPr>
              <w:t>Prix inférieur au prix de référence.</w:t>
            </w:r>
          </w:p>
          <w:p w14:paraId="13FD2ECF" w14:textId="77777777" w:rsidR="00377531" w:rsidRPr="00377531" w:rsidRDefault="00377531" w:rsidP="004F2670">
            <w:pPr>
              <w:jc w:val="both"/>
              <w:rPr>
                <w:noProof/>
                <w:sz w:val="20"/>
                <w:szCs w:val="20"/>
              </w:rPr>
            </w:pPr>
            <w:r>
              <w:rPr>
                <w:noProof/>
                <w:sz w:val="20"/>
              </w:rPr>
              <w:t>Intérêt de l’Union: NON</w:t>
            </w:r>
          </w:p>
        </w:tc>
        <w:tc>
          <w:tcPr>
            <w:tcW w:w="563" w:type="pct"/>
          </w:tcPr>
          <w:p w14:paraId="13FD2ED0" w14:textId="77777777" w:rsidR="00377531" w:rsidRPr="00377531" w:rsidRDefault="00377531" w:rsidP="004F2670">
            <w:pPr>
              <w:jc w:val="center"/>
              <w:rPr>
                <w:noProof/>
                <w:sz w:val="20"/>
                <w:szCs w:val="20"/>
              </w:rPr>
            </w:pPr>
            <w:r>
              <w:rPr>
                <w:noProof/>
                <w:sz w:val="20"/>
              </w:rPr>
              <w:t>NON</w:t>
            </w:r>
          </w:p>
        </w:tc>
        <w:tc>
          <w:tcPr>
            <w:tcW w:w="570" w:type="pct"/>
          </w:tcPr>
          <w:p w14:paraId="13FD2ED1" w14:textId="77777777" w:rsidR="00377531" w:rsidRPr="00377531" w:rsidRDefault="00377531" w:rsidP="004F2670">
            <w:pPr>
              <w:jc w:val="center"/>
              <w:rPr>
                <w:noProof/>
                <w:sz w:val="20"/>
                <w:szCs w:val="20"/>
              </w:rPr>
            </w:pPr>
            <w:r>
              <w:rPr>
                <w:noProof/>
                <w:sz w:val="20"/>
              </w:rPr>
              <w:t>OUI</w:t>
            </w:r>
          </w:p>
          <w:p w14:paraId="13FD2ED2" w14:textId="77777777" w:rsidR="00377531" w:rsidRPr="00377531" w:rsidRDefault="00377531" w:rsidP="004F2670">
            <w:pPr>
              <w:jc w:val="center"/>
              <w:rPr>
                <w:noProof/>
                <w:sz w:val="20"/>
                <w:szCs w:val="20"/>
              </w:rPr>
            </w:pPr>
          </w:p>
          <w:p w14:paraId="13FD2ED3" w14:textId="77777777" w:rsidR="00377531" w:rsidRPr="00377531" w:rsidRDefault="00377531" w:rsidP="004F2670">
            <w:pPr>
              <w:jc w:val="center"/>
              <w:rPr>
                <w:noProof/>
                <w:sz w:val="20"/>
                <w:szCs w:val="20"/>
              </w:rPr>
            </w:pPr>
          </w:p>
        </w:tc>
      </w:tr>
      <w:tr w:rsidR="00377531" w:rsidRPr="00377531" w14:paraId="13FD2EE2" w14:textId="77777777" w:rsidTr="00377531">
        <w:tc>
          <w:tcPr>
            <w:tcW w:w="548" w:type="pct"/>
          </w:tcPr>
          <w:p w14:paraId="13FD2ED5" w14:textId="77777777" w:rsidR="00377531" w:rsidRPr="00377531" w:rsidRDefault="00377531" w:rsidP="004F2670">
            <w:pPr>
              <w:jc w:val="center"/>
              <w:rPr>
                <w:noProof/>
                <w:sz w:val="20"/>
                <w:szCs w:val="20"/>
              </w:rPr>
            </w:pPr>
            <w:r>
              <w:rPr>
                <w:noProof/>
                <w:sz w:val="20"/>
              </w:rPr>
              <w:t>Certains papiers thermosensibles lourds</w:t>
            </w:r>
          </w:p>
        </w:tc>
        <w:tc>
          <w:tcPr>
            <w:tcW w:w="471" w:type="pct"/>
          </w:tcPr>
          <w:p w14:paraId="13FD2ED6" w14:textId="77777777" w:rsidR="00377531" w:rsidRPr="00377531" w:rsidRDefault="00377531" w:rsidP="004F2670">
            <w:pPr>
              <w:jc w:val="center"/>
              <w:rPr>
                <w:noProof/>
                <w:sz w:val="20"/>
                <w:szCs w:val="20"/>
              </w:rPr>
            </w:pPr>
            <w:r>
              <w:rPr>
                <w:noProof/>
                <w:sz w:val="20"/>
              </w:rPr>
              <w:t>Corée</w:t>
            </w:r>
          </w:p>
        </w:tc>
        <w:tc>
          <w:tcPr>
            <w:tcW w:w="630" w:type="pct"/>
          </w:tcPr>
          <w:p w14:paraId="13FD2ED7" w14:textId="77777777" w:rsidR="00377531" w:rsidRPr="00377531" w:rsidRDefault="001D19D8" w:rsidP="004F2670">
            <w:pPr>
              <w:jc w:val="center"/>
              <w:rPr>
                <w:noProof/>
                <w:color w:val="1F497D"/>
                <w:sz w:val="20"/>
                <w:szCs w:val="20"/>
              </w:rPr>
            </w:pPr>
            <w:hyperlink r:id="rId32" w:history="1">
              <w:r w:rsidR="004175A3">
                <w:rPr>
                  <w:rStyle w:val="Hyperlink"/>
                  <w:noProof/>
                  <w:sz w:val="20"/>
                </w:rPr>
                <w:t>Règlement provisoire</w:t>
              </w:r>
            </w:hyperlink>
          </w:p>
          <w:p w14:paraId="13FD2ED8" w14:textId="77777777" w:rsidR="00377531" w:rsidRPr="00377531" w:rsidRDefault="00377531" w:rsidP="004F2670">
            <w:pPr>
              <w:jc w:val="center"/>
              <w:rPr>
                <w:noProof/>
                <w:sz w:val="20"/>
                <w:szCs w:val="20"/>
                <w:lang w:val="fr-BE"/>
              </w:rPr>
            </w:pPr>
          </w:p>
        </w:tc>
        <w:tc>
          <w:tcPr>
            <w:tcW w:w="471" w:type="pct"/>
          </w:tcPr>
          <w:p w14:paraId="13FD2ED9" w14:textId="77777777" w:rsidR="00377531" w:rsidRPr="00377531" w:rsidRDefault="001D19D8" w:rsidP="004F2670">
            <w:pPr>
              <w:jc w:val="center"/>
              <w:rPr>
                <w:noProof/>
                <w:sz w:val="20"/>
                <w:szCs w:val="20"/>
              </w:rPr>
            </w:pPr>
            <w:hyperlink r:id="rId33" w:history="1">
              <w:r w:rsidR="004175A3">
                <w:rPr>
                  <w:rStyle w:val="Hyperlink"/>
                  <w:noProof/>
                  <w:sz w:val="20"/>
                </w:rPr>
                <w:t xml:space="preserve">Règlement définitif </w:t>
              </w:r>
            </w:hyperlink>
          </w:p>
          <w:p w14:paraId="13FD2EDA" w14:textId="77777777" w:rsidR="00377531" w:rsidRPr="00377531" w:rsidRDefault="00377531" w:rsidP="004F2670">
            <w:pPr>
              <w:jc w:val="center"/>
              <w:rPr>
                <w:noProof/>
                <w:sz w:val="20"/>
                <w:szCs w:val="20"/>
                <w:lang w:val="fr-BE"/>
              </w:rPr>
            </w:pPr>
          </w:p>
        </w:tc>
        <w:tc>
          <w:tcPr>
            <w:tcW w:w="629" w:type="pct"/>
          </w:tcPr>
          <w:p w14:paraId="13FD2EDB" w14:textId="77777777" w:rsidR="00377531" w:rsidRPr="00377531" w:rsidRDefault="00377531" w:rsidP="004F2670">
            <w:pPr>
              <w:jc w:val="center"/>
              <w:rPr>
                <w:noProof/>
                <w:sz w:val="20"/>
                <w:szCs w:val="20"/>
              </w:rPr>
            </w:pPr>
            <w:r>
              <w:rPr>
                <w:noProof/>
                <w:sz w:val="20"/>
              </w:rPr>
              <w:t>NON</w:t>
            </w:r>
          </w:p>
        </w:tc>
        <w:tc>
          <w:tcPr>
            <w:tcW w:w="520" w:type="pct"/>
          </w:tcPr>
          <w:p w14:paraId="13FD2EDC" w14:textId="77777777" w:rsidR="00377531" w:rsidRPr="00377531" w:rsidRDefault="00377531" w:rsidP="004F2670">
            <w:pPr>
              <w:jc w:val="center"/>
              <w:rPr>
                <w:noProof/>
                <w:sz w:val="20"/>
                <w:szCs w:val="20"/>
              </w:rPr>
            </w:pPr>
            <w:r>
              <w:rPr>
                <w:noProof/>
                <w:sz w:val="20"/>
              </w:rPr>
              <w:t>—</w:t>
            </w:r>
          </w:p>
        </w:tc>
        <w:tc>
          <w:tcPr>
            <w:tcW w:w="598" w:type="pct"/>
          </w:tcPr>
          <w:p w14:paraId="13FD2EDD" w14:textId="77777777" w:rsidR="00377531" w:rsidRPr="00377531" w:rsidRDefault="00377531" w:rsidP="004F2670">
            <w:pPr>
              <w:jc w:val="center"/>
              <w:rPr>
                <w:noProof/>
                <w:sz w:val="20"/>
                <w:szCs w:val="20"/>
              </w:rPr>
            </w:pPr>
            <w:r>
              <w:rPr>
                <w:noProof/>
                <w:sz w:val="20"/>
              </w:rPr>
              <w:t>—</w:t>
            </w:r>
          </w:p>
        </w:tc>
        <w:tc>
          <w:tcPr>
            <w:tcW w:w="563" w:type="pct"/>
          </w:tcPr>
          <w:p w14:paraId="13FD2EDE" w14:textId="77777777" w:rsidR="00377531" w:rsidRPr="00377531" w:rsidRDefault="00377531" w:rsidP="004F2670">
            <w:pPr>
              <w:jc w:val="center"/>
              <w:rPr>
                <w:noProof/>
                <w:sz w:val="20"/>
                <w:szCs w:val="20"/>
              </w:rPr>
            </w:pPr>
            <w:r>
              <w:rPr>
                <w:noProof/>
                <w:sz w:val="20"/>
              </w:rPr>
              <w:t>—</w:t>
            </w:r>
          </w:p>
        </w:tc>
        <w:tc>
          <w:tcPr>
            <w:tcW w:w="570" w:type="pct"/>
          </w:tcPr>
          <w:p w14:paraId="0BD70FB1" w14:textId="77777777" w:rsidR="00FC735C" w:rsidRDefault="00377531" w:rsidP="004F2670">
            <w:pPr>
              <w:jc w:val="center"/>
              <w:rPr>
                <w:noProof/>
                <w:sz w:val="20"/>
              </w:rPr>
            </w:pPr>
            <w:r>
              <w:rPr>
                <w:noProof/>
                <w:sz w:val="20"/>
              </w:rPr>
              <w:t>NON</w:t>
            </w:r>
          </w:p>
          <w:p w14:paraId="3D81C510" w14:textId="77777777" w:rsidR="00FC735C" w:rsidRDefault="00377531" w:rsidP="004F2670">
            <w:pPr>
              <w:jc w:val="center"/>
              <w:rPr>
                <w:noProof/>
                <w:sz w:val="20"/>
              </w:rPr>
            </w:pPr>
            <w:r>
              <w:rPr>
                <w:noProof/>
                <w:sz w:val="20"/>
              </w:rPr>
              <w:t>Augmentation des importations de 71 %.</w:t>
            </w:r>
          </w:p>
          <w:p w14:paraId="13FD2EE1" w14:textId="0E9D242F" w:rsidR="00377531" w:rsidRPr="00377531" w:rsidRDefault="00377531" w:rsidP="004F2670">
            <w:pPr>
              <w:jc w:val="center"/>
              <w:rPr>
                <w:noProof/>
                <w:sz w:val="20"/>
                <w:szCs w:val="20"/>
              </w:rPr>
            </w:pPr>
            <w:r>
              <w:rPr>
                <w:noProof/>
                <w:sz w:val="20"/>
              </w:rPr>
              <w:t>Augmentation de la marge de préjudice de 16,9 % à 17,6 %.</w:t>
            </w:r>
          </w:p>
        </w:tc>
      </w:tr>
      <w:tr w:rsidR="00377531" w:rsidRPr="00377531" w14:paraId="13FD2EEE" w14:textId="77777777" w:rsidTr="00377531">
        <w:tc>
          <w:tcPr>
            <w:tcW w:w="548" w:type="pct"/>
          </w:tcPr>
          <w:p w14:paraId="13FD2EE3" w14:textId="77777777" w:rsidR="00377531" w:rsidRPr="00377531" w:rsidRDefault="00377531" w:rsidP="004F2670">
            <w:pPr>
              <w:jc w:val="center"/>
              <w:rPr>
                <w:noProof/>
                <w:sz w:val="20"/>
                <w:szCs w:val="20"/>
              </w:rPr>
            </w:pPr>
            <w:r>
              <w:rPr>
                <w:noProof/>
                <w:sz w:val="20"/>
              </w:rPr>
              <w:t>Produits extrudés en aluminium</w:t>
            </w:r>
          </w:p>
        </w:tc>
        <w:tc>
          <w:tcPr>
            <w:tcW w:w="471" w:type="pct"/>
          </w:tcPr>
          <w:p w14:paraId="13FD2EE4" w14:textId="77777777" w:rsidR="00377531" w:rsidRPr="00377531" w:rsidRDefault="00377531" w:rsidP="004F2670">
            <w:pPr>
              <w:jc w:val="center"/>
              <w:rPr>
                <w:noProof/>
                <w:sz w:val="20"/>
                <w:szCs w:val="20"/>
              </w:rPr>
            </w:pPr>
            <w:r>
              <w:rPr>
                <w:noProof/>
                <w:sz w:val="20"/>
              </w:rPr>
              <w:t>Chine</w:t>
            </w:r>
          </w:p>
        </w:tc>
        <w:tc>
          <w:tcPr>
            <w:tcW w:w="630" w:type="pct"/>
          </w:tcPr>
          <w:p w14:paraId="13FD2EE5" w14:textId="77777777" w:rsidR="00377531" w:rsidRPr="00377531" w:rsidRDefault="001D19D8" w:rsidP="004F2670">
            <w:pPr>
              <w:jc w:val="center"/>
              <w:rPr>
                <w:noProof/>
                <w:sz w:val="20"/>
                <w:szCs w:val="20"/>
              </w:rPr>
            </w:pPr>
            <w:hyperlink r:id="rId34" w:history="1">
              <w:r w:rsidR="004175A3">
                <w:rPr>
                  <w:rStyle w:val="Hyperlink"/>
                  <w:noProof/>
                  <w:sz w:val="20"/>
                </w:rPr>
                <w:t xml:space="preserve">Règlement provisoire </w:t>
              </w:r>
            </w:hyperlink>
          </w:p>
          <w:p w14:paraId="13FD2EE6" w14:textId="77777777" w:rsidR="00377531" w:rsidRPr="00377531" w:rsidRDefault="00377531" w:rsidP="004F2670">
            <w:pPr>
              <w:jc w:val="center"/>
              <w:rPr>
                <w:noProof/>
                <w:sz w:val="20"/>
                <w:szCs w:val="20"/>
              </w:rPr>
            </w:pPr>
          </w:p>
        </w:tc>
        <w:tc>
          <w:tcPr>
            <w:tcW w:w="471" w:type="pct"/>
          </w:tcPr>
          <w:p w14:paraId="13FD2EE7" w14:textId="77777777" w:rsidR="00377531" w:rsidRPr="00377531" w:rsidRDefault="001D19D8" w:rsidP="004F2670">
            <w:pPr>
              <w:jc w:val="center"/>
              <w:rPr>
                <w:noProof/>
                <w:sz w:val="20"/>
                <w:szCs w:val="20"/>
              </w:rPr>
            </w:pPr>
            <w:hyperlink r:id="rId35" w:history="1">
              <w:r w:rsidR="004175A3">
                <w:rPr>
                  <w:rStyle w:val="Hyperlink"/>
                  <w:noProof/>
                  <w:sz w:val="20"/>
                </w:rPr>
                <w:t xml:space="preserve">Règlement définitif </w:t>
              </w:r>
            </w:hyperlink>
          </w:p>
        </w:tc>
        <w:tc>
          <w:tcPr>
            <w:tcW w:w="629" w:type="pct"/>
          </w:tcPr>
          <w:p w14:paraId="13FD2EE8" w14:textId="77777777" w:rsidR="00377531" w:rsidRPr="00377531" w:rsidRDefault="00377531" w:rsidP="004F2670">
            <w:pPr>
              <w:jc w:val="center"/>
              <w:rPr>
                <w:noProof/>
                <w:sz w:val="20"/>
                <w:szCs w:val="20"/>
              </w:rPr>
            </w:pPr>
            <w:r>
              <w:rPr>
                <w:noProof/>
                <w:sz w:val="20"/>
              </w:rPr>
              <w:t>OUI</w:t>
            </w:r>
          </w:p>
        </w:tc>
        <w:tc>
          <w:tcPr>
            <w:tcW w:w="520" w:type="pct"/>
          </w:tcPr>
          <w:p w14:paraId="13FD2EE9" w14:textId="77777777" w:rsidR="00377531" w:rsidRPr="00377531" w:rsidRDefault="00377531" w:rsidP="004F2670">
            <w:pPr>
              <w:jc w:val="center"/>
              <w:rPr>
                <w:noProof/>
                <w:sz w:val="20"/>
                <w:szCs w:val="20"/>
              </w:rPr>
            </w:pPr>
            <w:r>
              <w:rPr>
                <w:noProof/>
                <w:sz w:val="20"/>
              </w:rPr>
              <w:t>NON</w:t>
            </w:r>
          </w:p>
        </w:tc>
        <w:tc>
          <w:tcPr>
            <w:tcW w:w="598" w:type="pct"/>
          </w:tcPr>
          <w:p w14:paraId="13FD2EEA" w14:textId="77777777" w:rsidR="00377531" w:rsidRPr="00377531" w:rsidRDefault="00377531" w:rsidP="004F2670">
            <w:pPr>
              <w:jc w:val="center"/>
              <w:rPr>
                <w:noProof/>
                <w:sz w:val="20"/>
                <w:szCs w:val="20"/>
              </w:rPr>
            </w:pPr>
            <w:r>
              <w:rPr>
                <w:noProof/>
                <w:sz w:val="20"/>
              </w:rPr>
              <w:t>—</w:t>
            </w:r>
          </w:p>
        </w:tc>
        <w:tc>
          <w:tcPr>
            <w:tcW w:w="563" w:type="pct"/>
          </w:tcPr>
          <w:p w14:paraId="13FD2EEB" w14:textId="77777777" w:rsidR="00377531" w:rsidRPr="00377531" w:rsidRDefault="00377531" w:rsidP="004F2670">
            <w:pPr>
              <w:jc w:val="center"/>
              <w:rPr>
                <w:noProof/>
                <w:sz w:val="20"/>
                <w:szCs w:val="20"/>
              </w:rPr>
            </w:pPr>
            <w:r>
              <w:rPr>
                <w:noProof/>
                <w:sz w:val="20"/>
              </w:rPr>
              <w:t>—</w:t>
            </w:r>
          </w:p>
        </w:tc>
        <w:tc>
          <w:tcPr>
            <w:tcW w:w="570" w:type="pct"/>
          </w:tcPr>
          <w:p w14:paraId="13FD2EEC" w14:textId="77777777" w:rsidR="00377531" w:rsidRPr="00377531" w:rsidRDefault="00377531" w:rsidP="004F2670">
            <w:pPr>
              <w:jc w:val="center"/>
              <w:rPr>
                <w:noProof/>
                <w:sz w:val="20"/>
                <w:szCs w:val="20"/>
              </w:rPr>
            </w:pPr>
            <w:r>
              <w:rPr>
                <w:noProof/>
                <w:sz w:val="20"/>
              </w:rPr>
              <w:t>OUI</w:t>
            </w:r>
          </w:p>
          <w:p w14:paraId="13FD2EED" w14:textId="77777777" w:rsidR="00377531" w:rsidRPr="00377531" w:rsidRDefault="00377531" w:rsidP="004F2670">
            <w:pPr>
              <w:jc w:val="center"/>
              <w:rPr>
                <w:noProof/>
                <w:sz w:val="20"/>
                <w:szCs w:val="20"/>
                <w:lang w:val="fr-BE"/>
              </w:rPr>
            </w:pPr>
          </w:p>
        </w:tc>
      </w:tr>
      <w:tr w:rsidR="00377531" w:rsidRPr="00377531" w14:paraId="13FD2EFB" w14:textId="77777777" w:rsidTr="00377531">
        <w:tc>
          <w:tcPr>
            <w:tcW w:w="548" w:type="pct"/>
          </w:tcPr>
          <w:p w14:paraId="13FD2EEF" w14:textId="77777777" w:rsidR="00377531" w:rsidRPr="00377531" w:rsidRDefault="00377531" w:rsidP="004F2670">
            <w:pPr>
              <w:jc w:val="center"/>
              <w:rPr>
                <w:noProof/>
                <w:sz w:val="20"/>
                <w:szCs w:val="20"/>
              </w:rPr>
            </w:pPr>
            <w:r>
              <w:rPr>
                <w:noProof/>
                <w:sz w:val="20"/>
              </w:rPr>
              <w:t xml:space="preserve">Produits plats laminés à chaud en fer, en aciers non alliés ou en autres aciers alliés </w:t>
            </w:r>
          </w:p>
        </w:tc>
        <w:tc>
          <w:tcPr>
            <w:tcW w:w="471" w:type="pct"/>
          </w:tcPr>
          <w:p w14:paraId="13FD2EF0" w14:textId="77777777" w:rsidR="00377531" w:rsidRPr="00377531" w:rsidRDefault="00377531" w:rsidP="004F2670">
            <w:pPr>
              <w:jc w:val="center"/>
              <w:rPr>
                <w:noProof/>
                <w:sz w:val="20"/>
                <w:szCs w:val="20"/>
              </w:rPr>
            </w:pPr>
            <w:r>
              <w:rPr>
                <w:noProof/>
                <w:sz w:val="20"/>
              </w:rPr>
              <w:t>Turquie</w:t>
            </w:r>
          </w:p>
        </w:tc>
        <w:tc>
          <w:tcPr>
            <w:tcW w:w="630" w:type="pct"/>
          </w:tcPr>
          <w:p w14:paraId="13FD2EF1" w14:textId="77777777" w:rsidR="00377531" w:rsidRPr="00377531" w:rsidRDefault="001D19D8" w:rsidP="004F2670">
            <w:pPr>
              <w:jc w:val="center"/>
              <w:rPr>
                <w:noProof/>
                <w:color w:val="1F497D"/>
                <w:sz w:val="20"/>
                <w:szCs w:val="20"/>
              </w:rPr>
            </w:pPr>
            <w:hyperlink r:id="rId36" w:history="1">
              <w:r w:rsidR="004175A3">
                <w:rPr>
                  <w:rStyle w:val="Hyperlink"/>
                  <w:noProof/>
                  <w:sz w:val="20"/>
                </w:rPr>
                <w:t xml:space="preserve">Règlement provisoire </w:t>
              </w:r>
            </w:hyperlink>
          </w:p>
          <w:p w14:paraId="13FD2EF2" w14:textId="77777777" w:rsidR="00377531" w:rsidRPr="00377531" w:rsidRDefault="00377531" w:rsidP="004F2670">
            <w:pPr>
              <w:jc w:val="center"/>
              <w:rPr>
                <w:noProof/>
                <w:sz w:val="20"/>
                <w:szCs w:val="20"/>
              </w:rPr>
            </w:pPr>
          </w:p>
        </w:tc>
        <w:tc>
          <w:tcPr>
            <w:tcW w:w="471" w:type="pct"/>
          </w:tcPr>
          <w:p w14:paraId="13FD2EF3" w14:textId="77777777" w:rsidR="00377531" w:rsidRPr="00377531" w:rsidRDefault="001D19D8" w:rsidP="004F2670">
            <w:pPr>
              <w:jc w:val="center"/>
              <w:rPr>
                <w:noProof/>
                <w:sz w:val="20"/>
                <w:szCs w:val="20"/>
              </w:rPr>
            </w:pPr>
            <w:hyperlink r:id="rId37" w:history="1">
              <w:r w:rsidR="004175A3">
                <w:rPr>
                  <w:rStyle w:val="Hyperlink"/>
                  <w:noProof/>
                  <w:sz w:val="20"/>
                </w:rPr>
                <w:t>Règlement définitif</w:t>
              </w:r>
            </w:hyperlink>
          </w:p>
          <w:p w14:paraId="13FD2EF4" w14:textId="77777777" w:rsidR="00377531" w:rsidRPr="00377531" w:rsidRDefault="00377531" w:rsidP="004F2670">
            <w:pPr>
              <w:jc w:val="center"/>
              <w:rPr>
                <w:noProof/>
                <w:sz w:val="20"/>
                <w:szCs w:val="20"/>
              </w:rPr>
            </w:pPr>
          </w:p>
        </w:tc>
        <w:tc>
          <w:tcPr>
            <w:tcW w:w="629" w:type="pct"/>
          </w:tcPr>
          <w:p w14:paraId="13FD2EF5" w14:textId="77777777" w:rsidR="00377531" w:rsidRPr="00377531" w:rsidRDefault="00377531" w:rsidP="004F2670">
            <w:pPr>
              <w:jc w:val="center"/>
              <w:rPr>
                <w:noProof/>
                <w:sz w:val="20"/>
                <w:szCs w:val="20"/>
              </w:rPr>
            </w:pPr>
            <w:r>
              <w:rPr>
                <w:noProof/>
                <w:sz w:val="20"/>
              </w:rPr>
              <w:t>OUI</w:t>
            </w:r>
          </w:p>
        </w:tc>
        <w:tc>
          <w:tcPr>
            <w:tcW w:w="520" w:type="pct"/>
          </w:tcPr>
          <w:p w14:paraId="13FD2EF6" w14:textId="77777777" w:rsidR="00377531" w:rsidRPr="00377531" w:rsidRDefault="00377531" w:rsidP="004F2670">
            <w:pPr>
              <w:jc w:val="center"/>
              <w:rPr>
                <w:noProof/>
                <w:sz w:val="20"/>
                <w:szCs w:val="20"/>
              </w:rPr>
            </w:pPr>
            <w:r>
              <w:rPr>
                <w:noProof/>
                <w:sz w:val="20"/>
              </w:rPr>
              <w:t>NON</w:t>
            </w:r>
          </w:p>
        </w:tc>
        <w:tc>
          <w:tcPr>
            <w:tcW w:w="598" w:type="pct"/>
          </w:tcPr>
          <w:p w14:paraId="13FD2EF7" w14:textId="77777777" w:rsidR="00377531" w:rsidRPr="00377531" w:rsidRDefault="00377531" w:rsidP="004F2670">
            <w:pPr>
              <w:jc w:val="center"/>
              <w:rPr>
                <w:noProof/>
                <w:sz w:val="20"/>
                <w:szCs w:val="20"/>
              </w:rPr>
            </w:pPr>
            <w:r>
              <w:rPr>
                <w:noProof/>
                <w:sz w:val="20"/>
              </w:rPr>
              <w:t>—</w:t>
            </w:r>
          </w:p>
        </w:tc>
        <w:tc>
          <w:tcPr>
            <w:tcW w:w="563" w:type="pct"/>
          </w:tcPr>
          <w:p w14:paraId="13FD2EF8" w14:textId="77777777" w:rsidR="00377531" w:rsidRPr="00377531" w:rsidRDefault="00377531" w:rsidP="004F2670">
            <w:pPr>
              <w:jc w:val="center"/>
              <w:rPr>
                <w:noProof/>
                <w:sz w:val="20"/>
                <w:szCs w:val="20"/>
              </w:rPr>
            </w:pPr>
            <w:r>
              <w:rPr>
                <w:noProof/>
                <w:sz w:val="20"/>
              </w:rPr>
              <w:t>—</w:t>
            </w:r>
          </w:p>
        </w:tc>
        <w:tc>
          <w:tcPr>
            <w:tcW w:w="570" w:type="pct"/>
          </w:tcPr>
          <w:p w14:paraId="13FD2EF9" w14:textId="77777777" w:rsidR="00377531" w:rsidRPr="00377531" w:rsidRDefault="00377531" w:rsidP="004F2670">
            <w:pPr>
              <w:jc w:val="center"/>
              <w:rPr>
                <w:noProof/>
                <w:sz w:val="20"/>
                <w:szCs w:val="20"/>
              </w:rPr>
            </w:pPr>
            <w:r>
              <w:rPr>
                <w:noProof/>
                <w:sz w:val="20"/>
              </w:rPr>
              <w:t>OUI</w:t>
            </w:r>
          </w:p>
          <w:p w14:paraId="13FD2EFA" w14:textId="77777777" w:rsidR="00377531" w:rsidRPr="00377531" w:rsidRDefault="00377531" w:rsidP="004F2670">
            <w:pPr>
              <w:jc w:val="center"/>
              <w:rPr>
                <w:noProof/>
                <w:sz w:val="20"/>
                <w:szCs w:val="20"/>
              </w:rPr>
            </w:pPr>
          </w:p>
        </w:tc>
      </w:tr>
      <w:tr w:rsidR="00377531" w:rsidRPr="00377531" w14:paraId="13FD2F0A" w14:textId="77777777" w:rsidTr="00377531">
        <w:tc>
          <w:tcPr>
            <w:tcW w:w="548" w:type="pct"/>
          </w:tcPr>
          <w:p w14:paraId="13FD2EFC" w14:textId="7C136586" w:rsidR="00377531" w:rsidRPr="00377531" w:rsidRDefault="00377531" w:rsidP="00D27AB3">
            <w:pPr>
              <w:jc w:val="center"/>
              <w:rPr>
                <w:noProof/>
                <w:sz w:val="20"/>
                <w:szCs w:val="20"/>
              </w:rPr>
            </w:pPr>
            <w:r>
              <w:rPr>
                <w:noProof/>
                <w:sz w:val="20"/>
              </w:rPr>
              <w:t xml:space="preserve">Produits </w:t>
            </w:r>
            <w:r w:rsidR="00D27AB3">
              <w:rPr>
                <w:noProof/>
                <w:sz w:val="20"/>
              </w:rPr>
              <w:t xml:space="preserve">plats </w:t>
            </w:r>
            <w:r>
              <w:rPr>
                <w:noProof/>
                <w:sz w:val="20"/>
              </w:rPr>
              <w:t>laminés en aluminium</w:t>
            </w:r>
          </w:p>
        </w:tc>
        <w:tc>
          <w:tcPr>
            <w:tcW w:w="471" w:type="pct"/>
          </w:tcPr>
          <w:p w14:paraId="13FD2EFD" w14:textId="77777777" w:rsidR="00377531" w:rsidRPr="00377531" w:rsidRDefault="00377531" w:rsidP="004F2670">
            <w:pPr>
              <w:jc w:val="center"/>
              <w:rPr>
                <w:noProof/>
                <w:sz w:val="20"/>
                <w:szCs w:val="20"/>
              </w:rPr>
            </w:pPr>
            <w:r>
              <w:rPr>
                <w:noProof/>
                <w:sz w:val="20"/>
              </w:rPr>
              <w:t>Chine</w:t>
            </w:r>
          </w:p>
        </w:tc>
        <w:tc>
          <w:tcPr>
            <w:tcW w:w="630" w:type="pct"/>
          </w:tcPr>
          <w:p w14:paraId="13FD2EFE" w14:textId="77777777" w:rsidR="00377531" w:rsidRPr="00377531" w:rsidRDefault="001D19D8" w:rsidP="004F2670">
            <w:pPr>
              <w:jc w:val="center"/>
              <w:rPr>
                <w:noProof/>
                <w:sz w:val="20"/>
                <w:szCs w:val="20"/>
              </w:rPr>
            </w:pPr>
            <w:hyperlink r:id="rId38" w:history="1">
              <w:r w:rsidR="004175A3">
                <w:rPr>
                  <w:rStyle w:val="Hyperlink"/>
                  <w:noProof/>
                  <w:sz w:val="20"/>
                </w:rPr>
                <w:t xml:space="preserve">Règlement provisoire </w:t>
              </w:r>
            </w:hyperlink>
          </w:p>
          <w:p w14:paraId="13FD2EFF" w14:textId="77777777" w:rsidR="00377531" w:rsidRPr="00377531" w:rsidRDefault="00377531" w:rsidP="004F2670">
            <w:pPr>
              <w:jc w:val="center"/>
              <w:rPr>
                <w:noProof/>
                <w:sz w:val="20"/>
                <w:szCs w:val="20"/>
              </w:rPr>
            </w:pPr>
          </w:p>
        </w:tc>
        <w:tc>
          <w:tcPr>
            <w:tcW w:w="471" w:type="pct"/>
          </w:tcPr>
          <w:p w14:paraId="13FD2F00" w14:textId="77777777" w:rsidR="00377531" w:rsidRPr="00377531" w:rsidRDefault="001D19D8" w:rsidP="004F2670">
            <w:pPr>
              <w:jc w:val="center"/>
              <w:rPr>
                <w:noProof/>
                <w:sz w:val="20"/>
                <w:szCs w:val="20"/>
              </w:rPr>
            </w:pPr>
            <w:hyperlink r:id="rId39" w:history="1">
              <w:r w:rsidR="004175A3">
                <w:rPr>
                  <w:rStyle w:val="Hyperlink"/>
                  <w:noProof/>
                  <w:sz w:val="20"/>
                </w:rPr>
                <w:t>Règlement définitif</w:t>
              </w:r>
            </w:hyperlink>
          </w:p>
          <w:p w14:paraId="13FD2F01" w14:textId="77777777" w:rsidR="00377531" w:rsidRPr="00377531" w:rsidRDefault="00377531" w:rsidP="004F2670">
            <w:pPr>
              <w:jc w:val="center"/>
              <w:rPr>
                <w:noProof/>
                <w:sz w:val="20"/>
                <w:szCs w:val="20"/>
                <w:lang w:val="fr-BE"/>
              </w:rPr>
            </w:pPr>
          </w:p>
        </w:tc>
        <w:tc>
          <w:tcPr>
            <w:tcW w:w="629" w:type="pct"/>
          </w:tcPr>
          <w:p w14:paraId="13FD2F02" w14:textId="77777777" w:rsidR="00377531" w:rsidRPr="00377531" w:rsidRDefault="00377531" w:rsidP="004F2670">
            <w:pPr>
              <w:jc w:val="center"/>
              <w:rPr>
                <w:noProof/>
                <w:sz w:val="20"/>
                <w:szCs w:val="20"/>
              </w:rPr>
            </w:pPr>
            <w:r>
              <w:rPr>
                <w:noProof/>
                <w:sz w:val="20"/>
              </w:rPr>
              <w:t>OUI</w:t>
            </w:r>
          </w:p>
        </w:tc>
        <w:tc>
          <w:tcPr>
            <w:tcW w:w="520" w:type="pct"/>
          </w:tcPr>
          <w:p w14:paraId="13FD2F03" w14:textId="77777777" w:rsidR="00377531" w:rsidRPr="00377531" w:rsidRDefault="00377531" w:rsidP="004F2670">
            <w:pPr>
              <w:jc w:val="center"/>
              <w:rPr>
                <w:noProof/>
                <w:sz w:val="20"/>
                <w:szCs w:val="20"/>
              </w:rPr>
            </w:pPr>
            <w:r>
              <w:rPr>
                <w:noProof/>
                <w:sz w:val="20"/>
              </w:rPr>
              <w:t>OUI</w:t>
            </w:r>
          </w:p>
        </w:tc>
        <w:tc>
          <w:tcPr>
            <w:tcW w:w="598" w:type="pct"/>
          </w:tcPr>
          <w:p w14:paraId="13FD2F04" w14:textId="77777777" w:rsidR="00377531" w:rsidRPr="00377531" w:rsidRDefault="00377531" w:rsidP="004F2670">
            <w:pPr>
              <w:rPr>
                <w:noProof/>
                <w:sz w:val="20"/>
                <w:szCs w:val="20"/>
              </w:rPr>
            </w:pPr>
            <w:r>
              <w:rPr>
                <w:noProof/>
                <w:sz w:val="20"/>
              </w:rPr>
              <w:t>Lingot d’aluminium &gt;17 % du CDP</w:t>
            </w:r>
          </w:p>
          <w:p w14:paraId="13FD2F05" w14:textId="77777777" w:rsidR="00377531" w:rsidRPr="00377531" w:rsidRDefault="00377531" w:rsidP="004F2670">
            <w:pPr>
              <w:jc w:val="both"/>
              <w:rPr>
                <w:noProof/>
                <w:sz w:val="20"/>
                <w:szCs w:val="20"/>
              </w:rPr>
            </w:pPr>
            <w:r>
              <w:rPr>
                <w:noProof/>
                <w:sz w:val="20"/>
              </w:rPr>
              <w:t xml:space="preserve">Le prix </w:t>
            </w:r>
            <w:r>
              <w:rPr>
                <w:noProof/>
                <w:sz w:val="20"/>
                <w:u w:val="single"/>
              </w:rPr>
              <w:t>n’est pas</w:t>
            </w:r>
            <w:r>
              <w:rPr>
                <w:noProof/>
                <w:sz w:val="20"/>
              </w:rPr>
              <w:t xml:space="preserve"> significativement inférieur au prix de référence</w:t>
            </w:r>
          </w:p>
        </w:tc>
        <w:tc>
          <w:tcPr>
            <w:tcW w:w="563" w:type="pct"/>
          </w:tcPr>
          <w:p w14:paraId="13FD2F06" w14:textId="77777777" w:rsidR="00377531" w:rsidRPr="00377531" w:rsidRDefault="00377531" w:rsidP="004F2670">
            <w:pPr>
              <w:jc w:val="center"/>
              <w:rPr>
                <w:noProof/>
                <w:sz w:val="20"/>
                <w:szCs w:val="20"/>
              </w:rPr>
            </w:pPr>
            <w:r>
              <w:rPr>
                <w:noProof/>
                <w:sz w:val="20"/>
              </w:rPr>
              <w:t>NON</w:t>
            </w:r>
          </w:p>
        </w:tc>
        <w:tc>
          <w:tcPr>
            <w:tcW w:w="570" w:type="pct"/>
          </w:tcPr>
          <w:p w14:paraId="13FD2F07" w14:textId="77777777" w:rsidR="00377531" w:rsidRPr="00377531" w:rsidRDefault="00377531" w:rsidP="004F2670">
            <w:pPr>
              <w:jc w:val="center"/>
              <w:rPr>
                <w:noProof/>
                <w:sz w:val="20"/>
                <w:szCs w:val="20"/>
              </w:rPr>
            </w:pPr>
            <w:r>
              <w:rPr>
                <w:noProof/>
                <w:sz w:val="20"/>
              </w:rPr>
              <w:t>NON</w:t>
            </w:r>
          </w:p>
          <w:p w14:paraId="13FD2F08" w14:textId="77777777" w:rsidR="00377531" w:rsidRPr="00377531" w:rsidRDefault="00377531" w:rsidP="004F2670">
            <w:pPr>
              <w:jc w:val="center"/>
              <w:rPr>
                <w:noProof/>
                <w:sz w:val="20"/>
                <w:szCs w:val="20"/>
              </w:rPr>
            </w:pPr>
          </w:p>
          <w:p w14:paraId="13FD2F09" w14:textId="77777777" w:rsidR="00377531" w:rsidRPr="00377531" w:rsidRDefault="00377531" w:rsidP="004F2670">
            <w:pPr>
              <w:jc w:val="center"/>
              <w:rPr>
                <w:noProof/>
                <w:sz w:val="20"/>
                <w:szCs w:val="20"/>
              </w:rPr>
            </w:pPr>
            <w:r>
              <w:rPr>
                <w:noProof/>
                <w:sz w:val="20"/>
              </w:rPr>
              <w:t xml:space="preserve"> Pas d’augmentation des importations</w:t>
            </w:r>
          </w:p>
        </w:tc>
      </w:tr>
      <w:tr w:rsidR="00377531" w:rsidRPr="00377531" w14:paraId="13FD2F16" w14:textId="77777777" w:rsidTr="00377531">
        <w:tc>
          <w:tcPr>
            <w:tcW w:w="548" w:type="pct"/>
          </w:tcPr>
          <w:p w14:paraId="13FD2F0B" w14:textId="77777777" w:rsidR="00377531" w:rsidRPr="00377531" w:rsidRDefault="00377531" w:rsidP="004F2670">
            <w:pPr>
              <w:jc w:val="center"/>
              <w:rPr>
                <w:noProof/>
                <w:sz w:val="20"/>
                <w:szCs w:val="20"/>
              </w:rPr>
            </w:pPr>
            <w:r>
              <w:rPr>
                <w:noProof/>
                <w:sz w:val="20"/>
              </w:rPr>
              <w:t>Câbles de fibre optique</w:t>
            </w:r>
          </w:p>
        </w:tc>
        <w:tc>
          <w:tcPr>
            <w:tcW w:w="471" w:type="pct"/>
          </w:tcPr>
          <w:p w14:paraId="13FD2F0C" w14:textId="77777777" w:rsidR="00377531" w:rsidRPr="00377531" w:rsidRDefault="00377531" w:rsidP="004F2670">
            <w:pPr>
              <w:jc w:val="center"/>
              <w:rPr>
                <w:noProof/>
                <w:sz w:val="20"/>
                <w:szCs w:val="20"/>
              </w:rPr>
            </w:pPr>
            <w:r>
              <w:rPr>
                <w:noProof/>
                <w:sz w:val="20"/>
              </w:rPr>
              <w:t>Chine</w:t>
            </w:r>
          </w:p>
        </w:tc>
        <w:tc>
          <w:tcPr>
            <w:tcW w:w="630" w:type="pct"/>
          </w:tcPr>
          <w:p w14:paraId="13FD2F0D" w14:textId="77777777" w:rsidR="00377531" w:rsidRPr="00377531" w:rsidRDefault="00377531" w:rsidP="004F2670">
            <w:pPr>
              <w:jc w:val="center"/>
              <w:rPr>
                <w:noProof/>
                <w:sz w:val="20"/>
                <w:szCs w:val="20"/>
              </w:rPr>
            </w:pPr>
            <w:r>
              <w:rPr>
                <w:noProof/>
                <w:sz w:val="20"/>
              </w:rPr>
              <w:t>—</w:t>
            </w:r>
          </w:p>
        </w:tc>
        <w:tc>
          <w:tcPr>
            <w:tcW w:w="471" w:type="pct"/>
          </w:tcPr>
          <w:p w14:paraId="13FD2F0E" w14:textId="77777777" w:rsidR="00377531" w:rsidRPr="00377531" w:rsidRDefault="001D19D8" w:rsidP="004F2670">
            <w:pPr>
              <w:jc w:val="center"/>
              <w:rPr>
                <w:noProof/>
                <w:sz w:val="20"/>
                <w:szCs w:val="20"/>
              </w:rPr>
            </w:pPr>
            <w:hyperlink r:id="rId40" w:history="1">
              <w:r w:rsidR="004175A3">
                <w:rPr>
                  <w:rStyle w:val="Hyperlink"/>
                  <w:noProof/>
                  <w:sz w:val="20"/>
                </w:rPr>
                <w:t>Règlement définitif</w:t>
              </w:r>
            </w:hyperlink>
          </w:p>
          <w:p w14:paraId="13FD2F0F" w14:textId="77777777" w:rsidR="00377531" w:rsidRPr="00377531" w:rsidRDefault="00377531" w:rsidP="004F2670">
            <w:pPr>
              <w:jc w:val="center"/>
              <w:rPr>
                <w:noProof/>
                <w:sz w:val="20"/>
                <w:szCs w:val="20"/>
                <w:lang w:val="fr-BE"/>
              </w:rPr>
            </w:pPr>
          </w:p>
        </w:tc>
        <w:tc>
          <w:tcPr>
            <w:tcW w:w="629" w:type="pct"/>
          </w:tcPr>
          <w:p w14:paraId="13FD2F10" w14:textId="77777777" w:rsidR="00377531" w:rsidRPr="00377531" w:rsidRDefault="00377531" w:rsidP="004F2670">
            <w:pPr>
              <w:jc w:val="center"/>
              <w:rPr>
                <w:noProof/>
                <w:sz w:val="20"/>
                <w:szCs w:val="20"/>
              </w:rPr>
            </w:pPr>
            <w:r>
              <w:rPr>
                <w:noProof/>
                <w:sz w:val="20"/>
              </w:rPr>
              <w:t>NON</w:t>
            </w:r>
          </w:p>
        </w:tc>
        <w:tc>
          <w:tcPr>
            <w:tcW w:w="520" w:type="pct"/>
          </w:tcPr>
          <w:p w14:paraId="13FD2F11" w14:textId="77777777" w:rsidR="00377531" w:rsidRPr="00377531" w:rsidRDefault="00377531" w:rsidP="004F2670">
            <w:pPr>
              <w:jc w:val="center"/>
              <w:rPr>
                <w:noProof/>
                <w:sz w:val="20"/>
                <w:szCs w:val="20"/>
              </w:rPr>
            </w:pPr>
            <w:r>
              <w:rPr>
                <w:noProof/>
                <w:sz w:val="20"/>
              </w:rPr>
              <w:t>—</w:t>
            </w:r>
          </w:p>
        </w:tc>
        <w:tc>
          <w:tcPr>
            <w:tcW w:w="598" w:type="pct"/>
          </w:tcPr>
          <w:p w14:paraId="13FD2F12" w14:textId="77777777" w:rsidR="00377531" w:rsidRPr="00377531" w:rsidRDefault="00377531" w:rsidP="004F2670">
            <w:pPr>
              <w:jc w:val="center"/>
              <w:rPr>
                <w:noProof/>
                <w:sz w:val="20"/>
                <w:szCs w:val="20"/>
              </w:rPr>
            </w:pPr>
            <w:r>
              <w:rPr>
                <w:noProof/>
                <w:sz w:val="20"/>
              </w:rPr>
              <w:t>—</w:t>
            </w:r>
          </w:p>
        </w:tc>
        <w:tc>
          <w:tcPr>
            <w:tcW w:w="563" w:type="pct"/>
          </w:tcPr>
          <w:p w14:paraId="13FD2F13" w14:textId="77777777" w:rsidR="00377531" w:rsidRPr="00377531" w:rsidRDefault="00377531" w:rsidP="004F2670">
            <w:pPr>
              <w:jc w:val="center"/>
              <w:rPr>
                <w:noProof/>
                <w:sz w:val="20"/>
                <w:szCs w:val="20"/>
              </w:rPr>
            </w:pPr>
            <w:r>
              <w:rPr>
                <w:noProof/>
                <w:sz w:val="20"/>
              </w:rPr>
              <w:t>—</w:t>
            </w:r>
          </w:p>
        </w:tc>
        <w:tc>
          <w:tcPr>
            <w:tcW w:w="570" w:type="pct"/>
          </w:tcPr>
          <w:p w14:paraId="13FD2F14" w14:textId="77777777" w:rsidR="00377531" w:rsidRPr="00377531" w:rsidRDefault="00377531" w:rsidP="004F2670">
            <w:pPr>
              <w:jc w:val="center"/>
              <w:rPr>
                <w:noProof/>
                <w:sz w:val="20"/>
                <w:szCs w:val="20"/>
              </w:rPr>
            </w:pPr>
            <w:r>
              <w:rPr>
                <w:noProof/>
                <w:sz w:val="20"/>
              </w:rPr>
              <w:t>S.O.</w:t>
            </w:r>
          </w:p>
          <w:p w14:paraId="13FD2F15" w14:textId="77777777" w:rsidR="00377531" w:rsidRPr="00377531" w:rsidRDefault="00377531" w:rsidP="004F2670">
            <w:pPr>
              <w:jc w:val="center"/>
              <w:rPr>
                <w:noProof/>
                <w:sz w:val="20"/>
                <w:szCs w:val="20"/>
                <w:lang w:val="fr-BE"/>
              </w:rPr>
            </w:pPr>
          </w:p>
        </w:tc>
      </w:tr>
      <w:tr w:rsidR="00377531" w:rsidRPr="00377531" w14:paraId="13FD2F23" w14:textId="77777777" w:rsidTr="00377531">
        <w:tc>
          <w:tcPr>
            <w:tcW w:w="548" w:type="pct"/>
          </w:tcPr>
          <w:p w14:paraId="13FD2F17" w14:textId="77777777" w:rsidR="00377531" w:rsidRPr="00377531" w:rsidRDefault="00377531" w:rsidP="004F2670">
            <w:pPr>
              <w:jc w:val="center"/>
              <w:rPr>
                <w:noProof/>
                <w:sz w:val="20"/>
                <w:szCs w:val="20"/>
              </w:rPr>
            </w:pPr>
            <w:r>
              <w:rPr>
                <w:noProof/>
                <w:sz w:val="20"/>
              </w:rPr>
              <w:t>Produits plats laminés à froid en aciers inoxydables</w:t>
            </w:r>
          </w:p>
        </w:tc>
        <w:tc>
          <w:tcPr>
            <w:tcW w:w="471" w:type="pct"/>
          </w:tcPr>
          <w:p w14:paraId="13FD2F18" w14:textId="77777777" w:rsidR="00377531" w:rsidRPr="00377531" w:rsidRDefault="00377531" w:rsidP="004F2670">
            <w:pPr>
              <w:jc w:val="center"/>
              <w:rPr>
                <w:noProof/>
                <w:sz w:val="20"/>
                <w:szCs w:val="20"/>
              </w:rPr>
            </w:pPr>
            <w:r>
              <w:rPr>
                <w:noProof/>
                <w:sz w:val="20"/>
              </w:rPr>
              <w:t>Inde</w:t>
            </w:r>
          </w:p>
          <w:p w14:paraId="13FD2F19" w14:textId="77777777" w:rsidR="00377531" w:rsidRPr="00377531" w:rsidRDefault="00377531" w:rsidP="004F2670">
            <w:pPr>
              <w:jc w:val="center"/>
              <w:rPr>
                <w:noProof/>
                <w:sz w:val="20"/>
                <w:szCs w:val="20"/>
              </w:rPr>
            </w:pPr>
            <w:r>
              <w:rPr>
                <w:noProof/>
                <w:sz w:val="20"/>
              </w:rPr>
              <w:t>Indonésie</w:t>
            </w:r>
          </w:p>
        </w:tc>
        <w:tc>
          <w:tcPr>
            <w:tcW w:w="630" w:type="pct"/>
          </w:tcPr>
          <w:p w14:paraId="13FD2F1A" w14:textId="77777777" w:rsidR="00377531" w:rsidRPr="00377531" w:rsidRDefault="001D19D8" w:rsidP="004F2670">
            <w:pPr>
              <w:jc w:val="center"/>
              <w:rPr>
                <w:noProof/>
                <w:sz w:val="20"/>
                <w:szCs w:val="20"/>
              </w:rPr>
            </w:pPr>
            <w:hyperlink r:id="rId41" w:history="1">
              <w:r w:rsidR="004175A3">
                <w:rPr>
                  <w:rStyle w:val="Hyperlink"/>
                  <w:noProof/>
                  <w:sz w:val="20"/>
                </w:rPr>
                <w:t xml:space="preserve">Règlement provisoire </w:t>
              </w:r>
            </w:hyperlink>
          </w:p>
          <w:p w14:paraId="13FD2F1B" w14:textId="77777777" w:rsidR="00377531" w:rsidRPr="00377531" w:rsidRDefault="00377531" w:rsidP="004F2670">
            <w:pPr>
              <w:jc w:val="center"/>
              <w:rPr>
                <w:noProof/>
                <w:sz w:val="20"/>
                <w:szCs w:val="20"/>
                <w:lang w:val="fr-BE"/>
              </w:rPr>
            </w:pPr>
          </w:p>
        </w:tc>
        <w:tc>
          <w:tcPr>
            <w:tcW w:w="471" w:type="pct"/>
          </w:tcPr>
          <w:p w14:paraId="13FD2F1C" w14:textId="77777777" w:rsidR="00377531" w:rsidRPr="00377531" w:rsidRDefault="001D19D8" w:rsidP="004F2670">
            <w:pPr>
              <w:jc w:val="center"/>
              <w:rPr>
                <w:noProof/>
                <w:sz w:val="20"/>
                <w:szCs w:val="20"/>
              </w:rPr>
            </w:pPr>
            <w:hyperlink r:id="rId42" w:history="1">
              <w:r w:rsidR="004175A3">
                <w:rPr>
                  <w:rStyle w:val="Hyperlink"/>
                  <w:noProof/>
                  <w:sz w:val="20"/>
                </w:rPr>
                <w:t xml:space="preserve">Règlement définitif </w:t>
              </w:r>
            </w:hyperlink>
          </w:p>
        </w:tc>
        <w:tc>
          <w:tcPr>
            <w:tcW w:w="629" w:type="pct"/>
          </w:tcPr>
          <w:p w14:paraId="13FD2F1D" w14:textId="77777777" w:rsidR="00377531" w:rsidRPr="00377531" w:rsidRDefault="00377531" w:rsidP="004F2670">
            <w:pPr>
              <w:jc w:val="center"/>
              <w:rPr>
                <w:noProof/>
                <w:sz w:val="20"/>
                <w:szCs w:val="20"/>
              </w:rPr>
            </w:pPr>
            <w:r>
              <w:rPr>
                <w:noProof/>
                <w:sz w:val="20"/>
              </w:rPr>
              <w:t>OUI</w:t>
            </w:r>
          </w:p>
        </w:tc>
        <w:tc>
          <w:tcPr>
            <w:tcW w:w="520" w:type="pct"/>
          </w:tcPr>
          <w:p w14:paraId="13FD2F1E" w14:textId="77777777" w:rsidR="00377531" w:rsidRPr="00377531" w:rsidRDefault="00377531" w:rsidP="004F2670">
            <w:pPr>
              <w:jc w:val="center"/>
              <w:rPr>
                <w:noProof/>
                <w:sz w:val="20"/>
                <w:szCs w:val="20"/>
              </w:rPr>
            </w:pPr>
            <w:r>
              <w:rPr>
                <w:noProof/>
                <w:sz w:val="20"/>
              </w:rPr>
              <w:t>INDE: OUI</w:t>
            </w:r>
          </w:p>
        </w:tc>
        <w:tc>
          <w:tcPr>
            <w:tcW w:w="598" w:type="pct"/>
          </w:tcPr>
          <w:p w14:paraId="13FD2F1F" w14:textId="77777777" w:rsidR="00377531" w:rsidRPr="00377531" w:rsidRDefault="00377531" w:rsidP="004F2670">
            <w:pPr>
              <w:jc w:val="center"/>
              <w:rPr>
                <w:noProof/>
                <w:sz w:val="20"/>
                <w:szCs w:val="20"/>
              </w:rPr>
            </w:pPr>
            <w:r>
              <w:rPr>
                <w:noProof/>
                <w:sz w:val="20"/>
              </w:rPr>
              <w:t xml:space="preserve">Inde: Exportateur </w:t>
            </w:r>
            <w:r>
              <w:rPr>
                <w:noProof/>
                <w:sz w:val="20"/>
                <w:u w:val="single"/>
              </w:rPr>
              <w:t>n’utilisant pas</w:t>
            </w:r>
            <w:r>
              <w:rPr>
                <w:noProof/>
                <w:sz w:val="20"/>
              </w:rPr>
              <w:t xml:space="preserve"> de matière première </w:t>
            </w:r>
          </w:p>
        </w:tc>
        <w:tc>
          <w:tcPr>
            <w:tcW w:w="563" w:type="pct"/>
          </w:tcPr>
          <w:p w14:paraId="13FD2F20" w14:textId="77777777" w:rsidR="00377531" w:rsidRPr="00377531" w:rsidRDefault="00377531" w:rsidP="004F2670">
            <w:pPr>
              <w:jc w:val="center"/>
              <w:rPr>
                <w:noProof/>
                <w:sz w:val="20"/>
                <w:szCs w:val="20"/>
              </w:rPr>
            </w:pPr>
            <w:r>
              <w:rPr>
                <w:noProof/>
                <w:sz w:val="20"/>
              </w:rPr>
              <w:t>NON</w:t>
            </w:r>
          </w:p>
        </w:tc>
        <w:tc>
          <w:tcPr>
            <w:tcW w:w="570" w:type="pct"/>
          </w:tcPr>
          <w:p w14:paraId="13FD2F21" w14:textId="77777777" w:rsidR="00377531" w:rsidRPr="00377531" w:rsidRDefault="00377531" w:rsidP="004F2670">
            <w:pPr>
              <w:jc w:val="center"/>
              <w:rPr>
                <w:noProof/>
                <w:sz w:val="20"/>
                <w:szCs w:val="20"/>
              </w:rPr>
            </w:pPr>
            <w:r>
              <w:rPr>
                <w:noProof/>
                <w:sz w:val="20"/>
              </w:rPr>
              <w:t>OUI</w:t>
            </w:r>
          </w:p>
          <w:p w14:paraId="13FD2F22" w14:textId="77777777" w:rsidR="00377531" w:rsidRPr="00377531" w:rsidRDefault="00377531" w:rsidP="004F2670">
            <w:pPr>
              <w:jc w:val="center"/>
              <w:rPr>
                <w:noProof/>
                <w:sz w:val="20"/>
                <w:szCs w:val="20"/>
                <w:lang w:val="fr-BE"/>
              </w:rPr>
            </w:pPr>
          </w:p>
        </w:tc>
      </w:tr>
      <w:tr w:rsidR="00377531" w:rsidRPr="00377531" w14:paraId="13FD2F35" w14:textId="77777777" w:rsidTr="00377531">
        <w:tc>
          <w:tcPr>
            <w:tcW w:w="548" w:type="pct"/>
          </w:tcPr>
          <w:p w14:paraId="13FD2F24" w14:textId="77777777" w:rsidR="00377531" w:rsidRPr="00377531" w:rsidRDefault="00377531" w:rsidP="004F2670">
            <w:pPr>
              <w:jc w:val="center"/>
              <w:rPr>
                <w:noProof/>
                <w:sz w:val="20"/>
                <w:szCs w:val="20"/>
              </w:rPr>
            </w:pPr>
            <w:r>
              <w:rPr>
                <w:noProof/>
                <w:sz w:val="20"/>
              </w:rPr>
              <w:t>Monoéthylène glycol</w:t>
            </w:r>
          </w:p>
        </w:tc>
        <w:tc>
          <w:tcPr>
            <w:tcW w:w="471" w:type="pct"/>
          </w:tcPr>
          <w:p w14:paraId="13FD2F25" w14:textId="77777777" w:rsidR="00377531" w:rsidRPr="00377531" w:rsidRDefault="00377531" w:rsidP="004F2670">
            <w:pPr>
              <w:jc w:val="center"/>
              <w:rPr>
                <w:noProof/>
                <w:sz w:val="20"/>
                <w:szCs w:val="20"/>
              </w:rPr>
            </w:pPr>
            <w:r>
              <w:rPr>
                <w:noProof/>
                <w:sz w:val="20"/>
              </w:rPr>
              <w:t>Arabie saoudite</w:t>
            </w:r>
          </w:p>
          <w:p w14:paraId="13FD2F26" w14:textId="77777777" w:rsidR="00377531" w:rsidRPr="00377531" w:rsidRDefault="00377531" w:rsidP="004F2670">
            <w:pPr>
              <w:jc w:val="center"/>
              <w:rPr>
                <w:noProof/>
                <w:sz w:val="20"/>
                <w:szCs w:val="20"/>
              </w:rPr>
            </w:pPr>
            <w:r>
              <w:rPr>
                <w:noProof/>
                <w:sz w:val="20"/>
              </w:rPr>
              <w:t>États-Unis</w:t>
            </w:r>
          </w:p>
        </w:tc>
        <w:tc>
          <w:tcPr>
            <w:tcW w:w="630" w:type="pct"/>
          </w:tcPr>
          <w:p w14:paraId="13FD2F27" w14:textId="77777777" w:rsidR="00377531" w:rsidRPr="00377531" w:rsidRDefault="001D19D8" w:rsidP="004F2670">
            <w:pPr>
              <w:jc w:val="center"/>
              <w:rPr>
                <w:noProof/>
                <w:sz w:val="20"/>
                <w:szCs w:val="20"/>
              </w:rPr>
            </w:pPr>
            <w:hyperlink r:id="rId43" w:history="1">
              <w:r w:rsidR="004175A3">
                <w:rPr>
                  <w:rStyle w:val="Hyperlink"/>
                  <w:noProof/>
                  <w:sz w:val="20"/>
                </w:rPr>
                <w:t xml:space="preserve">Règlement provisoire </w:t>
              </w:r>
            </w:hyperlink>
          </w:p>
          <w:p w14:paraId="13FD2F28" w14:textId="77777777" w:rsidR="00377531" w:rsidRPr="00377531" w:rsidRDefault="00377531" w:rsidP="004F2670">
            <w:pPr>
              <w:jc w:val="center"/>
              <w:rPr>
                <w:noProof/>
                <w:sz w:val="20"/>
                <w:szCs w:val="20"/>
                <w:lang w:val="fr-BE"/>
              </w:rPr>
            </w:pPr>
          </w:p>
        </w:tc>
        <w:tc>
          <w:tcPr>
            <w:tcW w:w="471" w:type="pct"/>
          </w:tcPr>
          <w:p w14:paraId="13FD2F29" w14:textId="77777777" w:rsidR="00377531" w:rsidRPr="00377531" w:rsidRDefault="001D19D8" w:rsidP="004F2670">
            <w:pPr>
              <w:jc w:val="center"/>
              <w:rPr>
                <w:noProof/>
                <w:sz w:val="20"/>
                <w:szCs w:val="20"/>
              </w:rPr>
            </w:pPr>
            <w:hyperlink r:id="rId44" w:history="1">
              <w:r w:rsidR="004175A3">
                <w:rPr>
                  <w:rStyle w:val="Hyperlink"/>
                  <w:noProof/>
                  <w:sz w:val="20"/>
                </w:rPr>
                <w:t>Règlement définitif</w:t>
              </w:r>
            </w:hyperlink>
          </w:p>
          <w:p w14:paraId="13FD2F2A" w14:textId="77777777" w:rsidR="00377531" w:rsidRPr="00377531" w:rsidRDefault="00377531" w:rsidP="004F2670">
            <w:pPr>
              <w:jc w:val="center"/>
              <w:rPr>
                <w:noProof/>
                <w:sz w:val="20"/>
                <w:szCs w:val="20"/>
              </w:rPr>
            </w:pPr>
            <w:r>
              <w:rPr>
                <w:noProof/>
                <w:sz w:val="20"/>
              </w:rPr>
              <w:t xml:space="preserve"> </w:t>
            </w:r>
          </w:p>
        </w:tc>
        <w:tc>
          <w:tcPr>
            <w:tcW w:w="629" w:type="pct"/>
          </w:tcPr>
          <w:p w14:paraId="13FD2F2B" w14:textId="77777777" w:rsidR="00377531" w:rsidRPr="00377531" w:rsidRDefault="00377531" w:rsidP="004F2670">
            <w:pPr>
              <w:jc w:val="center"/>
              <w:rPr>
                <w:noProof/>
                <w:sz w:val="20"/>
                <w:szCs w:val="20"/>
              </w:rPr>
            </w:pPr>
            <w:r>
              <w:rPr>
                <w:noProof/>
                <w:sz w:val="20"/>
              </w:rPr>
              <w:t>NON</w:t>
            </w:r>
          </w:p>
        </w:tc>
        <w:tc>
          <w:tcPr>
            <w:tcW w:w="520" w:type="pct"/>
          </w:tcPr>
          <w:p w14:paraId="13FD2F2C" w14:textId="77777777" w:rsidR="00377531" w:rsidRPr="00377531" w:rsidRDefault="00377531" w:rsidP="004F2670">
            <w:pPr>
              <w:jc w:val="center"/>
              <w:rPr>
                <w:noProof/>
                <w:sz w:val="20"/>
                <w:szCs w:val="20"/>
              </w:rPr>
            </w:pPr>
            <w:r>
              <w:rPr>
                <w:noProof/>
                <w:sz w:val="20"/>
              </w:rPr>
              <w:t>—</w:t>
            </w:r>
          </w:p>
        </w:tc>
        <w:tc>
          <w:tcPr>
            <w:tcW w:w="598" w:type="pct"/>
          </w:tcPr>
          <w:p w14:paraId="13FD2F2D" w14:textId="77777777" w:rsidR="00377531" w:rsidRPr="00377531" w:rsidRDefault="00377531" w:rsidP="004F2670">
            <w:pPr>
              <w:jc w:val="center"/>
              <w:rPr>
                <w:noProof/>
                <w:sz w:val="20"/>
                <w:szCs w:val="20"/>
              </w:rPr>
            </w:pPr>
            <w:r>
              <w:rPr>
                <w:noProof/>
                <w:sz w:val="20"/>
              </w:rPr>
              <w:t>—</w:t>
            </w:r>
          </w:p>
        </w:tc>
        <w:tc>
          <w:tcPr>
            <w:tcW w:w="563" w:type="pct"/>
          </w:tcPr>
          <w:p w14:paraId="13FD2F2E" w14:textId="77777777" w:rsidR="00377531" w:rsidRPr="00377531" w:rsidRDefault="00377531" w:rsidP="004F2670">
            <w:pPr>
              <w:jc w:val="center"/>
              <w:rPr>
                <w:noProof/>
                <w:sz w:val="20"/>
                <w:szCs w:val="20"/>
              </w:rPr>
            </w:pPr>
            <w:r>
              <w:rPr>
                <w:noProof/>
                <w:sz w:val="20"/>
              </w:rPr>
              <w:t>—</w:t>
            </w:r>
          </w:p>
          <w:p w14:paraId="13FD2F2F" w14:textId="77777777" w:rsidR="00377531" w:rsidRPr="00377531" w:rsidRDefault="00377531" w:rsidP="004F2670">
            <w:pPr>
              <w:jc w:val="center"/>
              <w:rPr>
                <w:noProof/>
                <w:sz w:val="20"/>
                <w:szCs w:val="20"/>
              </w:rPr>
            </w:pPr>
          </w:p>
          <w:p w14:paraId="13FD2F30" w14:textId="77777777" w:rsidR="00377531" w:rsidRPr="00377531" w:rsidRDefault="00377531" w:rsidP="004F2670">
            <w:pPr>
              <w:jc w:val="center"/>
              <w:rPr>
                <w:noProof/>
                <w:sz w:val="20"/>
                <w:szCs w:val="20"/>
              </w:rPr>
            </w:pPr>
          </w:p>
        </w:tc>
        <w:tc>
          <w:tcPr>
            <w:tcW w:w="570" w:type="pct"/>
          </w:tcPr>
          <w:p w14:paraId="13FD2F31" w14:textId="77777777" w:rsidR="00377531" w:rsidRPr="00377531" w:rsidRDefault="00377531" w:rsidP="004F2670">
            <w:pPr>
              <w:jc w:val="center"/>
              <w:rPr>
                <w:noProof/>
                <w:sz w:val="20"/>
                <w:szCs w:val="20"/>
              </w:rPr>
            </w:pPr>
            <w:r>
              <w:rPr>
                <w:noProof/>
                <w:sz w:val="20"/>
              </w:rPr>
              <w:t>NON</w:t>
            </w:r>
          </w:p>
          <w:p w14:paraId="13FD2F32" w14:textId="77777777" w:rsidR="00377531" w:rsidRPr="00377531" w:rsidRDefault="00377531" w:rsidP="004F2670">
            <w:pPr>
              <w:jc w:val="center"/>
              <w:rPr>
                <w:noProof/>
                <w:sz w:val="20"/>
                <w:szCs w:val="20"/>
              </w:rPr>
            </w:pPr>
          </w:p>
          <w:p w14:paraId="7B9A09D3" w14:textId="77777777" w:rsidR="00FC735C" w:rsidRDefault="00377531" w:rsidP="004F2670">
            <w:pPr>
              <w:jc w:val="center"/>
              <w:rPr>
                <w:noProof/>
                <w:sz w:val="20"/>
              </w:rPr>
            </w:pPr>
            <w:r>
              <w:rPr>
                <w:noProof/>
                <w:sz w:val="20"/>
              </w:rPr>
              <w:t>États-Unis: Augmentation des importations de 39 %</w:t>
            </w:r>
          </w:p>
          <w:p w14:paraId="13FD2F34" w14:textId="2963FAD2" w:rsidR="00377531" w:rsidRPr="00377531" w:rsidRDefault="00377531" w:rsidP="004F2670">
            <w:pPr>
              <w:jc w:val="center"/>
              <w:rPr>
                <w:noProof/>
                <w:sz w:val="20"/>
                <w:szCs w:val="20"/>
              </w:rPr>
            </w:pPr>
            <w:r>
              <w:rPr>
                <w:noProof/>
                <w:sz w:val="20"/>
              </w:rPr>
              <w:t>Marge de préjudice ajustée - Arabie saoudite: Pas d’augmentation des importations</w:t>
            </w:r>
          </w:p>
        </w:tc>
      </w:tr>
      <w:tr w:rsidR="00377531" w:rsidRPr="00377531" w14:paraId="13FD2F43" w14:textId="77777777" w:rsidTr="00377531">
        <w:tc>
          <w:tcPr>
            <w:tcW w:w="548" w:type="pct"/>
          </w:tcPr>
          <w:p w14:paraId="13FD2F36" w14:textId="77777777" w:rsidR="00377531" w:rsidRPr="00377531" w:rsidRDefault="00377531" w:rsidP="004F2670">
            <w:pPr>
              <w:jc w:val="center"/>
              <w:rPr>
                <w:noProof/>
                <w:sz w:val="20"/>
                <w:szCs w:val="20"/>
              </w:rPr>
            </w:pPr>
            <w:r>
              <w:rPr>
                <w:noProof/>
                <w:sz w:val="20"/>
              </w:rPr>
              <w:t>Contreplaqué de bouleau</w:t>
            </w:r>
          </w:p>
        </w:tc>
        <w:tc>
          <w:tcPr>
            <w:tcW w:w="471" w:type="pct"/>
          </w:tcPr>
          <w:p w14:paraId="13FD2F37" w14:textId="77777777" w:rsidR="00377531" w:rsidRPr="00377531" w:rsidRDefault="00377531" w:rsidP="004F2670">
            <w:pPr>
              <w:jc w:val="center"/>
              <w:rPr>
                <w:noProof/>
                <w:sz w:val="20"/>
                <w:szCs w:val="20"/>
              </w:rPr>
            </w:pPr>
            <w:r>
              <w:rPr>
                <w:noProof/>
                <w:sz w:val="20"/>
              </w:rPr>
              <w:t>Russie</w:t>
            </w:r>
          </w:p>
        </w:tc>
        <w:tc>
          <w:tcPr>
            <w:tcW w:w="630" w:type="pct"/>
          </w:tcPr>
          <w:p w14:paraId="13FD2F38" w14:textId="77777777" w:rsidR="00377531" w:rsidRPr="00377531" w:rsidRDefault="001D19D8" w:rsidP="004F2670">
            <w:pPr>
              <w:jc w:val="center"/>
              <w:rPr>
                <w:noProof/>
                <w:sz w:val="20"/>
                <w:szCs w:val="20"/>
              </w:rPr>
            </w:pPr>
            <w:hyperlink r:id="rId45" w:history="1">
              <w:r w:rsidR="004175A3">
                <w:rPr>
                  <w:rStyle w:val="Hyperlink"/>
                  <w:noProof/>
                  <w:sz w:val="20"/>
                </w:rPr>
                <w:t>Règlement provisoire</w:t>
              </w:r>
            </w:hyperlink>
          </w:p>
          <w:p w14:paraId="13FD2F39" w14:textId="77777777" w:rsidR="00377531" w:rsidRPr="00377531" w:rsidRDefault="00377531" w:rsidP="004F2670">
            <w:pPr>
              <w:jc w:val="center"/>
              <w:rPr>
                <w:noProof/>
                <w:sz w:val="20"/>
                <w:szCs w:val="20"/>
                <w:lang w:val="fr-BE"/>
              </w:rPr>
            </w:pPr>
          </w:p>
        </w:tc>
        <w:tc>
          <w:tcPr>
            <w:tcW w:w="471" w:type="pct"/>
          </w:tcPr>
          <w:p w14:paraId="13FD2F3A" w14:textId="77777777" w:rsidR="00377531" w:rsidRPr="00377531" w:rsidRDefault="001D19D8" w:rsidP="004F2670">
            <w:pPr>
              <w:jc w:val="center"/>
              <w:rPr>
                <w:noProof/>
                <w:sz w:val="20"/>
                <w:szCs w:val="20"/>
              </w:rPr>
            </w:pPr>
            <w:hyperlink r:id="rId46" w:history="1">
              <w:r w:rsidR="004175A3">
                <w:rPr>
                  <w:rStyle w:val="Hyperlink"/>
                  <w:noProof/>
                  <w:sz w:val="20"/>
                </w:rPr>
                <w:t>Règlement définitif</w:t>
              </w:r>
            </w:hyperlink>
          </w:p>
          <w:p w14:paraId="13FD2F3B" w14:textId="77777777" w:rsidR="00377531" w:rsidRPr="00377531" w:rsidRDefault="00377531" w:rsidP="004F2670">
            <w:pPr>
              <w:jc w:val="center"/>
              <w:rPr>
                <w:noProof/>
                <w:sz w:val="20"/>
                <w:szCs w:val="20"/>
              </w:rPr>
            </w:pPr>
            <w:r>
              <w:rPr>
                <w:noProof/>
                <w:sz w:val="20"/>
              </w:rPr>
              <w:t xml:space="preserve"> </w:t>
            </w:r>
          </w:p>
        </w:tc>
        <w:tc>
          <w:tcPr>
            <w:tcW w:w="629" w:type="pct"/>
          </w:tcPr>
          <w:p w14:paraId="13FD2F3C" w14:textId="77777777" w:rsidR="00377531" w:rsidRPr="00377531" w:rsidRDefault="00377531" w:rsidP="004F2670">
            <w:pPr>
              <w:jc w:val="center"/>
              <w:rPr>
                <w:noProof/>
                <w:sz w:val="20"/>
                <w:szCs w:val="20"/>
              </w:rPr>
            </w:pPr>
            <w:r>
              <w:rPr>
                <w:noProof/>
                <w:sz w:val="20"/>
              </w:rPr>
              <w:t>NON</w:t>
            </w:r>
          </w:p>
        </w:tc>
        <w:tc>
          <w:tcPr>
            <w:tcW w:w="520" w:type="pct"/>
          </w:tcPr>
          <w:p w14:paraId="13FD2F3D" w14:textId="77777777" w:rsidR="00377531" w:rsidRPr="00377531" w:rsidRDefault="00377531" w:rsidP="004F2670">
            <w:pPr>
              <w:jc w:val="center"/>
              <w:rPr>
                <w:noProof/>
                <w:sz w:val="20"/>
                <w:szCs w:val="20"/>
              </w:rPr>
            </w:pPr>
            <w:r>
              <w:rPr>
                <w:noProof/>
                <w:sz w:val="20"/>
              </w:rPr>
              <w:t>—</w:t>
            </w:r>
          </w:p>
        </w:tc>
        <w:tc>
          <w:tcPr>
            <w:tcW w:w="598" w:type="pct"/>
          </w:tcPr>
          <w:p w14:paraId="13FD2F3E" w14:textId="77777777" w:rsidR="00377531" w:rsidRPr="00377531" w:rsidRDefault="00377531" w:rsidP="004F2670">
            <w:pPr>
              <w:jc w:val="center"/>
              <w:rPr>
                <w:noProof/>
                <w:sz w:val="20"/>
                <w:szCs w:val="20"/>
              </w:rPr>
            </w:pPr>
            <w:r>
              <w:rPr>
                <w:noProof/>
                <w:sz w:val="20"/>
              </w:rPr>
              <w:t>—</w:t>
            </w:r>
          </w:p>
        </w:tc>
        <w:tc>
          <w:tcPr>
            <w:tcW w:w="563" w:type="pct"/>
          </w:tcPr>
          <w:p w14:paraId="13FD2F3F" w14:textId="77777777" w:rsidR="00377531" w:rsidRPr="00377531" w:rsidRDefault="00377531" w:rsidP="004F2670">
            <w:pPr>
              <w:jc w:val="center"/>
              <w:rPr>
                <w:noProof/>
                <w:sz w:val="20"/>
                <w:szCs w:val="20"/>
              </w:rPr>
            </w:pPr>
            <w:r>
              <w:rPr>
                <w:noProof/>
                <w:sz w:val="20"/>
              </w:rPr>
              <w:t>—</w:t>
            </w:r>
          </w:p>
        </w:tc>
        <w:tc>
          <w:tcPr>
            <w:tcW w:w="570" w:type="pct"/>
          </w:tcPr>
          <w:p w14:paraId="13FD2F40" w14:textId="77777777" w:rsidR="00377531" w:rsidRPr="00377531" w:rsidRDefault="00377531" w:rsidP="004F2670">
            <w:pPr>
              <w:jc w:val="center"/>
              <w:rPr>
                <w:noProof/>
                <w:sz w:val="20"/>
                <w:szCs w:val="20"/>
              </w:rPr>
            </w:pPr>
            <w:r>
              <w:rPr>
                <w:noProof/>
                <w:sz w:val="20"/>
              </w:rPr>
              <w:t>NON</w:t>
            </w:r>
          </w:p>
          <w:p w14:paraId="13FD2F41" w14:textId="77777777" w:rsidR="00377531" w:rsidRPr="00377531" w:rsidRDefault="00377531" w:rsidP="004F2670">
            <w:pPr>
              <w:jc w:val="center"/>
              <w:rPr>
                <w:noProof/>
                <w:sz w:val="20"/>
                <w:szCs w:val="20"/>
              </w:rPr>
            </w:pPr>
          </w:p>
          <w:p w14:paraId="13FD2F42" w14:textId="77777777" w:rsidR="00377531" w:rsidRPr="00377531" w:rsidRDefault="00377531" w:rsidP="004F2670">
            <w:pPr>
              <w:jc w:val="center"/>
              <w:rPr>
                <w:noProof/>
                <w:sz w:val="20"/>
                <w:szCs w:val="20"/>
              </w:rPr>
            </w:pPr>
            <w:r>
              <w:rPr>
                <w:noProof/>
                <w:sz w:val="20"/>
              </w:rPr>
              <w:t xml:space="preserve">  Augmentation des importations de 98,6 % - Marge de préjudice ajustée par un facteur de 1,02 </w:t>
            </w:r>
          </w:p>
        </w:tc>
      </w:tr>
      <w:tr w:rsidR="00377531" w:rsidRPr="00377531" w14:paraId="13FD2F54" w14:textId="77777777" w:rsidTr="00377531">
        <w:tc>
          <w:tcPr>
            <w:tcW w:w="548" w:type="pct"/>
          </w:tcPr>
          <w:p w14:paraId="13FD2F44" w14:textId="77777777" w:rsidR="00377531" w:rsidRPr="00377531" w:rsidRDefault="00377531" w:rsidP="004F2670">
            <w:pPr>
              <w:jc w:val="center"/>
              <w:rPr>
                <w:noProof/>
                <w:sz w:val="20"/>
                <w:szCs w:val="20"/>
              </w:rPr>
            </w:pPr>
            <w:r>
              <w:rPr>
                <w:noProof/>
                <w:sz w:val="20"/>
              </w:rPr>
              <w:t>Feuilles et bandes minces en aluminium</w:t>
            </w:r>
          </w:p>
        </w:tc>
        <w:tc>
          <w:tcPr>
            <w:tcW w:w="471" w:type="pct"/>
          </w:tcPr>
          <w:p w14:paraId="13FD2F45" w14:textId="77777777" w:rsidR="00377531" w:rsidRPr="00377531" w:rsidRDefault="00377531" w:rsidP="004F2670">
            <w:pPr>
              <w:jc w:val="center"/>
              <w:rPr>
                <w:noProof/>
                <w:sz w:val="20"/>
                <w:szCs w:val="20"/>
              </w:rPr>
            </w:pPr>
            <w:r>
              <w:rPr>
                <w:noProof/>
                <w:sz w:val="20"/>
              </w:rPr>
              <w:t>Chine</w:t>
            </w:r>
          </w:p>
        </w:tc>
        <w:tc>
          <w:tcPr>
            <w:tcW w:w="630" w:type="pct"/>
          </w:tcPr>
          <w:p w14:paraId="13FD2F46" w14:textId="77777777" w:rsidR="00377531" w:rsidRPr="00377531" w:rsidRDefault="001D19D8" w:rsidP="004F2670">
            <w:pPr>
              <w:jc w:val="center"/>
              <w:rPr>
                <w:noProof/>
                <w:sz w:val="20"/>
                <w:szCs w:val="20"/>
              </w:rPr>
            </w:pPr>
            <w:hyperlink r:id="rId47" w:history="1">
              <w:r w:rsidR="004175A3">
                <w:rPr>
                  <w:rStyle w:val="Hyperlink"/>
                  <w:noProof/>
                  <w:sz w:val="20"/>
                </w:rPr>
                <w:t xml:space="preserve">Règlement provisoire </w:t>
              </w:r>
            </w:hyperlink>
          </w:p>
          <w:p w14:paraId="13FD2F47" w14:textId="77777777" w:rsidR="00377531" w:rsidRPr="00377531" w:rsidRDefault="00377531" w:rsidP="004F2670">
            <w:pPr>
              <w:jc w:val="center"/>
              <w:rPr>
                <w:noProof/>
                <w:sz w:val="20"/>
                <w:szCs w:val="20"/>
                <w:lang w:val="fr-BE"/>
              </w:rPr>
            </w:pPr>
          </w:p>
        </w:tc>
        <w:tc>
          <w:tcPr>
            <w:tcW w:w="471" w:type="pct"/>
          </w:tcPr>
          <w:p w14:paraId="13FD2F48" w14:textId="77777777" w:rsidR="00377531" w:rsidRPr="00377531" w:rsidRDefault="001D19D8" w:rsidP="004F2670">
            <w:pPr>
              <w:jc w:val="center"/>
              <w:rPr>
                <w:rStyle w:val="Hyperlink"/>
                <w:noProof/>
                <w:sz w:val="20"/>
                <w:szCs w:val="20"/>
              </w:rPr>
            </w:pPr>
            <w:hyperlink r:id="rId48" w:history="1">
              <w:r w:rsidR="004175A3">
                <w:rPr>
                  <w:rStyle w:val="Hyperlink"/>
                  <w:noProof/>
                  <w:sz w:val="20"/>
                </w:rPr>
                <w:t xml:space="preserve">Règlement définitif </w:t>
              </w:r>
            </w:hyperlink>
          </w:p>
          <w:p w14:paraId="13FD2F49" w14:textId="77777777" w:rsidR="00377531" w:rsidRPr="00377531" w:rsidRDefault="00377531" w:rsidP="004F2670">
            <w:pPr>
              <w:jc w:val="center"/>
              <w:rPr>
                <w:noProof/>
                <w:sz w:val="20"/>
                <w:szCs w:val="20"/>
              </w:rPr>
            </w:pPr>
          </w:p>
        </w:tc>
        <w:tc>
          <w:tcPr>
            <w:tcW w:w="629" w:type="pct"/>
          </w:tcPr>
          <w:p w14:paraId="13FD2F4A" w14:textId="77777777" w:rsidR="00377531" w:rsidRPr="00377531" w:rsidRDefault="00377531" w:rsidP="004F2670">
            <w:pPr>
              <w:jc w:val="center"/>
              <w:rPr>
                <w:noProof/>
                <w:sz w:val="20"/>
                <w:szCs w:val="20"/>
              </w:rPr>
            </w:pPr>
            <w:r>
              <w:rPr>
                <w:noProof/>
                <w:sz w:val="20"/>
              </w:rPr>
              <w:t>OUI</w:t>
            </w:r>
          </w:p>
        </w:tc>
        <w:tc>
          <w:tcPr>
            <w:tcW w:w="520" w:type="pct"/>
          </w:tcPr>
          <w:p w14:paraId="13FD2F4B" w14:textId="77777777" w:rsidR="00377531" w:rsidRPr="00377531" w:rsidRDefault="00377531" w:rsidP="004F2670">
            <w:pPr>
              <w:jc w:val="center"/>
              <w:rPr>
                <w:noProof/>
                <w:sz w:val="20"/>
                <w:szCs w:val="20"/>
              </w:rPr>
            </w:pPr>
            <w:r>
              <w:rPr>
                <w:noProof/>
                <w:sz w:val="20"/>
              </w:rPr>
              <w:t>OUI</w:t>
            </w:r>
          </w:p>
        </w:tc>
        <w:tc>
          <w:tcPr>
            <w:tcW w:w="598" w:type="pct"/>
          </w:tcPr>
          <w:p w14:paraId="13FD2F4C" w14:textId="77777777" w:rsidR="00377531" w:rsidRPr="00377531" w:rsidRDefault="00377531" w:rsidP="004F2670">
            <w:pPr>
              <w:jc w:val="center"/>
              <w:rPr>
                <w:noProof/>
                <w:sz w:val="20"/>
                <w:szCs w:val="20"/>
              </w:rPr>
            </w:pPr>
            <w:r>
              <w:rPr>
                <w:noProof/>
                <w:sz w:val="20"/>
              </w:rPr>
              <w:t>Lingots d’aluminium</w:t>
            </w:r>
          </w:p>
          <w:p w14:paraId="13FD2F4D" w14:textId="77777777" w:rsidR="00377531" w:rsidRPr="00377531" w:rsidRDefault="00377531" w:rsidP="004F2670">
            <w:pPr>
              <w:jc w:val="both"/>
              <w:rPr>
                <w:noProof/>
                <w:sz w:val="20"/>
                <w:szCs w:val="20"/>
              </w:rPr>
            </w:pPr>
            <w:r>
              <w:rPr>
                <w:noProof/>
                <w:sz w:val="20"/>
              </w:rPr>
              <w:t>&gt;17 % du CDP</w:t>
            </w:r>
          </w:p>
          <w:p w14:paraId="13FD2F4E" w14:textId="77777777" w:rsidR="00377531" w:rsidRPr="00377531" w:rsidRDefault="00377531" w:rsidP="004F2670">
            <w:pPr>
              <w:jc w:val="both"/>
              <w:rPr>
                <w:noProof/>
                <w:sz w:val="20"/>
                <w:szCs w:val="20"/>
              </w:rPr>
            </w:pPr>
          </w:p>
          <w:p w14:paraId="13FD2F4F" w14:textId="77777777" w:rsidR="00377531" w:rsidRPr="00377531" w:rsidRDefault="00377531" w:rsidP="004F2670">
            <w:pPr>
              <w:jc w:val="center"/>
              <w:rPr>
                <w:noProof/>
                <w:sz w:val="20"/>
                <w:szCs w:val="20"/>
              </w:rPr>
            </w:pPr>
            <w:r>
              <w:rPr>
                <w:noProof/>
                <w:sz w:val="20"/>
              </w:rPr>
              <w:t xml:space="preserve">Les prix </w:t>
            </w:r>
            <w:r>
              <w:rPr>
                <w:noProof/>
                <w:sz w:val="20"/>
                <w:u w:val="single"/>
              </w:rPr>
              <w:t>ne sont pas</w:t>
            </w:r>
            <w:r>
              <w:rPr>
                <w:noProof/>
                <w:sz w:val="20"/>
              </w:rPr>
              <w:t xml:space="preserve"> significativement inférieurs au prix de référence.</w:t>
            </w:r>
          </w:p>
        </w:tc>
        <w:tc>
          <w:tcPr>
            <w:tcW w:w="563" w:type="pct"/>
          </w:tcPr>
          <w:p w14:paraId="13FD2F50" w14:textId="77777777" w:rsidR="00377531" w:rsidRPr="00377531" w:rsidRDefault="00377531" w:rsidP="004F2670">
            <w:pPr>
              <w:jc w:val="center"/>
              <w:rPr>
                <w:noProof/>
                <w:sz w:val="20"/>
                <w:szCs w:val="20"/>
              </w:rPr>
            </w:pPr>
            <w:r>
              <w:rPr>
                <w:noProof/>
                <w:sz w:val="20"/>
              </w:rPr>
              <w:t>NON</w:t>
            </w:r>
          </w:p>
        </w:tc>
        <w:tc>
          <w:tcPr>
            <w:tcW w:w="570" w:type="pct"/>
          </w:tcPr>
          <w:p w14:paraId="13FD2F51" w14:textId="77777777" w:rsidR="00377531" w:rsidRPr="00377531" w:rsidRDefault="00377531" w:rsidP="004F2670">
            <w:pPr>
              <w:jc w:val="center"/>
              <w:rPr>
                <w:noProof/>
                <w:sz w:val="20"/>
                <w:szCs w:val="20"/>
              </w:rPr>
            </w:pPr>
            <w:r>
              <w:rPr>
                <w:noProof/>
                <w:sz w:val="20"/>
              </w:rPr>
              <w:t>NON</w:t>
            </w:r>
          </w:p>
          <w:p w14:paraId="13FD2F52" w14:textId="77777777" w:rsidR="00377531" w:rsidRPr="00377531" w:rsidRDefault="00377531" w:rsidP="004F2670">
            <w:pPr>
              <w:jc w:val="center"/>
              <w:rPr>
                <w:noProof/>
                <w:sz w:val="20"/>
                <w:szCs w:val="20"/>
              </w:rPr>
            </w:pPr>
          </w:p>
          <w:p w14:paraId="13FD2F53" w14:textId="77777777" w:rsidR="00377531" w:rsidRPr="00377531" w:rsidRDefault="00377531" w:rsidP="004F2670">
            <w:pPr>
              <w:jc w:val="center"/>
              <w:rPr>
                <w:noProof/>
                <w:sz w:val="20"/>
                <w:szCs w:val="20"/>
              </w:rPr>
            </w:pPr>
            <w:r>
              <w:rPr>
                <w:noProof/>
                <w:sz w:val="20"/>
              </w:rPr>
              <w:t xml:space="preserve">Baisse des importations de 47 % </w:t>
            </w:r>
          </w:p>
        </w:tc>
      </w:tr>
      <w:tr w:rsidR="00377531" w:rsidRPr="00377531" w14:paraId="13FD2F5F" w14:textId="77777777" w:rsidTr="00377531">
        <w:tc>
          <w:tcPr>
            <w:tcW w:w="548" w:type="pct"/>
          </w:tcPr>
          <w:p w14:paraId="13FD2F55" w14:textId="77777777" w:rsidR="00377531" w:rsidRPr="00377531" w:rsidRDefault="00377531" w:rsidP="004F2670">
            <w:pPr>
              <w:jc w:val="center"/>
              <w:rPr>
                <w:noProof/>
                <w:sz w:val="20"/>
                <w:szCs w:val="20"/>
              </w:rPr>
            </w:pPr>
            <w:r>
              <w:rPr>
                <w:noProof/>
                <w:sz w:val="20"/>
              </w:rPr>
              <w:t>Mâts d’éoliennes en acier</w:t>
            </w:r>
          </w:p>
        </w:tc>
        <w:tc>
          <w:tcPr>
            <w:tcW w:w="471" w:type="pct"/>
          </w:tcPr>
          <w:p w14:paraId="13FD2F56" w14:textId="77777777" w:rsidR="00377531" w:rsidRPr="00377531" w:rsidRDefault="00377531" w:rsidP="004F2670">
            <w:pPr>
              <w:jc w:val="center"/>
              <w:rPr>
                <w:noProof/>
                <w:sz w:val="20"/>
                <w:szCs w:val="20"/>
              </w:rPr>
            </w:pPr>
            <w:r>
              <w:rPr>
                <w:noProof/>
                <w:sz w:val="20"/>
              </w:rPr>
              <w:t>Chine</w:t>
            </w:r>
          </w:p>
        </w:tc>
        <w:tc>
          <w:tcPr>
            <w:tcW w:w="630" w:type="pct"/>
          </w:tcPr>
          <w:p w14:paraId="13FD2F57" w14:textId="77777777" w:rsidR="00377531" w:rsidRPr="00377531" w:rsidRDefault="00377531" w:rsidP="004F2670">
            <w:pPr>
              <w:jc w:val="center"/>
              <w:rPr>
                <w:noProof/>
                <w:sz w:val="20"/>
                <w:szCs w:val="20"/>
              </w:rPr>
            </w:pPr>
            <w:r>
              <w:rPr>
                <w:noProof/>
                <w:sz w:val="20"/>
              </w:rPr>
              <w:t>—</w:t>
            </w:r>
          </w:p>
        </w:tc>
        <w:tc>
          <w:tcPr>
            <w:tcW w:w="471" w:type="pct"/>
          </w:tcPr>
          <w:p w14:paraId="13FD2F58" w14:textId="77777777" w:rsidR="00377531" w:rsidRPr="00377531" w:rsidRDefault="001D19D8" w:rsidP="004F2670">
            <w:pPr>
              <w:jc w:val="center"/>
              <w:rPr>
                <w:noProof/>
                <w:sz w:val="20"/>
                <w:szCs w:val="20"/>
              </w:rPr>
            </w:pPr>
            <w:hyperlink r:id="rId49" w:history="1">
              <w:r w:rsidR="004175A3">
                <w:rPr>
                  <w:rStyle w:val="Hyperlink"/>
                  <w:noProof/>
                  <w:sz w:val="20"/>
                </w:rPr>
                <w:t xml:space="preserve">Règlement définitif </w:t>
              </w:r>
            </w:hyperlink>
          </w:p>
        </w:tc>
        <w:tc>
          <w:tcPr>
            <w:tcW w:w="629" w:type="pct"/>
          </w:tcPr>
          <w:p w14:paraId="13FD2F59" w14:textId="77777777" w:rsidR="00377531" w:rsidRPr="00377531" w:rsidRDefault="00377531" w:rsidP="004F2670">
            <w:pPr>
              <w:jc w:val="center"/>
              <w:rPr>
                <w:noProof/>
                <w:sz w:val="20"/>
                <w:szCs w:val="20"/>
              </w:rPr>
            </w:pPr>
            <w:r>
              <w:rPr>
                <w:noProof/>
                <w:sz w:val="20"/>
              </w:rPr>
              <w:t>NON</w:t>
            </w:r>
          </w:p>
        </w:tc>
        <w:tc>
          <w:tcPr>
            <w:tcW w:w="520" w:type="pct"/>
          </w:tcPr>
          <w:p w14:paraId="13FD2F5A" w14:textId="77777777" w:rsidR="00377531" w:rsidRPr="00377531" w:rsidRDefault="00377531" w:rsidP="004F2670">
            <w:pPr>
              <w:jc w:val="center"/>
              <w:rPr>
                <w:noProof/>
                <w:sz w:val="20"/>
                <w:szCs w:val="20"/>
              </w:rPr>
            </w:pPr>
            <w:r>
              <w:rPr>
                <w:noProof/>
                <w:sz w:val="20"/>
              </w:rPr>
              <w:t>—</w:t>
            </w:r>
          </w:p>
        </w:tc>
        <w:tc>
          <w:tcPr>
            <w:tcW w:w="598" w:type="pct"/>
          </w:tcPr>
          <w:p w14:paraId="13FD2F5B" w14:textId="77777777" w:rsidR="00377531" w:rsidRPr="00377531" w:rsidRDefault="00377531" w:rsidP="004F2670">
            <w:pPr>
              <w:jc w:val="center"/>
              <w:rPr>
                <w:noProof/>
                <w:sz w:val="20"/>
                <w:szCs w:val="20"/>
              </w:rPr>
            </w:pPr>
            <w:r>
              <w:rPr>
                <w:noProof/>
                <w:sz w:val="20"/>
              </w:rPr>
              <w:t>—</w:t>
            </w:r>
          </w:p>
        </w:tc>
        <w:tc>
          <w:tcPr>
            <w:tcW w:w="563" w:type="pct"/>
          </w:tcPr>
          <w:p w14:paraId="13FD2F5C" w14:textId="77777777" w:rsidR="00377531" w:rsidRPr="00377531" w:rsidRDefault="00377531" w:rsidP="004F2670">
            <w:pPr>
              <w:jc w:val="center"/>
              <w:rPr>
                <w:noProof/>
                <w:sz w:val="20"/>
                <w:szCs w:val="20"/>
              </w:rPr>
            </w:pPr>
            <w:r>
              <w:rPr>
                <w:noProof/>
                <w:sz w:val="20"/>
              </w:rPr>
              <w:t>—</w:t>
            </w:r>
          </w:p>
        </w:tc>
        <w:tc>
          <w:tcPr>
            <w:tcW w:w="570" w:type="pct"/>
          </w:tcPr>
          <w:p w14:paraId="13FD2F5D" w14:textId="77777777" w:rsidR="00377531" w:rsidRPr="00377531" w:rsidRDefault="00377531" w:rsidP="004F2670">
            <w:pPr>
              <w:jc w:val="center"/>
              <w:rPr>
                <w:noProof/>
                <w:sz w:val="20"/>
                <w:szCs w:val="20"/>
              </w:rPr>
            </w:pPr>
            <w:r>
              <w:rPr>
                <w:noProof/>
                <w:sz w:val="20"/>
              </w:rPr>
              <w:t>S.O.</w:t>
            </w:r>
          </w:p>
          <w:p w14:paraId="13FD2F5E" w14:textId="77777777" w:rsidR="00377531" w:rsidRPr="00377531" w:rsidRDefault="00377531" w:rsidP="004F2670">
            <w:pPr>
              <w:jc w:val="center"/>
              <w:rPr>
                <w:noProof/>
                <w:sz w:val="20"/>
                <w:szCs w:val="20"/>
              </w:rPr>
            </w:pPr>
          </w:p>
        </w:tc>
      </w:tr>
      <w:tr w:rsidR="00377531" w:rsidRPr="00377531" w14:paraId="13FD2F6A" w14:textId="77777777" w:rsidTr="00377531">
        <w:tc>
          <w:tcPr>
            <w:tcW w:w="548" w:type="pct"/>
          </w:tcPr>
          <w:p w14:paraId="13FD2F60" w14:textId="77777777" w:rsidR="00377531" w:rsidRPr="00377531" w:rsidRDefault="00377531" w:rsidP="004F2670">
            <w:pPr>
              <w:jc w:val="center"/>
              <w:rPr>
                <w:noProof/>
                <w:sz w:val="20"/>
                <w:szCs w:val="20"/>
              </w:rPr>
            </w:pPr>
            <w:r>
              <w:rPr>
                <w:noProof/>
                <w:sz w:val="20"/>
              </w:rPr>
              <w:t>Éléments de fixation en fer ou en acier</w:t>
            </w:r>
          </w:p>
        </w:tc>
        <w:tc>
          <w:tcPr>
            <w:tcW w:w="471" w:type="pct"/>
          </w:tcPr>
          <w:p w14:paraId="13FD2F61" w14:textId="77777777" w:rsidR="00377531" w:rsidRPr="00377531" w:rsidRDefault="00377531" w:rsidP="004F2670">
            <w:pPr>
              <w:jc w:val="center"/>
              <w:rPr>
                <w:noProof/>
                <w:sz w:val="20"/>
                <w:szCs w:val="20"/>
              </w:rPr>
            </w:pPr>
            <w:r>
              <w:rPr>
                <w:noProof/>
                <w:sz w:val="20"/>
              </w:rPr>
              <w:t>Chine</w:t>
            </w:r>
          </w:p>
        </w:tc>
        <w:tc>
          <w:tcPr>
            <w:tcW w:w="630" w:type="pct"/>
          </w:tcPr>
          <w:p w14:paraId="13FD2F62" w14:textId="77777777" w:rsidR="00377531" w:rsidRPr="00377531" w:rsidRDefault="00377531" w:rsidP="004F2670">
            <w:pPr>
              <w:jc w:val="center"/>
              <w:rPr>
                <w:noProof/>
                <w:sz w:val="20"/>
                <w:szCs w:val="20"/>
              </w:rPr>
            </w:pPr>
            <w:r>
              <w:rPr>
                <w:noProof/>
                <w:sz w:val="20"/>
              </w:rPr>
              <w:t>—</w:t>
            </w:r>
          </w:p>
        </w:tc>
        <w:tc>
          <w:tcPr>
            <w:tcW w:w="471" w:type="pct"/>
          </w:tcPr>
          <w:p w14:paraId="13FD2F63" w14:textId="77777777" w:rsidR="00377531" w:rsidRPr="00377531" w:rsidRDefault="001D19D8" w:rsidP="004F2670">
            <w:pPr>
              <w:jc w:val="center"/>
              <w:rPr>
                <w:noProof/>
                <w:sz w:val="20"/>
                <w:szCs w:val="20"/>
              </w:rPr>
            </w:pPr>
            <w:hyperlink r:id="rId50" w:history="1">
              <w:r w:rsidR="004175A3">
                <w:rPr>
                  <w:rStyle w:val="Hyperlink"/>
                  <w:noProof/>
                  <w:sz w:val="20"/>
                </w:rPr>
                <w:t xml:space="preserve">Règlement définitif </w:t>
              </w:r>
            </w:hyperlink>
          </w:p>
        </w:tc>
        <w:tc>
          <w:tcPr>
            <w:tcW w:w="629" w:type="pct"/>
          </w:tcPr>
          <w:p w14:paraId="13FD2F64" w14:textId="77777777" w:rsidR="00377531" w:rsidRPr="00377531" w:rsidRDefault="00377531" w:rsidP="004F2670">
            <w:pPr>
              <w:jc w:val="center"/>
              <w:rPr>
                <w:noProof/>
                <w:sz w:val="20"/>
                <w:szCs w:val="20"/>
              </w:rPr>
            </w:pPr>
            <w:r>
              <w:rPr>
                <w:noProof/>
                <w:sz w:val="20"/>
              </w:rPr>
              <w:t>NON</w:t>
            </w:r>
          </w:p>
        </w:tc>
        <w:tc>
          <w:tcPr>
            <w:tcW w:w="520" w:type="pct"/>
          </w:tcPr>
          <w:p w14:paraId="13FD2F65" w14:textId="77777777" w:rsidR="00377531" w:rsidRPr="00377531" w:rsidRDefault="00377531" w:rsidP="004F2670">
            <w:pPr>
              <w:jc w:val="center"/>
              <w:rPr>
                <w:noProof/>
                <w:sz w:val="20"/>
                <w:szCs w:val="20"/>
              </w:rPr>
            </w:pPr>
            <w:r>
              <w:rPr>
                <w:noProof/>
                <w:sz w:val="20"/>
              </w:rPr>
              <w:t>—</w:t>
            </w:r>
          </w:p>
        </w:tc>
        <w:tc>
          <w:tcPr>
            <w:tcW w:w="598" w:type="pct"/>
          </w:tcPr>
          <w:p w14:paraId="13FD2F66" w14:textId="77777777" w:rsidR="00377531" w:rsidRPr="00377531" w:rsidRDefault="00377531" w:rsidP="004F2670">
            <w:pPr>
              <w:jc w:val="center"/>
              <w:rPr>
                <w:noProof/>
                <w:sz w:val="20"/>
                <w:szCs w:val="20"/>
              </w:rPr>
            </w:pPr>
            <w:r>
              <w:rPr>
                <w:noProof/>
                <w:sz w:val="20"/>
              </w:rPr>
              <w:t>—</w:t>
            </w:r>
          </w:p>
        </w:tc>
        <w:tc>
          <w:tcPr>
            <w:tcW w:w="563" w:type="pct"/>
          </w:tcPr>
          <w:p w14:paraId="13FD2F67" w14:textId="77777777" w:rsidR="00377531" w:rsidRPr="00377531" w:rsidRDefault="00377531" w:rsidP="004F2670">
            <w:pPr>
              <w:jc w:val="center"/>
              <w:rPr>
                <w:noProof/>
                <w:sz w:val="20"/>
                <w:szCs w:val="20"/>
              </w:rPr>
            </w:pPr>
            <w:r>
              <w:rPr>
                <w:noProof/>
                <w:sz w:val="20"/>
              </w:rPr>
              <w:t>—</w:t>
            </w:r>
          </w:p>
        </w:tc>
        <w:tc>
          <w:tcPr>
            <w:tcW w:w="570" w:type="pct"/>
          </w:tcPr>
          <w:p w14:paraId="13FD2F68" w14:textId="77777777" w:rsidR="00377531" w:rsidRPr="00377531" w:rsidRDefault="00377531" w:rsidP="004F2670">
            <w:pPr>
              <w:jc w:val="center"/>
              <w:rPr>
                <w:noProof/>
                <w:sz w:val="20"/>
                <w:szCs w:val="20"/>
              </w:rPr>
            </w:pPr>
            <w:r>
              <w:rPr>
                <w:noProof/>
                <w:sz w:val="20"/>
              </w:rPr>
              <w:t>S.O.</w:t>
            </w:r>
          </w:p>
          <w:p w14:paraId="13FD2F69" w14:textId="77777777" w:rsidR="00377531" w:rsidRPr="00377531" w:rsidRDefault="00377531" w:rsidP="004F2670">
            <w:pPr>
              <w:jc w:val="center"/>
              <w:rPr>
                <w:noProof/>
                <w:sz w:val="20"/>
                <w:szCs w:val="20"/>
                <w:lang w:val="fr-BE"/>
              </w:rPr>
            </w:pPr>
          </w:p>
        </w:tc>
      </w:tr>
      <w:tr w:rsidR="00377531" w:rsidRPr="00377531" w14:paraId="13FD2F7A" w14:textId="77777777" w:rsidTr="00377531">
        <w:tc>
          <w:tcPr>
            <w:tcW w:w="548" w:type="pct"/>
          </w:tcPr>
          <w:p w14:paraId="13FD2F6B" w14:textId="77777777" w:rsidR="00377531" w:rsidRPr="00377531" w:rsidRDefault="00377531" w:rsidP="004F2670">
            <w:pPr>
              <w:jc w:val="center"/>
              <w:rPr>
                <w:noProof/>
                <w:sz w:val="20"/>
                <w:szCs w:val="20"/>
              </w:rPr>
            </w:pPr>
            <w:r>
              <w:rPr>
                <w:noProof/>
                <w:sz w:val="20"/>
              </w:rPr>
              <w:t>Silico-calcium</w:t>
            </w:r>
          </w:p>
        </w:tc>
        <w:tc>
          <w:tcPr>
            <w:tcW w:w="471" w:type="pct"/>
          </w:tcPr>
          <w:p w14:paraId="13FD2F6C" w14:textId="77777777" w:rsidR="00377531" w:rsidRPr="00377531" w:rsidRDefault="00377531" w:rsidP="004F2670">
            <w:pPr>
              <w:jc w:val="center"/>
              <w:rPr>
                <w:noProof/>
                <w:sz w:val="20"/>
                <w:szCs w:val="20"/>
              </w:rPr>
            </w:pPr>
            <w:r>
              <w:rPr>
                <w:noProof/>
                <w:sz w:val="20"/>
              </w:rPr>
              <w:t>Chine</w:t>
            </w:r>
          </w:p>
        </w:tc>
        <w:tc>
          <w:tcPr>
            <w:tcW w:w="630" w:type="pct"/>
          </w:tcPr>
          <w:p w14:paraId="13FD2F6D" w14:textId="77777777" w:rsidR="00377531" w:rsidRPr="00377531" w:rsidRDefault="001D19D8" w:rsidP="004F2670">
            <w:pPr>
              <w:jc w:val="center"/>
              <w:rPr>
                <w:noProof/>
                <w:sz w:val="20"/>
                <w:szCs w:val="20"/>
              </w:rPr>
            </w:pPr>
            <w:hyperlink r:id="rId51" w:history="1">
              <w:r w:rsidR="004175A3">
                <w:rPr>
                  <w:rStyle w:val="Hyperlink"/>
                  <w:noProof/>
                  <w:sz w:val="20"/>
                </w:rPr>
                <w:t xml:space="preserve">Règlement provisoire </w:t>
              </w:r>
            </w:hyperlink>
          </w:p>
          <w:p w14:paraId="13FD2F6E" w14:textId="77777777" w:rsidR="00377531" w:rsidRPr="00377531" w:rsidRDefault="00377531" w:rsidP="004F2670">
            <w:pPr>
              <w:jc w:val="center"/>
              <w:rPr>
                <w:noProof/>
                <w:sz w:val="20"/>
                <w:szCs w:val="20"/>
                <w:lang w:val="fr-BE"/>
              </w:rPr>
            </w:pPr>
          </w:p>
        </w:tc>
        <w:tc>
          <w:tcPr>
            <w:tcW w:w="471" w:type="pct"/>
          </w:tcPr>
          <w:p w14:paraId="13FD2F6F" w14:textId="77777777" w:rsidR="00377531" w:rsidRPr="00377531" w:rsidRDefault="001D19D8" w:rsidP="004F2670">
            <w:pPr>
              <w:jc w:val="center"/>
              <w:rPr>
                <w:rStyle w:val="Hyperlink"/>
                <w:noProof/>
                <w:sz w:val="20"/>
                <w:szCs w:val="20"/>
              </w:rPr>
            </w:pPr>
            <w:hyperlink r:id="rId52" w:history="1">
              <w:r w:rsidR="004175A3">
                <w:rPr>
                  <w:rStyle w:val="Hyperlink"/>
                  <w:noProof/>
                  <w:sz w:val="20"/>
                </w:rPr>
                <w:t xml:space="preserve">Règlement définitif </w:t>
              </w:r>
            </w:hyperlink>
          </w:p>
          <w:p w14:paraId="13FD2F70" w14:textId="77777777" w:rsidR="00377531" w:rsidRPr="00377531" w:rsidRDefault="00377531" w:rsidP="004F2670">
            <w:pPr>
              <w:jc w:val="center"/>
              <w:rPr>
                <w:noProof/>
                <w:sz w:val="20"/>
                <w:szCs w:val="20"/>
                <w:lang w:val="fr-BE"/>
              </w:rPr>
            </w:pPr>
          </w:p>
        </w:tc>
        <w:tc>
          <w:tcPr>
            <w:tcW w:w="629" w:type="pct"/>
          </w:tcPr>
          <w:p w14:paraId="13FD2F71" w14:textId="77777777" w:rsidR="00377531" w:rsidRPr="00377531" w:rsidRDefault="00377531" w:rsidP="004F2670">
            <w:pPr>
              <w:jc w:val="center"/>
              <w:rPr>
                <w:noProof/>
                <w:sz w:val="20"/>
                <w:szCs w:val="20"/>
              </w:rPr>
            </w:pPr>
            <w:r>
              <w:rPr>
                <w:noProof/>
                <w:sz w:val="20"/>
              </w:rPr>
              <w:t>OUI</w:t>
            </w:r>
          </w:p>
        </w:tc>
        <w:tc>
          <w:tcPr>
            <w:tcW w:w="520" w:type="pct"/>
          </w:tcPr>
          <w:p w14:paraId="13FD2F72" w14:textId="77777777" w:rsidR="00377531" w:rsidRPr="00377531" w:rsidRDefault="00377531" w:rsidP="004F2670">
            <w:pPr>
              <w:jc w:val="center"/>
              <w:rPr>
                <w:noProof/>
                <w:sz w:val="20"/>
                <w:szCs w:val="20"/>
              </w:rPr>
            </w:pPr>
            <w:r>
              <w:rPr>
                <w:noProof/>
                <w:sz w:val="20"/>
              </w:rPr>
              <w:t>OUI</w:t>
            </w:r>
          </w:p>
          <w:p w14:paraId="13FD2F73" w14:textId="77777777" w:rsidR="00377531" w:rsidRPr="00377531" w:rsidRDefault="00377531" w:rsidP="004F2670">
            <w:pPr>
              <w:jc w:val="center"/>
              <w:rPr>
                <w:noProof/>
                <w:sz w:val="20"/>
                <w:szCs w:val="20"/>
              </w:rPr>
            </w:pPr>
          </w:p>
        </w:tc>
        <w:tc>
          <w:tcPr>
            <w:tcW w:w="598" w:type="pct"/>
          </w:tcPr>
          <w:p w14:paraId="13FD2F74" w14:textId="77777777" w:rsidR="00377531" w:rsidRPr="00377531" w:rsidRDefault="00377531" w:rsidP="004F2670">
            <w:pPr>
              <w:jc w:val="center"/>
              <w:rPr>
                <w:noProof/>
                <w:sz w:val="20"/>
                <w:szCs w:val="20"/>
              </w:rPr>
            </w:pPr>
            <w:r>
              <w:rPr>
                <w:noProof/>
                <w:sz w:val="20"/>
              </w:rPr>
              <w:t>Électricité = 20 % du CDP - Pas de preuve démontrant l’existence d’un système de double prix</w:t>
            </w:r>
          </w:p>
          <w:p w14:paraId="13FD2F75" w14:textId="77777777" w:rsidR="00377531" w:rsidRPr="00377531" w:rsidRDefault="00377531" w:rsidP="004F2670">
            <w:pPr>
              <w:jc w:val="center"/>
              <w:rPr>
                <w:noProof/>
                <w:sz w:val="20"/>
                <w:szCs w:val="20"/>
              </w:rPr>
            </w:pPr>
          </w:p>
        </w:tc>
        <w:tc>
          <w:tcPr>
            <w:tcW w:w="563" w:type="pct"/>
          </w:tcPr>
          <w:p w14:paraId="13FD2F76" w14:textId="77777777" w:rsidR="00377531" w:rsidRPr="00377531" w:rsidRDefault="00377531" w:rsidP="004F2670">
            <w:pPr>
              <w:jc w:val="center"/>
              <w:rPr>
                <w:noProof/>
                <w:sz w:val="20"/>
                <w:szCs w:val="20"/>
              </w:rPr>
            </w:pPr>
            <w:r>
              <w:rPr>
                <w:noProof/>
                <w:sz w:val="20"/>
              </w:rPr>
              <w:t>NON</w:t>
            </w:r>
          </w:p>
        </w:tc>
        <w:tc>
          <w:tcPr>
            <w:tcW w:w="570" w:type="pct"/>
          </w:tcPr>
          <w:p w14:paraId="13FD2F77" w14:textId="77777777" w:rsidR="00377531" w:rsidRPr="00377531" w:rsidRDefault="00377531" w:rsidP="004F2670">
            <w:pPr>
              <w:jc w:val="center"/>
              <w:rPr>
                <w:noProof/>
                <w:sz w:val="20"/>
                <w:szCs w:val="20"/>
              </w:rPr>
            </w:pPr>
            <w:r>
              <w:rPr>
                <w:noProof/>
                <w:sz w:val="20"/>
              </w:rPr>
              <w:t>NON</w:t>
            </w:r>
          </w:p>
          <w:p w14:paraId="13FD2F78" w14:textId="77777777" w:rsidR="00377531" w:rsidRPr="00377531" w:rsidRDefault="00377531" w:rsidP="004F2670">
            <w:pPr>
              <w:jc w:val="center"/>
              <w:rPr>
                <w:noProof/>
                <w:sz w:val="20"/>
                <w:szCs w:val="20"/>
              </w:rPr>
            </w:pPr>
          </w:p>
          <w:p w14:paraId="13FD2F79" w14:textId="77777777" w:rsidR="00377531" w:rsidRPr="00377531" w:rsidRDefault="00377531" w:rsidP="004F2670">
            <w:pPr>
              <w:jc w:val="center"/>
              <w:rPr>
                <w:noProof/>
                <w:sz w:val="20"/>
                <w:szCs w:val="20"/>
              </w:rPr>
            </w:pPr>
            <w:r>
              <w:rPr>
                <w:noProof/>
                <w:sz w:val="20"/>
              </w:rPr>
              <w:t xml:space="preserve">Baisse des importations de 36 %  </w:t>
            </w:r>
          </w:p>
        </w:tc>
      </w:tr>
      <w:tr w:rsidR="00377531" w:rsidRPr="00377531" w14:paraId="13FD2F87" w14:textId="77777777" w:rsidTr="00377531">
        <w:tc>
          <w:tcPr>
            <w:tcW w:w="548" w:type="pct"/>
          </w:tcPr>
          <w:p w14:paraId="13FD2F7B" w14:textId="77777777" w:rsidR="00377531" w:rsidRPr="00377531" w:rsidRDefault="00377531" w:rsidP="004F2670">
            <w:pPr>
              <w:jc w:val="center"/>
              <w:rPr>
                <w:noProof/>
                <w:sz w:val="20"/>
                <w:szCs w:val="20"/>
              </w:rPr>
            </w:pPr>
            <w:r>
              <w:rPr>
                <w:noProof/>
                <w:sz w:val="20"/>
              </w:rPr>
              <w:t>Systèmes d’électrodes en graphite</w:t>
            </w:r>
          </w:p>
        </w:tc>
        <w:tc>
          <w:tcPr>
            <w:tcW w:w="471" w:type="pct"/>
          </w:tcPr>
          <w:p w14:paraId="13FD2F7C" w14:textId="77777777" w:rsidR="00377531" w:rsidRPr="00377531" w:rsidRDefault="00377531" w:rsidP="004F2670">
            <w:pPr>
              <w:jc w:val="center"/>
              <w:rPr>
                <w:noProof/>
                <w:sz w:val="20"/>
                <w:szCs w:val="20"/>
              </w:rPr>
            </w:pPr>
            <w:r>
              <w:rPr>
                <w:noProof/>
                <w:sz w:val="20"/>
              </w:rPr>
              <w:t>Chine</w:t>
            </w:r>
          </w:p>
        </w:tc>
        <w:tc>
          <w:tcPr>
            <w:tcW w:w="630" w:type="pct"/>
          </w:tcPr>
          <w:p w14:paraId="13FD2F7D" w14:textId="77777777" w:rsidR="00377531" w:rsidRPr="00377531" w:rsidRDefault="001D19D8" w:rsidP="004F2670">
            <w:pPr>
              <w:jc w:val="center"/>
              <w:rPr>
                <w:noProof/>
                <w:sz w:val="20"/>
                <w:szCs w:val="20"/>
              </w:rPr>
            </w:pPr>
            <w:hyperlink r:id="rId53" w:history="1">
              <w:r w:rsidR="004175A3">
                <w:rPr>
                  <w:rStyle w:val="Hyperlink"/>
                  <w:noProof/>
                  <w:sz w:val="20"/>
                </w:rPr>
                <w:t xml:space="preserve">Règlement provisoire </w:t>
              </w:r>
            </w:hyperlink>
          </w:p>
          <w:p w14:paraId="13FD2F7E" w14:textId="77777777" w:rsidR="00377531" w:rsidRPr="00377531" w:rsidRDefault="00377531" w:rsidP="004F2670">
            <w:pPr>
              <w:jc w:val="center"/>
              <w:rPr>
                <w:noProof/>
                <w:sz w:val="20"/>
                <w:szCs w:val="20"/>
                <w:lang w:val="fr-BE"/>
              </w:rPr>
            </w:pPr>
          </w:p>
        </w:tc>
        <w:tc>
          <w:tcPr>
            <w:tcW w:w="471" w:type="pct"/>
          </w:tcPr>
          <w:p w14:paraId="13FD2F7F" w14:textId="77777777" w:rsidR="00377531" w:rsidRPr="00377531" w:rsidRDefault="001D19D8" w:rsidP="004F2670">
            <w:pPr>
              <w:jc w:val="center"/>
              <w:rPr>
                <w:noProof/>
                <w:sz w:val="20"/>
                <w:szCs w:val="20"/>
              </w:rPr>
            </w:pPr>
            <w:hyperlink r:id="rId54" w:history="1">
              <w:r w:rsidR="004175A3">
                <w:rPr>
                  <w:rStyle w:val="Hyperlink"/>
                  <w:noProof/>
                  <w:sz w:val="20"/>
                </w:rPr>
                <w:t xml:space="preserve">Règlement définitif </w:t>
              </w:r>
            </w:hyperlink>
          </w:p>
          <w:p w14:paraId="13FD2F80" w14:textId="77777777" w:rsidR="00377531" w:rsidRPr="00377531" w:rsidRDefault="00377531" w:rsidP="004F2670">
            <w:pPr>
              <w:jc w:val="center"/>
              <w:rPr>
                <w:noProof/>
                <w:sz w:val="20"/>
                <w:szCs w:val="20"/>
                <w:lang w:val="fr-BE"/>
              </w:rPr>
            </w:pPr>
          </w:p>
        </w:tc>
        <w:tc>
          <w:tcPr>
            <w:tcW w:w="629" w:type="pct"/>
          </w:tcPr>
          <w:p w14:paraId="13FD2F81" w14:textId="77777777" w:rsidR="00377531" w:rsidRPr="00377531" w:rsidRDefault="00377531" w:rsidP="004F2670">
            <w:pPr>
              <w:jc w:val="center"/>
              <w:rPr>
                <w:noProof/>
                <w:sz w:val="20"/>
                <w:szCs w:val="20"/>
              </w:rPr>
            </w:pPr>
            <w:r>
              <w:rPr>
                <w:noProof/>
                <w:sz w:val="20"/>
              </w:rPr>
              <w:t>OUI</w:t>
            </w:r>
          </w:p>
        </w:tc>
        <w:tc>
          <w:tcPr>
            <w:tcW w:w="520" w:type="pct"/>
          </w:tcPr>
          <w:p w14:paraId="13FD2F82" w14:textId="77777777" w:rsidR="00377531" w:rsidRPr="00377531" w:rsidRDefault="00377531" w:rsidP="004F2670">
            <w:pPr>
              <w:jc w:val="center"/>
              <w:rPr>
                <w:noProof/>
                <w:sz w:val="20"/>
                <w:szCs w:val="20"/>
              </w:rPr>
            </w:pPr>
            <w:r>
              <w:rPr>
                <w:noProof/>
                <w:sz w:val="20"/>
              </w:rPr>
              <w:t>NON</w:t>
            </w:r>
          </w:p>
        </w:tc>
        <w:tc>
          <w:tcPr>
            <w:tcW w:w="598" w:type="pct"/>
          </w:tcPr>
          <w:p w14:paraId="13FD2F83" w14:textId="77777777" w:rsidR="00377531" w:rsidRPr="00377531" w:rsidRDefault="00377531" w:rsidP="004F2670">
            <w:pPr>
              <w:jc w:val="center"/>
              <w:rPr>
                <w:noProof/>
                <w:sz w:val="20"/>
                <w:szCs w:val="20"/>
              </w:rPr>
            </w:pPr>
            <w:r>
              <w:rPr>
                <w:noProof/>
                <w:sz w:val="20"/>
              </w:rPr>
              <w:t>—</w:t>
            </w:r>
          </w:p>
        </w:tc>
        <w:tc>
          <w:tcPr>
            <w:tcW w:w="563" w:type="pct"/>
          </w:tcPr>
          <w:p w14:paraId="13FD2F84" w14:textId="77777777" w:rsidR="00377531" w:rsidRPr="00377531" w:rsidRDefault="00377531" w:rsidP="004F2670">
            <w:pPr>
              <w:jc w:val="center"/>
              <w:rPr>
                <w:noProof/>
                <w:sz w:val="20"/>
                <w:szCs w:val="20"/>
              </w:rPr>
            </w:pPr>
            <w:r>
              <w:rPr>
                <w:noProof/>
                <w:sz w:val="20"/>
              </w:rPr>
              <w:t>—</w:t>
            </w:r>
          </w:p>
        </w:tc>
        <w:tc>
          <w:tcPr>
            <w:tcW w:w="570" w:type="pct"/>
          </w:tcPr>
          <w:p w14:paraId="13FD2F85" w14:textId="77777777" w:rsidR="00377531" w:rsidRPr="00377531" w:rsidRDefault="00377531" w:rsidP="004F2670">
            <w:pPr>
              <w:jc w:val="center"/>
              <w:rPr>
                <w:noProof/>
                <w:sz w:val="20"/>
                <w:szCs w:val="20"/>
              </w:rPr>
            </w:pPr>
            <w:r>
              <w:rPr>
                <w:noProof/>
                <w:sz w:val="20"/>
              </w:rPr>
              <w:t>NON</w:t>
            </w:r>
          </w:p>
          <w:p w14:paraId="13FD2F86" w14:textId="77777777" w:rsidR="00377531" w:rsidRPr="00377531" w:rsidRDefault="00377531" w:rsidP="004F2670">
            <w:pPr>
              <w:jc w:val="center"/>
              <w:rPr>
                <w:noProof/>
                <w:sz w:val="20"/>
                <w:szCs w:val="20"/>
              </w:rPr>
            </w:pPr>
            <w:r>
              <w:rPr>
                <w:noProof/>
                <w:sz w:val="20"/>
              </w:rPr>
              <w:t xml:space="preserve">  Augmentation des importations de 5,5 % </w:t>
            </w:r>
          </w:p>
        </w:tc>
      </w:tr>
      <w:tr w:rsidR="00377531" w:rsidRPr="00377531" w14:paraId="13FD2F91" w14:textId="77777777" w:rsidTr="00377531">
        <w:tc>
          <w:tcPr>
            <w:tcW w:w="548" w:type="pct"/>
          </w:tcPr>
          <w:p w14:paraId="13FD2F88" w14:textId="77777777" w:rsidR="00377531" w:rsidRPr="00377531" w:rsidRDefault="00377531" w:rsidP="004F2670">
            <w:pPr>
              <w:jc w:val="center"/>
              <w:rPr>
                <w:noProof/>
                <w:sz w:val="20"/>
                <w:szCs w:val="20"/>
              </w:rPr>
            </w:pPr>
            <w:r>
              <w:rPr>
                <w:noProof/>
                <w:sz w:val="20"/>
              </w:rPr>
              <w:t>Polymères superabsorbants</w:t>
            </w:r>
          </w:p>
        </w:tc>
        <w:tc>
          <w:tcPr>
            <w:tcW w:w="471" w:type="pct"/>
          </w:tcPr>
          <w:p w14:paraId="13FD2F89" w14:textId="77777777" w:rsidR="00377531" w:rsidRPr="00377531" w:rsidRDefault="00377531" w:rsidP="004F2670">
            <w:pPr>
              <w:jc w:val="center"/>
              <w:rPr>
                <w:noProof/>
                <w:sz w:val="20"/>
                <w:szCs w:val="20"/>
              </w:rPr>
            </w:pPr>
            <w:r>
              <w:rPr>
                <w:noProof/>
                <w:sz w:val="20"/>
              </w:rPr>
              <w:t>République de Corée</w:t>
            </w:r>
          </w:p>
        </w:tc>
        <w:tc>
          <w:tcPr>
            <w:tcW w:w="630" w:type="pct"/>
          </w:tcPr>
          <w:p w14:paraId="13FD2F8A" w14:textId="77777777" w:rsidR="00377531" w:rsidRPr="00377531" w:rsidRDefault="00377531" w:rsidP="004F2670">
            <w:pPr>
              <w:jc w:val="center"/>
              <w:rPr>
                <w:noProof/>
                <w:sz w:val="20"/>
                <w:szCs w:val="20"/>
              </w:rPr>
            </w:pPr>
            <w:r>
              <w:rPr>
                <w:noProof/>
                <w:sz w:val="20"/>
              </w:rPr>
              <w:t>—</w:t>
            </w:r>
          </w:p>
        </w:tc>
        <w:tc>
          <w:tcPr>
            <w:tcW w:w="471" w:type="pct"/>
          </w:tcPr>
          <w:p w14:paraId="13FD2F8B" w14:textId="77777777" w:rsidR="00377531" w:rsidRPr="00377531" w:rsidRDefault="001D19D8" w:rsidP="004F2670">
            <w:pPr>
              <w:jc w:val="center"/>
              <w:rPr>
                <w:noProof/>
                <w:sz w:val="20"/>
                <w:szCs w:val="20"/>
              </w:rPr>
            </w:pPr>
            <w:hyperlink r:id="rId55" w:history="1">
              <w:r w:rsidR="004175A3">
                <w:rPr>
                  <w:rStyle w:val="Hyperlink"/>
                  <w:noProof/>
                  <w:sz w:val="20"/>
                </w:rPr>
                <w:t xml:space="preserve">Règlement définitif </w:t>
              </w:r>
            </w:hyperlink>
          </w:p>
        </w:tc>
        <w:tc>
          <w:tcPr>
            <w:tcW w:w="629" w:type="pct"/>
          </w:tcPr>
          <w:p w14:paraId="13FD2F8C" w14:textId="77777777" w:rsidR="00377531" w:rsidRPr="00377531" w:rsidRDefault="00377531" w:rsidP="004F2670">
            <w:pPr>
              <w:jc w:val="center"/>
              <w:rPr>
                <w:noProof/>
                <w:sz w:val="20"/>
                <w:szCs w:val="20"/>
              </w:rPr>
            </w:pPr>
            <w:r>
              <w:rPr>
                <w:noProof/>
                <w:sz w:val="20"/>
              </w:rPr>
              <w:t>NON</w:t>
            </w:r>
          </w:p>
        </w:tc>
        <w:tc>
          <w:tcPr>
            <w:tcW w:w="520" w:type="pct"/>
          </w:tcPr>
          <w:p w14:paraId="13FD2F8D" w14:textId="77777777" w:rsidR="00377531" w:rsidRPr="00377531" w:rsidRDefault="00377531" w:rsidP="004F2670">
            <w:pPr>
              <w:jc w:val="center"/>
              <w:rPr>
                <w:noProof/>
                <w:sz w:val="20"/>
                <w:szCs w:val="20"/>
              </w:rPr>
            </w:pPr>
            <w:r>
              <w:rPr>
                <w:noProof/>
                <w:sz w:val="20"/>
              </w:rPr>
              <w:t>—</w:t>
            </w:r>
          </w:p>
        </w:tc>
        <w:tc>
          <w:tcPr>
            <w:tcW w:w="598" w:type="pct"/>
          </w:tcPr>
          <w:p w14:paraId="13FD2F8E" w14:textId="77777777" w:rsidR="00377531" w:rsidRPr="00377531" w:rsidRDefault="00377531" w:rsidP="004F2670">
            <w:pPr>
              <w:jc w:val="center"/>
              <w:rPr>
                <w:noProof/>
                <w:sz w:val="20"/>
                <w:szCs w:val="20"/>
              </w:rPr>
            </w:pPr>
            <w:r>
              <w:rPr>
                <w:noProof/>
                <w:sz w:val="20"/>
              </w:rPr>
              <w:t>—</w:t>
            </w:r>
          </w:p>
        </w:tc>
        <w:tc>
          <w:tcPr>
            <w:tcW w:w="563" w:type="pct"/>
          </w:tcPr>
          <w:p w14:paraId="13FD2F8F" w14:textId="77777777" w:rsidR="00377531" w:rsidRPr="00377531" w:rsidRDefault="00377531" w:rsidP="004F2670">
            <w:pPr>
              <w:jc w:val="center"/>
              <w:rPr>
                <w:noProof/>
                <w:sz w:val="20"/>
                <w:szCs w:val="20"/>
              </w:rPr>
            </w:pPr>
            <w:r>
              <w:rPr>
                <w:noProof/>
                <w:sz w:val="20"/>
              </w:rPr>
              <w:t>—</w:t>
            </w:r>
          </w:p>
        </w:tc>
        <w:tc>
          <w:tcPr>
            <w:tcW w:w="570" w:type="pct"/>
          </w:tcPr>
          <w:p w14:paraId="13FD2F90" w14:textId="77777777" w:rsidR="00377531" w:rsidRPr="00377531" w:rsidRDefault="00377531" w:rsidP="004F2670">
            <w:pPr>
              <w:jc w:val="center"/>
              <w:rPr>
                <w:noProof/>
                <w:sz w:val="20"/>
                <w:szCs w:val="20"/>
              </w:rPr>
            </w:pPr>
            <w:r>
              <w:rPr>
                <w:noProof/>
                <w:sz w:val="20"/>
              </w:rPr>
              <w:t>S.O.</w:t>
            </w:r>
          </w:p>
        </w:tc>
      </w:tr>
      <w:tr w:rsidR="00377531" w:rsidRPr="00377531" w14:paraId="13FD2F9D" w14:textId="77777777" w:rsidTr="00377531">
        <w:tc>
          <w:tcPr>
            <w:tcW w:w="548" w:type="pct"/>
          </w:tcPr>
          <w:p w14:paraId="13FD2F92" w14:textId="77777777" w:rsidR="00377531" w:rsidRPr="00377531" w:rsidRDefault="00377531" w:rsidP="004F2670">
            <w:pPr>
              <w:jc w:val="center"/>
              <w:rPr>
                <w:noProof/>
                <w:sz w:val="20"/>
                <w:szCs w:val="20"/>
              </w:rPr>
            </w:pPr>
            <w:r>
              <w:rPr>
                <w:noProof/>
                <w:sz w:val="20"/>
              </w:rPr>
              <w:t xml:space="preserve">Acier résistant à la corrosion  </w:t>
            </w:r>
          </w:p>
        </w:tc>
        <w:tc>
          <w:tcPr>
            <w:tcW w:w="471" w:type="pct"/>
          </w:tcPr>
          <w:p w14:paraId="13FD2F93" w14:textId="77777777" w:rsidR="00377531" w:rsidRPr="00377531" w:rsidRDefault="00377531" w:rsidP="004F2670">
            <w:pPr>
              <w:jc w:val="center"/>
              <w:rPr>
                <w:noProof/>
                <w:sz w:val="20"/>
                <w:szCs w:val="20"/>
              </w:rPr>
            </w:pPr>
            <w:r>
              <w:rPr>
                <w:noProof/>
                <w:sz w:val="20"/>
              </w:rPr>
              <w:t>Russie</w:t>
            </w:r>
          </w:p>
          <w:p w14:paraId="13FD2F94" w14:textId="77777777" w:rsidR="00377531" w:rsidRPr="00377531" w:rsidRDefault="00377531" w:rsidP="004F2670">
            <w:pPr>
              <w:jc w:val="center"/>
              <w:rPr>
                <w:noProof/>
                <w:sz w:val="20"/>
                <w:szCs w:val="20"/>
              </w:rPr>
            </w:pPr>
            <w:r>
              <w:rPr>
                <w:noProof/>
                <w:sz w:val="20"/>
              </w:rPr>
              <w:t>Turquie</w:t>
            </w:r>
          </w:p>
        </w:tc>
        <w:tc>
          <w:tcPr>
            <w:tcW w:w="630" w:type="pct"/>
          </w:tcPr>
          <w:p w14:paraId="13FD2F95" w14:textId="77777777" w:rsidR="00377531" w:rsidRPr="00377531" w:rsidRDefault="00377531" w:rsidP="004F2670">
            <w:pPr>
              <w:jc w:val="center"/>
              <w:rPr>
                <w:noProof/>
                <w:sz w:val="20"/>
                <w:szCs w:val="20"/>
              </w:rPr>
            </w:pPr>
            <w:r>
              <w:rPr>
                <w:noProof/>
                <w:sz w:val="20"/>
              </w:rPr>
              <w:t>—</w:t>
            </w:r>
          </w:p>
        </w:tc>
        <w:tc>
          <w:tcPr>
            <w:tcW w:w="471" w:type="pct"/>
          </w:tcPr>
          <w:p w14:paraId="13FD2F96" w14:textId="77777777" w:rsidR="00377531" w:rsidRPr="00377531" w:rsidRDefault="001D19D8" w:rsidP="004F2670">
            <w:pPr>
              <w:jc w:val="center"/>
              <w:rPr>
                <w:noProof/>
                <w:sz w:val="20"/>
                <w:szCs w:val="20"/>
              </w:rPr>
            </w:pPr>
            <w:hyperlink r:id="rId56" w:history="1">
              <w:r w:rsidR="004175A3">
                <w:rPr>
                  <w:rStyle w:val="Hyperlink"/>
                  <w:noProof/>
                  <w:sz w:val="20"/>
                </w:rPr>
                <w:t xml:space="preserve">Règlement définitif </w:t>
              </w:r>
            </w:hyperlink>
          </w:p>
        </w:tc>
        <w:tc>
          <w:tcPr>
            <w:tcW w:w="629" w:type="pct"/>
          </w:tcPr>
          <w:p w14:paraId="13FD2F97" w14:textId="77777777" w:rsidR="00377531" w:rsidRPr="00377531" w:rsidRDefault="00377531" w:rsidP="004F2670">
            <w:pPr>
              <w:jc w:val="center"/>
              <w:rPr>
                <w:noProof/>
                <w:sz w:val="20"/>
                <w:szCs w:val="20"/>
              </w:rPr>
            </w:pPr>
            <w:r>
              <w:rPr>
                <w:noProof/>
                <w:sz w:val="20"/>
              </w:rPr>
              <w:t>NON</w:t>
            </w:r>
          </w:p>
        </w:tc>
        <w:tc>
          <w:tcPr>
            <w:tcW w:w="520" w:type="pct"/>
          </w:tcPr>
          <w:p w14:paraId="13FD2F98" w14:textId="77777777" w:rsidR="00377531" w:rsidRPr="00377531" w:rsidRDefault="00377531" w:rsidP="004F2670">
            <w:pPr>
              <w:jc w:val="center"/>
              <w:rPr>
                <w:noProof/>
                <w:sz w:val="20"/>
                <w:szCs w:val="20"/>
              </w:rPr>
            </w:pPr>
            <w:r>
              <w:rPr>
                <w:noProof/>
                <w:sz w:val="20"/>
              </w:rPr>
              <w:t>—</w:t>
            </w:r>
          </w:p>
        </w:tc>
        <w:tc>
          <w:tcPr>
            <w:tcW w:w="598" w:type="pct"/>
          </w:tcPr>
          <w:p w14:paraId="13FD2F99" w14:textId="77777777" w:rsidR="00377531" w:rsidRPr="00377531" w:rsidRDefault="00377531" w:rsidP="004F2670">
            <w:pPr>
              <w:jc w:val="center"/>
              <w:rPr>
                <w:noProof/>
                <w:sz w:val="20"/>
                <w:szCs w:val="20"/>
              </w:rPr>
            </w:pPr>
            <w:r>
              <w:rPr>
                <w:noProof/>
                <w:sz w:val="20"/>
              </w:rPr>
              <w:t xml:space="preserve">— </w:t>
            </w:r>
          </w:p>
        </w:tc>
        <w:tc>
          <w:tcPr>
            <w:tcW w:w="563" w:type="pct"/>
          </w:tcPr>
          <w:p w14:paraId="13FD2F9A" w14:textId="77777777" w:rsidR="00377531" w:rsidRPr="00377531" w:rsidRDefault="00377531" w:rsidP="004F2670">
            <w:pPr>
              <w:jc w:val="center"/>
              <w:rPr>
                <w:noProof/>
                <w:sz w:val="20"/>
                <w:szCs w:val="20"/>
              </w:rPr>
            </w:pPr>
            <w:r>
              <w:rPr>
                <w:noProof/>
                <w:sz w:val="20"/>
              </w:rPr>
              <w:t>—</w:t>
            </w:r>
          </w:p>
        </w:tc>
        <w:tc>
          <w:tcPr>
            <w:tcW w:w="570" w:type="pct"/>
          </w:tcPr>
          <w:p w14:paraId="13FD2F9B" w14:textId="77777777" w:rsidR="00377531" w:rsidRPr="00377531" w:rsidRDefault="00377531" w:rsidP="004F2670">
            <w:pPr>
              <w:jc w:val="center"/>
              <w:rPr>
                <w:noProof/>
                <w:sz w:val="20"/>
                <w:szCs w:val="20"/>
              </w:rPr>
            </w:pPr>
            <w:r>
              <w:rPr>
                <w:noProof/>
                <w:sz w:val="20"/>
              </w:rPr>
              <w:t>S.O.</w:t>
            </w:r>
          </w:p>
          <w:p w14:paraId="13FD2F9C" w14:textId="77777777" w:rsidR="00377531" w:rsidRPr="00377531" w:rsidRDefault="00377531" w:rsidP="004F2670">
            <w:pPr>
              <w:jc w:val="center"/>
              <w:rPr>
                <w:noProof/>
                <w:sz w:val="20"/>
                <w:szCs w:val="20"/>
              </w:rPr>
            </w:pPr>
          </w:p>
        </w:tc>
      </w:tr>
      <w:tr w:rsidR="00377531" w:rsidRPr="00377531" w14:paraId="13FD2FB2" w14:textId="77777777" w:rsidTr="00377531">
        <w:tc>
          <w:tcPr>
            <w:tcW w:w="548" w:type="pct"/>
          </w:tcPr>
          <w:p w14:paraId="13FD2F9E" w14:textId="77777777" w:rsidR="00377531" w:rsidRPr="00377531" w:rsidRDefault="00377531" w:rsidP="004F2670">
            <w:pPr>
              <w:jc w:val="center"/>
              <w:rPr>
                <w:noProof/>
                <w:sz w:val="20"/>
                <w:szCs w:val="20"/>
              </w:rPr>
            </w:pPr>
            <w:r>
              <w:rPr>
                <w:noProof/>
                <w:sz w:val="20"/>
              </w:rPr>
              <w:t xml:space="preserve">Acier chromé par électrolyse </w:t>
            </w:r>
          </w:p>
        </w:tc>
        <w:tc>
          <w:tcPr>
            <w:tcW w:w="471" w:type="pct"/>
          </w:tcPr>
          <w:p w14:paraId="13FD2F9F" w14:textId="77777777" w:rsidR="00377531" w:rsidRPr="00377531" w:rsidRDefault="00377531" w:rsidP="004F2670">
            <w:pPr>
              <w:jc w:val="center"/>
              <w:rPr>
                <w:noProof/>
                <w:sz w:val="20"/>
                <w:szCs w:val="20"/>
              </w:rPr>
            </w:pPr>
            <w:r>
              <w:rPr>
                <w:noProof/>
                <w:sz w:val="20"/>
              </w:rPr>
              <w:t>Chine</w:t>
            </w:r>
          </w:p>
          <w:p w14:paraId="13FD2FA0" w14:textId="77777777" w:rsidR="00377531" w:rsidRPr="00377531" w:rsidRDefault="00377531" w:rsidP="004F2670">
            <w:pPr>
              <w:jc w:val="center"/>
              <w:rPr>
                <w:noProof/>
                <w:sz w:val="20"/>
                <w:szCs w:val="20"/>
              </w:rPr>
            </w:pPr>
            <w:r>
              <w:rPr>
                <w:noProof/>
                <w:sz w:val="20"/>
              </w:rPr>
              <w:t>Brésil</w:t>
            </w:r>
          </w:p>
        </w:tc>
        <w:tc>
          <w:tcPr>
            <w:tcW w:w="630" w:type="pct"/>
          </w:tcPr>
          <w:p w14:paraId="159B183D" w14:textId="77777777" w:rsidR="00FC735C" w:rsidRDefault="001D19D8" w:rsidP="004F2670">
            <w:pPr>
              <w:jc w:val="center"/>
              <w:rPr>
                <w:noProof/>
                <w:sz w:val="20"/>
              </w:rPr>
            </w:pPr>
            <w:hyperlink r:id="rId57" w:history="1">
              <w:r w:rsidR="004175A3">
                <w:rPr>
                  <w:rStyle w:val="Hyperlink"/>
                  <w:noProof/>
                  <w:sz w:val="20"/>
                </w:rPr>
                <w:t xml:space="preserve">Règlement provisoire </w:t>
              </w:r>
            </w:hyperlink>
          </w:p>
          <w:p w14:paraId="13FD2FA2" w14:textId="5F77E50D" w:rsidR="00377531" w:rsidRPr="00377531" w:rsidRDefault="00377531" w:rsidP="004F2670">
            <w:pPr>
              <w:jc w:val="center"/>
              <w:rPr>
                <w:noProof/>
                <w:sz w:val="20"/>
                <w:szCs w:val="20"/>
              </w:rPr>
            </w:pPr>
          </w:p>
        </w:tc>
        <w:tc>
          <w:tcPr>
            <w:tcW w:w="471" w:type="pct"/>
          </w:tcPr>
          <w:p w14:paraId="13FD2FA3" w14:textId="77777777" w:rsidR="00377531" w:rsidRPr="00377531" w:rsidRDefault="001D19D8" w:rsidP="004F2670">
            <w:pPr>
              <w:jc w:val="center"/>
              <w:rPr>
                <w:noProof/>
                <w:sz w:val="20"/>
                <w:szCs w:val="20"/>
              </w:rPr>
            </w:pPr>
            <w:hyperlink r:id="rId58" w:history="1">
              <w:r w:rsidR="004175A3">
                <w:rPr>
                  <w:rStyle w:val="Hyperlink"/>
                  <w:noProof/>
                  <w:sz w:val="20"/>
                </w:rPr>
                <w:t xml:space="preserve">Règlement définitif </w:t>
              </w:r>
            </w:hyperlink>
          </w:p>
          <w:p w14:paraId="13FD2FA4" w14:textId="77777777" w:rsidR="00377531" w:rsidRPr="00377531" w:rsidRDefault="00377531" w:rsidP="004F2670">
            <w:pPr>
              <w:jc w:val="center"/>
              <w:rPr>
                <w:noProof/>
                <w:sz w:val="20"/>
                <w:szCs w:val="20"/>
              </w:rPr>
            </w:pPr>
          </w:p>
        </w:tc>
        <w:tc>
          <w:tcPr>
            <w:tcW w:w="629" w:type="pct"/>
          </w:tcPr>
          <w:p w14:paraId="12143404" w14:textId="77777777" w:rsidR="00FC735C" w:rsidRDefault="00377531" w:rsidP="004F2670">
            <w:pPr>
              <w:jc w:val="center"/>
              <w:rPr>
                <w:noProof/>
                <w:sz w:val="20"/>
              </w:rPr>
            </w:pPr>
            <w:r>
              <w:rPr>
                <w:noProof/>
                <w:sz w:val="20"/>
              </w:rPr>
              <w:t>Chine: OUI</w:t>
            </w:r>
          </w:p>
          <w:p w14:paraId="13FD2FA6" w14:textId="79FDA0F1" w:rsidR="00377531" w:rsidRPr="00377531" w:rsidRDefault="00377531" w:rsidP="004F2670">
            <w:pPr>
              <w:jc w:val="center"/>
              <w:rPr>
                <w:noProof/>
                <w:sz w:val="20"/>
                <w:szCs w:val="20"/>
              </w:rPr>
            </w:pPr>
          </w:p>
          <w:p w14:paraId="13FD2FA7" w14:textId="77777777" w:rsidR="00377531" w:rsidRPr="00377531" w:rsidRDefault="00377531" w:rsidP="004F2670">
            <w:pPr>
              <w:jc w:val="center"/>
              <w:rPr>
                <w:noProof/>
                <w:sz w:val="20"/>
                <w:szCs w:val="20"/>
              </w:rPr>
            </w:pPr>
            <w:r>
              <w:rPr>
                <w:noProof/>
                <w:sz w:val="20"/>
              </w:rPr>
              <w:t xml:space="preserve">Brésil: NON </w:t>
            </w:r>
          </w:p>
        </w:tc>
        <w:tc>
          <w:tcPr>
            <w:tcW w:w="520" w:type="pct"/>
          </w:tcPr>
          <w:p w14:paraId="13FD2FA8" w14:textId="77777777" w:rsidR="00377531" w:rsidRPr="00377531" w:rsidRDefault="00377531" w:rsidP="004F2670">
            <w:pPr>
              <w:jc w:val="center"/>
              <w:rPr>
                <w:noProof/>
                <w:sz w:val="20"/>
                <w:szCs w:val="20"/>
              </w:rPr>
            </w:pPr>
            <w:r>
              <w:rPr>
                <w:noProof/>
                <w:sz w:val="20"/>
              </w:rPr>
              <w:t>OUI</w:t>
            </w:r>
          </w:p>
        </w:tc>
        <w:tc>
          <w:tcPr>
            <w:tcW w:w="598" w:type="pct"/>
          </w:tcPr>
          <w:p w14:paraId="13FD2FA9" w14:textId="168510CE" w:rsidR="00377531" w:rsidRPr="00377531" w:rsidRDefault="00377531" w:rsidP="004F2670">
            <w:pPr>
              <w:jc w:val="center"/>
              <w:rPr>
                <w:noProof/>
                <w:sz w:val="20"/>
                <w:szCs w:val="20"/>
              </w:rPr>
            </w:pPr>
            <w:r>
              <w:rPr>
                <w:noProof/>
                <w:sz w:val="20"/>
              </w:rPr>
              <w:t>Bobines de produits laminés à chaud &gt;17 % du CDP.</w:t>
            </w:r>
          </w:p>
          <w:p w14:paraId="13FD2FAA" w14:textId="77777777" w:rsidR="00377531" w:rsidRPr="00377531" w:rsidRDefault="00377531" w:rsidP="004F2670">
            <w:pPr>
              <w:jc w:val="center"/>
              <w:rPr>
                <w:noProof/>
                <w:sz w:val="20"/>
                <w:szCs w:val="20"/>
              </w:rPr>
            </w:pPr>
          </w:p>
          <w:p w14:paraId="13FD2FAB" w14:textId="77777777" w:rsidR="00377531" w:rsidRPr="00377531" w:rsidRDefault="00377531" w:rsidP="004F2670">
            <w:pPr>
              <w:jc w:val="center"/>
              <w:rPr>
                <w:noProof/>
                <w:sz w:val="20"/>
                <w:szCs w:val="20"/>
              </w:rPr>
            </w:pPr>
            <w:r>
              <w:rPr>
                <w:noProof/>
                <w:sz w:val="20"/>
              </w:rPr>
              <w:t>Prix significativement inférieurs aux prix de référence.</w:t>
            </w:r>
          </w:p>
          <w:p w14:paraId="13FD2FAC" w14:textId="77777777" w:rsidR="00377531" w:rsidRPr="00377531" w:rsidRDefault="00377531" w:rsidP="004F2670">
            <w:pPr>
              <w:jc w:val="center"/>
              <w:rPr>
                <w:noProof/>
                <w:sz w:val="20"/>
                <w:szCs w:val="20"/>
              </w:rPr>
            </w:pPr>
          </w:p>
          <w:p w14:paraId="13FD2FAD" w14:textId="77777777" w:rsidR="00377531" w:rsidRPr="00377531" w:rsidRDefault="00377531" w:rsidP="004F2670">
            <w:pPr>
              <w:jc w:val="center"/>
              <w:rPr>
                <w:noProof/>
                <w:sz w:val="20"/>
                <w:szCs w:val="20"/>
              </w:rPr>
            </w:pPr>
            <w:r>
              <w:rPr>
                <w:noProof/>
                <w:sz w:val="20"/>
              </w:rPr>
              <w:t>Intérêt de l’Union: OUI</w:t>
            </w:r>
          </w:p>
        </w:tc>
        <w:tc>
          <w:tcPr>
            <w:tcW w:w="563" w:type="pct"/>
          </w:tcPr>
          <w:p w14:paraId="13FD2FAE" w14:textId="77777777" w:rsidR="00377531" w:rsidRPr="00377531" w:rsidRDefault="00377531" w:rsidP="004F2670">
            <w:pPr>
              <w:jc w:val="center"/>
              <w:rPr>
                <w:noProof/>
                <w:sz w:val="20"/>
                <w:szCs w:val="20"/>
              </w:rPr>
            </w:pPr>
            <w:r>
              <w:rPr>
                <w:noProof/>
                <w:sz w:val="20"/>
              </w:rPr>
              <w:t>OUI</w:t>
            </w:r>
            <w:r>
              <w:rPr>
                <w:noProof/>
                <w:color w:val="FF0000"/>
                <w:sz w:val="20"/>
              </w:rPr>
              <w:t xml:space="preserve"> </w:t>
            </w:r>
          </w:p>
        </w:tc>
        <w:tc>
          <w:tcPr>
            <w:tcW w:w="570" w:type="pct"/>
          </w:tcPr>
          <w:p w14:paraId="13FD2FAF" w14:textId="77777777" w:rsidR="00377531" w:rsidRPr="00377531" w:rsidRDefault="00377531" w:rsidP="004F2670">
            <w:pPr>
              <w:jc w:val="center"/>
              <w:rPr>
                <w:noProof/>
                <w:sz w:val="20"/>
                <w:szCs w:val="20"/>
              </w:rPr>
            </w:pPr>
            <w:r>
              <w:rPr>
                <w:noProof/>
                <w:sz w:val="20"/>
              </w:rPr>
              <w:t>NON</w:t>
            </w:r>
          </w:p>
          <w:p w14:paraId="13FD2FB0" w14:textId="77777777" w:rsidR="00377531" w:rsidRPr="00377531" w:rsidRDefault="00377531" w:rsidP="004F2670">
            <w:pPr>
              <w:jc w:val="center"/>
              <w:rPr>
                <w:noProof/>
                <w:sz w:val="20"/>
                <w:szCs w:val="20"/>
              </w:rPr>
            </w:pPr>
          </w:p>
          <w:p w14:paraId="13FD2FB1" w14:textId="77777777" w:rsidR="00377531" w:rsidRPr="00377531" w:rsidRDefault="00377531" w:rsidP="004F2670">
            <w:pPr>
              <w:jc w:val="center"/>
              <w:rPr>
                <w:noProof/>
                <w:sz w:val="20"/>
                <w:szCs w:val="20"/>
              </w:rPr>
            </w:pPr>
            <w:r>
              <w:rPr>
                <w:noProof/>
                <w:sz w:val="20"/>
              </w:rPr>
              <w:t xml:space="preserve">Augmentation des importations de 58 % - marge de préjudice ajustée de 4,1 % </w:t>
            </w:r>
          </w:p>
        </w:tc>
      </w:tr>
      <w:tr w:rsidR="00377531" w:rsidRPr="00377531" w14:paraId="13FD2FBD" w14:textId="77777777" w:rsidTr="00377531">
        <w:tc>
          <w:tcPr>
            <w:tcW w:w="548" w:type="pct"/>
          </w:tcPr>
          <w:p w14:paraId="13FD2FB3" w14:textId="77777777" w:rsidR="00377531" w:rsidRPr="00377531" w:rsidRDefault="00377531" w:rsidP="004F2670">
            <w:pPr>
              <w:jc w:val="center"/>
              <w:rPr>
                <w:noProof/>
                <w:sz w:val="20"/>
                <w:szCs w:val="20"/>
              </w:rPr>
            </w:pPr>
            <w:r>
              <w:rPr>
                <w:noProof/>
                <w:sz w:val="20"/>
              </w:rPr>
              <w:t>Carreaux en céramique</w:t>
            </w:r>
          </w:p>
        </w:tc>
        <w:tc>
          <w:tcPr>
            <w:tcW w:w="471" w:type="pct"/>
          </w:tcPr>
          <w:p w14:paraId="13FD2FB4" w14:textId="77777777" w:rsidR="00377531" w:rsidRPr="00377531" w:rsidRDefault="00377531" w:rsidP="004F2670">
            <w:pPr>
              <w:jc w:val="center"/>
              <w:rPr>
                <w:noProof/>
                <w:sz w:val="20"/>
                <w:szCs w:val="20"/>
              </w:rPr>
            </w:pPr>
            <w:r>
              <w:rPr>
                <w:noProof/>
                <w:sz w:val="20"/>
              </w:rPr>
              <w:t>Inde</w:t>
            </w:r>
          </w:p>
          <w:p w14:paraId="13FD2FB5" w14:textId="77777777" w:rsidR="00377531" w:rsidRPr="00377531" w:rsidRDefault="00377531" w:rsidP="004F2670">
            <w:pPr>
              <w:jc w:val="center"/>
              <w:rPr>
                <w:noProof/>
                <w:sz w:val="20"/>
                <w:szCs w:val="20"/>
              </w:rPr>
            </w:pPr>
            <w:r>
              <w:rPr>
                <w:noProof/>
                <w:sz w:val="20"/>
              </w:rPr>
              <w:t>Turquie</w:t>
            </w:r>
          </w:p>
        </w:tc>
        <w:tc>
          <w:tcPr>
            <w:tcW w:w="630" w:type="pct"/>
          </w:tcPr>
          <w:p w14:paraId="13FD2FB6" w14:textId="77777777" w:rsidR="00377531" w:rsidRPr="00377531" w:rsidRDefault="00377531" w:rsidP="004F2670">
            <w:pPr>
              <w:jc w:val="center"/>
              <w:rPr>
                <w:noProof/>
                <w:sz w:val="20"/>
                <w:szCs w:val="20"/>
              </w:rPr>
            </w:pPr>
            <w:r>
              <w:rPr>
                <w:noProof/>
                <w:sz w:val="20"/>
              </w:rPr>
              <w:t>—</w:t>
            </w:r>
          </w:p>
        </w:tc>
        <w:tc>
          <w:tcPr>
            <w:tcW w:w="471" w:type="pct"/>
          </w:tcPr>
          <w:p w14:paraId="13FD2FB7" w14:textId="77777777" w:rsidR="00377531" w:rsidRPr="00377531" w:rsidRDefault="001D19D8" w:rsidP="004F2670">
            <w:pPr>
              <w:jc w:val="center"/>
              <w:rPr>
                <w:noProof/>
                <w:sz w:val="20"/>
                <w:szCs w:val="20"/>
              </w:rPr>
            </w:pPr>
            <w:hyperlink r:id="rId59" w:history="1">
              <w:r w:rsidR="004175A3">
                <w:rPr>
                  <w:rStyle w:val="Hyperlink"/>
                  <w:noProof/>
                  <w:sz w:val="20"/>
                </w:rPr>
                <w:t xml:space="preserve">Règlement définitif </w:t>
              </w:r>
            </w:hyperlink>
          </w:p>
        </w:tc>
        <w:tc>
          <w:tcPr>
            <w:tcW w:w="629" w:type="pct"/>
          </w:tcPr>
          <w:p w14:paraId="13FD2FB8" w14:textId="77777777" w:rsidR="00377531" w:rsidRPr="00377531" w:rsidRDefault="00377531" w:rsidP="004F2670">
            <w:pPr>
              <w:jc w:val="center"/>
              <w:rPr>
                <w:noProof/>
                <w:sz w:val="20"/>
                <w:szCs w:val="20"/>
              </w:rPr>
            </w:pPr>
            <w:r>
              <w:rPr>
                <w:noProof/>
                <w:sz w:val="20"/>
              </w:rPr>
              <w:t>NON</w:t>
            </w:r>
          </w:p>
        </w:tc>
        <w:tc>
          <w:tcPr>
            <w:tcW w:w="520" w:type="pct"/>
          </w:tcPr>
          <w:p w14:paraId="13FD2FB9" w14:textId="77777777" w:rsidR="00377531" w:rsidRPr="00377531" w:rsidRDefault="00377531" w:rsidP="004F2670">
            <w:pPr>
              <w:jc w:val="center"/>
              <w:rPr>
                <w:noProof/>
                <w:sz w:val="20"/>
                <w:szCs w:val="20"/>
              </w:rPr>
            </w:pPr>
            <w:r>
              <w:rPr>
                <w:noProof/>
                <w:sz w:val="20"/>
              </w:rPr>
              <w:t>—</w:t>
            </w:r>
          </w:p>
        </w:tc>
        <w:tc>
          <w:tcPr>
            <w:tcW w:w="598" w:type="pct"/>
          </w:tcPr>
          <w:p w14:paraId="13FD2FBA" w14:textId="77777777" w:rsidR="00377531" w:rsidRPr="00377531" w:rsidRDefault="00377531" w:rsidP="004F2670">
            <w:pPr>
              <w:jc w:val="center"/>
              <w:rPr>
                <w:noProof/>
                <w:sz w:val="20"/>
                <w:szCs w:val="20"/>
              </w:rPr>
            </w:pPr>
            <w:r>
              <w:rPr>
                <w:noProof/>
                <w:sz w:val="20"/>
              </w:rPr>
              <w:t>—</w:t>
            </w:r>
          </w:p>
        </w:tc>
        <w:tc>
          <w:tcPr>
            <w:tcW w:w="563" w:type="pct"/>
          </w:tcPr>
          <w:p w14:paraId="13FD2FBB" w14:textId="77777777" w:rsidR="00377531" w:rsidRPr="00377531" w:rsidRDefault="00377531" w:rsidP="004F2670">
            <w:pPr>
              <w:jc w:val="center"/>
              <w:rPr>
                <w:noProof/>
                <w:sz w:val="20"/>
                <w:szCs w:val="20"/>
              </w:rPr>
            </w:pPr>
            <w:r>
              <w:rPr>
                <w:noProof/>
                <w:sz w:val="20"/>
              </w:rPr>
              <w:t>—</w:t>
            </w:r>
          </w:p>
        </w:tc>
        <w:tc>
          <w:tcPr>
            <w:tcW w:w="570" w:type="pct"/>
          </w:tcPr>
          <w:p w14:paraId="13FD2FBC" w14:textId="77777777" w:rsidR="00377531" w:rsidRPr="00377531" w:rsidRDefault="00377531" w:rsidP="004F2670">
            <w:pPr>
              <w:jc w:val="center"/>
              <w:rPr>
                <w:noProof/>
                <w:sz w:val="20"/>
                <w:szCs w:val="20"/>
              </w:rPr>
            </w:pPr>
            <w:r>
              <w:rPr>
                <w:noProof/>
                <w:sz w:val="20"/>
              </w:rPr>
              <w:t>S.O.</w:t>
            </w:r>
          </w:p>
        </w:tc>
      </w:tr>
      <w:tr w:rsidR="00377531" w:rsidRPr="00377531" w14:paraId="13FD2FC9" w14:textId="77777777" w:rsidTr="00377531">
        <w:tc>
          <w:tcPr>
            <w:tcW w:w="548" w:type="pct"/>
          </w:tcPr>
          <w:p w14:paraId="13FD2FBE" w14:textId="77777777" w:rsidR="00377531" w:rsidRPr="00377531" w:rsidRDefault="00377531" w:rsidP="004F2670">
            <w:pPr>
              <w:jc w:val="center"/>
              <w:rPr>
                <w:noProof/>
                <w:sz w:val="20"/>
                <w:szCs w:val="20"/>
              </w:rPr>
            </w:pPr>
            <w:r>
              <w:rPr>
                <w:noProof/>
                <w:sz w:val="20"/>
              </w:rPr>
              <w:t>Roues en aluminium</w:t>
            </w:r>
          </w:p>
        </w:tc>
        <w:tc>
          <w:tcPr>
            <w:tcW w:w="471" w:type="pct"/>
          </w:tcPr>
          <w:p w14:paraId="13FD2FBF" w14:textId="77777777" w:rsidR="00377531" w:rsidRPr="00377531" w:rsidRDefault="00377531" w:rsidP="004F2670">
            <w:pPr>
              <w:jc w:val="center"/>
              <w:rPr>
                <w:noProof/>
                <w:sz w:val="20"/>
                <w:szCs w:val="20"/>
              </w:rPr>
            </w:pPr>
            <w:r>
              <w:rPr>
                <w:noProof/>
                <w:sz w:val="20"/>
              </w:rPr>
              <w:t>Maroc</w:t>
            </w:r>
          </w:p>
        </w:tc>
        <w:tc>
          <w:tcPr>
            <w:tcW w:w="630" w:type="pct"/>
          </w:tcPr>
          <w:p w14:paraId="13FD2FC0" w14:textId="77777777" w:rsidR="00377531" w:rsidRPr="00377531" w:rsidRDefault="001D19D8" w:rsidP="004F2670">
            <w:pPr>
              <w:jc w:val="center"/>
              <w:rPr>
                <w:noProof/>
                <w:sz w:val="20"/>
                <w:szCs w:val="20"/>
              </w:rPr>
            </w:pPr>
            <w:hyperlink r:id="rId60" w:history="1">
              <w:r w:rsidR="004175A3">
                <w:rPr>
                  <w:rStyle w:val="Hyperlink"/>
                  <w:noProof/>
                  <w:sz w:val="20"/>
                </w:rPr>
                <w:t xml:space="preserve">Règlement provisoire </w:t>
              </w:r>
            </w:hyperlink>
          </w:p>
          <w:p w14:paraId="13FD2FC1" w14:textId="77777777" w:rsidR="00377531" w:rsidRPr="00377531" w:rsidRDefault="00377531" w:rsidP="004F2670">
            <w:pPr>
              <w:jc w:val="center"/>
              <w:rPr>
                <w:noProof/>
                <w:sz w:val="20"/>
                <w:szCs w:val="20"/>
                <w:lang w:val="fr-BE"/>
              </w:rPr>
            </w:pPr>
          </w:p>
        </w:tc>
        <w:tc>
          <w:tcPr>
            <w:tcW w:w="471" w:type="pct"/>
          </w:tcPr>
          <w:p w14:paraId="13FD2FC2" w14:textId="77777777" w:rsidR="00377531" w:rsidRPr="00377531" w:rsidRDefault="001D19D8" w:rsidP="004F2670">
            <w:pPr>
              <w:jc w:val="center"/>
              <w:rPr>
                <w:noProof/>
                <w:sz w:val="20"/>
                <w:szCs w:val="20"/>
              </w:rPr>
            </w:pPr>
            <w:hyperlink r:id="rId61" w:history="1">
              <w:r w:rsidR="004175A3">
                <w:rPr>
                  <w:rStyle w:val="Hyperlink"/>
                  <w:noProof/>
                  <w:sz w:val="20"/>
                </w:rPr>
                <w:t xml:space="preserve">Règlement définitif </w:t>
              </w:r>
            </w:hyperlink>
          </w:p>
        </w:tc>
        <w:tc>
          <w:tcPr>
            <w:tcW w:w="629" w:type="pct"/>
          </w:tcPr>
          <w:p w14:paraId="13FD2FC3" w14:textId="77777777" w:rsidR="00377531" w:rsidRPr="00377531" w:rsidRDefault="00377531" w:rsidP="004F2670">
            <w:pPr>
              <w:jc w:val="center"/>
              <w:rPr>
                <w:noProof/>
                <w:sz w:val="20"/>
                <w:szCs w:val="20"/>
              </w:rPr>
            </w:pPr>
            <w:r>
              <w:rPr>
                <w:noProof/>
                <w:sz w:val="20"/>
              </w:rPr>
              <w:t>NON</w:t>
            </w:r>
          </w:p>
        </w:tc>
        <w:tc>
          <w:tcPr>
            <w:tcW w:w="520" w:type="pct"/>
          </w:tcPr>
          <w:p w14:paraId="13FD2FC4" w14:textId="77777777" w:rsidR="00377531" w:rsidRPr="00377531" w:rsidRDefault="00377531" w:rsidP="004F2670">
            <w:pPr>
              <w:jc w:val="center"/>
              <w:rPr>
                <w:noProof/>
                <w:sz w:val="20"/>
                <w:szCs w:val="20"/>
              </w:rPr>
            </w:pPr>
            <w:r>
              <w:rPr>
                <w:noProof/>
                <w:sz w:val="20"/>
              </w:rPr>
              <w:t>—</w:t>
            </w:r>
          </w:p>
        </w:tc>
        <w:tc>
          <w:tcPr>
            <w:tcW w:w="598" w:type="pct"/>
          </w:tcPr>
          <w:p w14:paraId="13FD2FC5" w14:textId="77777777" w:rsidR="00377531" w:rsidRPr="00377531" w:rsidRDefault="00377531" w:rsidP="004F2670">
            <w:pPr>
              <w:jc w:val="center"/>
              <w:rPr>
                <w:noProof/>
                <w:sz w:val="20"/>
                <w:szCs w:val="20"/>
              </w:rPr>
            </w:pPr>
            <w:r>
              <w:rPr>
                <w:noProof/>
                <w:sz w:val="20"/>
              </w:rPr>
              <w:t>—</w:t>
            </w:r>
          </w:p>
        </w:tc>
        <w:tc>
          <w:tcPr>
            <w:tcW w:w="563" w:type="pct"/>
          </w:tcPr>
          <w:p w14:paraId="13FD2FC6" w14:textId="77777777" w:rsidR="00377531" w:rsidRPr="00377531" w:rsidRDefault="00377531" w:rsidP="004F2670">
            <w:pPr>
              <w:jc w:val="center"/>
              <w:rPr>
                <w:noProof/>
                <w:sz w:val="20"/>
                <w:szCs w:val="20"/>
              </w:rPr>
            </w:pPr>
            <w:r>
              <w:rPr>
                <w:noProof/>
                <w:sz w:val="20"/>
              </w:rPr>
              <w:t>—</w:t>
            </w:r>
          </w:p>
        </w:tc>
        <w:tc>
          <w:tcPr>
            <w:tcW w:w="570" w:type="pct"/>
          </w:tcPr>
          <w:p w14:paraId="13FD2FC7" w14:textId="77777777" w:rsidR="00377531" w:rsidRPr="00377531" w:rsidRDefault="00377531" w:rsidP="004F2670">
            <w:pPr>
              <w:jc w:val="center"/>
              <w:rPr>
                <w:noProof/>
                <w:sz w:val="20"/>
                <w:szCs w:val="20"/>
              </w:rPr>
            </w:pPr>
            <w:r>
              <w:rPr>
                <w:noProof/>
                <w:sz w:val="20"/>
              </w:rPr>
              <w:t>OUI</w:t>
            </w:r>
          </w:p>
          <w:p w14:paraId="13FD2FC8" w14:textId="77777777" w:rsidR="00377531" w:rsidRPr="00377531" w:rsidRDefault="00377531" w:rsidP="004F2670">
            <w:pPr>
              <w:jc w:val="center"/>
              <w:rPr>
                <w:noProof/>
                <w:sz w:val="20"/>
                <w:szCs w:val="20"/>
                <w:lang w:val="fr-BE"/>
              </w:rPr>
            </w:pPr>
          </w:p>
        </w:tc>
      </w:tr>
      <w:tr w:rsidR="00377531" w:rsidRPr="00377531" w14:paraId="13FD2FD8" w14:textId="77777777" w:rsidTr="00377531">
        <w:tc>
          <w:tcPr>
            <w:tcW w:w="548" w:type="pct"/>
          </w:tcPr>
          <w:p w14:paraId="13FD2FCA" w14:textId="77777777" w:rsidR="00377531" w:rsidRPr="00377531" w:rsidRDefault="00377531" w:rsidP="004F2670">
            <w:pPr>
              <w:jc w:val="center"/>
              <w:rPr>
                <w:noProof/>
                <w:sz w:val="20"/>
                <w:szCs w:val="20"/>
              </w:rPr>
            </w:pPr>
            <w:r>
              <w:rPr>
                <w:noProof/>
                <w:sz w:val="20"/>
              </w:rPr>
              <w:t>Acide gras</w:t>
            </w:r>
          </w:p>
        </w:tc>
        <w:tc>
          <w:tcPr>
            <w:tcW w:w="471" w:type="pct"/>
          </w:tcPr>
          <w:p w14:paraId="13FD2FCB" w14:textId="77777777" w:rsidR="00377531" w:rsidRPr="00377531" w:rsidRDefault="00377531" w:rsidP="004F2670">
            <w:pPr>
              <w:jc w:val="center"/>
              <w:rPr>
                <w:noProof/>
                <w:sz w:val="20"/>
                <w:szCs w:val="20"/>
              </w:rPr>
            </w:pPr>
            <w:r>
              <w:rPr>
                <w:noProof/>
                <w:sz w:val="20"/>
              </w:rPr>
              <w:t>Indonésie</w:t>
            </w:r>
          </w:p>
        </w:tc>
        <w:tc>
          <w:tcPr>
            <w:tcW w:w="630" w:type="pct"/>
          </w:tcPr>
          <w:p w14:paraId="13FD2FCC" w14:textId="77777777" w:rsidR="00377531" w:rsidRPr="00377531" w:rsidRDefault="00377531" w:rsidP="004F2670">
            <w:pPr>
              <w:jc w:val="center"/>
              <w:rPr>
                <w:noProof/>
                <w:sz w:val="20"/>
                <w:szCs w:val="20"/>
              </w:rPr>
            </w:pPr>
            <w:r>
              <w:rPr>
                <w:noProof/>
                <w:sz w:val="20"/>
              </w:rPr>
              <w:t>—</w:t>
            </w:r>
          </w:p>
        </w:tc>
        <w:tc>
          <w:tcPr>
            <w:tcW w:w="471" w:type="pct"/>
          </w:tcPr>
          <w:p w14:paraId="13FD2FCD" w14:textId="77777777" w:rsidR="00377531" w:rsidRPr="00377531" w:rsidRDefault="001D19D8" w:rsidP="004F2670">
            <w:pPr>
              <w:jc w:val="center"/>
              <w:rPr>
                <w:noProof/>
                <w:sz w:val="20"/>
                <w:szCs w:val="20"/>
              </w:rPr>
            </w:pPr>
            <w:hyperlink r:id="rId62" w:history="1">
              <w:r w:rsidR="004175A3">
                <w:rPr>
                  <w:rStyle w:val="Hyperlink"/>
                  <w:noProof/>
                  <w:sz w:val="20"/>
                </w:rPr>
                <w:t xml:space="preserve">Règlement définitif </w:t>
              </w:r>
            </w:hyperlink>
          </w:p>
          <w:p w14:paraId="13FD2FCE" w14:textId="77777777" w:rsidR="00377531" w:rsidRPr="00377531" w:rsidRDefault="00377531" w:rsidP="004F2670">
            <w:pPr>
              <w:jc w:val="center"/>
              <w:rPr>
                <w:noProof/>
                <w:sz w:val="20"/>
                <w:szCs w:val="20"/>
                <w:lang w:val="fr-BE"/>
              </w:rPr>
            </w:pPr>
          </w:p>
        </w:tc>
        <w:tc>
          <w:tcPr>
            <w:tcW w:w="629" w:type="pct"/>
          </w:tcPr>
          <w:p w14:paraId="13FD2FCF" w14:textId="77777777" w:rsidR="00377531" w:rsidRPr="00377531" w:rsidRDefault="00377531" w:rsidP="004F2670">
            <w:pPr>
              <w:jc w:val="center"/>
              <w:rPr>
                <w:noProof/>
                <w:sz w:val="20"/>
                <w:szCs w:val="20"/>
              </w:rPr>
            </w:pPr>
            <w:r>
              <w:rPr>
                <w:noProof/>
                <w:sz w:val="20"/>
              </w:rPr>
              <w:t>OUI</w:t>
            </w:r>
          </w:p>
        </w:tc>
        <w:tc>
          <w:tcPr>
            <w:tcW w:w="520" w:type="pct"/>
          </w:tcPr>
          <w:p w14:paraId="13FD2FD0" w14:textId="77777777" w:rsidR="00377531" w:rsidRPr="00377531" w:rsidRDefault="00377531" w:rsidP="004F2670">
            <w:pPr>
              <w:jc w:val="center"/>
              <w:rPr>
                <w:noProof/>
                <w:sz w:val="20"/>
                <w:szCs w:val="20"/>
              </w:rPr>
            </w:pPr>
            <w:r>
              <w:rPr>
                <w:noProof/>
                <w:sz w:val="20"/>
              </w:rPr>
              <w:t>OUI</w:t>
            </w:r>
          </w:p>
        </w:tc>
        <w:tc>
          <w:tcPr>
            <w:tcW w:w="598" w:type="pct"/>
          </w:tcPr>
          <w:p w14:paraId="13FD2FD1" w14:textId="77777777" w:rsidR="00377531" w:rsidRPr="00377531" w:rsidRDefault="00377531" w:rsidP="004F2670">
            <w:pPr>
              <w:jc w:val="center"/>
              <w:rPr>
                <w:noProof/>
                <w:sz w:val="20"/>
                <w:szCs w:val="20"/>
              </w:rPr>
            </w:pPr>
            <w:r>
              <w:rPr>
                <w:noProof/>
                <w:sz w:val="20"/>
              </w:rPr>
              <w:t>Matières premières - HPB&gt;40 % et l’huile de palmiste brute&gt;50 % du CDP.</w:t>
            </w:r>
          </w:p>
          <w:p w14:paraId="13FD2FD2" w14:textId="77777777" w:rsidR="00377531" w:rsidRPr="00377531" w:rsidRDefault="00377531" w:rsidP="004F2670">
            <w:pPr>
              <w:jc w:val="center"/>
              <w:rPr>
                <w:noProof/>
                <w:sz w:val="20"/>
                <w:szCs w:val="20"/>
              </w:rPr>
            </w:pPr>
          </w:p>
          <w:p w14:paraId="13FD2FD3" w14:textId="77777777" w:rsidR="00377531" w:rsidRPr="00377531" w:rsidRDefault="00377531" w:rsidP="004F2670">
            <w:pPr>
              <w:jc w:val="center"/>
              <w:rPr>
                <w:noProof/>
                <w:sz w:val="20"/>
                <w:szCs w:val="20"/>
              </w:rPr>
            </w:pPr>
            <w:r>
              <w:rPr>
                <w:noProof/>
                <w:sz w:val="20"/>
              </w:rPr>
              <w:t>Prix significativement inférieurs aux prix de référence.</w:t>
            </w:r>
          </w:p>
          <w:p w14:paraId="13FD2FD4" w14:textId="77777777" w:rsidR="00377531" w:rsidRPr="00377531" w:rsidRDefault="00377531" w:rsidP="004F2670">
            <w:pPr>
              <w:jc w:val="center"/>
              <w:rPr>
                <w:noProof/>
                <w:sz w:val="20"/>
                <w:szCs w:val="20"/>
              </w:rPr>
            </w:pPr>
          </w:p>
          <w:p w14:paraId="13FD2FD5" w14:textId="77777777" w:rsidR="00377531" w:rsidRPr="00377531" w:rsidRDefault="00377531" w:rsidP="004F2670">
            <w:pPr>
              <w:jc w:val="center"/>
              <w:rPr>
                <w:noProof/>
                <w:sz w:val="20"/>
                <w:szCs w:val="20"/>
              </w:rPr>
            </w:pPr>
            <w:r>
              <w:rPr>
                <w:noProof/>
                <w:sz w:val="20"/>
              </w:rPr>
              <w:t>Intérêt de l’Union: OUI</w:t>
            </w:r>
          </w:p>
        </w:tc>
        <w:tc>
          <w:tcPr>
            <w:tcW w:w="563" w:type="pct"/>
          </w:tcPr>
          <w:p w14:paraId="13FD2FD6" w14:textId="77777777" w:rsidR="00377531" w:rsidRPr="00377531" w:rsidRDefault="00377531" w:rsidP="004F2670">
            <w:pPr>
              <w:jc w:val="center"/>
              <w:rPr>
                <w:noProof/>
                <w:color w:val="FF0000"/>
                <w:sz w:val="20"/>
                <w:szCs w:val="20"/>
              </w:rPr>
            </w:pPr>
            <w:r>
              <w:rPr>
                <w:noProof/>
                <w:sz w:val="20"/>
              </w:rPr>
              <w:t xml:space="preserve">OUI </w:t>
            </w:r>
          </w:p>
        </w:tc>
        <w:tc>
          <w:tcPr>
            <w:tcW w:w="570" w:type="pct"/>
          </w:tcPr>
          <w:p w14:paraId="13FD2FD7" w14:textId="77777777" w:rsidR="00377531" w:rsidRPr="00377531" w:rsidRDefault="00377531" w:rsidP="004F2670">
            <w:pPr>
              <w:jc w:val="center"/>
              <w:rPr>
                <w:noProof/>
                <w:sz w:val="20"/>
                <w:szCs w:val="20"/>
              </w:rPr>
            </w:pPr>
            <w:r>
              <w:rPr>
                <w:noProof/>
                <w:sz w:val="20"/>
              </w:rPr>
              <w:t>S.O.</w:t>
            </w:r>
          </w:p>
        </w:tc>
      </w:tr>
    </w:tbl>
    <w:p w14:paraId="13FD2FD9" w14:textId="77777777" w:rsidR="00377531" w:rsidRPr="00377531" w:rsidRDefault="00377531" w:rsidP="00377531">
      <w:pPr>
        <w:rPr>
          <w:noProof/>
          <w:sz w:val="20"/>
          <w:szCs w:val="20"/>
        </w:rPr>
      </w:pPr>
    </w:p>
    <w:p w14:paraId="13FD2FDA" w14:textId="77777777" w:rsidR="00A1247B" w:rsidRPr="00377531" w:rsidRDefault="00A1247B" w:rsidP="003A5A48">
      <w:pPr>
        <w:jc w:val="both"/>
        <w:rPr>
          <w:iCs/>
          <w:noProof/>
          <w:sz w:val="20"/>
          <w:szCs w:val="20"/>
          <w:lang w:eastAsia="en-US"/>
        </w:rPr>
      </w:pPr>
    </w:p>
    <w:p w14:paraId="13FD2FDB" w14:textId="77777777" w:rsidR="00377531" w:rsidRPr="00377531" w:rsidRDefault="00377531" w:rsidP="003A5A48">
      <w:pPr>
        <w:jc w:val="both"/>
        <w:rPr>
          <w:iCs/>
          <w:noProof/>
          <w:sz w:val="20"/>
          <w:szCs w:val="20"/>
          <w:lang w:eastAsia="en-US"/>
        </w:rPr>
      </w:pPr>
    </w:p>
    <w:p w14:paraId="13FD2FDC" w14:textId="77777777" w:rsidR="00377531" w:rsidRPr="00377531" w:rsidRDefault="00377531" w:rsidP="003A5A48">
      <w:pPr>
        <w:jc w:val="both"/>
        <w:rPr>
          <w:iCs/>
          <w:noProof/>
          <w:sz w:val="20"/>
          <w:szCs w:val="20"/>
          <w:lang w:eastAsia="en-US"/>
        </w:rPr>
      </w:pPr>
    </w:p>
    <w:p w14:paraId="13FD2FDD" w14:textId="77777777" w:rsidR="00377531" w:rsidRDefault="00377531" w:rsidP="003A5A48">
      <w:pPr>
        <w:jc w:val="both"/>
        <w:rPr>
          <w:iCs/>
          <w:noProof/>
          <w:lang w:eastAsia="en-US"/>
        </w:rPr>
      </w:pPr>
    </w:p>
    <w:p w14:paraId="13FD2FDE" w14:textId="77777777" w:rsidR="00377531" w:rsidRDefault="00377531" w:rsidP="003A5A48">
      <w:pPr>
        <w:jc w:val="both"/>
        <w:rPr>
          <w:iCs/>
          <w:noProof/>
          <w:lang w:eastAsia="en-US"/>
        </w:rPr>
      </w:pPr>
    </w:p>
    <w:p w14:paraId="13FD2FDF" w14:textId="77777777" w:rsidR="009121E6" w:rsidRDefault="009121E6" w:rsidP="003A5A48">
      <w:pPr>
        <w:jc w:val="both"/>
        <w:rPr>
          <w:iCs/>
          <w:noProof/>
          <w:lang w:eastAsia="en-US"/>
        </w:rPr>
        <w:sectPr w:rsidR="009121E6" w:rsidSect="009121E6">
          <w:headerReference w:type="even" r:id="rId63"/>
          <w:headerReference w:type="default" r:id="rId64"/>
          <w:footerReference w:type="even" r:id="rId65"/>
          <w:footerReference w:type="default" r:id="rId66"/>
          <w:headerReference w:type="first" r:id="rId67"/>
          <w:footerReference w:type="first" r:id="rId68"/>
          <w:pgSz w:w="16838" w:h="11906" w:orient="landscape"/>
          <w:pgMar w:top="1440" w:right="1440" w:bottom="1440" w:left="1440" w:header="708" w:footer="708" w:gutter="0"/>
          <w:cols w:space="720"/>
          <w:docGrid w:linePitch="360"/>
        </w:sectPr>
      </w:pPr>
    </w:p>
    <w:p w14:paraId="13FD2FE3" w14:textId="77777777" w:rsidR="00A1247B" w:rsidRDefault="00A1247B" w:rsidP="00A1247B">
      <w:pPr>
        <w:ind w:right="708"/>
        <w:jc w:val="center"/>
        <w:rPr>
          <w:b/>
          <w:noProof/>
          <w:u w:val="single"/>
        </w:rPr>
      </w:pPr>
      <w:r>
        <w:rPr>
          <w:b/>
          <w:noProof/>
          <w:u w:val="single"/>
        </w:rPr>
        <w:t>Annexe 2</w:t>
      </w:r>
    </w:p>
    <w:p w14:paraId="13FD2FE4" w14:textId="77777777" w:rsidR="00A1247B" w:rsidRDefault="00A1247B" w:rsidP="00A1247B">
      <w:pPr>
        <w:ind w:right="708"/>
        <w:jc w:val="center"/>
        <w:rPr>
          <w:b/>
          <w:noProof/>
          <w:u w:val="single"/>
        </w:rPr>
      </w:pPr>
    </w:p>
    <w:p w14:paraId="13FD2FE5" w14:textId="548CF0B4" w:rsidR="00A1247B" w:rsidRDefault="0053126E" w:rsidP="00A1247B">
      <w:pPr>
        <w:ind w:right="708"/>
        <w:jc w:val="center"/>
        <w:rPr>
          <w:b/>
          <w:noProof/>
          <w:u w:val="single"/>
        </w:rPr>
      </w:pPr>
      <w:r>
        <w:rPr>
          <w:b/>
          <w:noProof/>
          <w:u w:val="single"/>
        </w:rPr>
        <w:t>MESURES COMPENSATOIRES</w:t>
      </w:r>
    </w:p>
    <w:p w14:paraId="13FD2FE6" w14:textId="77777777" w:rsidR="00866709" w:rsidRDefault="00866709" w:rsidP="00A1247B">
      <w:pPr>
        <w:ind w:right="708"/>
        <w:jc w:val="center"/>
        <w:rPr>
          <w:b/>
          <w:noProof/>
          <w:u w:val="single"/>
        </w:rPr>
      </w:pPr>
    </w:p>
    <w:tbl>
      <w:tblPr>
        <w:tblStyle w:val="TableGrid"/>
        <w:tblW w:w="8956" w:type="dxa"/>
        <w:tblLook w:val="04A0" w:firstRow="1" w:lastRow="0" w:firstColumn="1" w:lastColumn="0" w:noHBand="0" w:noVBand="1"/>
      </w:tblPr>
      <w:tblGrid>
        <w:gridCol w:w="2197"/>
        <w:gridCol w:w="1237"/>
        <w:gridCol w:w="1484"/>
        <w:gridCol w:w="1472"/>
        <w:gridCol w:w="1283"/>
        <w:gridCol w:w="1283"/>
      </w:tblGrid>
      <w:tr w:rsidR="00866709" w:rsidRPr="00042222" w14:paraId="13FD2FF0" w14:textId="77777777" w:rsidTr="00866709">
        <w:tc>
          <w:tcPr>
            <w:tcW w:w="2197" w:type="dxa"/>
          </w:tcPr>
          <w:p w14:paraId="13FD2FE7" w14:textId="77777777" w:rsidR="00866709" w:rsidRPr="00042222" w:rsidRDefault="00866709" w:rsidP="00866709">
            <w:pPr>
              <w:jc w:val="center"/>
              <w:rPr>
                <w:b/>
                <w:noProof/>
                <w:sz w:val="18"/>
                <w:szCs w:val="18"/>
                <w:u w:val="single"/>
              </w:rPr>
            </w:pPr>
            <w:r>
              <w:rPr>
                <w:b/>
                <w:noProof/>
                <w:sz w:val="18"/>
                <w:u w:val="single"/>
              </w:rPr>
              <w:t>Produit</w:t>
            </w:r>
          </w:p>
        </w:tc>
        <w:tc>
          <w:tcPr>
            <w:tcW w:w="1237" w:type="dxa"/>
          </w:tcPr>
          <w:p w14:paraId="13FD2FE8" w14:textId="77777777" w:rsidR="00866709" w:rsidRPr="00042222" w:rsidRDefault="00866709" w:rsidP="00866709">
            <w:pPr>
              <w:jc w:val="center"/>
              <w:rPr>
                <w:b/>
                <w:noProof/>
                <w:sz w:val="18"/>
                <w:szCs w:val="18"/>
                <w:u w:val="single"/>
              </w:rPr>
            </w:pPr>
            <w:r>
              <w:rPr>
                <w:b/>
                <w:noProof/>
                <w:sz w:val="18"/>
                <w:u w:val="single"/>
              </w:rPr>
              <w:t>Pays</w:t>
            </w:r>
          </w:p>
        </w:tc>
        <w:tc>
          <w:tcPr>
            <w:tcW w:w="1484" w:type="dxa"/>
          </w:tcPr>
          <w:p w14:paraId="5190A07E" w14:textId="77777777" w:rsidR="00FC735C" w:rsidRDefault="00866709" w:rsidP="00866709">
            <w:pPr>
              <w:jc w:val="center"/>
              <w:rPr>
                <w:b/>
                <w:noProof/>
                <w:sz w:val="18"/>
                <w:u w:val="single"/>
              </w:rPr>
            </w:pPr>
            <w:r>
              <w:rPr>
                <w:b/>
                <w:noProof/>
                <w:sz w:val="18"/>
                <w:u w:val="single"/>
              </w:rPr>
              <w:t>Provisoires</w:t>
            </w:r>
          </w:p>
          <w:p w14:paraId="5DF2527F" w14:textId="77777777" w:rsidR="00FC735C" w:rsidRDefault="00866709" w:rsidP="00866709">
            <w:pPr>
              <w:jc w:val="center"/>
              <w:rPr>
                <w:b/>
                <w:noProof/>
                <w:sz w:val="18"/>
                <w:u w:val="single"/>
              </w:rPr>
            </w:pPr>
            <w:r>
              <w:rPr>
                <w:b/>
                <w:noProof/>
                <w:sz w:val="18"/>
                <w:u w:val="single"/>
              </w:rPr>
              <w:t>Article 12, paragraphe 1</w:t>
            </w:r>
          </w:p>
          <w:p w14:paraId="13FD2FEB" w14:textId="3469E7E7" w:rsidR="00866709" w:rsidRPr="00042222" w:rsidRDefault="00866709" w:rsidP="00866709">
            <w:pPr>
              <w:jc w:val="center"/>
              <w:rPr>
                <w:b/>
                <w:noProof/>
                <w:sz w:val="18"/>
                <w:szCs w:val="18"/>
                <w:u w:val="single"/>
                <w:lang w:val="fr-BE"/>
              </w:rPr>
            </w:pPr>
          </w:p>
        </w:tc>
        <w:tc>
          <w:tcPr>
            <w:tcW w:w="1472" w:type="dxa"/>
          </w:tcPr>
          <w:p w14:paraId="0B1B8EEC" w14:textId="77777777" w:rsidR="00FC735C" w:rsidRDefault="00866709" w:rsidP="00866709">
            <w:pPr>
              <w:jc w:val="center"/>
              <w:rPr>
                <w:b/>
                <w:noProof/>
                <w:sz w:val="18"/>
                <w:u w:val="single"/>
              </w:rPr>
            </w:pPr>
            <w:r>
              <w:rPr>
                <w:b/>
                <w:noProof/>
                <w:sz w:val="18"/>
                <w:u w:val="single"/>
              </w:rPr>
              <w:t>Définitives</w:t>
            </w:r>
          </w:p>
          <w:p w14:paraId="13FD2FED" w14:textId="3453BA37" w:rsidR="00866709" w:rsidRPr="00042222" w:rsidRDefault="00866709" w:rsidP="00866709">
            <w:pPr>
              <w:jc w:val="center"/>
              <w:rPr>
                <w:b/>
                <w:noProof/>
                <w:sz w:val="18"/>
                <w:szCs w:val="18"/>
                <w:u w:val="single"/>
              </w:rPr>
            </w:pPr>
            <w:r>
              <w:rPr>
                <w:b/>
                <w:noProof/>
                <w:sz w:val="18"/>
                <w:u w:val="single"/>
              </w:rPr>
              <w:t>Article 15, paragraphe 1</w:t>
            </w:r>
          </w:p>
        </w:tc>
        <w:tc>
          <w:tcPr>
            <w:tcW w:w="1283" w:type="dxa"/>
          </w:tcPr>
          <w:p w14:paraId="13FD2FEE" w14:textId="5B0128E8" w:rsidR="00866709" w:rsidRPr="00866709" w:rsidRDefault="00866709" w:rsidP="004C7E4C">
            <w:pPr>
              <w:jc w:val="center"/>
              <w:rPr>
                <w:b/>
                <w:noProof/>
                <w:sz w:val="18"/>
                <w:szCs w:val="18"/>
                <w:u w:val="single"/>
              </w:rPr>
            </w:pPr>
            <w:r>
              <w:rPr>
                <w:b/>
                <w:noProof/>
                <w:sz w:val="18"/>
                <w:u w:val="single"/>
              </w:rPr>
              <w:t>Mesures imposées pour la totalité du montant AS</w:t>
            </w:r>
          </w:p>
        </w:tc>
        <w:tc>
          <w:tcPr>
            <w:tcW w:w="1283" w:type="dxa"/>
          </w:tcPr>
          <w:p w14:paraId="13FD2FEF" w14:textId="568B316F" w:rsidR="00866709" w:rsidRPr="00042222" w:rsidRDefault="0033288A" w:rsidP="00866709">
            <w:pPr>
              <w:jc w:val="center"/>
              <w:rPr>
                <w:b/>
                <w:noProof/>
                <w:sz w:val="18"/>
                <w:szCs w:val="18"/>
                <w:u w:val="single"/>
              </w:rPr>
            </w:pPr>
            <w:r>
              <w:rPr>
                <w:b/>
                <w:noProof/>
                <w:sz w:val="18"/>
                <w:u w:val="single"/>
              </w:rPr>
              <w:t>Dossier AD distinct</w:t>
            </w:r>
          </w:p>
        </w:tc>
      </w:tr>
      <w:tr w:rsidR="00866709" w:rsidRPr="00042222" w14:paraId="13FD2FF9" w14:textId="77777777" w:rsidTr="00866709">
        <w:tc>
          <w:tcPr>
            <w:tcW w:w="2197" w:type="dxa"/>
          </w:tcPr>
          <w:p w14:paraId="13FD2FF1" w14:textId="77777777" w:rsidR="00866709" w:rsidRPr="00042222" w:rsidRDefault="00866709" w:rsidP="00866709">
            <w:pPr>
              <w:jc w:val="center"/>
              <w:rPr>
                <w:noProof/>
                <w:sz w:val="20"/>
                <w:szCs w:val="20"/>
              </w:rPr>
            </w:pPr>
            <w:r>
              <w:rPr>
                <w:noProof/>
                <w:sz w:val="20"/>
              </w:rPr>
              <w:t xml:space="preserve">Biodiesel </w:t>
            </w:r>
          </w:p>
        </w:tc>
        <w:tc>
          <w:tcPr>
            <w:tcW w:w="1237" w:type="dxa"/>
          </w:tcPr>
          <w:p w14:paraId="13FD2FF2" w14:textId="77777777" w:rsidR="00866709" w:rsidRPr="00042222" w:rsidRDefault="00866709" w:rsidP="00866709">
            <w:pPr>
              <w:jc w:val="center"/>
              <w:rPr>
                <w:noProof/>
                <w:sz w:val="20"/>
                <w:szCs w:val="20"/>
              </w:rPr>
            </w:pPr>
            <w:r>
              <w:rPr>
                <w:noProof/>
                <w:sz w:val="20"/>
              </w:rPr>
              <w:t xml:space="preserve"> Indonésie</w:t>
            </w:r>
          </w:p>
        </w:tc>
        <w:tc>
          <w:tcPr>
            <w:tcW w:w="1484" w:type="dxa"/>
          </w:tcPr>
          <w:p w14:paraId="13FD2FF3" w14:textId="77777777" w:rsidR="00866709" w:rsidRPr="00042222" w:rsidRDefault="001D19D8" w:rsidP="00866709">
            <w:pPr>
              <w:jc w:val="center"/>
              <w:rPr>
                <w:noProof/>
                <w:sz w:val="20"/>
                <w:szCs w:val="20"/>
                <w:u w:val="single"/>
              </w:rPr>
            </w:pPr>
            <w:hyperlink r:id="rId69" w:history="1">
              <w:r w:rsidR="004175A3">
                <w:rPr>
                  <w:rStyle w:val="Hyperlink"/>
                  <w:noProof/>
                  <w:sz w:val="20"/>
                </w:rPr>
                <w:t>Règlement provisoire sur le biodiesel</w:t>
              </w:r>
            </w:hyperlink>
          </w:p>
          <w:p w14:paraId="13FD2FF4" w14:textId="77777777" w:rsidR="00866709" w:rsidRPr="00042222" w:rsidRDefault="00866709" w:rsidP="00866709">
            <w:pPr>
              <w:jc w:val="center"/>
              <w:rPr>
                <w:noProof/>
                <w:sz w:val="20"/>
                <w:szCs w:val="20"/>
                <w:u w:val="single"/>
              </w:rPr>
            </w:pPr>
          </w:p>
        </w:tc>
        <w:tc>
          <w:tcPr>
            <w:tcW w:w="1472" w:type="dxa"/>
          </w:tcPr>
          <w:p w14:paraId="13FD2FF5" w14:textId="77777777" w:rsidR="00866709" w:rsidRPr="00042222" w:rsidRDefault="001D19D8" w:rsidP="00866709">
            <w:pPr>
              <w:jc w:val="center"/>
              <w:rPr>
                <w:noProof/>
                <w:sz w:val="20"/>
                <w:szCs w:val="20"/>
              </w:rPr>
            </w:pPr>
            <w:hyperlink r:id="rId70" w:history="1">
              <w:r w:rsidR="004175A3">
                <w:rPr>
                  <w:rStyle w:val="Hyperlink"/>
                  <w:noProof/>
                  <w:sz w:val="20"/>
                </w:rPr>
                <w:t>Règlement définitif sur le biodiesel</w:t>
              </w:r>
            </w:hyperlink>
          </w:p>
          <w:p w14:paraId="13FD2FF6" w14:textId="77777777" w:rsidR="00866709" w:rsidRPr="00042222" w:rsidRDefault="00866709" w:rsidP="00866709">
            <w:pPr>
              <w:jc w:val="center"/>
              <w:rPr>
                <w:noProof/>
                <w:sz w:val="20"/>
                <w:szCs w:val="20"/>
              </w:rPr>
            </w:pPr>
          </w:p>
        </w:tc>
        <w:tc>
          <w:tcPr>
            <w:tcW w:w="1283" w:type="dxa"/>
          </w:tcPr>
          <w:p w14:paraId="13FD2FF7" w14:textId="77777777" w:rsidR="00866709" w:rsidRPr="00042222" w:rsidRDefault="00866709" w:rsidP="00866709">
            <w:pPr>
              <w:jc w:val="center"/>
              <w:rPr>
                <w:noProof/>
                <w:sz w:val="20"/>
                <w:szCs w:val="20"/>
              </w:rPr>
            </w:pPr>
            <w:r>
              <w:rPr>
                <w:noProof/>
                <w:sz w:val="20"/>
              </w:rPr>
              <w:t>OUI</w:t>
            </w:r>
          </w:p>
        </w:tc>
        <w:tc>
          <w:tcPr>
            <w:tcW w:w="1283" w:type="dxa"/>
          </w:tcPr>
          <w:p w14:paraId="13FD2FF8" w14:textId="77777777" w:rsidR="00866709" w:rsidRPr="00042222" w:rsidRDefault="00866709" w:rsidP="00866709">
            <w:pPr>
              <w:jc w:val="center"/>
              <w:rPr>
                <w:noProof/>
                <w:sz w:val="20"/>
                <w:szCs w:val="20"/>
              </w:rPr>
            </w:pPr>
            <w:r>
              <w:rPr>
                <w:noProof/>
                <w:sz w:val="20"/>
              </w:rPr>
              <w:t>—</w:t>
            </w:r>
          </w:p>
        </w:tc>
      </w:tr>
      <w:tr w:rsidR="00866709" w:rsidRPr="00042222" w14:paraId="13FD3002" w14:textId="77777777" w:rsidTr="00866709">
        <w:tc>
          <w:tcPr>
            <w:tcW w:w="2197" w:type="dxa"/>
          </w:tcPr>
          <w:p w14:paraId="13FD2FFA" w14:textId="77777777" w:rsidR="00866709" w:rsidRPr="00042222" w:rsidRDefault="00866709" w:rsidP="00866709">
            <w:pPr>
              <w:jc w:val="center"/>
              <w:rPr>
                <w:noProof/>
                <w:sz w:val="20"/>
                <w:szCs w:val="20"/>
              </w:rPr>
            </w:pPr>
            <w:r>
              <w:rPr>
                <w:noProof/>
                <w:sz w:val="20"/>
                <w:shd w:val="clear" w:color="auto" w:fill="FFFFFF"/>
              </w:rPr>
              <w:t>Certains tissus en fibre de verre (tissées et/ou cousues)</w:t>
            </w:r>
          </w:p>
        </w:tc>
        <w:tc>
          <w:tcPr>
            <w:tcW w:w="1237" w:type="dxa"/>
          </w:tcPr>
          <w:p w14:paraId="13FD2FFB" w14:textId="77777777" w:rsidR="00866709" w:rsidRPr="00042222" w:rsidRDefault="00866709" w:rsidP="00866709">
            <w:pPr>
              <w:jc w:val="center"/>
              <w:rPr>
                <w:noProof/>
                <w:sz w:val="20"/>
                <w:szCs w:val="20"/>
              </w:rPr>
            </w:pPr>
            <w:r>
              <w:rPr>
                <w:noProof/>
                <w:sz w:val="20"/>
              </w:rPr>
              <w:t>Chine</w:t>
            </w:r>
          </w:p>
          <w:p w14:paraId="13FD2FFC" w14:textId="77777777" w:rsidR="00866709" w:rsidRPr="00042222" w:rsidRDefault="00866709" w:rsidP="00866709">
            <w:pPr>
              <w:jc w:val="center"/>
              <w:rPr>
                <w:noProof/>
                <w:sz w:val="20"/>
                <w:szCs w:val="20"/>
              </w:rPr>
            </w:pPr>
            <w:r>
              <w:rPr>
                <w:noProof/>
                <w:sz w:val="20"/>
              </w:rPr>
              <w:t>Égypte</w:t>
            </w:r>
          </w:p>
        </w:tc>
        <w:tc>
          <w:tcPr>
            <w:tcW w:w="1484" w:type="dxa"/>
          </w:tcPr>
          <w:p w14:paraId="13FD2FFD" w14:textId="77777777" w:rsidR="00866709" w:rsidRPr="00042222" w:rsidRDefault="00866709" w:rsidP="00866709">
            <w:pPr>
              <w:jc w:val="center"/>
              <w:rPr>
                <w:noProof/>
                <w:sz w:val="20"/>
                <w:szCs w:val="20"/>
              </w:rPr>
            </w:pPr>
            <w:r>
              <w:rPr>
                <w:noProof/>
                <w:sz w:val="20"/>
              </w:rPr>
              <w:t>—</w:t>
            </w:r>
          </w:p>
        </w:tc>
        <w:tc>
          <w:tcPr>
            <w:tcW w:w="1472" w:type="dxa"/>
          </w:tcPr>
          <w:p w14:paraId="13FD2FFE" w14:textId="77777777" w:rsidR="00866709" w:rsidRPr="00042222" w:rsidRDefault="001D19D8" w:rsidP="00866709">
            <w:pPr>
              <w:jc w:val="center"/>
              <w:rPr>
                <w:noProof/>
                <w:sz w:val="20"/>
                <w:szCs w:val="20"/>
              </w:rPr>
            </w:pPr>
            <w:hyperlink r:id="rId71" w:history="1">
              <w:r w:rsidR="004175A3">
                <w:rPr>
                  <w:rStyle w:val="Hyperlink"/>
                  <w:noProof/>
                  <w:sz w:val="20"/>
                </w:rPr>
                <w:t>Règlement définitif sur les tissus en fibres de verre</w:t>
              </w:r>
            </w:hyperlink>
          </w:p>
          <w:p w14:paraId="13FD2FFF" w14:textId="77777777" w:rsidR="00866709" w:rsidRPr="00042222" w:rsidRDefault="00866709" w:rsidP="00866709">
            <w:pPr>
              <w:jc w:val="center"/>
              <w:rPr>
                <w:noProof/>
                <w:sz w:val="20"/>
                <w:szCs w:val="20"/>
              </w:rPr>
            </w:pPr>
          </w:p>
        </w:tc>
        <w:tc>
          <w:tcPr>
            <w:tcW w:w="1283" w:type="dxa"/>
          </w:tcPr>
          <w:p w14:paraId="13FD3000" w14:textId="77777777" w:rsidR="00866709" w:rsidRPr="00042222" w:rsidRDefault="00866709" w:rsidP="00866709">
            <w:pPr>
              <w:jc w:val="center"/>
              <w:rPr>
                <w:noProof/>
                <w:sz w:val="20"/>
                <w:szCs w:val="20"/>
              </w:rPr>
            </w:pPr>
            <w:r>
              <w:rPr>
                <w:noProof/>
                <w:sz w:val="20"/>
              </w:rPr>
              <w:t>OUI</w:t>
            </w:r>
          </w:p>
        </w:tc>
        <w:tc>
          <w:tcPr>
            <w:tcW w:w="1283" w:type="dxa"/>
          </w:tcPr>
          <w:p w14:paraId="13FD3001" w14:textId="77777777" w:rsidR="00866709" w:rsidRPr="00042222" w:rsidRDefault="00866709" w:rsidP="00866709">
            <w:pPr>
              <w:jc w:val="center"/>
              <w:rPr>
                <w:noProof/>
                <w:sz w:val="20"/>
                <w:szCs w:val="20"/>
              </w:rPr>
            </w:pPr>
            <w:r>
              <w:rPr>
                <w:noProof/>
                <w:sz w:val="20"/>
              </w:rPr>
              <w:t>AD653</w:t>
            </w:r>
          </w:p>
        </w:tc>
      </w:tr>
      <w:tr w:rsidR="00866709" w:rsidRPr="00042222" w14:paraId="13FD300B" w14:textId="77777777" w:rsidTr="00866709">
        <w:tc>
          <w:tcPr>
            <w:tcW w:w="2197" w:type="dxa"/>
          </w:tcPr>
          <w:p w14:paraId="13FD3003" w14:textId="77777777" w:rsidR="00866709" w:rsidRPr="00042222" w:rsidRDefault="00866709" w:rsidP="00866709">
            <w:pPr>
              <w:jc w:val="center"/>
              <w:rPr>
                <w:noProof/>
                <w:sz w:val="20"/>
                <w:szCs w:val="20"/>
                <w:u w:val="single"/>
              </w:rPr>
            </w:pPr>
            <w:r>
              <w:rPr>
                <w:noProof/>
                <w:sz w:val="20"/>
              </w:rPr>
              <w:t>Produits de fibre de verre à filament continu</w:t>
            </w:r>
          </w:p>
        </w:tc>
        <w:tc>
          <w:tcPr>
            <w:tcW w:w="1237" w:type="dxa"/>
          </w:tcPr>
          <w:p w14:paraId="13FD3004" w14:textId="77777777" w:rsidR="00866709" w:rsidRPr="00042222" w:rsidRDefault="00866709" w:rsidP="00866709">
            <w:pPr>
              <w:jc w:val="center"/>
              <w:rPr>
                <w:noProof/>
                <w:sz w:val="20"/>
                <w:szCs w:val="20"/>
                <w:u w:val="single"/>
              </w:rPr>
            </w:pPr>
            <w:r>
              <w:rPr>
                <w:noProof/>
                <w:sz w:val="20"/>
                <w:u w:val="single"/>
              </w:rPr>
              <w:t>Égypte</w:t>
            </w:r>
          </w:p>
        </w:tc>
        <w:tc>
          <w:tcPr>
            <w:tcW w:w="1484" w:type="dxa"/>
          </w:tcPr>
          <w:p w14:paraId="13FD3005" w14:textId="77777777" w:rsidR="00866709" w:rsidRPr="005C401C" w:rsidRDefault="001D19D8" w:rsidP="00866709">
            <w:pPr>
              <w:jc w:val="center"/>
              <w:rPr>
                <w:rStyle w:val="Hyperlink"/>
                <w:noProof/>
                <w:sz w:val="20"/>
              </w:rPr>
            </w:pPr>
            <w:hyperlink r:id="rId72" w:history="1">
              <w:r w:rsidR="004175A3">
                <w:rPr>
                  <w:rStyle w:val="Hyperlink"/>
                  <w:noProof/>
                  <w:sz w:val="20"/>
                </w:rPr>
                <w:t>Règlement provisoire sur les produits de fibre de verre</w:t>
              </w:r>
            </w:hyperlink>
          </w:p>
          <w:p w14:paraId="13FD3006" w14:textId="77777777" w:rsidR="00866709" w:rsidRPr="005C401C" w:rsidRDefault="00866709" w:rsidP="00866709">
            <w:pPr>
              <w:jc w:val="center"/>
              <w:rPr>
                <w:noProof/>
                <w:sz w:val="20"/>
                <w:szCs w:val="20"/>
              </w:rPr>
            </w:pPr>
          </w:p>
        </w:tc>
        <w:tc>
          <w:tcPr>
            <w:tcW w:w="1472" w:type="dxa"/>
          </w:tcPr>
          <w:p w14:paraId="13FD3007" w14:textId="77777777" w:rsidR="00866709" w:rsidRPr="00042222" w:rsidRDefault="001D19D8" w:rsidP="00866709">
            <w:pPr>
              <w:jc w:val="center"/>
              <w:rPr>
                <w:noProof/>
                <w:sz w:val="20"/>
                <w:szCs w:val="20"/>
              </w:rPr>
            </w:pPr>
            <w:hyperlink r:id="rId73" w:history="1">
              <w:r w:rsidR="004175A3">
                <w:rPr>
                  <w:rStyle w:val="Hyperlink"/>
                  <w:noProof/>
                  <w:sz w:val="20"/>
                </w:rPr>
                <w:t>Règlement définitif sur les produits de fibre de verre</w:t>
              </w:r>
            </w:hyperlink>
          </w:p>
          <w:p w14:paraId="13FD3008" w14:textId="77777777" w:rsidR="00866709" w:rsidRPr="00042222" w:rsidRDefault="00866709" w:rsidP="00866709">
            <w:pPr>
              <w:jc w:val="center"/>
              <w:rPr>
                <w:noProof/>
                <w:sz w:val="20"/>
                <w:szCs w:val="20"/>
              </w:rPr>
            </w:pPr>
          </w:p>
        </w:tc>
        <w:tc>
          <w:tcPr>
            <w:tcW w:w="1283" w:type="dxa"/>
          </w:tcPr>
          <w:p w14:paraId="13FD3009" w14:textId="77777777" w:rsidR="00866709" w:rsidRPr="00042222" w:rsidRDefault="00866709" w:rsidP="00866709">
            <w:pPr>
              <w:jc w:val="center"/>
              <w:rPr>
                <w:noProof/>
                <w:sz w:val="20"/>
                <w:szCs w:val="20"/>
              </w:rPr>
            </w:pPr>
            <w:r>
              <w:rPr>
                <w:noProof/>
                <w:sz w:val="20"/>
              </w:rPr>
              <w:t>OUI</w:t>
            </w:r>
          </w:p>
        </w:tc>
        <w:tc>
          <w:tcPr>
            <w:tcW w:w="1283" w:type="dxa"/>
          </w:tcPr>
          <w:p w14:paraId="13FD300A" w14:textId="77777777" w:rsidR="00866709" w:rsidRPr="00042222" w:rsidRDefault="00866709" w:rsidP="00866709">
            <w:pPr>
              <w:jc w:val="center"/>
              <w:rPr>
                <w:noProof/>
                <w:sz w:val="20"/>
                <w:szCs w:val="20"/>
              </w:rPr>
            </w:pPr>
            <w:r>
              <w:rPr>
                <w:noProof/>
                <w:sz w:val="20"/>
              </w:rPr>
              <w:t>—</w:t>
            </w:r>
          </w:p>
        </w:tc>
      </w:tr>
      <w:tr w:rsidR="00866709" w:rsidRPr="00042222" w14:paraId="13FD3013" w14:textId="77777777" w:rsidTr="00866709">
        <w:tc>
          <w:tcPr>
            <w:tcW w:w="2197" w:type="dxa"/>
          </w:tcPr>
          <w:p w14:paraId="13FD300C" w14:textId="77777777" w:rsidR="00866709" w:rsidRPr="00042222" w:rsidRDefault="00866709" w:rsidP="00866709">
            <w:pPr>
              <w:jc w:val="center"/>
              <w:rPr>
                <w:noProof/>
                <w:sz w:val="20"/>
                <w:szCs w:val="20"/>
              </w:rPr>
            </w:pPr>
            <w:r>
              <w:rPr>
                <w:noProof/>
                <w:sz w:val="20"/>
              </w:rPr>
              <w:t>Feuilles et bandes minces en aluminium</w:t>
            </w:r>
          </w:p>
        </w:tc>
        <w:tc>
          <w:tcPr>
            <w:tcW w:w="1237" w:type="dxa"/>
          </w:tcPr>
          <w:p w14:paraId="13FD300D" w14:textId="77777777" w:rsidR="00866709" w:rsidRPr="00042222" w:rsidRDefault="00866709" w:rsidP="00866709">
            <w:pPr>
              <w:jc w:val="center"/>
              <w:rPr>
                <w:noProof/>
                <w:sz w:val="20"/>
                <w:szCs w:val="20"/>
              </w:rPr>
            </w:pPr>
            <w:r>
              <w:rPr>
                <w:noProof/>
                <w:sz w:val="20"/>
              </w:rPr>
              <w:t>Chine</w:t>
            </w:r>
          </w:p>
        </w:tc>
        <w:tc>
          <w:tcPr>
            <w:tcW w:w="1484" w:type="dxa"/>
          </w:tcPr>
          <w:p w14:paraId="13FD300E" w14:textId="77777777" w:rsidR="00866709" w:rsidRPr="00042222" w:rsidRDefault="00866709" w:rsidP="00866709">
            <w:pPr>
              <w:jc w:val="center"/>
              <w:rPr>
                <w:noProof/>
                <w:sz w:val="20"/>
                <w:szCs w:val="20"/>
              </w:rPr>
            </w:pPr>
            <w:r>
              <w:rPr>
                <w:noProof/>
                <w:sz w:val="20"/>
              </w:rPr>
              <w:t>—</w:t>
            </w:r>
          </w:p>
        </w:tc>
        <w:tc>
          <w:tcPr>
            <w:tcW w:w="1472" w:type="dxa"/>
          </w:tcPr>
          <w:p w14:paraId="13FD300F" w14:textId="77777777" w:rsidR="00866709" w:rsidRPr="00042222" w:rsidRDefault="001D19D8" w:rsidP="00866709">
            <w:pPr>
              <w:jc w:val="center"/>
              <w:rPr>
                <w:noProof/>
                <w:sz w:val="20"/>
                <w:szCs w:val="20"/>
              </w:rPr>
            </w:pPr>
            <w:hyperlink r:id="rId74" w:history="1">
              <w:r w:rsidR="004175A3">
                <w:rPr>
                  <w:rStyle w:val="Hyperlink"/>
                  <w:noProof/>
                  <w:sz w:val="20"/>
                </w:rPr>
                <w:t>Règlement définitif sur les feuilles et bandes minces en aluminium</w:t>
              </w:r>
            </w:hyperlink>
          </w:p>
          <w:p w14:paraId="13FD3010" w14:textId="77777777" w:rsidR="00866709" w:rsidRPr="00042222" w:rsidRDefault="00866709" w:rsidP="00866709">
            <w:pPr>
              <w:jc w:val="center"/>
              <w:rPr>
                <w:noProof/>
                <w:sz w:val="20"/>
                <w:szCs w:val="20"/>
              </w:rPr>
            </w:pPr>
          </w:p>
        </w:tc>
        <w:tc>
          <w:tcPr>
            <w:tcW w:w="1283" w:type="dxa"/>
          </w:tcPr>
          <w:p w14:paraId="13FD3011" w14:textId="77777777" w:rsidR="00866709" w:rsidRPr="00042222" w:rsidRDefault="00866709" w:rsidP="00866709">
            <w:pPr>
              <w:jc w:val="center"/>
              <w:rPr>
                <w:noProof/>
                <w:sz w:val="20"/>
                <w:szCs w:val="20"/>
              </w:rPr>
            </w:pPr>
            <w:r>
              <w:rPr>
                <w:noProof/>
                <w:sz w:val="20"/>
              </w:rPr>
              <w:t>OUI</w:t>
            </w:r>
          </w:p>
        </w:tc>
        <w:tc>
          <w:tcPr>
            <w:tcW w:w="1283" w:type="dxa"/>
          </w:tcPr>
          <w:p w14:paraId="13FD3012" w14:textId="77777777" w:rsidR="00866709" w:rsidRPr="00042222" w:rsidRDefault="00866709" w:rsidP="00866709">
            <w:pPr>
              <w:jc w:val="center"/>
              <w:rPr>
                <w:noProof/>
                <w:sz w:val="20"/>
                <w:szCs w:val="20"/>
              </w:rPr>
            </w:pPr>
            <w:r>
              <w:rPr>
                <w:noProof/>
                <w:sz w:val="20"/>
              </w:rPr>
              <w:t>AD673</w:t>
            </w:r>
          </w:p>
        </w:tc>
      </w:tr>
      <w:tr w:rsidR="00866709" w:rsidRPr="00042222" w14:paraId="13FD301B" w14:textId="77777777" w:rsidTr="00866709">
        <w:tc>
          <w:tcPr>
            <w:tcW w:w="2197" w:type="dxa"/>
          </w:tcPr>
          <w:p w14:paraId="13FD3014" w14:textId="77777777" w:rsidR="00866709" w:rsidRPr="00CC5B59" w:rsidRDefault="00866709" w:rsidP="00866709">
            <w:pPr>
              <w:jc w:val="center"/>
              <w:rPr>
                <w:noProof/>
                <w:sz w:val="20"/>
                <w:szCs w:val="20"/>
              </w:rPr>
            </w:pPr>
            <w:r>
              <w:rPr>
                <w:noProof/>
                <w:sz w:val="20"/>
              </w:rPr>
              <w:t>Câbles de fibre optique</w:t>
            </w:r>
          </w:p>
        </w:tc>
        <w:tc>
          <w:tcPr>
            <w:tcW w:w="1237" w:type="dxa"/>
          </w:tcPr>
          <w:p w14:paraId="13FD3015" w14:textId="77777777" w:rsidR="00866709" w:rsidRPr="00CC5B59" w:rsidRDefault="00866709" w:rsidP="00866709">
            <w:pPr>
              <w:jc w:val="center"/>
              <w:rPr>
                <w:noProof/>
                <w:sz w:val="20"/>
                <w:szCs w:val="20"/>
              </w:rPr>
            </w:pPr>
            <w:r>
              <w:rPr>
                <w:noProof/>
                <w:sz w:val="20"/>
              </w:rPr>
              <w:t>Chine</w:t>
            </w:r>
          </w:p>
        </w:tc>
        <w:tc>
          <w:tcPr>
            <w:tcW w:w="1484" w:type="dxa"/>
          </w:tcPr>
          <w:p w14:paraId="13FD3016" w14:textId="77777777" w:rsidR="00866709" w:rsidRPr="00042222" w:rsidRDefault="00866709" w:rsidP="00866709">
            <w:pPr>
              <w:jc w:val="center"/>
              <w:rPr>
                <w:noProof/>
                <w:sz w:val="20"/>
                <w:szCs w:val="20"/>
              </w:rPr>
            </w:pPr>
            <w:r>
              <w:rPr>
                <w:noProof/>
                <w:sz w:val="20"/>
              </w:rPr>
              <w:t>—</w:t>
            </w:r>
          </w:p>
        </w:tc>
        <w:tc>
          <w:tcPr>
            <w:tcW w:w="1472" w:type="dxa"/>
          </w:tcPr>
          <w:p w14:paraId="13FD3017" w14:textId="77777777" w:rsidR="00866709" w:rsidRPr="00042222" w:rsidRDefault="001D19D8" w:rsidP="00866709">
            <w:pPr>
              <w:jc w:val="center"/>
              <w:rPr>
                <w:noProof/>
                <w:sz w:val="20"/>
                <w:szCs w:val="20"/>
              </w:rPr>
            </w:pPr>
            <w:hyperlink r:id="rId75" w:history="1">
              <w:r w:rsidR="004175A3">
                <w:rPr>
                  <w:rStyle w:val="Hyperlink"/>
                  <w:noProof/>
                  <w:sz w:val="20"/>
                </w:rPr>
                <w:t>Règlement définitif sur les câbles de fibres optiques</w:t>
              </w:r>
            </w:hyperlink>
          </w:p>
          <w:p w14:paraId="13FD3018" w14:textId="77777777" w:rsidR="00866709" w:rsidRPr="00042222" w:rsidRDefault="00866709" w:rsidP="00866709">
            <w:pPr>
              <w:jc w:val="center"/>
              <w:rPr>
                <w:noProof/>
                <w:sz w:val="20"/>
                <w:szCs w:val="20"/>
              </w:rPr>
            </w:pPr>
          </w:p>
        </w:tc>
        <w:tc>
          <w:tcPr>
            <w:tcW w:w="1283" w:type="dxa"/>
          </w:tcPr>
          <w:p w14:paraId="13FD3019" w14:textId="77777777" w:rsidR="00866709" w:rsidRPr="00042222" w:rsidRDefault="00866709" w:rsidP="00866709">
            <w:pPr>
              <w:jc w:val="center"/>
              <w:rPr>
                <w:noProof/>
                <w:sz w:val="20"/>
                <w:szCs w:val="20"/>
              </w:rPr>
            </w:pPr>
            <w:r>
              <w:rPr>
                <w:noProof/>
                <w:sz w:val="20"/>
              </w:rPr>
              <w:t>OUI</w:t>
            </w:r>
          </w:p>
        </w:tc>
        <w:tc>
          <w:tcPr>
            <w:tcW w:w="1283" w:type="dxa"/>
          </w:tcPr>
          <w:p w14:paraId="13FD301A" w14:textId="77777777" w:rsidR="00866709" w:rsidRPr="00042222" w:rsidRDefault="00866709" w:rsidP="00866709">
            <w:pPr>
              <w:jc w:val="center"/>
              <w:rPr>
                <w:noProof/>
                <w:sz w:val="20"/>
                <w:szCs w:val="20"/>
              </w:rPr>
            </w:pPr>
            <w:r>
              <w:rPr>
                <w:noProof/>
                <w:sz w:val="20"/>
              </w:rPr>
              <w:t>AD669</w:t>
            </w:r>
          </w:p>
        </w:tc>
      </w:tr>
      <w:tr w:rsidR="00866709" w:rsidRPr="00042222" w14:paraId="13FD3024" w14:textId="77777777" w:rsidTr="00866709">
        <w:tc>
          <w:tcPr>
            <w:tcW w:w="2197" w:type="dxa"/>
          </w:tcPr>
          <w:p w14:paraId="13FD301C" w14:textId="77777777" w:rsidR="00866709" w:rsidRPr="00042222" w:rsidRDefault="00866709" w:rsidP="00866709">
            <w:pPr>
              <w:jc w:val="center"/>
              <w:rPr>
                <w:noProof/>
                <w:sz w:val="20"/>
                <w:szCs w:val="20"/>
              </w:rPr>
            </w:pPr>
            <w:r>
              <w:rPr>
                <w:noProof/>
                <w:sz w:val="20"/>
              </w:rPr>
              <w:t>Produits plats laminés à froid en aciers inoxydables</w:t>
            </w:r>
          </w:p>
        </w:tc>
        <w:tc>
          <w:tcPr>
            <w:tcW w:w="1237" w:type="dxa"/>
          </w:tcPr>
          <w:p w14:paraId="13FD301D" w14:textId="77777777" w:rsidR="00866709" w:rsidRPr="00042222" w:rsidRDefault="00866709" w:rsidP="00866709">
            <w:pPr>
              <w:jc w:val="center"/>
              <w:rPr>
                <w:noProof/>
                <w:sz w:val="20"/>
                <w:szCs w:val="20"/>
              </w:rPr>
            </w:pPr>
            <w:r>
              <w:rPr>
                <w:noProof/>
                <w:sz w:val="20"/>
              </w:rPr>
              <w:t>Inde</w:t>
            </w:r>
          </w:p>
          <w:p w14:paraId="13FD301E" w14:textId="77777777" w:rsidR="00866709" w:rsidRPr="00042222" w:rsidRDefault="00866709" w:rsidP="00866709">
            <w:pPr>
              <w:jc w:val="center"/>
              <w:rPr>
                <w:noProof/>
                <w:sz w:val="20"/>
                <w:szCs w:val="20"/>
              </w:rPr>
            </w:pPr>
            <w:r>
              <w:rPr>
                <w:noProof/>
                <w:sz w:val="20"/>
              </w:rPr>
              <w:t>Indonésie</w:t>
            </w:r>
          </w:p>
        </w:tc>
        <w:tc>
          <w:tcPr>
            <w:tcW w:w="1484" w:type="dxa"/>
          </w:tcPr>
          <w:p w14:paraId="13FD301F" w14:textId="77777777" w:rsidR="00866709" w:rsidRPr="00042222" w:rsidRDefault="00866709" w:rsidP="00866709">
            <w:pPr>
              <w:jc w:val="center"/>
              <w:rPr>
                <w:noProof/>
                <w:sz w:val="20"/>
                <w:szCs w:val="20"/>
              </w:rPr>
            </w:pPr>
            <w:r>
              <w:rPr>
                <w:noProof/>
                <w:sz w:val="20"/>
              </w:rPr>
              <w:t>—</w:t>
            </w:r>
          </w:p>
        </w:tc>
        <w:tc>
          <w:tcPr>
            <w:tcW w:w="1472" w:type="dxa"/>
          </w:tcPr>
          <w:p w14:paraId="13FD3020" w14:textId="77777777" w:rsidR="00866709" w:rsidRPr="00042222" w:rsidRDefault="001D19D8" w:rsidP="00866709">
            <w:pPr>
              <w:jc w:val="center"/>
              <w:rPr>
                <w:noProof/>
                <w:sz w:val="20"/>
                <w:szCs w:val="20"/>
              </w:rPr>
            </w:pPr>
            <w:hyperlink r:id="rId76" w:history="1">
              <w:r w:rsidR="004175A3">
                <w:rPr>
                  <w:rStyle w:val="Hyperlink"/>
                  <w:noProof/>
                  <w:sz w:val="20"/>
                </w:rPr>
                <w:t>Règlement définitif sur les produits plats laminés à froid en aciers inoxydables</w:t>
              </w:r>
            </w:hyperlink>
          </w:p>
          <w:p w14:paraId="13FD3021" w14:textId="77777777" w:rsidR="00866709" w:rsidRPr="00042222" w:rsidRDefault="00866709" w:rsidP="00866709">
            <w:pPr>
              <w:jc w:val="center"/>
              <w:rPr>
                <w:noProof/>
                <w:sz w:val="20"/>
                <w:szCs w:val="20"/>
              </w:rPr>
            </w:pPr>
          </w:p>
        </w:tc>
        <w:tc>
          <w:tcPr>
            <w:tcW w:w="1283" w:type="dxa"/>
          </w:tcPr>
          <w:p w14:paraId="13FD3022" w14:textId="77777777" w:rsidR="00866709" w:rsidRPr="00042222" w:rsidRDefault="00866709" w:rsidP="00866709">
            <w:pPr>
              <w:jc w:val="center"/>
              <w:rPr>
                <w:noProof/>
                <w:sz w:val="20"/>
                <w:szCs w:val="20"/>
              </w:rPr>
            </w:pPr>
            <w:r>
              <w:rPr>
                <w:noProof/>
                <w:sz w:val="20"/>
              </w:rPr>
              <w:t>OUI</w:t>
            </w:r>
          </w:p>
        </w:tc>
        <w:tc>
          <w:tcPr>
            <w:tcW w:w="1283" w:type="dxa"/>
          </w:tcPr>
          <w:p w14:paraId="13FD3023" w14:textId="77777777" w:rsidR="00866709" w:rsidRPr="00042222" w:rsidRDefault="00866709" w:rsidP="00866709">
            <w:pPr>
              <w:jc w:val="center"/>
              <w:rPr>
                <w:noProof/>
                <w:sz w:val="20"/>
                <w:szCs w:val="20"/>
              </w:rPr>
            </w:pPr>
            <w:r>
              <w:rPr>
                <w:noProof/>
                <w:sz w:val="20"/>
              </w:rPr>
              <w:t>AD670</w:t>
            </w:r>
          </w:p>
        </w:tc>
      </w:tr>
    </w:tbl>
    <w:p w14:paraId="13FD3025" w14:textId="77777777" w:rsidR="00A1247B" w:rsidRPr="00C04103" w:rsidRDefault="00A1247B" w:rsidP="00A1247B">
      <w:pPr>
        <w:rPr>
          <w:noProof/>
        </w:rPr>
      </w:pPr>
    </w:p>
    <w:p w14:paraId="13FD3026" w14:textId="77777777" w:rsidR="00A1247B" w:rsidRPr="00130F23" w:rsidRDefault="00A1247B" w:rsidP="003A5A48">
      <w:pPr>
        <w:jc w:val="both"/>
        <w:rPr>
          <w:iCs/>
          <w:noProof/>
          <w:lang w:eastAsia="en-US"/>
        </w:rPr>
      </w:pPr>
    </w:p>
    <w:p w14:paraId="13FD3027" w14:textId="77777777" w:rsidR="00A1247B" w:rsidRDefault="00A1247B" w:rsidP="00BD1B91">
      <w:pPr>
        <w:rPr>
          <w:noProof/>
        </w:rPr>
      </w:pPr>
    </w:p>
    <w:sectPr w:rsidR="00A1247B" w:rsidSect="009121E6">
      <w:headerReference w:type="even" r:id="rId77"/>
      <w:headerReference w:type="default" r:id="rId78"/>
      <w:footerReference w:type="even" r:id="rId79"/>
      <w:footerReference w:type="default" r:id="rId80"/>
      <w:headerReference w:type="first" r:id="rId81"/>
      <w:footerReference w:type="first" r:id="rId8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A5F14" w14:textId="77777777" w:rsidR="00FC735C" w:rsidRDefault="00FC735C" w:rsidP="003A5A48">
      <w:r>
        <w:separator/>
      </w:r>
    </w:p>
  </w:endnote>
  <w:endnote w:type="continuationSeparator" w:id="0">
    <w:p w14:paraId="54E6F180" w14:textId="77777777" w:rsidR="00FC735C" w:rsidRDefault="00FC735C" w:rsidP="003A5A48">
      <w:r>
        <w:continuationSeparator/>
      </w:r>
    </w:p>
  </w:endnote>
  <w:endnote w:type="continuationNotice" w:id="1">
    <w:p w14:paraId="3043CFBC" w14:textId="77777777" w:rsidR="00FC735C" w:rsidRDefault="00FC7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16C5" w14:textId="6FD91C90" w:rsidR="00A47606" w:rsidRPr="001D19D8" w:rsidRDefault="00A47606" w:rsidP="001D19D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E076B" w14:textId="77777777" w:rsidR="00FC735C" w:rsidRDefault="00FC73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487417"/>
      <w:docPartObj>
        <w:docPartGallery w:val="Page Numbers (Bottom of Page)"/>
        <w:docPartUnique/>
      </w:docPartObj>
    </w:sdtPr>
    <w:sdtEndPr>
      <w:rPr>
        <w:noProof/>
      </w:rPr>
    </w:sdtEndPr>
    <w:sdtContent>
      <w:p w14:paraId="71C725B2" w14:textId="19E374AF" w:rsidR="00FC735C" w:rsidRDefault="00FC735C">
        <w:pPr>
          <w:pStyle w:val="Footer"/>
          <w:jc w:val="center"/>
        </w:pPr>
        <w:r>
          <w:fldChar w:fldCharType="begin"/>
        </w:r>
        <w:r>
          <w:instrText xml:space="preserve"> PAGE   \* MERGEFORMAT </w:instrText>
        </w:r>
        <w:r>
          <w:fldChar w:fldCharType="separate"/>
        </w:r>
        <w:r w:rsidR="001D19D8">
          <w:rPr>
            <w:noProof/>
          </w:rPr>
          <w:t>17</w:t>
        </w:r>
        <w:r>
          <w:fldChar w:fldCharType="end"/>
        </w:r>
      </w:p>
    </w:sdtContent>
  </w:sdt>
  <w:p w14:paraId="7FFE10D3" w14:textId="77777777" w:rsidR="00FC735C" w:rsidRDefault="00FC735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6D62" w14:textId="77777777" w:rsidR="00FC735C" w:rsidRDefault="00FC7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39C4" w14:textId="0A1054A6" w:rsidR="00A47606" w:rsidRPr="001D19D8" w:rsidRDefault="001D19D8" w:rsidP="001D19D8">
    <w:pPr>
      <w:pStyle w:val="FooterCoverPage"/>
      <w:rPr>
        <w:rFonts w:ascii="Arial" w:hAnsi="Arial" w:cs="Arial"/>
        <w:b/>
        <w:sz w:val="48"/>
      </w:rPr>
    </w:pPr>
    <w:r w:rsidRPr="001D19D8">
      <w:rPr>
        <w:rFonts w:ascii="Arial" w:hAnsi="Arial" w:cs="Arial"/>
        <w:b/>
        <w:sz w:val="48"/>
      </w:rPr>
      <w:t>FR</w:t>
    </w:r>
    <w:r w:rsidRPr="001D19D8">
      <w:rPr>
        <w:rFonts w:ascii="Arial" w:hAnsi="Arial" w:cs="Arial"/>
        <w:b/>
        <w:sz w:val="48"/>
      </w:rPr>
      <w:tab/>
    </w:r>
    <w:r w:rsidRPr="001D19D8">
      <w:rPr>
        <w:rFonts w:ascii="Arial" w:hAnsi="Arial" w:cs="Arial"/>
        <w:b/>
        <w:sz w:val="48"/>
      </w:rPr>
      <w:tab/>
    </w:r>
    <w:r w:rsidRPr="001D19D8">
      <w:tab/>
    </w:r>
    <w:r w:rsidRPr="001D19D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D4F4" w14:textId="77777777" w:rsidR="001D19D8" w:rsidRPr="001D19D8" w:rsidRDefault="001D19D8" w:rsidP="001D19D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7" w14:textId="77777777" w:rsidR="00FC735C" w:rsidRDefault="00FC73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317025"/>
      <w:docPartObj>
        <w:docPartGallery w:val="Page Numbers (Bottom of Page)"/>
        <w:docPartUnique/>
      </w:docPartObj>
    </w:sdtPr>
    <w:sdtEndPr>
      <w:rPr>
        <w:noProof/>
      </w:rPr>
    </w:sdtEndPr>
    <w:sdtContent>
      <w:p w14:paraId="295AE8A3" w14:textId="3E5A0A49" w:rsidR="00FC735C" w:rsidRDefault="00FC735C">
        <w:pPr>
          <w:pStyle w:val="Footer"/>
          <w:jc w:val="center"/>
        </w:pPr>
        <w:r>
          <w:fldChar w:fldCharType="begin"/>
        </w:r>
        <w:r>
          <w:instrText xml:space="preserve"> PAGE   \* MERGEFORMAT </w:instrText>
        </w:r>
        <w:r>
          <w:fldChar w:fldCharType="separate"/>
        </w:r>
        <w:r w:rsidR="001D19D8">
          <w:rPr>
            <w:noProof/>
          </w:rPr>
          <w:t>1</w:t>
        </w:r>
        <w:r>
          <w:fldChar w:fldCharType="end"/>
        </w:r>
      </w:p>
    </w:sdtContent>
  </w:sdt>
  <w:p w14:paraId="13FD3038" w14:textId="77777777" w:rsidR="00FC735C" w:rsidRDefault="00FC73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A" w14:textId="77777777" w:rsidR="00FC735C" w:rsidRDefault="00FC73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2FBC" w14:textId="77777777" w:rsidR="00FC735C" w:rsidRDefault="00FC73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5365"/>
      <w:docPartObj>
        <w:docPartGallery w:val="Page Numbers (Bottom of Page)"/>
        <w:docPartUnique/>
      </w:docPartObj>
    </w:sdtPr>
    <w:sdtEndPr>
      <w:rPr>
        <w:noProof/>
      </w:rPr>
    </w:sdtEndPr>
    <w:sdtContent>
      <w:p w14:paraId="18C28E92" w14:textId="428C31B0" w:rsidR="00FC735C" w:rsidRDefault="00FC735C">
        <w:pPr>
          <w:pStyle w:val="Footer"/>
          <w:jc w:val="center"/>
        </w:pPr>
        <w:r>
          <w:fldChar w:fldCharType="begin"/>
        </w:r>
        <w:r>
          <w:instrText xml:space="preserve"> PAGE   \* MERGEFORMAT </w:instrText>
        </w:r>
        <w:r>
          <w:fldChar w:fldCharType="separate"/>
        </w:r>
        <w:r w:rsidR="001D19D8">
          <w:rPr>
            <w:noProof/>
          </w:rPr>
          <w:t>16</w:t>
        </w:r>
        <w:r>
          <w:fldChar w:fldCharType="end"/>
        </w:r>
      </w:p>
    </w:sdtContent>
  </w:sdt>
  <w:p w14:paraId="7AE447F5" w14:textId="77777777" w:rsidR="00FC735C" w:rsidRDefault="00FC73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4E7B" w14:textId="77777777" w:rsidR="00FC735C" w:rsidRDefault="00FC7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4E9DF" w14:textId="77777777" w:rsidR="00FC735C" w:rsidRDefault="00FC735C" w:rsidP="003A5A48">
      <w:r>
        <w:separator/>
      </w:r>
    </w:p>
  </w:footnote>
  <w:footnote w:type="continuationSeparator" w:id="0">
    <w:p w14:paraId="48832D70" w14:textId="77777777" w:rsidR="00FC735C" w:rsidRDefault="00FC735C" w:rsidP="003A5A48">
      <w:r>
        <w:continuationSeparator/>
      </w:r>
    </w:p>
  </w:footnote>
  <w:footnote w:type="continuationNotice" w:id="1">
    <w:p w14:paraId="329BB913" w14:textId="77777777" w:rsidR="00FC735C" w:rsidRDefault="00FC735C"/>
  </w:footnote>
  <w:footnote w:id="2">
    <w:p w14:paraId="13FD303B" w14:textId="5E3997AF" w:rsidR="00FC735C" w:rsidRPr="00CB3148" w:rsidRDefault="00FC735C">
      <w:pPr>
        <w:pStyle w:val="FootnoteText"/>
      </w:pPr>
      <w:r>
        <w:rPr>
          <w:rStyle w:val="FootnoteReference"/>
        </w:rPr>
        <w:footnoteRef/>
      </w:r>
      <w:r>
        <w:t xml:space="preserve"> </w:t>
      </w:r>
      <w:r>
        <w:tab/>
      </w:r>
      <w:r>
        <w:rPr>
          <w:sz w:val="16"/>
        </w:rPr>
        <w:t>Règlement (UE) 2018/825 du Parlement européen et du Conseil du 30 mai 2018 modifiant le règlement (UE) 2016/1036 relatif à la défense contre les importations qui font l’objet d’un dumping de la part de pays non membres de l’Union européenne et le règlement (UE) 2016/1037 du Parlement européen et du Conseil relatif à la défense contre les importations qui font l’objet de subventions de la part de pays non membres de l’Union européenne (JO L 143 du 7.6.2018, p. 1).</w:t>
      </w:r>
    </w:p>
  </w:footnote>
  <w:footnote w:id="3">
    <w:p w14:paraId="13FD303C" w14:textId="77777777" w:rsidR="00FC735C" w:rsidRPr="00CB3148" w:rsidRDefault="00FC735C">
      <w:pPr>
        <w:pStyle w:val="FootnoteText"/>
      </w:pPr>
      <w:r>
        <w:rPr>
          <w:rStyle w:val="FootnoteReference"/>
        </w:rPr>
        <w:footnoteRef/>
      </w:r>
      <w:r>
        <w:t xml:space="preserve"> </w:t>
      </w:r>
      <w:r>
        <w:tab/>
      </w:r>
      <w:r>
        <w:rPr>
          <w:sz w:val="16"/>
        </w:rPr>
        <w:t>Règlement (UE) 2016/1036 du Parlement européen et du Conseil relatif à la défense contre les importations qui font l’objet d’un dumping de la part de pays non membres de l’Union européenne (texte codifié) (JO L 176 du 30.6.2016, p. 21).</w:t>
      </w:r>
    </w:p>
  </w:footnote>
  <w:footnote w:id="4">
    <w:p w14:paraId="13FD303D" w14:textId="627D0C02" w:rsidR="00FC735C" w:rsidRPr="00CB3148" w:rsidRDefault="00FC735C">
      <w:pPr>
        <w:pStyle w:val="FootnoteText"/>
      </w:pPr>
      <w:r>
        <w:rPr>
          <w:rStyle w:val="FootnoteReference"/>
        </w:rPr>
        <w:footnoteRef/>
      </w:r>
      <w:r>
        <w:t xml:space="preserve"> </w:t>
      </w:r>
      <w:r>
        <w:tab/>
      </w:r>
      <w:r>
        <w:rPr>
          <w:sz w:val="16"/>
        </w:rPr>
        <w:t>Règlement (UE) 2016/1037 du Parlement européen et du Conseil relatif à la défense contre les importations qui font l’objet de subventions de la part de pays non membres de l’Union européenne (texte codifié) (JO L 176 du 30.6.2016, p. 55).</w:t>
      </w:r>
    </w:p>
  </w:footnote>
  <w:footnote w:id="5">
    <w:p w14:paraId="13FD303F" w14:textId="359ACE6E" w:rsidR="00FC735C" w:rsidRDefault="00FC735C" w:rsidP="003A5A48">
      <w:pPr>
        <w:pStyle w:val="FootnoteText"/>
      </w:pPr>
      <w:r>
        <w:rPr>
          <w:rStyle w:val="FootnoteReference"/>
        </w:rPr>
        <w:footnoteRef/>
      </w:r>
      <w:r>
        <w:t xml:space="preserve"> </w:t>
      </w:r>
      <w:r w:rsidR="007B519B">
        <w:tab/>
      </w:r>
      <w:r>
        <w:rPr>
          <w:sz w:val="16"/>
        </w:rPr>
        <w:t>À l’exception d’une société, le groupe Daching, la marge de dumping finale a été réduite de manière à ce que le niveau de mesures final n’excède pas</w:t>
      </w:r>
      <w:r w:rsidR="007B519B">
        <w:rPr>
          <w:sz w:val="16"/>
        </w:rPr>
        <w:t xml:space="preserve"> </w:t>
      </w:r>
      <w:r>
        <w:rPr>
          <w:sz w:val="16"/>
        </w:rPr>
        <w:t>la marge de dumping constatée</w:t>
      </w:r>
      <w:r>
        <w:t xml:space="preserve">. </w:t>
      </w:r>
    </w:p>
  </w:footnote>
  <w:footnote w:id="6">
    <w:p w14:paraId="0D2CE14C" w14:textId="72429718" w:rsidR="00FC735C" w:rsidRDefault="00FC735C" w:rsidP="006F6803">
      <w:pPr>
        <w:pStyle w:val="FootnoteText"/>
        <w:rPr>
          <w:sz w:val="16"/>
          <w:szCs w:val="16"/>
        </w:rPr>
      </w:pPr>
      <w:r>
        <w:rPr>
          <w:rStyle w:val="FootnoteReference"/>
        </w:rPr>
        <w:footnoteRef/>
      </w:r>
      <w:r>
        <w:t xml:space="preserve"> </w:t>
      </w:r>
      <w:r>
        <w:tab/>
      </w:r>
      <w:r>
        <w:rPr>
          <w:sz w:val="16"/>
        </w:rPr>
        <w:t>Règlement délégué (UE) 2020/1173 de la Commission du 4 juin 2020 modifiant le règlement (UE) 2016/1036 relatif à la défense contre les importations qui font l’objet d’un dumping de la part de pays non membres de l’Union européenne et le règlement (UE) 2016/1037 relatif à la défense contre les importations qui font l’objet de subventions de la part de pays non membres de l’Union européenne en ce qui concerne la durée de la période de notification préalable.</w:t>
      </w:r>
    </w:p>
  </w:footnote>
  <w:footnote w:id="7">
    <w:p w14:paraId="36FC9893" w14:textId="4BEA8B02" w:rsidR="00FC735C" w:rsidRPr="003F6C7B" w:rsidRDefault="00FC735C">
      <w:pPr>
        <w:pStyle w:val="FootnoteText"/>
      </w:pPr>
      <w:r>
        <w:rPr>
          <w:rStyle w:val="FootnoteReference"/>
        </w:rPr>
        <w:footnoteRef/>
      </w:r>
      <w:r>
        <w:t xml:space="preserve"> </w:t>
      </w:r>
      <w:r>
        <w:tab/>
      </w:r>
      <w:r>
        <w:rPr>
          <w:sz w:val="16"/>
        </w:rPr>
        <w:t>Ces informations sont disponibles sur la page web de la DG Commerce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FB83" w14:textId="77777777" w:rsidR="001D19D8" w:rsidRPr="001D19D8" w:rsidRDefault="001D19D8" w:rsidP="001D19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90F0" w14:textId="77777777" w:rsidR="00FC735C" w:rsidRDefault="00FC73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0AE4" w14:textId="77777777" w:rsidR="00FC735C" w:rsidRDefault="00FC73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4335" w14:textId="77777777" w:rsidR="00FC735C" w:rsidRDefault="00FC7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B489" w14:textId="77777777" w:rsidR="001D19D8" w:rsidRPr="001D19D8" w:rsidRDefault="001D19D8" w:rsidP="001D19D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AC6A" w14:textId="77777777" w:rsidR="001D19D8" w:rsidRPr="001D19D8" w:rsidRDefault="001D19D8" w:rsidP="001D19D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5" w14:textId="77777777" w:rsidR="00FC735C" w:rsidRDefault="00FC73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6" w14:textId="77777777" w:rsidR="00FC735C" w:rsidRDefault="00FC73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039" w14:textId="77777777" w:rsidR="00FC735C" w:rsidRDefault="00FC73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69A8" w14:textId="77777777" w:rsidR="00FC735C" w:rsidRDefault="00FC73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BF5E" w14:textId="77777777" w:rsidR="00FC735C" w:rsidRDefault="00FC73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BD9C" w14:textId="77777777" w:rsidR="00FC735C" w:rsidRDefault="00FC7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EF9"/>
    <w:multiLevelType w:val="hybridMultilevel"/>
    <w:tmpl w:val="A6CC659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69623CB4"/>
    <w:lvl w:ilvl="0">
      <w:start w:val="1"/>
      <w:numFmt w:val="decimal"/>
      <w:pStyle w:val="Heading1"/>
      <w:lvlText w:val="%1."/>
      <w:lvlJc w:val="left"/>
      <w:pPr>
        <w:tabs>
          <w:tab w:val="num" w:pos="960"/>
        </w:tabs>
        <w:ind w:left="960" w:hanging="480"/>
      </w:pPr>
      <w:rPr>
        <w:rFonts w:cs="Times New Roman" w:hint="default"/>
      </w:rPr>
    </w:lvl>
    <w:lvl w:ilvl="1">
      <w:start w:val="2"/>
      <w:numFmt w:val="decimal"/>
      <w:pStyle w:val="Heading2"/>
      <w:lvlText w:val="%1.%2."/>
      <w:lvlJc w:val="left"/>
      <w:pPr>
        <w:tabs>
          <w:tab w:val="num" w:pos="1429"/>
        </w:tabs>
        <w:ind w:left="1429" w:hanging="720"/>
      </w:pPr>
      <w:rPr>
        <w:rFonts w:cs="Times New Roman" w:hint="default"/>
      </w:rPr>
    </w:lvl>
    <w:lvl w:ilvl="2">
      <w:start w:val="1"/>
      <w:numFmt w:val="decimal"/>
      <w:pStyle w:val="Heading3"/>
      <w:lvlText w:val="%1.%2.%3."/>
      <w:lvlJc w:val="left"/>
      <w:pPr>
        <w:tabs>
          <w:tab w:val="num" w:pos="2400"/>
        </w:tabs>
        <w:ind w:left="2400" w:hanging="720"/>
      </w:pPr>
      <w:rPr>
        <w:rFonts w:cs="Times New Roman" w:hint="default"/>
      </w:rPr>
    </w:lvl>
    <w:lvl w:ilvl="3">
      <w:start w:val="1"/>
      <w:numFmt w:val="decimal"/>
      <w:pStyle w:val="Heading4"/>
      <w:lvlText w:val="%1.%2.%3.%4."/>
      <w:lvlJc w:val="left"/>
      <w:pPr>
        <w:tabs>
          <w:tab w:val="num" w:pos="2400"/>
        </w:tabs>
        <w:ind w:left="2400" w:hanging="720"/>
      </w:pPr>
      <w:rPr>
        <w:rFonts w:cs="Times New Roman" w:hint="default"/>
      </w:rPr>
    </w:lvl>
    <w:lvl w:ilvl="4">
      <w:start w:val="1"/>
      <w:numFmt w:val="lowerLetter"/>
      <w:lvlText w:val="(%5)"/>
      <w:lvlJc w:val="left"/>
      <w:pPr>
        <w:tabs>
          <w:tab w:val="num" w:pos="2280"/>
        </w:tabs>
        <w:ind w:left="2280" w:hanging="360"/>
      </w:pPr>
      <w:rPr>
        <w:rFonts w:cs="Times New Roman" w:hint="default"/>
      </w:rPr>
    </w:lvl>
    <w:lvl w:ilvl="5">
      <w:start w:val="1"/>
      <w:numFmt w:val="lowerRoman"/>
      <w:lvlText w:val="(%6)"/>
      <w:lvlJc w:val="left"/>
      <w:pPr>
        <w:tabs>
          <w:tab w:val="num" w:pos="2640"/>
        </w:tabs>
        <w:ind w:left="2640" w:hanging="360"/>
      </w:pPr>
      <w:rPr>
        <w:rFonts w:cs="Times New Roman" w:hint="default"/>
      </w:rPr>
    </w:lvl>
    <w:lvl w:ilvl="6">
      <w:start w:val="1"/>
      <w:numFmt w:val="decimal"/>
      <w:lvlText w:val="%7."/>
      <w:lvlJc w:val="left"/>
      <w:pPr>
        <w:tabs>
          <w:tab w:val="num" w:pos="3000"/>
        </w:tabs>
        <w:ind w:left="3000" w:hanging="360"/>
      </w:pPr>
      <w:rPr>
        <w:rFonts w:cs="Times New Roman" w:hint="default"/>
      </w:rPr>
    </w:lvl>
    <w:lvl w:ilvl="7">
      <w:start w:val="1"/>
      <w:numFmt w:val="lowerLetter"/>
      <w:lvlText w:val="%8."/>
      <w:lvlJc w:val="left"/>
      <w:pPr>
        <w:tabs>
          <w:tab w:val="num" w:pos="3360"/>
        </w:tabs>
        <w:ind w:left="3360" w:hanging="360"/>
      </w:pPr>
      <w:rPr>
        <w:rFonts w:cs="Times New Roman" w:hint="default"/>
      </w:rPr>
    </w:lvl>
    <w:lvl w:ilvl="8">
      <w:start w:val="1"/>
      <w:numFmt w:val="lowerRoman"/>
      <w:lvlText w:val="%9."/>
      <w:lvlJc w:val="left"/>
      <w:pPr>
        <w:tabs>
          <w:tab w:val="num" w:pos="3720"/>
        </w:tabs>
        <w:ind w:left="3720" w:hanging="360"/>
      </w:pPr>
      <w:rPr>
        <w:rFonts w:cs="Times New Roman" w:hint="default"/>
      </w:rPr>
    </w:lvl>
  </w:abstractNum>
  <w:abstractNum w:abstractNumId="2" w15:restartNumberingAfterBreak="0">
    <w:nsid w:val="23104662"/>
    <w:multiLevelType w:val="hybridMultilevel"/>
    <w:tmpl w:val="EB62AD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D9112DA"/>
    <w:multiLevelType w:val="multilevel"/>
    <w:tmpl w:val="CC2C3B42"/>
    <w:lvl w:ilvl="0">
      <w:start w:val="1"/>
      <w:numFmt w:val="decimal"/>
      <w:lvlText w:val="%1."/>
      <w:lvlJc w:val="left"/>
      <w:pPr>
        <w:tabs>
          <w:tab w:val="num" w:pos="960"/>
        </w:tabs>
        <w:ind w:left="960" w:hanging="480"/>
      </w:pPr>
      <w:rPr>
        <w:rFonts w:hint="default"/>
      </w:rPr>
    </w:lvl>
    <w:lvl w:ilvl="1">
      <w:start w:val="1"/>
      <w:numFmt w:val="decimal"/>
      <w:lvlText w:val="%1.%2."/>
      <w:lvlJc w:val="left"/>
      <w:pPr>
        <w:tabs>
          <w:tab w:val="num" w:pos="1626"/>
        </w:tabs>
        <w:ind w:left="1626" w:hanging="72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2400"/>
        </w:tabs>
        <w:ind w:left="2400" w:hanging="720"/>
      </w:pPr>
      <w:rPr>
        <w:rFonts w:cs="Times New Roman"/>
      </w:rPr>
    </w:lvl>
    <w:lvl w:ilvl="4">
      <w:start w:val="1"/>
      <w:numFmt w:val="lowerLetter"/>
      <w:lvlText w:val="(%5)"/>
      <w:lvlJc w:val="left"/>
      <w:pPr>
        <w:tabs>
          <w:tab w:val="num" w:pos="2280"/>
        </w:tabs>
        <w:ind w:left="2280" w:hanging="360"/>
      </w:pPr>
      <w:rPr>
        <w:rFonts w:cs="Times New Roman"/>
      </w:rPr>
    </w:lvl>
    <w:lvl w:ilvl="5">
      <w:start w:val="1"/>
      <w:numFmt w:val="lowerRoman"/>
      <w:lvlText w:val="(%6)"/>
      <w:lvlJc w:val="left"/>
      <w:pPr>
        <w:tabs>
          <w:tab w:val="num" w:pos="2640"/>
        </w:tabs>
        <w:ind w:left="2640" w:hanging="360"/>
      </w:pPr>
      <w:rPr>
        <w:rFonts w:cs="Times New Roman"/>
      </w:rPr>
    </w:lvl>
    <w:lvl w:ilvl="6">
      <w:start w:val="1"/>
      <w:numFmt w:val="decimal"/>
      <w:lvlText w:val="%7."/>
      <w:lvlJc w:val="left"/>
      <w:pPr>
        <w:tabs>
          <w:tab w:val="num" w:pos="3000"/>
        </w:tabs>
        <w:ind w:left="3000" w:hanging="360"/>
      </w:pPr>
      <w:rPr>
        <w:rFonts w:cs="Times New Roman"/>
      </w:rPr>
    </w:lvl>
    <w:lvl w:ilvl="7">
      <w:start w:val="1"/>
      <w:numFmt w:val="lowerLetter"/>
      <w:lvlText w:val="%8."/>
      <w:lvlJc w:val="left"/>
      <w:pPr>
        <w:tabs>
          <w:tab w:val="num" w:pos="3360"/>
        </w:tabs>
        <w:ind w:left="3360" w:hanging="360"/>
      </w:pPr>
      <w:rPr>
        <w:rFonts w:cs="Times New Roman"/>
      </w:rPr>
    </w:lvl>
    <w:lvl w:ilvl="8">
      <w:start w:val="1"/>
      <w:numFmt w:val="lowerRoman"/>
      <w:lvlText w:val="%9."/>
      <w:lvlJc w:val="left"/>
      <w:pPr>
        <w:tabs>
          <w:tab w:val="num" w:pos="3720"/>
        </w:tabs>
        <w:ind w:left="3720" w:hanging="360"/>
      </w:pPr>
      <w:rPr>
        <w:rFonts w:cs="Times New Roman"/>
      </w:rPr>
    </w:lvl>
  </w:abstractNum>
  <w:abstractNum w:abstractNumId="4" w15:restartNumberingAfterBreak="0">
    <w:nsid w:val="42020BE2"/>
    <w:multiLevelType w:val="multilevel"/>
    <w:tmpl w:val="CC2C3B42"/>
    <w:lvl w:ilvl="0">
      <w:start w:val="1"/>
      <w:numFmt w:val="decimal"/>
      <w:lvlText w:val="%1."/>
      <w:lvlJc w:val="left"/>
      <w:pPr>
        <w:tabs>
          <w:tab w:val="num" w:pos="960"/>
        </w:tabs>
        <w:ind w:left="960" w:hanging="480"/>
      </w:pPr>
      <w:rPr>
        <w:rFonts w:hint="default"/>
      </w:rPr>
    </w:lvl>
    <w:lvl w:ilvl="1">
      <w:start w:val="1"/>
      <w:numFmt w:val="decimal"/>
      <w:lvlText w:val="%1.%2."/>
      <w:lvlJc w:val="left"/>
      <w:pPr>
        <w:tabs>
          <w:tab w:val="num" w:pos="1626"/>
        </w:tabs>
        <w:ind w:left="1626" w:hanging="72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2400"/>
        </w:tabs>
        <w:ind w:left="2400" w:hanging="720"/>
      </w:pPr>
      <w:rPr>
        <w:rFonts w:cs="Times New Roman"/>
      </w:rPr>
    </w:lvl>
    <w:lvl w:ilvl="4">
      <w:start w:val="1"/>
      <w:numFmt w:val="lowerLetter"/>
      <w:lvlText w:val="(%5)"/>
      <w:lvlJc w:val="left"/>
      <w:pPr>
        <w:tabs>
          <w:tab w:val="num" w:pos="2280"/>
        </w:tabs>
        <w:ind w:left="2280" w:hanging="360"/>
      </w:pPr>
      <w:rPr>
        <w:rFonts w:cs="Times New Roman"/>
      </w:rPr>
    </w:lvl>
    <w:lvl w:ilvl="5">
      <w:start w:val="1"/>
      <w:numFmt w:val="lowerRoman"/>
      <w:lvlText w:val="(%6)"/>
      <w:lvlJc w:val="left"/>
      <w:pPr>
        <w:tabs>
          <w:tab w:val="num" w:pos="2640"/>
        </w:tabs>
        <w:ind w:left="2640" w:hanging="360"/>
      </w:pPr>
      <w:rPr>
        <w:rFonts w:cs="Times New Roman"/>
      </w:rPr>
    </w:lvl>
    <w:lvl w:ilvl="6">
      <w:start w:val="1"/>
      <w:numFmt w:val="decimal"/>
      <w:lvlText w:val="%7."/>
      <w:lvlJc w:val="left"/>
      <w:pPr>
        <w:tabs>
          <w:tab w:val="num" w:pos="3000"/>
        </w:tabs>
        <w:ind w:left="3000" w:hanging="360"/>
      </w:pPr>
      <w:rPr>
        <w:rFonts w:cs="Times New Roman"/>
      </w:rPr>
    </w:lvl>
    <w:lvl w:ilvl="7">
      <w:start w:val="1"/>
      <w:numFmt w:val="lowerLetter"/>
      <w:lvlText w:val="%8."/>
      <w:lvlJc w:val="left"/>
      <w:pPr>
        <w:tabs>
          <w:tab w:val="num" w:pos="3360"/>
        </w:tabs>
        <w:ind w:left="3360" w:hanging="360"/>
      </w:pPr>
      <w:rPr>
        <w:rFonts w:cs="Times New Roman"/>
      </w:rPr>
    </w:lvl>
    <w:lvl w:ilvl="8">
      <w:start w:val="1"/>
      <w:numFmt w:val="lowerRoman"/>
      <w:lvlText w:val="%9."/>
      <w:lvlJc w:val="left"/>
      <w:pPr>
        <w:tabs>
          <w:tab w:val="num" w:pos="3720"/>
        </w:tabs>
        <w:ind w:left="3720" w:hanging="360"/>
      </w:pPr>
      <w:rPr>
        <w:rFonts w:cs="Times New Roman"/>
      </w:rPr>
    </w:lvl>
  </w:abstractNum>
  <w:abstractNum w:abstractNumId="5" w15:restartNumberingAfterBreak="0">
    <w:nsid w:val="4B3446CC"/>
    <w:multiLevelType w:val="hybridMultilevel"/>
    <w:tmpl w:val="7232532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1947054"/>
    <w:multiLevelType w:val="multilevel"/>
    <w:tmpl w:val="1CD8FCDA"/>
    <w:lvl w:ilvl="0">
      <w:start w:val="2"/>
      <w:numFmt w:val="decimal"/>
      <w:lvlText w:val="%1"/>
      <w:lvlJc w:val="left"/>
      <w:pPr>
        <w:ind w:left="360" w:hanging="360"/>
      </w:pPr>
      <w:rPr>
        <w:rFonts w:hint="default"/>
      </w:rPr>
    </w:lvl>
    <w:lvl w:ilvl="1">
      <w:start w:val="1"/>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7" w15:restartNumberingAfterBreak="0">
    <w:nsid w:val="5D8E648F"/>
    <w:multiLevelType w:val="hybridMultilevel"/>
    <w:tmpl w:val="FC68A7AE"/>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8" w15:restartNumberingAfterBreak="0">
    <w:nsid w:val="66B87364"/>
    <w:multiLevelType w:val="multilevel"/>
    <w:tmpl w:val="CC2C3B42"/>
    <w:lvl w:ilvl="0">
      <w:start w:val="1"/>
      <w:numFmt w:val="decimal"/>
      <w:lvlText w:val="%1."/>
      <w:lvlJc w:val="left"/>
      <w:pPr>
        <w:tabs>
          <w:tab w:val="num" w:pos="960"/>
        </w:tabs>
        <w:ind w:left="960" w:hanging="480"/>
      </w:pPr>
      <w:rPr>
        <w:rFonts w:hint="default"/>
      </w:rPr>
    </w:lvl>
    <w:lvl w:ilvl="1">
      <w:start w:val="1"/>
      <w:numFmt w:val="decimal"/>
      <w:lvlText w:val="%1.%2."/>
      <w:lvlJc w:val="left"/>
      <w:pPr>
        <w:tabs>
          <w:tab w:val="num" w:pos="1626"/>
        </w:tabs>
        <w:ind w:left="1626" w:hanging="720"/>
      </w:pPr>
      <w:rPr>
        <w:rFonts w:cs="Times New Roman"/>
      </w:rPr>
    </w:lvl>
    <w:lvl w:ilvl="2">
      <w:start w:val="1"/>
      <w:numFmt w:val="decimal"/>
      <w:lvlText w:val="%1.%2.%3."/>
      <w:lvlJc w:val="left"/>
      <w:pPr>
        <w:tabs>
          <w:tab w:val="num" w:pos="2400"/>
        </w:tabs>
        <w:ind w:left="2400" w:hanging="720"/>
      </w:pPr>
      <w:rPr>
        <w:rFonts w:cs="Times New Roman"/>
      </w:rPr>
    </w:lvl>
    <w:lvl w:ilvl="3">
      <w:start w:val="1"/>
      <w:numFmt w:val="decimal"/>
      <w:lvlText w:val="%1.%2.%3.%4."/>
      <w:lvlJc w:val="left"/>
      <w:pPr>
        <w:tabs>
          <w:tab w:val="num" w:pos="2400"/>
        </w:tabs>
        <w:ind w:left="2400" w:hanging="720"/>
      </w:pPr>
      <w:rPr>
        <w:rFonts w:cs="Times New Roman"/>
      </w:rPr>
    </w:lvl>
    <w:lvl w:ilvl="4">
      <w:start w:val="1"/>
      <w:numFmt w:val="lowerLetter"/>
      <w:lvlText w:val="(%5)"/>
      <w:lvlJc w:val="left"/>
      <w:pPr>
        <w:tabs>
          <w:tab w:val="num" w:pos="2280"/>
        </w:tabs>
        <w:ind w:left="2280" w:hanging="360"/>
      </w:pPr>
      <w:rPr>
        <w:rFonts w:cs="Times New Roman"/>
      </w:rPr>
    </w:lvl>
    <w:lvl w:ilvl="5">
      <w:start w:val="1"/>
      <w:numFmt w:val="lowerRoman"/>
      <w:lvlText w:val="(%6)"/>
      <w:lvlJc w:val="left"/>
      <w:pPr>
        <w:tabs>
          <w:tab w:val="num" w:pos="2640"/>
        </w:tabs>
        <w:ind w:left="2640" w:hanging="360"/>
      </w:pPr>
      <w:rPr>
        <w:rFonts w:cs="Times New Roman"/>
      </w:rPr>
    </w:lvl>
    <w:lvl w:ilvl="6">
      <w:start w:val="1"/>
      <w:numFmt w:val="decimal"/>
      <w:lvlText w:val="%7."/>
      <w:lvlJc w:val="left"/>
      <w:pPr>
        <w:tabs>
          <w:tab w:val="num" w:pos="3000"/>
        </w:tabs>
        <w:ind w:left="3000" w:hanging="360"/>
      </w:pPr>
      <w:rPr>
        <w:rFonts w:cs="Times New Roman"/>
      </w:rPr>
    </w:lvl>
    <w:lvl w:ilvl="7">
      <w:start w:val="1"/>
      <w:numFmt w:val="lowerLetter"/>
      <w:lvlText w:val="%8."/>
      <w:lvlJc w:val="left"/>
      <w:pPr>
        <w:tabs>
          <w:tab w:val="num" w:pos="3360"/>
        </w:tabs>
        <w:ind w:left="3360" w:hanging="360"/>
      </w:pPr>
      <w:rPr>
        <w:rFonts w:cs="Times New Roman"/>
      </w:rPr>
    </w:lvl>
    <w:lvl w:ilvl="8">
      <w:start w:val="1"/>
      <w:numFmt w:val="lowerRoman"/>
      <w:lvlText w:val="%9."/>
      <w:lvlJc w:val="left"/>
      <w:pPr>
        <w:tabs>
          <w:tab w:val="num" w:pos="3720"/>
        </w:tabs>
        <w:ind w:left="3720" w:hanging="360"/>
      </w:pPr>
      <w:rPr>
        <w:rFonts w:cs="Times New Roman"/>
      </w:rPr>
    </w:lvl>
  </w:abstractNum>
  <w:abstractNum w:abstractNumId="9" w15:restartNumberingAfterBreak="0">
    <w:nsid w:val="674F7F40"/>
    <w:multiLevelType w:val="hybridMultilevel"/>
    <w:tmpl w:val="C1DE1E30"/>
    <w:lvl w:ilvl="0" w:tplc="4CCA70C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
  </w:num>
  <w:num w:numId="15">
    <w:abstractNumId w:val="1"/>
  </w:num>
  <w:num w:numId="16">
    <w:abstractNumId w:val="1"/>
  </w:num>
  <w:num w:numId="17">
    <w:abstractNumId w:val="1"/>
  </w:num>
  <w:num w:numId="18">
    <w:abstractNumId w:val="1"/>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6"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797E67A2-1FCB-434B-A64F-F800BE7A86C9"/>
    <w:docVar w:name="LW_COVERPAGE_TYPE" w:val="1"/>
    <w:docVar w:name="LW_CROSSREFERENCE" w:val="&lt;UNUSED&gt;"/>
    <w:docVar w:name="LW_DocType" w:val="NORMAL"/>
    <w:docVar w:name="LW_EMISSION" w:val="7.6.2023"/>
    <w:docVar w:name="LW_EMISSION_ISODATE" w:val="2023-06-07"/>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3)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Réexamen et évaluation de l’application de l’article 7, paragraphe 2 &lt;/FMT&gt;&lt;FMT:Font=Calibri,Italic&gt;bis&lt;/FMT&gt;&lt;FMT:Font=Calibri&gt;, de l’article 8, paragraphe 1, et de l’article 9, paragraphe 4, du RÈGLEMENT (UE) 2016/1036 DU PARLEMENT EUROPÉEN ET DU CONSEIL du 8 juin 2016 et de l’article 12, paragraphe 1, troisième et quatrième alinéas, de l’article 13, paragraphe 1, troisième et quatrième alinéas et de l’article 15, paragraphe 1, troisième et quatrième alinéas, du RÈGLEMENT (UE) 2016/1037 DU PARLEMENT EUROPÉEN ET DU CONSEIL du 8 juin 2016&lt;/FMT&gt;_x000d__x000b__x000d__x000d__x000d__x000d__x000b_"/>
    <w:docVar w:name="LW_TYPE.DOC.CP" w:val="COMMUNICATION DE LA COMMISSION AU PARLEMENT EUROPÉEN ET AU CONSEIL"/>
    <w:docVar w:name="LW_TYPE.DOC.CP.USERTEXT" w:val="SUR LA RÈGLE DU DROIT MOINDRE RÉVISÉE DANS LES ENQUÊTES ANTIDUMPING ET ANTISUBVENTIONS DE L\u8217?UE _x000b_"/>
    <w:docVar w:name="LwApiVersions" w:val="LW4CoDe 1.23.2.0; LW 8.0, Build 20211117"/>
  </w:docVars>
  <w:rsids>
    <w:rsidRoot w:val="003A5A48"/>
    <w:rsid w:val="00000E4E"/>
    <w:rsid w:val="00011529"/>
    <w:rsid w:val="00036656"/>
    <w:rsid w:val="0005491B"/>
    <w:rsid w:val="0005653D"/>
    <w:rsid w:val="00062963"/>
    <w:rsid w:val="00065A22"/>
    <w:rsid w:val="000667F6"/>
    <w:rsid w:val="00075E7D"/>
    <w:rsid w:val="000915D3"/>
    <w:rsid w:val="0009226B"/>
    <w:rsid w:val="00096C3F"/>
    <w:rsid w:val="000A54CA"/>
    <w:rsid w:val="000A65DF"/>
    <w:rsid w:val="000A6A52"/>
    <w:rsid w:val="000A74E2"/>
    <w:rsid w:val="000B01AA"/>
    <w:rsid w:val="000B4681"/>
    <w:rsid w:val="000B6262"/>
    <w:rsid w:val="000B6A1F"/>
    <w:rsid w:val="000D1AE3"/>
    <w:rsid w:val="000D4319"/>
    <w:rsid w:val="000D49B7"/>
    <w:rsid w:val="000E2374"/>
    <w:rsid w:val="000E5D24"/>
    <w:rsid w:val="000F2369"/>
    <w:rsid w:val="000F3228"/>
    <w:rsid w:val="00102E4B"/>
    <w:rsid w:val="00110E7B"/>
    <w:rsid w:val="00111942"/>
    <w:rsid w:val="00117F0D"/>
    <w:rsid w:val="00130995"/>
    <w:rsid w:val="00130F23"/>
    <w:rsid w:val="00143BBA"/>
    <w:rsid w:val="00151876"/>
    <w:rsid w:val="0015566F"/>
    <w:rsid w:val="00163045"/>
    <w:rsid w:val="00167F4C"/>
    <w:rsid w:val="0017517F"/>
    <w:rsid w:val="0017757B"/>
    <w:rsid w:val="00181B1C"/>
    <w:rsid w:val="0018606D"/>
    <w:rsid w:val="00197D5B"/>
    <w:rsid w:val="001A2D8A"/>
    <w:rsid w:val="001A567F"/>
    <w:rsid w:val="001B11FB"/>
    <w:rsid w:val="001B1611"/>
    <w:rsid w:val="001B6B91"/>
    <w:rsid w:val="001C6CAA"/>
    <w:rsid w:val="001D19D8"/>
    <w:rsid w:val="001D4124"/>
    <w:rsid w:val="001D66D2"/>
    <w:rsid w:val="001D7078"/>
    <w:rsid w:val="001E1279"/>
    <w:rsid w:val="001E30A6"/>
    <w:rsid w:val="001E4CC5"/>
    <w:rsid w:val="001F744C"/>
    <w:rsid w:val="001F757E"/>
    <w:rsid w:val="001F7B47"/>
    <w:rsid w:val="0020231F"/>
    <w:rsid w:val="002062EA"/>
    <w:rsid w:val="002120B0"/>
    <w:rsid w:val="002212E6"/>
    <w:rsid w:val="002312F2"/>
    <w:rsid w:val="00245831"/>
    <w:rsid w:val="002530EE"/>
    <w:rsid w:val="002571B5"/>
    <w:rsid w:val="00260E58"/>
    <w:rsid w:val="002752D4"/>
    <w:rsid w:val="002760C4"/>
    <w:rsid w:val="0028114E"/>
    <w:rsid w:val="00281F84"/>
    <w:rsid w:val="002842B3"/>
    <w:rsid w:val="00284403"/>
    <w:rsid w:val="0028768D"/>
    <w:rsid w:val="002902AD"/>
    <w:rsid w:val="00291148"/>
    <w:rsid w:val="00295D86"/>
    <w:rsid w:val="00296810"/>
    <w:rsid w:val="002A0307"/>
    <w:rsid w:val="002A2BB7"/>
    <w:rsid w:val="002A6493"/>
    <w:rsid w:val="002B0EE7"/>
    <w:rsid w:val="002B2A14"/>
    <w:rsid w:val="002C320C"/>
    <w:rsid w:val="002D1E60"/>
    <w:rsid w:val="002D415B"/>
    <w:rsid w:val="002E6E1D"/>
    <w:rsid w:val="002F1FCD"/>
    <w:rsid w:val="002F265F"/>
    <w:rsid w:val="002F39D0"/>
    <w:rsid w:val="002F4F7F"/>
    <w:rsid w:val="00314CE6"/>
    <w:rsid w:val="0032061B"/>
    <w:rsid w:val="00321C67"/>
    <w:rsid w:val="003312C5"/>
    <w:rsid w:val="0033288A"/>
    <w:rsid w:val="00333B82"/>
    <w:rsid w:val="003363B3"/>
    <w:rsid w:val="00354BA6"/>
    <w:rsid w:val="00357483"/>
    <w:rsid w:val="00371042"/>
    <w:rsid w:val="00372F95"/>
    <w:rsid w:val="00374930"/>
    <w:rsid w:val="00377531"/>
    <w:rsid w:val="00385F4C"/>
    <w:rsid w:val="0039422D"/>
    <w:rsid w:val="003957BC"/>
    <w:rsid w:val="003975BB"/>
    <w:rsid w:val="003A213F"/>
    <w:rsid w:val="003A5A48"/>
    <w:rsid w:val="003B2FF4"/>
    <w:rsid w:val="003B74E9"/>
    <w:rsid w:val="003C0447"/>
    <w:rsid w:val="003C5AD1"/>
    <w:rsid w:val="003D49EA"/>
    <w:rsid w:val="003D4D9B"/>
    <w:rsid w:val="003D5E8F"/>
    <w:rsid w:val="003E3EC0"/>
    <w:rsid w:val="003F3A47"/>
    <w:rsid w:val="003F6681"/>
    <w:rsid w:val="003F6C7B"/>
    <w:rsid w:val="003F77C1"/>
    <w:rsid w:val="0040004E"/>
    <w:rsid w:val="00402037"/>
    <w:rsid w:val="00406EA1"/>
    <w:rsid w:val="00417272"/>
    <w:rsid w:val="004175A3"/>
    <w:rsid w:val="004277A8"/>
    <w:rsid w:val="00427FE6"/>
    <w:rsid w:val="00441FE8"/>
    <w:rsid w:val="00444D4C"/>
    <w:rsid w:val="00474428"/>
    <w:rsid w:val="00476B15"/>
    <w:rsid w:val="00485E0E"/>
    <w:rsid w:val="00496D87"/>
    <w:rsid w:val="00497130"/>
    <w:rsid w:val="004B4813"/>
    <w:rsid w:val="004C249C"/>
    <w:rsid w:val="004C7E4C"/>
    <w:rsid w:val="004D6848"/>
    <w:rsid w:val="004F2670"/>
    <w:rsid w:val="00501BA2"/>
    <w:rsid w:val="0051279D"/>
    <w:rsid w:val="00520F17"/>
    <w:rsid w:val="0053126E"/>
    <w:rsid w:val="00532858"/>
    <w:rsid w:val="00534F7E"/>
    <w:rsid w:val="00535F2D"/>
    <w:rsid w:val="00536513"/>
    <w:rsid w:val="00541BCD"/>
    <w:rsid w:val="0054247E"/>
    <w:rsid w:val="00557C87"/>
    <w:rsid w:val="00565D01"/>
    <w:rsid w:val="005676DE"/>
    <w:rsid w:val="00571245"/>
    <w:rsid w:val="00592D98"/>
    <w:rsid w:val="0059307A"/>
    <w:rsid w:val="005970F1"/>
    <w:rsid w:val="00597D69"/>
    <w:rsid w:val="005A159B"/>
    <w:rsid w:val="005B1D57"/>
    <w:rsid w:val="005B444C"/>
    <w:rsid w:val="005C72B9"/>
    <w:rsid w:val="005D6524"/>
    <w:rsid w:val="005D65E0"/>
    <w:rsid w:val="00600674"/>
    <w:rsid w:val="00600CB9"/>
    <w:rsid w:val="0061710A"/>
    <w:rsid w:val="00630710"/>
    <w:rsid w:val="006453BD"/>
    <w:rsid w:val="006508BD"/>
    <w:rsid w:val="006509DB"/>
    <w:rsid w:val="00653EEF"/>
    <w:rsid w:val="0066606D"/>
    <w:rsid w:val="00666789"/>
    <w:rsid w:val="006753E0"/>
    <w:rsid w:val="0068792B"/>
    <w:rsid w:val="00687F5C"/>
    <w:rsid w:val="00693C83"/>
    <w:rsid w:val="006A060C"/>
    <w:rsid w:val="006A4C01"/>
    <w:rsid w:val="006B152C"/>
    <w:rsid w:val="006D22FF"/>
    <w:rsid w:val="006D3803"/>
    <w:rsid w:val="006D5F08"/>
    <w:rsid w:val="006D63FC"/>
    <w:rsid w:val="006D7F51"/>
    <w:rsid w:val="006E358C"/>
    <w:rsid w:val="006E6127"/>
    <w:rsid w:val="006F14E3"/>
    <w:rsid w:val="006F4697"/>
    <w:rsid w:val="006F490A"/>
    <w:rsid w:val="006F6803"/>
    <w:rsid w:val="0070033B"/>
    <w:rsid w:val="0071382E"/>
    <w:rsid w:val="00717540"/>
    <w:rsid w:val="007177A4"/>
    <w:rsid w:val="00721175"/>
    <w:rsid w:val="007230F1"/>
    <w:rsid w:val="0073333C"/>
    <w:rsid w:val="0073386A"/>
    <w:rsid w:val="0073623A"/>
    <w:rsid w:val="00741535"/>
    <w:rsid w:val="00741FA2"/>
    <w:rsid w:val="007501E5"/>
    <w:rsid w:val="0075280F"/>
    <w:rsid w:val="0075561A"/>
    <w:rsid w:val="00755645"/>
    <w:rsid w:val="007630EB"/>
    <w:rsid w:val="00764C8F"/>
    <w:rsid w:val="00770178"/>
    <w:rsid w:val="007713F7"/>
    <w:rsid w:val="00777F87"/>
    <w:rsid w:val="00783DA4"/>
    <w:rsid w:val="007929A3"/>
    <w:rsid w:val="007A4177"/>
    <w:rsid w:val="007A7B13"/>
    <w:rsid w:val="007B2A9F"/>
    <w:rsid w:val="007B2F00"/>
    <w:rsid w:val="007B519B"/>
    <w:rsid w:val="007C3D25"/>
    <w:rsid w:val="007C689F"/>
    <w:rsid w:val="007C6C26"/>
    <w:rsid w:val="007E5217"/>
    <w:rsid w:val="007F6A7C"/>
    <w:rsid w:val="00801B22"/>
    <w:rsid w:val="00801CB8"/>
    <w:rsid w:val="0080228D"/>
    <w:rsid w:val="00802C19"/>
    <w:rsid w:val="00802EB4"/>
    <w:rsid w:val="008057AE"/>
    <w:rsid w:val="00813956"/>
    <w:rsid w:val="0082236D"/>
    <w:rsid w:val="008415F2"/>
    <w:rsid w:val="00845B8B"/>
    <w:rsid w:val="00845F67"/>
    <w:rsid w:val="00850DAD"/>
    <w:rsid w:val="00854F04"/>
    <w:rsid w:val="00856AF8"/>
    <w:rsid w:val="0085758C"/>
    <w:rsid w:val="00860A71"/>
    <w:rsid w:val="00865F31"/>
    <w:rsid w:val="00866709"/>
    <w:rsid w:val="00884572"/>
    <w:rsid w:val="00884F82"/>
    <w:rsid w:val="008B1C35"/>
    <w:rsid w:val="008B4618"/>
    <w:rsid w:val="008B571E"/>
    <w:rsid w:val="008D17B6"/>
    <w:rsid w:val="008D259B"/>
    <w:rsid w:val="008E50ED"/>
    <w:rsid w:val="008E5980"/>
    <w:rsid w:val="008F08CE"/>
    <w:rsid w:val="008F7BF4"/>
    <w:rsid w:val="008F7FFD"/>
    <w:rsid w:val="009121E6"/>
    <w:rsid w:val="0091545A"/>
    <w:rsid w:val="009210F8"/>
    <w:rsid w:val="00922917"/>
    <w:rsid w:val="009561B3"/>
    <w:rsid w:val="00966FC9"/>
    <w:rsid w:val="0096763E"/>
    <w:rsid w:val="00970F0C"/>
    <w:rsid w:val="009732CB"/>
    <w:rsid w:val="00975624"/>
    <w:rsid w:val="0098465F"/>
    <w:rsid w:val="00985010"/>
    <w:rsid w:val="00987ED7"/>
    <w:rsid w:val="0099190C"/>
    <w:rsid w:val="00993D29"/>
    <w:rsid w:val="0099465B"/>
    <w:rsid w:val="009A041F"/>
    <w:rsid w:val="009A4BEB"/>
    <w:rsid w:val="009A6897"/>
    <w:rsid w:val="009A7E8E"/>
    <w:rsid w:val="009B014B"/>
    <w:rsid w:val="009C4E12"/>
    <w:rsid w:val="009C6367"/>
    <w:rsid w:val="009C656F"/>
    <w:rsid w:val="009D3F9C"/>
    <w:rsid w:val="00A1247B"/>
    <w:rsid w:val="00A13CB7"/>
    <w:rsid w:val="00A21378"/>
    <w:rsid w:val="00A23E7D"/>
    <w:rsid w:val="00A30BB1"/>
    <w:rsid w:val="00A35DF1"/>
    <w:rsid w:val="00A374A2"/>
    <w:rsid w:val="00A46CFD"/>
    <w:rsid w:val="00A47606"/>
    <w:rsid w:val="00A563A5"/>
    <w:rsid w:val="00A625C0"/>
    <w:rsid w:val="00A6424A"/>
    <w:rsid w:val="00A7250D"/>
    <w:rsid w:val="00A75C78"/>
    <w:rsid w:val="00A8235D"/>
    <w:rsid w:val="00A82AB0"/>
    <w:rsid w:val="00A9171F"/>
    <w:rsid w:val="00A93361"/>
    <w:rsid w:val="00A93B9E"/>
    <w:rsid w:val="00A940B7"/>
    <w:rsid w:val="00AA3A85"/>
    <w:rsid w:val="00AD5019"/>
    <w:rsid w:val="00AE1958"/>
    <w:rsid w:val="00AE27E5"/>
    <w:rsid w:val="00AF7040"/>
    <w:rsid w:val="00B011D0"/>
    <w:rsid w:val="00B0214F"/>
    <w:rsid w:val="00B23F85"/>
    <w:rsid w:val="00B27725"/>
    <w:rsid w:val="00B40B40"/>
    <w:rsid w:val="00B76955"/>
    <w:rsid w:val="00B901D8"/>
    <w:rsid w:val="00B96F17"/>
    <w:rsid w:val="00BA4373"/>
    <w:rsid w:val="00BA6B15"/>
    <w:rsid w:val="00BB0ED8"/>
    <w:rsid w:val="00BB5646"/>
    <w:rsid w:val="00BC1FD4"/>
    <w:rsid w:val="00BC5387"/>
    <w:rsid w:val="00BD1B91"/>
    <w:rsid w:val="00BD476B"/>
    <w:rsid w:val="00BD781C"/>
    <w:rsid w:val="00BF1C2B"/>
    <w:rsid w:val="00BF42C2"/>
    <w:rsid w:val="00BF6756"/>
    <w:rsid w:val="00C0068C"/>
    <w:rsid w:val="00C05EF9"/>
    <w:rsid w:val="00C07CBC"/>
    <w:rsid w:val="00C126D5"/>
    <w:rsid w:val="00C12D39"/>
    <w:rsid w:val="00C13C16"/>
    <w:rsid w:val="00C15E48"/>
    <w:rsid w:val="00C21D4C"/>
    <w:rsid w:val="00C30833"/>
    <w:rsid w:val="00C3126B"/>
    <w:rsid w:val="00C37006"/>
    <w:rsid w:val="00C41E2A"/>
    <w:rsid w:val="00C43CF4"/>
    <w:rsid w:val="00C45C1B"/>
    <w:rsid w:val="00C75661"/>
    <w:rsid w:val="00C84DED"/>
    <w:rsid w:val="00C979A6"/>
    <w:rsid w:val="00CA2D5E"/>
    <w:rsid w:val="00CA35D2"/>
    <w:rsid w:val="00CA3620"/>
    <w:rsid w:val="00CA58F8"/>
    <w:rsid w:val="00CA5D91"/>
    <w:rsid w:val="00CB3148"/>
    <w:rsid w:val="00CB462F"/>
    <w:rsid w:val="00CB72EE"/>
    <w:rsid w:val="00CC0077"/>
    <w:rsid w:val="00CC2D8B"/>
    <w:rsid w:val="00CC5B59"/>
    <w:rsid w:val="00CD28B4"/>
    <w:rsid w:val="00CD6D66"/>
    <w:rsid w:val="00CE1E86"/>
    <w:rsid w:val="00CE49CE"/>
    <w:rsid w:val="00CE565B"/>
    <w:rsid w:val="00CF7BF0"/>
    <w:rsid w:val="00D10156"/>
    <w:rsid w:val="00D10792"/>
    <w:rsid w:val="00D1464A"/>
    <w:rsid w:val="00D15C1D"/>
    <w:rsid w:val="00D27AB3"/>
    <w:rsid w:val="00D32D50"/>
    <w:rsid w:val="00D34C98"/>
    <w:rsid w:val="00D447F7"/>
    <w:rsid w:val="00D6512A"/>
    <w:rsid w:val="00D80723"/>
    <w:rsid w:val="00D80BCA"/>
    <w:rsid w:val="00D94CE3"/>
    <w:rsid w:val="00DA4089"/>
    <w:rsid w:val="00DA7DAC"/>
    <w:rsid w:val="00DD06A4"/>
    <w:rsid w:val="00DE2201"/>
    <w:rsid w:val="00DE6857"/>
    <w:rsid w:val="00DE77AE"/>
    <w:rsid w:val="00DF725E"/>
    <w:rsid w:val="00E0672D"/>
    <w:rsid w:val="00E2016B"/>
    <w:rsid w:val="00E24511"/>
    <w:rsid w:val="00E616FD"/>
    <w:rsid w:val="00E6343A"/>
    <w:rsid w:val="00E73BFC"/>
    <w:rsid w:val="00E82F4B"/>
    <w:rsid w:val="00E84C50"/>
    <w:rsid w:val="00E960F5"/>
    <w:rsid w:val="00E9655E"/>
    <w:rsid w:val="00E972D9"/>
    <w:rsid w:val="00EB7308"/>
    <w:rsid w:val="00EB7E7E"/>
    <w:rsid w:val="00EC014B"/>
    <w:rsid w:val="00EC50DB"/>
    <w:rsid w:val="00ED18DE"/>
    <w:rsid w:val="00EE0DAA"/>
    <w:rsid w:val="00EE521C"/>
    <w:rsid w:val="00EE5A05"/>
    <w:rsid w:val="00EE5BD3"/>
    <w:rsid w:val="00EF0102"/>
    <w:rsid w:val="00EF5F6D"/>
    <w:rsid w:val="00F0036A"/>
    <w:rsid w:val="00F02BF0"/>
    <w:rsid w:val="00F02DD6"/>
    <w:rsid w:val="00F066CB"/>
    <w:rsid w:val="00F11E01"/>
    <w:rsid w:val="00F13779"/>
    <w:rsid w:val="00F21D53"/>
    <w:rsid w:val="00F3425D"/>
    <w:rsid w:val="00F45A53"/>
    <w:rsid w:val="00F45F9F"/>
    <w:rsid w:val="00F5381B"/>
    <w:rsid w:val="00F6384F"/>
    <w:rsid w:val="00F71609"/>
    <w:rsid w:val="00F876F5"/>
    <w:rsid w:val="00F8798F"/>
    <w:rsid w:val="00F96291"/>
    <w:rsid w:val="00FA13BB"/>
    <w:rsid w:val="00FB1AE9"/>
    <w:rsid w:val="00FB31E2"/>
    <w:rsid w:val="00FB5528"/>
    <w:rsid w:val="00FC3A7D"/>
    <w:rsid w:val="00FC6B9C"/>
    <w:rsid w:val="00FC735C"/>
    <w:rsid w:val="00FC7B79"/>
    <w:rsid w:val="00FD2759"/>
    <w:rsid w:val="00FE1B65"/>
    <w:rsid w:val="00FE33C2"/>
    <w:rsid w:val="00FF52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FD2DF3"/>
  <w15:chartTrackingRefBased/>
  <w15:docId w15:val="{80B35491-EBE1-4355-A1A4-13212FF9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48"/>
    <w:pPr>
      <w:spacing w:after="0" w:line="240" w:lineRule="auto"/>
    </w:pPr>
    <w:rPr>
      <w:rFonts w:ascii="Times New Roman" w:eastAsia="Times New Roman" w:hAnsi="Times New Roman" w:cs="Times New Roman"/>
      <w:sz w:val="24"/>
      <w:szCs w:val="24"/>
      <w:lang w:eastAsia="ko-KR"/>
    </w:rPr>
  </w:style>
  <w:style w:type="paragraph" w:styleId="Heading1">
    <w:name w:val="heading 1"/>
    <w:basedOn w:val="Normal"/>
    <w:next w:val="Normal"/>
    <w:link w:val="Heading1Char"/>
    <w:uiPriority w:val="9"/>
    <w:qFormat/>
    <w:rsid w:val="003A5A48"/>
    <w:pPr>
      <w:keepNext/>
      <w:numPr>
        <w:numId w:val="1"/>
      </w:numPr>
      <w:spacing w:before="240" w:after="240"/>
      <w:jc w:val="both"/>
      <w:outlineLvl w:val="0"/>
    </w:pPr>
    <w:rPr>
      <w:b/>
      <w:smallCaps/>
      <w:szCs w:val="20"/>
      <w:lang w:eastAsia="en-US"/>
    </w:rPr>
  </w:style>
  <w:style w:type="paragraph" w:styleId="Heading2">
    <w:name w:val="heading 2"/>
    <w:basedOn w:val="Normal"/>
    <w:next w:val="Normal"/>
    <w:link w:val="Heading2Char"/>
    <w:uiPriority w:val="9"/>
    <w:unhideWhenUsed/>
    <w:qFormat/>
    <w:rsid w:val="00A563A5"/>
    <w:pPr>
      <w:keepNext/>
      <w:numPr>
        <w:ilvl w:val="1"/>
        <w:numId w:val="1"/>
      </w:numPr>
      <w:tabs>
        <w:tab w:val="clear" w:pos="1429"/>
        <w:tab w:val="num" w:pos="1626"/>
      </w:tabs>
      <w:spacing w:after="240"/>
      <w:ind w:left="1626"/>
      <w:jc w:val="both"/>
      <w:outlineLvl w:val="1"/>
    </w:pPr>
    <w:rPr>
      <w:b/>
      <w:szCs w:val="20"/>
      <w:lang w:eastAsia="en-US"/>
    </w:rPr>
  </w:style>
  <w:style w:type="paragraph" w:styleId="Heading3">
    <w:name w:val="heading 3"/>
    <w:basedOn w:val="Normal"/>
    <w:next w:val="Normal"/>
    <w:link w:val="Heading3Char"/>
    <w:uiPriority w:val="9"/>
    <w:unhideWhenUsed/>
    <w:qFormat/>
    <w:rsid w:val="003A5A48"/>
    <w:pPr>
      <w:keepNext/>
      <w:numPr>
        <w:ilvl w:val="2"/>
        <w:numId w:val="1"/>
      </w:numPr>
      <w:spacing w:after="240"/>
      <w:jc w:val="both"/>
      <w:outlineLvl w:val="2"/>
    </w:pPr>
    <w:rPr>
      <w:i/>
      <w:szCs w:val="20"/>
      <w:lang w:eastAsia="en-US"/>
    </w:rPr>
  </w:style>
  <w:style w:type="paragraph" w:styleId="Heading4">
    <w:name w:val="heading 4"/>
    <w:basedOn w:val="Normal"/>
    <w:next w:val="Normal"/>
    <w:link w:val="Heading4Char"/>
    <w:uiPriority w:val="9"/>
    <w:semiHidden/>
    <w:unhideWhenUsed/>
    <w:qFormat/>
    <w:rsid w:val="003A5A48"/>
    <w:pPr>
      <w:keepNext/>
      <w:numPr>
        <w:ilvl w:val="3"/>
        <w:numId w:val="1"/>
      </w:numPr>
      <w:tabs>
        <w:tab w:val="num" w:pos="2880"/>
      </w:tabs>
      <w:spacing w:after="240"/>
      <w:jc w:val="both"/>
      <w:outlineLvl w:val="3"/>
    </w:pPr>
    <w:rPr>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A48"/>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sid w:val="003A5A48"/>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3A5A48"/>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semiHidden/>
    <w:rsid w:val="003A5A48"/>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A563A5"/>
    <w:pPr>
      <w:ind w:left="720" w:hanging="720"/>
      <w:jc w:val="both"/>
    </w:pPr>
    <w:rPr>
      <w:sz w:val="20"/>
      <w:szCs w:val="20"/>
      <w:lang w:eastAsia="de-DE"/>
    </w:rPr>
  </w:style>
  <w:style w:type="character" w:customStyle="1" w:styleId="FootnoteTextChar">
    <w:name w:val="Footnote Text Char"/>
    <w:basedOn w:val="DefaultParagraphFont"/>
    <w:link w:val="FootnoteText"/>
    <w:uiPriority w:val="99"/>
    <w:rsid w:val="003A5A48"/>
    <w:rPr>
      <w:rFonts w:ascii="Times New Roman" w:eastAsia="Times New Roman" w:hAnsi="Times New Roman" w:cs="Times New Roman"/>
      <w:sz w:val="20"/>
      <w:szCs w:val="20"/>
      <w:lang w:eastAsia="de-DE"/>
    </w:rPr>
  </w:style>
  <w:style w:type="paragraph" w:styleId="CommentText">
    <w:name w:val="annotation text"/>
    <w:basedOn w:val="Normal"/>
    <w:link w:val="CommentTextChar"/>
    <w:uiPriority w:val="99"/>
    <w:unhideWhenUsed/>
    <w:rsid w:val="003A5A48"/>
    <w:rPr>
      <w:sz w:val="20"/>
      <w:szCs w:val="20"/>
    </w:rPr>
  </w:style>
  <w:style w:type="character" w:customStyle="1" w:styleId="CommentTextChar">
    <w:name w:val="Comment Text Char"/>
    <w:basedOn w:val="DefaultParagraphFont"/>
    <w:link w:val="CommentText"/>
    <w:uiPriority w:val="99"/>
    <w:rsid w:val="003A5A48"/>
    <w:rPr>
      <w:rFonts w:ascii="Times New Roman" w:eastAsia="Times New Roman" w:hAnsi="Times New Roman" w:cs="Times New Roman"/>
      <w:sz w:val="20"/>
      <w:szCs w:val="20"/>
      <w:lang w:eastAsia="ko-KR"/>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3A5A48"/>
    <w:rPr>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L"/>
    <w:basedOn w:val="Normal"/>
    <w:link w:val="ListParagraphChar"/>
    <w:uiPriority w:val="34"/>
    <w:qFormat/>
    <w:rsid w:val="003A5A48"/>
    <w:pPr>
      <w:ind w:left="720"/>
    </w:pPr>
    <w:rPr>
      <w:rFonts w:asciiTheme="minorHAnsi" w:eastAsiaTheme="minorHAnsi" w:hAnsiTheme="minorHAnsi" w:cstheme="minorBidi"/>
      <w:lang w:eastAsia="en-GB"/>
    </w:rPr>
  </w:style>
  <w:style w:type="character" w:styleId="FootnoteReference">
    <w:name w:val="footnote reference"/>
    <w:basedOn w:val="DefaultParagraphFont"/>
    <w:uiPriority w:val="5"/>
    <w:semiHidden/>
    <w:unhideWhenUsed/>
    <w:rsid w:val="003A5A48"/>
    <w:rPr>
      <w:vertAlign w:val="superscript"/>
    </w:rPr>
  </w:style>
  <w:style w:type="character" w:styleId="CommentReference">
    <w:name w:val="annotation reference"/>
    <w:basedOn w:val="DefaultParagraphFont"/>
    <w:uiPriority w:val="99"/>
    <w:semiHidden/>
    <w:unhideWhenUsed/>
    <w:rsid w:val="003A5A48"/>
    <w:rPr>
      <w:sz w:val="16"/>
    </w:rPr>
  </w:style>
  <w:style w:type="paragraph" w:styleId="Revision">
    <w:name w:val="Revision"/>
    <w:hidden/>
    <w:uiPriority w:val="99"/>
    <w:semiHidden/>
    <w:rsid w:val="002D415B"/>
    <w:pPr>
      <w:spacing w:after="0" w:line="240" w:lineRule="auto"/>
    </w:pPr>
    <w:rPr>
      <w:rFonts w:ascii="Times New Roman" w:eastAsia="Times New Roman"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rsid w:val="002D415B"/>
    <w:rPr>
      <w:b/>
      <w:bCs/>
    </w:rPr>
  </w:style>
  <w:style w:type="character" w:customStyle="1" w:styleId="CommentSubjectChar">
    <w:name w:val="Comment Subject Char"/>
    <w:basedOn w:val="CommentTextChar"/>
    <w:link w:val="CommentSubject"/>
    <w:uiPriority w:val="99"/>
    <w:semiHidden/>
    <w:rsid w:val="002D415B"/>
    <w:rPr>
      <w:rFonts w:ascii="Times New Roman" w:eastAsia="Times New Roman" w:hAnsi="Times New Roman" w:cs="Times New Roman"/>
      <w:b/>
      <w:bCs/>
      <w:sz w:val="20"/>
      <w:szCs w:val="20"/>
      <w:lang w:eastAsia="ko-KR"/>
    </w:rPr>
  </w:style>
  <w:style w:type="paragraph" w:styleId="BalloonText">
    <w:name w:val="Balloon Text"/>
    <w:basedOn w:val="Normal"/>
    <w:link w:val="BalloonTextChar"/>
    <w:uiPriority w:val="99"/>
    <w:semiHidden/>
    <w:unhideWhenUsed/>
    <w:rsid w:val="00650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BD"/>
    <w:rPr>
      <w:rFonts w:ascii="Segoe UI" w:eastAsia="Times New Roman" w:hAnsi="Segoe UI" w:cs="Segoe UI"/>
      <w:sz w:val="18"/>
      <w:szCs w:val="18"/>
      <w:lang w:eastAsia="ko-KR"/>
    </w:rPr>
  </w:style>
  <w:style w:type="paragraph" w:customStyle="1" w:styleId="Text1">
    <w:name w:val="Text 1"/>
    <w:basedOn w:val="Normal"/>
    <w:link w:val="Text1Char"/>
    <w:uiPriority w:val="99"/>
    <w:qFormat/>
    <w:rsid w:val="005D65E0"/>
    <w:pPr>
      <w:spacing w:after="240"/>
      <w:ind w:left="482"/>
      <w:jc w:val="both"/>
    </w:pPr>
    <w:rPr>
      <w:szCs w:val="20"/>
      <w:lang w:eastAsia="en-GB"/>
    </w:rPr>
  </w:style>
  <w:style w:type="character" w:customStyle="1" w:styleId="Text1Char">
    <w:name w:val="Text 1 Char"/>
    <w:link w:val="Text1"/>
    <w:uiPriority w:val="99"/>
    <w:rsid w:val="005D65E0"/>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54247E"/>
    <w:pPr>
      <w:tabs>
        <w:tab w:val="center" w:pos="4513"/>
        <w:tab w:val="right" w:pos="9026"/>
      </w:tabs>
    </w:pPr>
  </w:style>
  <w:style w:type="character" w:customStyle="1" w:styleId="HeaderChar">
    <w:name w:val="Header Char"/>
    <w:basedOn w:val="DefaultParagraphFont"/>
    <w:link w:val="Header"/>
    <w:uiPriority w:val="99"/>
    <w:rsid w:val="0054247E"/>
    <w:rPr>
      <w:rFonts w:ascii="Times New Roman" w:eastAsia="Times New Roman" w:hAnsi="Times New Roman" w:cs="Times New Roman"/>
      <w:sz w:val="24"/>
      <w:szCs w:val="24"/>
      <w:lang w:eastAsia="ko-KR"/>
    </w:rPr>
  </w:style>
  <w:style w:type="paragraph" w:styleId="Footer">
    <w:name w:val="footer"/>
    <w:basedOn w:val="Normal"/>
    <w:link w:val="FooterChar"/>
    <w:uiPriority w:val="99"/>
    <w:unhideWhenUsed/>
    <w:rsid w:val="0054247E"/>
    <w:pPr>
      <w:tabs>
        <w:tab w:val="center" w:pos="4513"/>
        <w:tab w:val="right" w:pos="9026"/>
      </w:tabs>
    </w:pPr>
  </w:style>
  <w:style w:type="character" w:customStyle="1" w:styleId="FooterChar">
    <w:name w:val="Footer Char"/>
    <w:basedOn w:val="DefaultParagraphFont"/>
    <w:link w:val="Footer"/>
    <w:uiPriority w:val="99"/>
    <w:rsid w:val="0054247E"/>
    <w:rPr>
      <w:rFonts w:ascii="Times New Roman" w:eastAsia="Times New Roman" w:hAnsi="Times New Roman" w:cs="Times New Roman"/>
      <w:sz w:val="24"/>
      <w:szCs w:val="24"/>
      <w:lang w:eastAsia="ko-KR"/>
    </w:rPr>
  </w:style>
  <w:style w:type="table" w:styleId="TableGrid">
    <w:name w:val="Table Grid"/>
    <w:basedOn w:val="TableNormal"/>
    <w:uiPriority w:val="59"/>
    <w:rsid w:val="00A12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47B"/>
    <w:rPr>
      <w:color w:val="0563C1" w:themeColor="hyperlink"/>
      <w:u w:val="single"/>
    </w:rPr>
  </w:style>
  <w:style w:type="character" w:styleId="FollowedHyperlink">
    <w:name w:val="FollowedHyperlink"/>
    <w:basedOn w:val="DefaultParagraphFont"/>
    <w:uiPriority w:val="99"/>
    <w:semiHidden/>
    <w:unhideWhenUsed/>
    <w:rsid w:val="00A1247B"/>
    <w:rPr>
      <w:color w:val="954F72" w:themeColor="followedHyperlink"/>
      <w:u w:val="single"/>
    </w:rPr>
  </w:style>
  <w:style w:type="character" w:customStyle="1" w:styleId="Marker">
    <w:name w:val="Marker"/>
    <w:basedOn w:val="DefaultParagraphFont"/>
    <w:rsid w:val="003E3EC0"/>
    <w:rPr>
      <w:color w:val="0000FF"/>
      <w:shd w:val="clear" w:color="auto" w:fill="auto"/>
    </w:rPr>
  </w:style>
  <w:style w:type="paragraph" w:customStyle="1" w:styleId="Pagedecouverture">
    <w:name w:val="Page de couverture"/>
    <w:basedOn w:val="Normal"/>
    <w:next w:val="Normal"/>
    <w:rsid w:val="003E3EC0"/>
    <w:pPr>
      <w:jc w:val="both"/>
    </w:pPr>
    <w:rPr>
      <w:rFonts w:eastAsiaTheme="minorHAnsi"/>
      <w:szCs w:val="22"/>
      <w:lang w:eastAsia="en-US"/>
    </w:rPr>
  </w:style>
  <w:style w:type="paragraph" w:customStyle="1" w:styleId="FooterCoverPage">
    <w:name w:val="Footer Cover Page"/>
    <w:basedOn w:val="Normal"/>
    <w:link w:val="FooterCoverPageChar"/>
    <w:rsid w:val="003E3EC0"/>
    <w:pPr>
      <w:tabs>
        <w:tab w:val="center" w:pos="4535"/>
        <w:tab w:val="right" w:pos="9071"/>
        <w:tab w:val="right" w:pos="9921"/>
      </w:tabs>
      <w:spacing w:before="360"/>
      <w:ind w:left="-850" w:right="-850"/>
    </w:pPr>
  </w:style>
  <w:style w:type="character" w:customStyle="1" w:styleId="FooterCoverPageChar">
    <w:name w:val="Footer Cover Page Char"/>
    <w:basedOn w:val="Heading1Char"/>
    <w:link w:val="FooterCoverPage"/>
    <w:rsid w:val="003E3EC0"/>
    <w:rPr>
      <w:rFonts w:ascii="Times New Roman" w:eastAsia="Times New Roman" w:hAnsi="Times New Roman" w:cs="Times New Roman"/>
      <w:b w:val="0"/>
      <w:smallCaps w:val="0"/>
      <w:sz w:val="24"/>
      <w:szCs w:val="24"/>
      <w:lang w:eastAsia="ko-KR"/>
    </w:rPr>
  </w:style>
  <w:style w:type="paragraph" w:customStyle="1" w:styleId="FooterSensitivity">
    <w:name w:val="Footer Sensitivity"/>
    <w:basedOn w:val="Normal"/>
    <w:link w:val="FooterSensitivityChar"/>
    <w:rsid w:val="003E3EC0"/>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sid w:val="003E3EC0"/>
    <w:rPr>
      <w:rFonts w:ascii="Times New Roman" w:eastAsia="Times New Roman" w:hAnsi="Times New Roman" w:cs="Times New Roman"/>
      <w:b/>
      <w:smallCaps w:val="0"/>
      <w:sz w:val="32"/>
      <w:szCs w:val="24"/>
      <w:lang w:eastAsia="ko-KR"/>
    </w:rPr>
  </w:style>
  <w:style w:type="paragraph" w:customStyle="1" w:styleId="HeaderCoverPage">
    <w:name w:val="Header Cover Page"/>
    <w:basedOn w:val="Normal"/>
    <w:link w:val="HeaderCoverPageChar"/>
    <w:rsid w:val="003E3EC0"/>
    <w:pPr>
      <w:tabs>
        <w:tab w:val="center" w:pos="4535"/>
        <w:tab w:val="right" w:pos="9071"/>
      </w:tabs>
      <w:spacing w:after="120"/>
      <w:jc w:val="both"/>
    </w:pPr>
  </w:style>
  <w:style w:type="character" w:customStyle="1" w:styleId="HeaderCoverPageChar">
    <w:name w:val="Header Cover Page Char"/>
    <w:basedOn w:val="Heading1Char"/>
    <w:link w:val="HeaderCoverPage"/>
    <w:rsid w:val="003E3EC0"/>
    <w:rPr>
      <w:rFonts w:ascii="Times New Roman" w:eastAsia="Times New Roman" w:hAnsi="Times New Roman" w:cs="Times New Roman"/>
      <w:b w:val="0"/>
      <w:smallCaps w:val="0"/>
      <w:sz w:val="24"/>
      <w:szCs w:val="24"/>
      <w:lang w:eastAsia="ko-KR"/>
    </w:rPr>
  </w:style>
  <w:style w:type="paragraph" w:customStyle="1" w:styleId="HeaderSensitivity">
    <w:name w:val="Header Sensitivity"/>
    <w:basedOn w:val="Normal"/>
    <w:link w:val="HeaderSensitivityChar"/>
    <w:rsid w:val="003E3EC0"/>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sid w:val="003E3EC0"/>
    <w:rPr>
      <w:rFonts w:ascii="Times New Roman" w:eastAsia="Times New Roman" w:hAnsi="Times New Roman" w:cs="Times New Roman"/>
      <w:b/>
      <w:smallCaps w:val="0"/>
      <w:sz w:val="32"/>
      <w:szCs w:val="24"/>
      <w:lang w:eastAsia="ko-KR"/>
    </w:rPr>
  </w:style>
  <w:style w:type="paragraph" w:customStyle="1" w:styleId="HeaderSensitivityRight">
    <w:name w:val="Header Sensitivity Right"/>
    <w:basedOn w:val="Normal"/>
    <w:link w:val="HeaderSensitivityRightChar"/>
    <w:rsid w:val="003E3EC0"/>
    <w:pPr>
      <w:spacing w:after="120"/>
      <w:jc w:val="right"/>
    </w:pPr>
    <w:rPr>
      <w:sz w:val="28"/>
    </w:rPr>
  </w:style>
  <w:style w:type="character" w:customStyle="1" w:styleId="HeaderSensitivityRightChar">
    <w:name w:val="Header Sensitivity Right Char"/>
    <w:basedOn w:val="Heading1Char"/>
    <w:link w:val="HeaderSensitivityRight"/>
    <w:rsid w:val="003E3EC0"/>
    <w:rPr>
      <w:rFonts w:ascii="Times New Roman" w:eastAsia="Times New Roman" w:hAnsi="Times New Roman" w:cs="Times New Roman"/>
      <w:b w:val="0"/>
      <w:smallCaps w:val="0"/>
      <w:sz w:val="28"/>
      <w:szCs w:val="24"/>
      <w:lang w:eastAsia="ko-KR"/>
    </w:rPr>
  </w:style>
  <w:style w:type="table" w:customStyle="1" w:styleId="TableLetterhead">
    <w:name w:val="Table Letterhead"/>
    <w:basedOn w:val="TableNormal"/>
    <w:semiHidden/>
    <w:rsid w:val="00CB72EE"/>
    <w:pPr>
      <w:spacing w:after="0" w:line="240" w:lineRule="auto"/>
    </w:pPr>
    <w:rPr>
      <w:rFonts w:ascii="Times New Roman" w:eastAsia="Times New Roman" w:hAnsi="Times New Roman" w:cs="Times New Roman"/>
      <w:sz w:val="24"/>
      <w:szCs w:val="20"/>
      <w:lang w:eastAsia="en-I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8498">
      <w:bodyDiv w:val="1"/>
      <w:marLeft w:val="0"/>
      <w:marRight w:val="0"/>
      <w:marTop w:val="0"/>
      <w:marBottom w:val="0"/>
      <w:divBdr>
        <w:top w:val="none" w:sz="0" w:space="0" w:color="auto"/>
        <w:left w:val="none" w:sz="0" w:space="0" w:color="auto"/>
        <w:bottom w:val="none" w:sz="0" w:space="0" w:color="auto"/>
        <w:right w:val="none" w:sz="0" w:space="0" w:color="auto"/>
      </w:divBdr>
    </w:div>
    <w:div w:id="203297648">
      <w:bodyDiv w:val="1"/>
      <w:marLeft w:val="0"/>
      <w:marRight w:val="0"/>
      <w:marTop w:val="0"/>
      <w:marBottom w:val="0"/>
      <w:divBdr>
        <w:top w:val="none" w:sz="0" w:space="0" w:color="auto"/>
        <w:left w:val="none" w:sz="0" w:space="0" w:color="auto"/>
        <w:bottom w:val="none" w:sz="0" w:space="0" w:color="auto"/>
        <w:right w:val="none" w:sz="0" w:space="0" w:color="auto"/>
      </w:divBdr>
    </w:div>
    <w:div w:id="237328998">
      <w:bodyDiv w:val="1"/>
      <w:marLeft w:val="0"/>
      <w:marRight w:val="0"/>
      <w:marTop w:val="0"/>
      <w:marBottom w:val="0"/>
      <w:divBdr>
        <w:top w:val="none" w:sz="0" w:space="0" w:color="auto"/>
        <w:left w:val="none" w:sz="0" w:space="0" w:color="auto"/>
        <w:bottom w:val="none" w:sz="0" w:space="0" w:color="auto"/>
        <w:right w:val="none" w:sz="0" w:space="0" w:color="auto"/>
      </w:divBdr>
    </w:div>
    <w:div w:id="11004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lex.europa.eu/legal-content/FR/TXT/PDF/?uri=CELEX:32019R1688&amp;from=FR" TargetMode="External"/><Relationship Id="rId39" Type="http://schemas.openxmlformats.org/officeDocument/2006/relationships/hyperlink" Target="https://eur-lex.europa.eu/legal-content/FR/TXT/PDF/?uri=CELEX:32021R1784&amp;from=FR" TargetMode="External"/><Relationship Id="rId21" Type="http://schemas.openxmlformats.org/officeDocument/2006/relationships/footer" Target="footer4.xml"/><Relationship Id="rId34" Type="http://schemas.openxmlformats.org/officeDocument/2006/relationships/hyperlink" Target="https://eur-lex.europa.eu/legal-content/FR/TXT/PDF/?uri=CELEX:32020R1428&amp;from=FR" TargetMode="External"/><Relationship Id="rId42" Type="http://schemas.openxmlformats.org/officeDocument/2006/relationships/hyperlink" Target="https://eur-lex.europa.eu/legal-content/FR/TXT/PDF/?uri=CELEX:32021R2012&amp;from=FR" TargetMode="External"/><Relationship Id="rId47" Type="http://schemas.openxmlformats.org/officeDocument/2006/relationships/hyperlink" Target="https://eur-lex.europa.eu/legal-content/FR/TXT/PDF/?uri=CELEX:32021R0983&amp;from=FR" TargetMode="External"/><Relationship Id="rId50" Type="http://schemas.openxmlformats.org/officeDocument/2006/relationships/hyperlink" Target="https://eur-lex.europa.eu/legal-content/FR/TXT/PDF/?uri=CELEX:32022R0191&amp;from=FR" TargetMode="External"/><Relationship Id="rId55" Type="http://schemas.openxmlformats.org/officeDocument/2006/relationships/hyperlink" Target="https://eur-lex.europa.eu/legal-content/FR/TXT/PDF/?uri=CELEX:32022R0547&amp;from=FR" TargetMode="External"/><Relationship Id="rId63" Type="http://schemas.openxmlformats.org/officeDocument/2006/relationships/header" Target="header7.xml"/><Relationship Id="rId68" Type="http://schemas.openxmlformats.org/officeDocument/2006/relationships/footer" Target="footer9.xml"/><Relationship Id="rId76" Type="http://schemas.openxmlformats.org/officeDocument/2006/relationships/hyperlink" Target="https://eur-lex.europa.eu/legal-content/FR/TXT/PDF/?uri=CELEX:32022R0433&amp;from=FR"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eur-lex.europa.eu/legal-content/FR/TXT/PDF/?uri=CELEX:32020R0776&amp;from=FR"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ur-lex.europa.eu/legal-content/FR/TXT/PDF/?uri=OJ:L:2020:108:FULL&amp;from=FR" TargetMode="Externa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eur-lex.europa.eu/legal-content/FR/TXT/PDF/?uri=CELEX:32020R0705&amp;from=FR" TargetMode="External"/><Relationship Id="rId37" Type="http://schemas.openxmlformats.org/officeDocument/2006/relationships/hyperlink" Target="https://eur-lex.europa.eu/legal-content/FR/TXT/PDF/?uri=CELEX:32021R1100&amp;qid=1625747088859&amp;from=fr" TargetMode="External"/><Relationship Id="rId40" Type="http://schemas.openxmlformats.org/officeDocument/2006/relationships/hyperlink" Target="https://eur-lex.europa.eu/legal-content/FR/TXT/PDF/?uri=CELEX:32021R2011&amp;from=FR" TargetMode="External"/><Relationship Id="rId45" Type="http://schemas.openxmlformats.org/officeDocument/2006/relationships/hyperlink" Target="https://eur-lex.europa.eu/legal-content/FR/TXT/PDF/?uri=CELEX:32021R0940&amp;from=FR" TargetMode="External"/><Relationship Id="rId53" Type="http://schemas.openxmlformats.org/officeDocument/2006/relationships/hyperlink" Target="https://eur-lex.europa.eu/legal-content/FR/TXT/PDF/?uri=CELEX:32021R1812&amp;from=FR" TargetMode="External"/><Relationship Id="rId58" Type="http://schemas.openxmlformats.org/officeDocument/2006/relationships/hyperlink" Target="https://eur-lex.europa.eu/legal-content/FR/TXT/PDF/?uri=CELEX:32022R2247&amp;from=FR" TargetMode="External"/><Relationship Id="rId66" Type="http://schemas.openxmlformats.org/officeDocument/2006/relationships/footer" Target="footer8.xml"/><Relationship Id="rId74" Type="http://schemas.openxmlformats.org/officeDocument/2006/relationships/hyperlink" Target="https://eur-lex.europa.eu/legal-content/FR/TXT/PDF/?uri=CELEX:32021R2287&amp;from=FR" TargetMode="External"/><Relationship Id="rId79" Type="http://schemas.openxmlformats.org/officeDocument/2006/relationships/footer" Target="footer10.xml"/><Relationship Id="rId5" Type="http://schemas.openxmlformats.org/officeDocument/2006/relationships/customXml" Target="../customXml/item5.xml"/><Relationship Id="rId61" Type="http://schemas.openxmlformats.org/officeDocument/2006/relationships/hyperlink" Target="https://eur-lex.europa.eu/legal-content/FR/TXT/PDF/?uri=CELEX:32023R0099&amp;from=FR" TargetMode="External"/><Relationship Id="rId82"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eur-lex.europa.eu/legal-content/FR/TXT/PDF/?uri=CELEX:32020R1408&amp;from=FR" TargetMode="External"/><Relationship Id="rId44" Type="http://schemas.openxmlformats.org/officeDocument/2006/relationships/hyperlink" Target="https://eur-lex.europa.eu/legal-content/FR/TXT/PDF/?uri=CELEX:32021R1976&amp;from=FR" TargetMode="External"/><Relationship Id="rId52" Type="http://schemas.openxmlformats.org/officeDocument/2006/relationships/hyperlink" Target="https://eur-lex.europa.eu/legal-content/FR/TXT/PDF/?uri=CELEX:32022R0468&amp;from=FR" TargetMode="External"/><Relationship Id="rId60" Type="http://schemas.openxmlformats.org/officeDocument/2006/relationships/hyperlink" Target="https://eur-lex.europa.eu/legal-content/FR/TXT/PDF/?uri=CELEX:32022R1221&amp;from=FR" TargetMode="External"/><Relationship Id="rId65" Type="http://schemas.openxmlformats.org/officeDocument/2006/relationships/footer" Target="footer7.xml"/><Relationship Id="rId73" Type="http://schemas.openxmlformats.org/officeDocument/2006/relationships/hyperlink" Target="https://eur-lex.europa.eu/legal-content/FR/TXT/PDF/?uri=CELEX:32020R0870&amp;from=FR" TargetMode="External"/><Relationship Id="rId78" Type="http://schemas.openxmlformats.org/officeDocument/2006/relationships/header" Target="header11.xml"/><Relationship Id="rId8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eur-lex.europa.eu/legal-content/FR/TXT/PDF/?uri=CELEX:32019R1693&amp;from=FR" TargetMode="External"/><Relationship Id="rId30" Type="http://schemas.openxmlformats.org/officeDocument/2006/relationships/hyperlink" Target="https://eur-lex.europa.eu/legal-content/FR/TXT/PDF/?uri=CELEX:32020R0508&amp;from=FR" TargetMode="External"/><Relationship Id="rId35" Type="http://schemas.openxmlformats.org/officeDocument/2006/relationships/hyperlink" Target="https://eur-lex.europa.eu/legal-content/FR/TXT/PDF/?uri=CELEX:32021R0546&amp;from=FR" TargetMode="External"/><Relationship Id="rId43" Type="http://schemas.openxmlformats.org/officeDocument/2006/relationships/hyperlink" Target="https://eur-lex.europa.eu/legal-content/FR/TXT/PDF/?uri=CELEX:32021R0939&amp;from=FR" TargetMode="External"/><Relationship Id="rId48" Type="http://schemas.openxmlformats.org/officeDocument/2006/relationships/hyperlink" Target="https://eur-lex.europa.eu/legal-content/FR/TXT/PDF/?uri=CELEX:32021R2170&amp;from=FR" TargetMode="External"/><Relationship Id="rId56" Type="http://schemas.openxmlformats.org/officeDocument/2006/relationships/hyperlink" Target="https://eur-lex.europa.eu/legal-content/FR/TXT/PDF/?uri=CELEX:32022R1395&amp;from=FR" TargetMode="External"/><Relationship Id="rId64" Type="http://schemas.openxmlformats.org/officeDocument/2006/relationships/header" Target="header8.xml"/><Relationship Id="rId69" Type="http://schemas.openxmlformats.org/officeDocument/2006/relationships/hyperlink" Target="https://eur-lex.europa.eu/legal-content/FR/TXT/PDF/?uri=CELEX:32019R1344&amp;from=FR" TargetMode="External"/><Relationship Id="rId77" Type="http://schemas.openxmlformats.org/officeDocument/2006/relationships/header" Target="header10.xml"/><Relationship Id="rId8" Type="http://schemas.openxmlformats.org/officeDocument/2006/relationships/settings" Target="settings.xml"/><Relationship Id="rId51" Type="http://schemas.openxmlformats.org/officeDocument/2006/relationships/hyperlink" Target="https://eur-lex.europa.eu/legal-content/FR/TXT/PDF/?uri=CELEX:32021R1811&amp;from=FR" TargetMode="External"/><Relationship Id="rId72" Type="http://schemas.openxmlformats.org/officeDocument/2006/relationships/hyperlink" Target="https://eur-lex.europa.eu/legal-content/FR/TXT/PDF/?uri=CELEX:32020R0379&amp;from=FR" TargetMode="External"/><Relationship Id="rId80"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eur-lex.europa.eu/legal-content/FR/TXT/PDF/?uri=CELEX:32019R0576&amp;from=FR" TargetMode="External"/><Relationship Id="rId33" Type="http://schemas.openxmlformats.org/officeDocument/2006/relationships/hyperlink" Target="https://eur-lex.europa.eu/legal-content/FR/TXT/PDF/?uri=CELEX:32020R1524&amp;from=FR" TargetMode="External"/><Relationship Id="rId38" Type="http://schemas.openxmlformats.org/officeDocument/2006/relationships/hyperlink" Target="https://eur-lex.europa.eu/legal-content/FR/TXT/PDF/?uri=CELEX:32021R0582&amp;from=FR" TargetMode="External"/><Relationship Id="rId46" Type="http://schemas.openxmlformats.org/officeDocument/2006/relationships/hyperlink" Target="https://eur-lex.europa.eu/legal-content/FR/TXT/PDF/?uri=CELEX:32021R1930&amp;from=FR" TargetMode="External"/><Relationship Id="rId59" Type="http://schemas.openxmlformats.org/officeDocument/2006/relationships/hyperlink" Target="https://eur-lex.europa.eu/legal-content/FR/TXT/PDF/?uri=CELEX:32023R0265&amp;from=FR" TargetMode="External"/><Relationship Id="rId67" Type="http://schemas.openxmlformats.org/officeDocument/2006/relationships/header" Target="header9.xml"/><Relationship Id="rId20" Type="http://schemas.openxmlformats.org/officeDocument/2006/relationships/header" Target="header5.xml"/><Relationship Id="rId41" Type="http://schemas.openxmlformats.org/officeDocument/2006/relationships/hyperlink" Target="https://eur-lex.europa.eu/legal-content/FR/TXT/PDF/?uri=CELEX:32021R0854&amp;from=FR" TargetMode="External"/><Relationship Id="rId54" Type="http://schemas.openxmlformats.org/officeDocument/2006/relationships/hyperlink" Target="https://eur-lex.europa.eu/legal-content/FR/TXT/PDF/?uri=CELEX:32022R0558&amp;from=FR" TargetMode="External"/><Relationship Id="rId62" Type="http://schemas.openxmlformats.org/officeDocument/2006/relationships/hyperlink" Target="https://eur-lex.europa.eu/legal-content/FR/TXT/PDF/?uri=CELEX:32023R0111&amp;from=FR" TargetMode="External"/><Relationship Id="rId70" Type="http://schemas.openxmlformats.org/officeDocument/2006/relationships/hyperlink" Target="https://eur-lex.europa.eu/legal-content/FR/TXT/PDF/?uri=CELEX:32019R2092&amp;from=FR" TargetMode="External"/><Relationship Id="rId75" Type="http://schemas.openxmlformats.org/officeDocument/2006/relationships/hyperlink" Target="https://eur-lex.europa.eu/legal-content/FR/TXT/PDF/?uri=CELEX:32022R0072&amp;from=F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ur-lex.europa.eu/legal-content/FR/TXT/PDF/?uri=CELEX:32020R0353&amp;from=FR" TargetMode="External"/><Relationship Id="rId36" Type="http://schemas.openxmlformats.org/officeDocument/2006/relationships/hyperlink" Target="https://eur-lex.europa.eu/legal-content/FR/TXT/PDF/?uri=CELEX:32021R0009&amp;from=FR" TargetMode="External"/><Relationship Id="rId49" Type="http://schemas.openxmlformats.org/officeDocument/2006/relationships/hyperlink" Target="https://eur-lex.europa.eu/legal-content/FR/TXT/PDF/?uri=CELEX:32021R2239&amp;from=FR" TargetMode="External"/><Relationship Id="rId57" Type="http://schemas.openxmlformats.org/officeDocument/2006/relationships/hyperlink" Target="https://eur-lex.europa.eu/legal-content/FR/TXT/PDF/?uri=CELEX:32022R0802&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381D2D157734CBFA527EF8CAAC886" ma:contentTypeVersion="2" ma:contentTypeDescription="Create a new document." ma:contentTypeScope="" ma:versionID="2e8ec9d09716d6674ef6f5e9e8507b53">
  <xsd:schema xmlns:xsd="http://www.w3.org/2001/XMLSchema" xmlns:xs="http://www.w3.org/2001/XMLSchema" xmlns:p="http://schemas.microsoft.com/office/2006/metadata/properties" xmlns:ns2="788e74fc-f0c5-4b41-90cc-6c83f6640caa" targetNamespace="http://schemas.microsoft.com/office/2006/metadata/properties" ma:root="true" ma:fieldsID="759a41bf5fd9bf9aa95d38fc30f077d7" ns2:_="">
    <xsd:import namespace="788e74fc-f0c5-4b41-90cc-6c83f6640ca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e74fc-f0c5-4b41-90cc-6c83f6640c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64F5999BDAEF46BEF822F85D8A1667" ma:contentTypeVersion="1" ma:contentTypeDescription="Create a new document." ma:contentTypeScope="" ma:versionID="bfe2d57786f5250c5a957067e11c268f">
  <xsd:schema xmlns:xsd="http://www.w3.org/2001/XMLSchema" xmlns:xs="http://www.w3.org/2001/XMLSchema" xmlns:p="http://schemas.microsoft.com/office/2006/metadata/properties" xmlns:ns2="92ef4216-f0ec-4b98-ab56-e7c7a877235f" targetNamespace="http://schemas.microsoft.com/office/2006/metadata/properties" ma:root="true" ma:fieldsID="75aa4a52248516d29bc7256a8ab774c8" ns2:_="">
    <xsd:import namespace="92ef4216-f0ec-4b98-ab56-e7c7a87723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f4216-f0ec-4b98-ab56-e7c7a87723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80EC-E023-4F48-AE50-C481109D5B06}">
  <ds:schemaRefs>
    <ds:schemaRef ds:uri="http://schemas.microsoft.com/office/2006/documentManagement/types"/>
    <ds:schemaRef ds:uri="788e74fc-f0c5-4b41-90cc-6c83f6640caa"/>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F53AD7-9740-4FC3-814E-90519687F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e74fc-f0c5-4b41-90cc-6c83f6640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B41F5-2965-4D94-BABB-2C7AABC76C2F}">
  <ds:schemaRefs>
    <ds:schemaRef ds:uri="http://schemas.microsoft.com/sharepoint/v3/contenttype/forms"/>
  </ds:schemaRefs>
</ds:datastoreItem>
</file>

<file path=customXml/itemProps4.xml><?xml version="1.0" encoding="utf-8"?>
<ds:datastoreItem xmlns:ds="http://schemas.openxmlformats.org/officeDocument/2006/customXml" ds:itemID="{9DEB7FFA-5E5B-4F29-B56E-8B948FC8B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f4216-f0ec-4b98-ab56-e7c7a8772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B2AA57-A9A9-4D69-BF83-32F8ABE4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6863</Words>
  <Characters>38848</Characters>
  <Application>Microsoft Office Word</Application>
  <DocSecurity>0</DocSecurity>
  <Lines>1253</Lines>
  <Paragraphs>423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29</cp:revision>
  <cp:lastPrinted>2023-04-21T12:52:00Z</cp:lastPrinted>
  <dcterms:created xsi:type="dcterms:W3CDTF">2023-05-23T13:30:00Z</dcterms:created>
  <dcterms:modified xsi:type="dcterms:W3CDTF">2023-05-31T07:20:00Z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2023-03-24T06:56:01Z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6c661e6e-0ca0-4788-8072-be8c0505aa26</vt:lpwstr>
  </property>
  <property fmtid="{D5CDD505-2E9C-101B-9397-08002B2CF9AE}" pid="8" name="MSIP_Label_6bd9ddd1-4d20-43f6-abfa-fc3c07406f94_ContentBits">
    <vt:lpwstr>0</vt:lpwstr>
  </property>
  <property fmtid="{D5CDD505-2E9C-101B-9397-08002B2CF9AE}" pid="9" name="ContentTypeId">
    <vt:lpwstr>0x0101004264F5999BDAEF46BEF822F85D8A1667</vt:lpwstr>
  </property>
  <property fmtid="{D5CDD505-2E9C-101B-9397-08002B2CF9AE}" pid="10" name="Level of sensitivity">
    <vt:lpwstr>Standard treatment</vt:lpwstr>
  </property>
  <property fmtid="{D5CDD505-2E9C-101B-9397-08002B2CF9AE}" pid="11" name="Part">
    <vt:lpwstr>1</vt:lpwstr>
  </property>
  <property fmtid="{D5CDD505-2E9C-101B-9397-08002B2CF9AE}" pid="12" name="Total parts">
    <vt:lpwstr>1</vt:lpwstr>
  </property>
  <property fmtid="{D5CDD505-2E9C-101B-9397-08002B2CF9AE}" pid="13" name="DocStatus">
    <vt:lpwstr>Green</vt:lpwstr>
  </property>
  <property fmtid="{D5CDD505-2E9C-101B-9397-08002B2CF9AE}" pid="14" name="CPTemplateID">
    <vt:lpwstr>CP-012</vt:lpwstr>
  </property>
  <property fmtid="{D5CDD505-2E9C-101B-9397-08002B2CF9AE}" pid="15" name="Last edited using">
    <vt:lpwstr>LW 9.0, Build 20230317</vt:lpwstr>
  </property>
  <property fmtid="{D5CDD505-2E9C-101B-9397-08002B2CF9AE}" pid="16" name="Created using">
    <vt:lpwstr>LW 8.1, Build 20230124</vt:lpwstr>
  </property>
</Properties>
</file>