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D2DF3" w14:textId="7C11EA95" w:rsidR="003E3EC0" w:rsidRDefault="00AB679B" w:rsidP="00AB679B">
      <w:pPr>
        <w:pStyle w:val="Pagedecouverture"/>
        <w:rPr>
          <w:noProof/>
        </w:rPr>
      </w:pPr>
      <w:bookmarkStart w:id="0" w:name="LW_BM_COVERPAGE"/>
      <w:r>
        <w:rPr>
          <w:noProof/>
        </w:rPr>
        <w:pict w14:anchorId="4EE59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5E67B8A-C909-4FB3-B29F-8301D5FCC68D" style="width:455.25pt;height:411.75pt">
            <v:imagedata r:id="rId12" o:title=""/>
          </v:shape>
        </w:pict>
      </w:r>
    </w:p>
    <w:bookmarkEnd w:id="0"/>
    <w:p w14:paraId="49C84CD9" w14:textId="77777777" w:rsidR="00F04EA1" w:rsidRDefault="00F04EA1" w:rsidP="00F04EA1">
      <w:pPr>
        <w:rPr>
          <w:noProof/>
        </w:rPr>
        <w:sectPr w:rsidR="00F04EA1" w:rsidSect="00AB679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13FD2DF5" w14:textId="77777777" w:rsidR="003A5A48" w:rsidRDefault="003A5A48" w:rsidP="00EE5BD3">
      <w:pPr>
        <w:pStyle w:val="Heading1"/>
        <w:numPr>
          <w:ilvl w:val="0"/>
          <w:numId w:val="0"/>
        </w:numPr>
        <w:tabs>
          <w:tab w:val="left" w:pos="720"/>
        </w:tabs>
        <w:jc w:val="center"/>
        <w:rPr>
          <w:noProof/>
        </w:rPr>
      </w:pPr>
      <w:bookmarkStart w:id="1" w:name="_GoBack"/>
      <w:bookmarkEnd w:id="1"/>
      <w:r>
        <w:rPr>
          <w:noProof/>
        </w:rPr>
        <w:lastRenderedPageBreak/>
        <w:t>Überprüfung und Bewertung des Anwendung der Regel des niedrigeren Zolls bei Antidumping- und Antisubventionsuntersuchungen</w:t>
      </w:r>
    </w:p>
    <w:p w14:paraId="13FD2DF6" w14:textId="77777777" w:rsidR="003A5A48" w:rsidRPr="009A7E8E" w:rsidRDefault="003A5A48" w:rsidP="009A7E8E">
      <w:pPr>
        <w:pStyle w:val="Heading1"/>
        <w:numPr>
          <w:ilvl w:val="0"/>
          <w:numId w:val="9"/>
        </w:numPr>
        <w:rPr>
          <w:noProof/>
        </w:rPr>
      </w:pPr>
      <w:r>
        <w:rPr>
          <w:noProof/>
        </w:rPr>
        <w:t>Einleitung</w:t>
      </w:r>
    </w:p>
    <w:p w14:paraId="13FD2DF7" w14:textId="4E2547FD" w:rsidR="003A5A48" w:rsidRDefault="003A5A48" w:rsidP="003A5A48">
      <w:pPr>
        <w:jc w:val="both"/>
        <w:rPr>
          <w:noProof/>
        </w:rPr>
      </w:pPr>
      <w:r>
        <w:rPr>
          <w:noProof/>
        </w:rPr>
        <w:t>Am 8. Juni 2018 traten neue Antidumping- und Antisubventionsvorschriften zur Modernisierung und Stärkung der handelspolitischen Schutzinstrumente der EU in Kraft.</w:t>
      </w:r>
      <w:r>
        <w:rPr>
          <w:rStyle w:val="FootnoteReference"/>
          <w:noProof/>
          <w:lang w:eastAsia="en-US"/>
        </w:rPr>
        <w:footnoteReference w:id="2"/>
      </w:r>
      <w:r>
        <w:rPr>
          <w:noProof/>
        </w:rPr>
        <w:t xml:space="preserve">  Eine der wichtigsten Änderungen betraf die Frage, wie die EU eine Regel, bekannt als „Regel des niedrigeren Zolls“, anwendet. Nach dem neuen Artikel 23 Absatz 4 der Antidumpinggrundverordnung</w:t>
      </w:r>
      <w:r>
        <w:rPr>
          <w:rStyle w:val="FootnoteReference"/>
          <w:noProof/>
        </w:rPr>
        <w:footnoteReference w:id="3"/>
      </w:r>
      <w:r>
        <w:rPr>
          <w:noProof/>
        </w:rPr>
        <w:t xml:space="preserve"> und Artikel 32a Absatz 2 der Antisubventionsgrundverordnung</w:t>
      </w:r>
      <w:r>
        <w:rPr>
          <w:rStyle w:val="FootnoteReference"/>
          <w:noProof/>
        </w:rPr>
        <w:footnoteReference w:id="4"/>
      </w:r>
      <w:r>
        <w:rPr>
          <w:noProof/>
        </w:rPr>
        <w:t xml:space="preserve"> ist die Kommission verpflichtet, bis zum 9. Juni 2023 eine Überprüfung und Bewertung der Anwendung der neuen Bestimmungen der Regel des niedrigeren Zolls, gegebenenfalls gemeinsam mit einem Gesetzgebungsvorschlag, vorzulegen. Die Bewertung umfasst Fälle, die nach dem 9. Juni 2018 eingeleitet und bis Ende März 2023 abgeschlossen wurden. Darin wird dargelegt, wie die neuen Bestimmungen angewandt wurden sowie welche Auswirkungen sie gegebenenfalls auf die Höhe der Maßnahmen hatten.  </w:t>
      </w:r>
    </w:p>
    <w:p w14:paraId="13FD2DF8" w14:textId="77777777" w:rsidR="003A5A48" w:rsidRDefault="003A5A48" w:rsidP="003A5A48">
      <w:pPr>
        <w:jc w:val="both"/>
        <w:rPr>
          <w:noProof/>
          <w:lang w:eastAsia="en-US"/>
        </w:rPr>
      </w:pPr>
    </w:p>
    <w:p w14:paraId="13FD2DF9" w14:textId="77777777" w:rsidR="003A5A48" w:rsidRDefault="003A5A48" w:rsidP="003A5A48">
      <w:pPr>
        <w:jc w:val="both"/>
        <w:rPr>
          <w:b/>
          <w:i/>
          <w:noProof/>
        </w:rPr>
      </w:pPr>
      <w:r>
        <w:rPr>
          <w:b/>
          <w:i/>
          <w:noProof/>
        </w:rPr>
        <w:t>Hintergrund</w:t>
      </w:r>
    </w:p>
    <w:p w14:paraId="13FD2DFA" w14:textId="77777777" w:rsidR="003A5A48" w:rsidRDefault="003A5A48" w:rsidP="003A5A48">
      <w:pPr>
        <w:jc w:val="both"/>
        <w:rPr>
          <w:noProof/>
          <w:lang w:eastAsia="en-US"/>
        </w:rPr>
      </w:pPr>
    </w:p>
    <w:p w14:paraId="13FD2DFB" w14:textId="3035D849" w:rsidR="003A5A48" w:rsidRDefault="003A5A48" w:rsidP="003A5A48">
      <w:pPr>
        <w:jc w:val="both"/>
        <w:rPr>
          <w:noProof/>
        </w:rPr>
      </w:pPr>
      <w:r>
        <w:rPr>
          <w:noProof/>
        </w:rPr>
        <w:t xml:space="preserve">Nach WTO-Regeln darf die Höhe des Antidumping- oder Antisubventionszolls die Höhe des Dumpings oder der Subvention nicht überschreiten, allerdings ist es wünschenswert, einen niedrigeren Zoll anzuwenden, wenn dessen Höhe ausreichen würde, um die Schädigung des heimischen Wirtschaftszweigs zu beseitigen. Dieser Satz ergibt sich aus dem Vergleich der Einfuhrpreise mit den Herstellkosten des Wirtschaftszweigs der Union und einer angemessenen Gewinnspanne (im Folgenden „Zielpreisunterbietungsspanne“).  </w:t>
      </w:r>
    </w:p>
    <w:p w14:paraId="13FD2DFC" w14:textId="77777777" w:rsidR="003A5A48" w:rsidRDefault="003A5A48" w:rsidP="003A5A48">
      <w:pPr>
        <w:jc w:val="both"/>
        <w:rPr>
          <w:noProof/>
          <w:lang w:eastAsia="en-US"/>
        </w:rPr>
      </w:pPr>
    </w:p>
    <w:p w14:paraId="13FD2DFD" w14:textId="49C3A0F5" w:rsidR="003A5A48" w:rsidRDefault="003A5A48" w:rsidP="003A5A48">
      <w:pPr>
        <w:jc w:val="both"/>
        <w:rPr>
          <w:noProof/>
        </w:rPr>
      </w:pPr>
      <w:r>
        <w:rPr>
          <w:noProof/>
        </w:rPr>
        <w:t xml:space="preserve">Vor Juni 2018 wandte die EU bei allen Antidumping- und Antisubventionsuntersuchungen stets die Regel des niedrigeren Zolls an. Mit Blick auf die Stärkung der handelspolitischen Schutzinstrumente vertraten die gesetzgebenden Organe jedoch die Auffassung, dass einige Arten von Verzerrungen besonders schädlich seien und ein Zoll deshalb auf der Grundlage der geltenden Regel des niedrigeren Zolls nicht das volle Ausmaß der dadurch verursachten Schädigung erfassen würde. Dies betrifft einerseits Subventionspraktiken sowie andererseits auch Maßnahmen, die zur Verzerrung des Preises für unverarbeitete oder verarbeitete Rohstoffe – einschließlich Energie – beitragen und die den Unternehmen auf dem Markt in dem betreffenden Land einen unberechtigten Vorteil verschaffen. </w:t>
      </w:r>
    </w:p>
    <w:p w14:paraId="13FD2DFE" w14:textId="7A534FE4" w:rsidR="003A5A48" w:rsidRDefault="003A5A48" w:rsidP="003A5A48">
      <w:pPr>
        <w:jc w:val="both"/>
        <w:rPr>
          <w:noProof/>
          <w:lang w:eastAsia="en-US"/>
        </w:rPr>
      </w:pPr>
    </w:p>
    <w:p w14:paraId="13FD2DFF" w14:textId="7A2BA57D" w:rsidR="003A5A48" w:rsidRDefault="00DA7DAC" w:rsidP="003A5A48">
      <w:pPr>
        <w:jc w:val="both"/>
        <w:rPr>
          <w:noProof/>
        </w:rPr>
      </w:pPr>
      <w:r>
        <w:rPr>
          <w:noProof/>
        </w:rPr>
        <w:t>Im Einklang mit den neuen Rechtsvorschriften kann die Regel des niedrigeren Zolls bei Antisubventionsuntersuchung</w:t>
      </w:r>
      <w:r w:rsidR="00F04EA1">
        <w:rPr>
          <w:noProof/>
        </w:rPr>
        <w:t>en nicht mehr angewandt werden.</w:t>
      </w:r>
      <w:r>
        <w:rPr>
          <w:noProof/>
        </w:rPr>
        <w:t xml:space="preserve"> Die Höhe des Ausgleichszolls wird in Höhe der ermittelten anfechtbaren Subventionen </w:t>
      </w:r>
      <w:r w:rsidR="00F04EA1">
        <w:rPr>
          <w:noProof/>
        </w:rPr>
        <w:t xml:space="preserve">festgesetzt. </w:t>
      </w:r>
      <w:r w:rsidRPr="00F04EA1">
        <w:rPr>
          <w:noProof/>
        </w:rPr>
        <w:t>Die</w:t>
      </w:r>
      <w:r>
        <w:rPr>
          <w:noProof/>
        </w:rPr>
        <w:t xml:space="preserve"> Regel des niedrigeren Zoll gilt nur, wenn eindeutig der Schluss gezogen werden kann, dass es nicht im Interesse der Union liegt, die Maßnahmen auf der Grundlage der Subventionshöhe zu bestimmen. Dies bedeutet, dass Antisubventionsmaßnahmen grundsätzlich die von den Ausführern erhaltenen Subventionen vollständig ausgleichen, was es der EU ermöglicht, die verzerrenden und schädigenden Auswirkungen der subventionierten Einfuhren strikter anzugehen.  </w:t>
      </w:r>
    </w:p>
    <w:p w14:paraId="13FD2E00" w14:textId="77777777" w:rsidR="003A5A48" w:rsidRDefault="003A5A48" w:rsidP="003A5A48">
      <w:pPr>
        <w:jc w:val="both"/>
        <w:rPr>
          <w:noProof/>
        </w:rPr>
      </w:pPr>
    </w:p>
    <w:p w14:paraId="13FD2E01" w14:textId="3D70E2E1" w:rsidR="003A5A48" w:rsidRDefault="003A5A48" w:rsidP="003A5A48">
      <w:pPr>
        <w:jc w:val="both"/>
        <w:rPr>
          <w:noProof/>
        </w:rPr>
      </w:pPr>
      <w:r>
        <w:rPr>
          <w:noProof/>
        </w:rPr>
        <w:t xml:space="preserve">Bei Antidumpinguntersuchungen wurde die Anwendung der Regel des niedrigeren Zolls ebenfalls geändert. Während die Regel des niedrigeren Zolls nach wie vor in solchen Fällen Anwendung findet, kann die Kommission unter bestimmten besonderen Umständen (z. B. Vorliegen erheblicher Verzerrungen des Rohstoffangebots) Maßnahmen in Höhe der vollständigen Dumpingspanne statt in Höhe der möglicherweise niedrigeren Zielpreisunterbietungsspanne einführen, da dies für notwendig erachtet wird, um die zusätzliche Schädigung zu beseitigen, die der Wirtschaftszweig der Union infolge der Verzerrungen des Rohstoffangebots erlitten hat. Die einschlägigen kumulativen Voraussetzungen lauten: </w:t>
      </w:r>
    </w:p>
    <w:p w14:paraId="13FD2E02" w14:textId="77777777" w:rsidR="003A5A48" w:rsidRDefault="003A5A48" w:rsidP="003A5A48">
      <w:pPr>
        <w:jc w:val="both"/>
        <w:rPr>
          <w:noProof/>
        </w:rPr>
      </w:pPr>
    </w:p>
    <w:p w14:paraId="13FD2E03" w14:textId="26ADDD32" w:rsidR="003A5A48" w:rsidRPr="006508BD" w:rsidRDefault="003A5A48" w:rsidP="003A5A48">
      <w:pPr>
        <w:pStyle w:val="ListParagraph"/>
        <w:numPr>
          <w:ilvl w:val="0"/>
          <w:numId w:val="3"/>
        </w:numPr>
        <w:ind w:left="426" w:hanging="426"/>
        <w:jc w:val="both"/>
        <w:rPr>
          <w:rFonts w:ascii="Times New Roman" w:hAnsi="Times New Roman" w:cs="Times New Roman"/>
          <w:noProof/>
        </w:rPr>
      </w:pPr>
      <w:r>
        <w:rPr>
          <w:rFonts w:ascii="Times New Roman" w:hAnsi="Times New Roman"/>
          <w:noProof/>
        </w:rPr>
        <w:t>Es müssen erhebliche Verzerrungen des Rohstoffangebots vorliegen. Sie bestehen aus: Doppelpreissystemen, Ausfuhrsteuern, Ausfuhrergänzungsabgaben, Ausfuhrquoten, Ausfuhrverboten, Finanzabgaben auf Ausfuhren, Lizenzanforderungen, Mindestausfuhrpreisen, der Erstattung, Minderung oder Aufhebung der Mehrwertsteuer, Einschränkungen an der Zollabfertigungsstelle für Ausführer, Verzeichnissen qualifizierter Ausführer, der Pflicht, den heimischen Markt mit einem bestimmten Anteil der Produktion zu beliefern (Domestic Market Obligation), unternehmensgebundenen Schürfrechten, wenn der Preis eines Rohstoffs deutlich unter dem Preis auf repräsentativen internationalen Märkten liegt. Diese Liste kann geändert werden, wenn in dem OECD-Verzeichnis über Ausfuhrbeschränkungen für Industrierohstoffe oder jedweder anderen Datenbank der OECD, die dieses Verzeichnis ersetzt, andere Arten von Maßnahmen aufgeführt werden.</w:t>
      </w:r>
    </w:p>
    <w:p w14:paraId="13FD2E04" w14:textId="2EBCABBB" w:rsidR="003A5A48" w:rsidRPr="006508BD" w:rsidRDefault="003A5A48" w:rsidP="003A5A48">
      <w:pPr>
        <w:pStyle w:val="ListParagraph"/>
        <w:numPr>
          <w:ilvl w:val="0"/>
          <w:numId w:val="4"/>
        </w:numPr>
        <w:ind w:left="426" w:hanging="426"/>
        <w:jc w:val="both"/>
        <w:rPr>
          <w:rFonts w:ascii="Times New Roman" w:hAnsi="Times New Roman" w:cs="Times New Roman"/>
          <w:noProof/>
        </w:rPr>
      </w:pPr>
      <w:r>
        <w:rPr>
          <w:rFonts w:ascii="Times New Roman" w:hAnsi="Times New Roman"/>
          <w:noProof/>
        </w:rPr>
        <w:t>Diese Verzerrungen müssen mindestens einen Rohstoff betreffen, auf den jeweils mehr als 17 % der Herstellkosten der betroffenen Ware im Ausfuhrland entfallen.</w:t>
      </w:r>
    </w:p>
    <w:p w14:paraId="13FD2E05" w14:textId="1714DE2E" w:rsidR="003A5A48" w:rsidRPr="006508BD" w:rsidRDefault="003A5A48" w:rsidP="003A5A48">
      <w:pPr>
        <w:pStyle w:val="ListParagraph"/>
        <w:numPr>
          <w:ilvl w:val="0"/>
          <w:numId w:val="4"/>
        </w:numPr>
        <w:ind w:left="426" w:hanging="426"/>
        <w:jc w:val="both"/>
        <w:rPr>
          <w:rFonts w:ascii="Times New Roman" w:hAnsi="Times New Roman" w:cs="Times New Roman"/>
          <w:noProof/>
        </w:rPr>
      </w:pPr>
      <w:r>
        <w:rPr>
          <w:rFonts w:ascii="Times New Roman" w:hAnsi="Times New Roman"/>
          <w:noProof/>
        </w:rPr>
        <w:t>Der verzerrte Preis des Rohstoffs muss erheblich niedriger als die Preise auf repräsentativen internationalen Märkten sein.</w:t>
      </w:r>
    </w:p>
    <w:p w14:paraId="13FD2E06" w14:textId="7EB7CA62" w:rsidR="003A5A48" w:rsidRPr="006508BD" w:rsidRDefault="003A5A48" w:rsidP="003A5A48">
      <w:pPr>
        <w:pStyle w:val="ListParagraph"/>
        <w:numPr>
          <w:ilvl w:val="0"/>
          <w:numId w:val="4"/>
        </w:numPr>
        <w:ind w:left="426" w:hanging="426"/>
        <w:jc w:val="both"/>
        <w:rPr>
          <w:rFonts w:ascii="Times New Roman" w:hAnsi="Times New Roman" w:cs="Times New Roman"/>
          <w:noProof/>
        </w:rPr>
      </w:pPr>
      <w:r>
        <w:rPr>
          <w:rFonts w:ascii="Times New Roman" w:hAnsi="Times New Roman"/>
          <w:noProof/>
        </w:rPr>
        <w:t xml:space="preserve">Die Kommission muss feststellen, dass höhere Maßnahmen im Interesse der Union sind, indem sie alle sachdienlichen Informationen wie beispielsweise das Vorhandensein von Kapazitätsreserven im Ausfuhrland, den Wettbewerb um Rohstoffe und die Auswirkungen auf die Lieferketten für Unionsunternehmen prüft.  </w:t>
      </w:r>
    </w:p>
    <w:p w14:paraId="56791ED9" w14:textId="5C3774FA" w:rsidR="007F6A7C" w:rsidRDefault="003A5A48" w:rsidP="009A7E8E">
      <w:pPr>
        <w:pStyle w:val="Heading1"/>
        <w:numPr>
          <w:ilvl w:val="0"/>
          <w:numId w:val="9"/>
        </w:numPr>
        <w:rPr>
          <w:noProof/>
        </w:rPr>
      </w:pPr>
      <w:r>
        <w:rPr>
          <w:noProof/>
        </w:rPr>
        <w:t>Die Regel des niedrigeren Zolls bei Antidumpinguntersuchungen (Artikel 7 Absatz 2a der Antidumpinggrundverordnung)</w:t>
      </w:r>
    </w:p>
    <w:p w14:paraId="7DE60BE5" w14:textId="3841B4DE" w:rsidR="007F6A7C" w:rsidRPr="00CD6D66" w:rsidRDefault="007F6A7C" w:rsidP="007F6A7C">
      <w:pPr>
        <w:pStyle w:val="Heading1"/>
        <w:numPr>
          <w:ilvl w:val="1"/>
          <w:numId w:val="9"/>
        </w:numPr>
        <w:rPr>
          <w:smallCaps w:val="0"/>
          <w:noProof/>
          <w:szCs w:val="24"/>
        </w:rPr>
      </w:pPr>
      <w:r>
        <w:rPr>
          <w:smallCaps w:val="0"/>
          <w:noProof/>
        </w:rPr>
        <w:t>Das Verfahren</w:t>
      </w:r>
    </w:p>
    <w:p w14:paraId="13FD2E09" w14:textId="5B269D43" w:rsidR="003A5A48" w:rsidRDefault="009561B3" w:rsidP="003A5A48">
      <w:pPr>
        <w:jc w:val="both"/>
        <w:rPr>
          <w:noProof/>
        </w:rPr>
      </w:pPr>
      <w:r>
        <w:rPr>
          <w:noProof/>
        </w:rPr>
        <w:t xml:space="preserve">Damit die Kommission prüfen kann, wie die Regel des niedrigeren Zolls Anwendung finden sollte, benötigt sie hinreichende Nachweise von „erheblichen Verzerrungen des Rohstoffangebots“, die diese Bedingungen erfüllen. Diese Verzerrungen werden in der Untersuchung erst geprüft, nachdem die Kommission festgestellt hat, dass die Dumpingspannen über den Zielpreisunterbietungsspannen liegen. Nach den übergeordneten WTO-Regeln und EU-Vorschriften darf die Höhe der eingeführten Zölle die ermittelte Dumpingspanne nicht überschreiten; unter diesen Umständen würde die Analyse des Vorliegens von Verzerrungen und der rechtlichen Voraussetzungen hinfällig werden. </w:t>
      </w:r>
    </w:p>
    <w:p w14:paraId="238AC5F7" w14:textId="77777777" w:rsidR="00143BBA" w:rsidRPr="00CD6D66" w:rsidRDefault="003A5A48" w:rsidP="007F6A7C">
      <w:pPr>
        <w:pStyle w:val="Heading1"/>
        <w:numPr>
          <w:ilvl w:val="1"/>
          <w:numId w:val="9"/>
        </w:numPr>
        <w:rPr>
          <w:smallCaps w:val="0"/>
          <w:noProof/>
          <w:szCs w:val="24"/>
        </w:rPr>
      </w:pPr>
      <w:r>
        <w:rPr>
          <w:smallCaps w:val="0"/>
          <w:noProof/>
        </w:rPr>
        <w:t>Die Untersuchungen</w:t>
      </w:r>
    </w:p>
    <w:p w14:paraId="13FD2E0C" w14:textId="14FE6E6D" w:rsidR="003A5A48" w:rsidRDefault="003A5A48" w:rsidP="003A5A48">
      <w:pPr>
        <w:jc w:val="both"/>
        <w:rPr>
          <w:noProof/>
        </w:rPr>
      </w:pPr>
      <w:r>
        <w:rPr>
          <w:noProof/>
        </w:rPr>
        <w:t>Die Kommission führte in 34 eingeleiteten Fällen, die Gegenstand dieser Prüfung waren, endgültige Antidumpingzölle ein. Eine Liste dieser Fälle ist als Anhang 1 beigefügt.</w:t>
      </w:r>
    </w:p>
    <w:p w14:paraId="13FD2E0D" w14:textId="77777777" w:rsidR="003A5A48" w:rsidRDefault="003A5A48" w:rsidP="003A5A48">
      <w:pPr>
        <w:jc w:val="both"/>
        <w:rPr>
          <w:noProof/>
          <w:lang w:eastAsia="en-US"/>
        </w:rPr>
      </w:pPr>
    </w:p>
    <w:p w14:paraId="13FD2E0E" w14:textId="14EF22DF" w:rsidR="003A5A48" w:rsidRDefault="003A5A48" w:rsidP="003A5A48">
      <w:pPr>
        <w:jc w:val="both"/>
        <w:rPr>
          <w:noProof/>
        </w:rPr>
      </w:pPr>
      <w:r>
        <w:rPr>
          <w:noProof/>
        </w:rPr>
        <w:t xml:space="preserve">Von diesen 34 Untersuchungen wurde bei 13 Fällen die Frage erheblicher Verzerrungen des Rohstoffangebots aufgeworfen. </w:t>
      </w:r>
    </w:p>
    <w:p w14:paraId="13FD2E0F" w14:textId="77777777" w:rsidR="003A5A48" w:rsidRDefault="003A5A48" w:rsidP="003A5A48">
      <w:pPr>
        <w:jc w:val="both"/>
        <w:rPr>
          <w:noProof/>
        </w:rPr>
      </w:pPr>
    </w:p>
    <w:p w14:paraId="224326E0" w14:textId="77777777" w:rsidR="00CD6D66" w:rsidRPr="00A563A5" w:rsidRDefault="00CD6D66" w:rsidP="00474428">
      <w:pPr>
        <w:keepNext/>
        <w:spacing w:after="240"/>
        <w:jc w:val="both"/>
        <w:outlineLvl w:val="1"/>
        <w:rPr>
          <w:b/>
          <w:noProof/>
          <w:vanish/>
        </w:rPr>
      </w:pPr>
    </w:p>
    <w:p w14:paraId="13FD2E10" w14:textId="3D87EAB0" w:rsidR="003A5A48" w:rsidRDefault="003A5A48" w:rsidP="00474428">
      <w:pPr>
        <w:pStyle w:val="Heading1"/>
        <w:numPr>
          <w:ilvl w:val="2"/>
          <w:numId w:val="9"/>
        </w:numPr>
        <w:rPr>
          <w:noProof/>
        </w:rPr>
      </w:pPr>
      <w:r>
        <w:rPr>
          <w:noProof/>
        </w:rPr>
        <w:t>Dumpingspannen niedriger als Zielpreisunterbietungsspannen – erhebliche Verzerrungen nicht untersucht</w:t>
      </w:r>
    </w:p>
    <w:p w14:paraId="13FD2E11" w14:textId="736C02D5" w:rsidR="003A5A48" w:rsidRDefault="003A5A48" w:rsidP="003A5A48">
      <w:pPr>
        <w:jc w:val="both"/>
        <w:rPr>
          <w:noProof/>
        </w:rPr>
      </w:pPr>
      <w:r>
        <w:rPr>
          <w:noProof/>
        </w:rPr>
        <w:t>Bei vier Untersuchungen (Aluminiumstrangpresserzeugnisse aus China (2021), warmgewalzte Flacherzeugnisse aus Eisen/Stahl aus der Türkei (2021), kaltgewalzte Flacherzeugnisse aus nicht rostendem Stahl aus Indonesien (2021) und Grafitelektroden aus China (2022)) waren die ermittelten Dumpingspannen niedriger als die Zielpreisunterbietungsspannen. Daher untersuchte die Kommission die Verzerrungen des Rohstoffangebots nicht, da Maßnahmen nur in Höhe der Dumpingspannen eingeführt werden konnten.</w:t>
      </w:r>
    </w:p>
    <w:p w14:paraId="13FD2E12" w14:textId="77777777" w:rsidR="003A5A48" w:rsidRDefault="003A5A48" w:rsidP="003A5A48">
      <w:pPr>
        <w:jc w:val="both"/>
        <w:rPr>
          <w:noProof/>
        </w:rPr>
      </w:pPr>
    </w:p>
    <w:p w14:paraId="13FD2E13" w14:textId="385887FB" w:rsidR="003A5A48" w:rsidRDefault="00B011D0" w:rsidP="00474428">
      <w:pPr>
        <w:pStyle w:val="Heading1"/>
        <w:numPr>
          <w:ilvl w:val="2"/>
          <w:numId w:val="9"/>
        </w:numPr>
        <w:rPr>
          <w:noProof/>
        </w:rPr>
      </w:pPr>
      <w:r>
        <w:rPr>
          <w:noProof/>
        </w:rPr>
        <w:t xml:space="preserve">Zielpreisunterbietungsspannen niedriger als Dumpingspanne – erhebliche Verzerrungen untersucht </w:t>
      </w:r>
    </w:p>
    <w:p w14:paraId="13FD2E14" w14:textId="11B58A03" w:rsidR="003A5A48" w:rsidRDefault="003A5A48" w:rsidP="003A5A48">
      <w:pPr>
        <w:jc w:val="both"/>
        <w:rPr>
          <w:noProof/>
        </w:rPr>
      </w:pPr>
      <w:r>
        <w:rPr>
          <w:noProof/>
        </w:rPr>
        <w:t>Bei den verbleibenden neun Fällen lagen bei einigen Unternehmen die Dumpingspannen über den Zielpreisunterbietungsspannen. Daher untersuchte die Kommission, ob die Voraussetzungen in Artikel 7 Absatz 2a der Antidumpinggrundverordnung erfüllt waren.</w:t>
      </w:r>
    </w:p>
    <w:p w14:paraId="5851D3AF" w14:textId="77777777" w:rsidR="00600674" w:rsidRDefault="00600674" w:rsidP="003A5A48">
      <w:pPr>
        <w:jc w:val="both"/>
        <w:rPr>
          <w:noProof/>
          <w:lang w:eastAsia="en-US"/>
        </w:rPr>
      </w:pPr>
    </w:p>
    <w:p w14:paraId="13FD2E16" w14:textId="176AB4BA" w:rsidR="003A5A48" w:rsidRDefault="003A5A48" w:rsidP="003A5A48">
      <w:pPr>
        <w:jc w:val="both"/>
        <w:rPr>
          <w:noProof/>
        </w:rPr>
      </w:pPr>
      <w:r>
        <w:rPr>
          <w:noProof/>
        </w:rPr>
        <w:t xml:space="preserve">Bei drei dieser neun Fälle entfielen auf die Rohstoffe (Kalziumsilizium (2022), flachgewalzte Aluminiumerzeugnisse (2021) und zur Weiterverarbeitung bestimmte Folien und dünne Bänder aus Aluminium (2021), alle mit Ursprung in China) jeweils mehr als 17 % der Herstellkosten der betroffenen Ware. Bei Kalziumsilizium konnte die Kommission jedoch keine Anhaltspunkte für die Behauptungen feststellen, dass der Preis für Elektrizität in den nördlichen Provinzen der Volksrepublik China durch ein Doppelpreissystem verzerrt sei, und zudem konnte in der Region kein mitarbeitender ausführender Hersteller ermittelt werden. Ein Hersteller legte auch Beweise dafür vor, dass die Stromtarife in seiner Region über den im Antrag angegebenen Preisen lagen. Bei den beiden Fällen mit Aluminiumerzeugnissen waren die Inlandspreise für Aluminiumbarren, bei denen Verzerrungen behauptet wurden, nicht erheblich niedriger als die Preise auf den repräsentativen internationalen Märkten. Bei zur Weiterverarbeitung bestimmten Folien und dünnen Bändern aus Aluminium schwankten die Preise über und unter den internationalen Referenzpreisen. Diese drei Untersuchungen ergaben, dass die Voraussetzungen nach Artikel 7 Absatz 2a der Antidumpinggrundverordnung nicht erfüllt waren, und die Maßnahmen wurden in Höhe der Zielpreisunterbietungsspanne eingeführt. </w:t>
      </w:r>
    </w:p>
    <w:p w14:paraId="13FD2E17" w14:textId="77777777" w:rsidR="003A5A48" w:rsidRDefault="003A5A48" w:rsidP="003A5A48">
      <w:pPr>
        <w:jc w:val="both"/>
        <w:rPr>
          <w:noProof/>
        </w:rPr>
      </w:pPr>
    </w:p>
    <w:p w14:paraId="13FD2E19" w14:textId="46A837F8" w:rsidR="003A5A48" w:rsidRDefault="003A5A48" w:rsidP="003A5A48">
      <w:pPr>
        <w:jc w:val="both"/>
        <w:rPr>
          <w:noProof/>
        </w:rPr>
      </w:pPr>
      <w:r>
        <w:rPr>
          <w:noProof/>
        </w:rPr>
        <w:t xml:space="preserve">Bei kaltgewalzten Flacherzeugnissen aus nicht rostendem Stahl aus Indien (2021) entfielen auf die Verzerrungen im Zusammenhang mit Chrom mehr als 17 % der Herstellkosten. Die Zielpreisunterbietungsspanne für einen indischen ausführenden Hersteller, Chromeni, war niedriger als die Dumpingspanne. Chromeni hat jedoch den Rohstoff, der von den Verzerrungen betroffen ist, nicht verwendet, deshalb war eine weitere Analyse hinsichtlich der Anwendung von Artikel 7 Absatz 2a und 2b der Antidumpinggrundverordnung nicht notwendig. </w:t>
      </w:r>
    </w:p>
    <w:p w14:paraId="13FD2E1A" w14:textId="77777777" w:rsidR="003A5A48" w:rsidRDefault="003A5A48" w:rsidP="003A5A48">
      <w:pPr>
        <w:jc w:val="both"/>
        <w:rPr>
          <w:noProof/>
        </w:rPr>
      </w:pPr>
    </w:p>
    <w:p w14:paraId="13FD2E1C" w14:textId="2F891D6A" w:rsidR="003A5A48" w:rsidRDefault="003A5A48" w:rsidP="00C05EF9">
      <w:pPr>
        <w:jc w:val="both"/>
        <w:rPr>
          <w:noProof/>
        </w:rPr>
      </w:pPr>
      <w:r>
        <w:rPr>
          <w:noProof/>
        </w:rPr>
        <w:t>In zwei weiteren Untersuchungen (bestimmte warmgewalzte Flacherzeugnisse aus nicht rostendem Stahl in Tafeln oder Rollen (Coils) aus Indonesien und China (2020)), stellte sich das Problem der Verzerrungen des Rohstoffangebots wie folgt dar. Im Hinblick auf Indonesien lagen Verzerrungen bei Nickelerz vor, auf die mehr als 17 %</w:t>
      </w:r>
      <w:r w:rsidR="00F04EA1">
        <w:rPr>
          <w:noProof/>
        </w:rPr>
        <w:t xml:space="preserve"> der Herstellkosten entfielen. </w:t>
      </w:r>
      <w:r>
        <w:rPr>
          <w:noProof/>
        </w:rPr>
        <w:t xml:space="preserve">Zu diesen Verzerrungen gehörten ein Ausfuhrverbot, eine Ausfuhrsteuer, eine Lizenzanforderung und eine De-facto-Ausfuhrquote. Der für Nickelerz gezahlte Preis war erheblich niedriger (um mehr als 30 %) als der Preis auf dem repräsentativen internationalen Markt (Philippinen). Hinsichtlich China wurden erhebliche Verzerrungen festgestellt, einschließlich einer Ausfuhrsteuer oder einer Lizenzanforderung für einige Rohstoffe (Schrott aus nicht rostendem Stahl, Ferrosilicium, Nickelroheisen und Ferrochrom, Vanadium und Ferronickel). Mindestens in einem Fall entfielen darauf mehr als 17 % der Herstellkosten der untersuchten Ware. Die Preise für diese wichtigen Rohstoffe waren erheblich niedriger als die Preise auf den repräsentativen internationalen Märkten, und daher lagen die Voraussetzungen nach Artikel 7 Absatz 2a der Antidumpinggrundverordnung vor. Die Prüfung des Unionsinteresses nach Artikel 7 Absatz 2b der Antidumpinggrundverordnung ergab jedoch, dass die Auswirkungen von Maßnahmen auf Einfuhren aus der VR China und Indonesien in Höhe der Dumpingspanne angesichts der erwarteten starken negativen Auswirkungen auf Lieferketten und die finanzielle Tragfähigkeit eines wichtigen Verwenders, auf den 30 % bis 40 % des Unionsverbrauchs entfielen, unverhältnismäßig wären. Hinsichtlich der Auswirkung auf die Lieferketten stellte die Kommission fest, dass andere Unionshersteller der betroffenen Ware den betreffenden Verwender kaum beliefert hatten, obwohl sie über erhebliche Kapazitätsreserven verfügten. Zudem waren potenzielle Einfuhrmengen aus anderen Ausfuhrländern begrenzt. Auch müsste der betroffene Verwender angesichts der wahrscheinlichen Auswirkung dieser Maßnahmen auf die Rentabilität bereits die Wertschöpfungsketten umstrukturieren, um die Auswirkungen von Maßnahmen auf der Grundlage der niedrigeren Zielpreisunterbietungsspanne aufzufangen. Die Kommission stellte fest, dass der Verwender hohe Kostensteigerungen vermutlich nicht an seine Kunden weitergeben kann, da es sich bei den wichtigsten Wettbewerbern des Verwenders auf dem nachgelagerten Markt um dieselben Unionshersteller der warmgewalzten Flacherzeugnissen aus nicht rostendem Stahl handelte. Daher lag es nicht im Interesse der Union, einen höheren Zollsatz anzuwenden, deshalb wurden die Maßnahmen mit dem niedrigeren Satz eingeführt, um die Schädigung des Wirtschaftszweigs der Union zu beseitigen.  </w:t>
      </w:r>
    </w:p>
    <w:p w14:paraId="13FD2E1D" w14:textId="77777777" w:rsidR="003A5A48" w:rsidRDefault="003A5A48" w:rsidP="003A5A48">
      <w:pPr>
        <w:jc w:val="both"/>
        <w:rPr>
          <w:noProof/>
        </w:rPr>
      </w:pPr>
    </w:p>
    <w:p w14:paraId="13FD2E1F" w14:textId="36099C29" w:rsidR="003A5A48" w:rsidRDefault="003A5A48" w:rsidP="003A5A48">
      <w:pPr>
        <w:jc w:val="both"/>
        <w:rPr>
          <w:noProof/>
        </w:rPr>
      </w:pPr>
      <w:r>
        <w:rPr>
          <w:noProof/>
        </w:rPr>
        <w:t>In den verbleibenden drei Fällen wurde die Regel des niedrigeren Zolls für einige oder alle Ausführer angepasst.</w:t>
      </w:r>
    </w:p>
    <w:p w14:paraId="13FD2E20" w14:textId="77777777" w:rsidR="003A5A48" w:rsidRDefault="003A5A48" w:rsidP="003A5A48">
      <w:pPr>
        <w:jc w:val="both"/>
        <w:rPr>
          <w:noProof/>
        </w:rPr>
      </w:pPr>
    </w:p>
    <w:p w14:paraId="13FD2E21" w14:textId="3FF3D803" w:rsidR="003A5A48" w:rsidRDefault="003A5A48" w:rsidP="003A5A48">
      <w:pPr>
        <w:jc w:val="both"/>
        <w:rPr>
          <w:noProof/>
        </w:rPr>
      </w:pPr>
      <w:r>
        <w:rPr>
          <w:noProof/>
        </w:rPr>
        <w:t xml:space="preserve">Das erste Antidumpingverfahren in der EU, bei dem die Regel des niedrigeren Zolls angepasst wurde, war Ammoniumnitrat-Harnstoff-Lösung aus Russland (2019). Es wurden hinsichtlich Erdgas, dem wichtigsten Rohstoff für Ammoniumnitrat-Harnstoff-Lösung, Verzerrungen festgestellt, d. h. Ausfuhrsteuer, Lizenzanforderungen und Doppelpreissysteme. Die Preise für Erdgas waren erheblich niedriger als der Waidhaus-Preis (der Preis für russisches Gas an der deutsch-tschechischen Grenze). Bei allen mitarbeitenden ausführenden Unternehmen waren die Dumpingspannen höher als die Zielpreisunterbietungsspannen. Im Rahmen der Prüfung des Unionsinteresses gelangte die Kommission zu dem Schluss, dass sich Maßnahmen in Höhe der höheren Dumpingspanne nicht negativ auf die Lieferkette in der EU auswirken würden und dass eine Auswirkung von beschränktem Ausmaß und nicht unverhältnismäßig wäre. Daher stellte die Kommission fest, dass auf Düngemittel zu dem Zeitpunkt insgesamt 1 % der landwirtschaftlichen Kosten entfielen. Bei spezialisierten landwirtschaftlichen Betrieben, die stärker auf Ammoniumnitrat-Harnstoff-Lösung angewiesen sind, könnten bis zu 10 % der Herstellkosten darauf entfallen, und eine Zollerhöhung, selbst in der höchsten vorgeschlagenen Höhe, würde sich mit etwa 3 % auf die Kosten auswirken.  Da die Unionshersteller nicht nur durch Dumping geschädigt wurden, sondern im Vergleich zu den ausführenden Herstellern in Russland auch unter zusätzlichen Handelsverzerrungen litten, gelangte die Kommission zu dem Schluss, dass ein Zoll, der unter der Dumpingspanne liegt, nicht ausreichen würde, um die Schädigung des Wirtschaftszweigs der Union zu beseitigen. Daher reichten die Maßnahmen auf der Grundlage der Dumpingspannen von 20 % bis 31,9 % im Vergleich zu Zielpreisunterbietungsspannen, die von 13,7 % bis 16,3 % reichten und in Ermangelung von Verzerrungen des Rohstoffangebots Anwendung gefunden hätten. </w:t>
      </w:r>
    </w:p>
    <w:p w14:paraId="13FD2E22" w14:textId="77777777" w:rsidR="003A5A48" w:rsidRDefault="003A5A48" w:rsidP="003A5A48">
      <w:pPr>
        <w:jc w:val="both"/>
        <w:rPr>
          <w:noProof/>
        </w:rPr>
      </w:pPr>
    </w:p>
    <w:p w14:paraId="13FD2E23" w14:textId="4BE9C818" w:rsidR="003A5A48" w:rsidRDefault="003A5A48" w:rsidP="003A5A48">
      <w:pPr>
        <w:jc w:val="both"/>
        <w:rPr>
          <w:noProof/>
        </w:rPr>
      </w:pPr>
      <w:r>
        <w:rPr>
          <w:noProof/>
        </w:rPr>
        <w:t xml:space="preserve">Bei zwei anderen Untersuchungen (elektrolytisch verchromter Stahl aus China (2022) und Fettsäure aus Indonesien (2023)) wurde die Regel des niedrigeren Zolls für einen mitarbeitenden Ausführer und für „Alle anderen“ in jedem der Fälle angepasst.   </w:t>
      </w:r>
    </w:p>
    <w:p w14:paraId="13FD2E24" w14:textId="77777777" w:rsidR="003A5A48" w:rsidRDefault="003A5A48" w:rsidP="003A5A48">
      <w:pPr>
        <w:jc w:val="both"/>
        <w:rPr>
          <w:noProof/>
        </w:rPr>
      </w:pPr>
    </w:p>
    <w:p w14:paraId="13FD2E25" w14:textId="08B2C0BD" w:rsidR="003A5A48" w:rsidRDefault="003A5A48" w:rsidP="003A5A48">
      <w:pPr>
        <w:jc w:val="both"/>
        <w:rPr>
          <w:noProof/>
        </w:rPr>
      </w:pPr>
      <w:r>
        <w:rPr>
          <w:noProof/>
        </w:rPr>
        <w:t xml:space="preserve">Im Rahmen der Untersuchung von elektronisch verchromtem Stahl aus China prüfte die Kommission nur hinsichtlich eines Unternehmens (Handan Jintai), ob erhebliche Verzerrungen vorlagen, da dessen Dumpingspanne die Zielpreisunterbietungsspanne überschritt. Die Untersuchung ergab, dass erhebliche Verzerrungen in der Form von Mehrwertsteuererstattungen für warmgewalzte Coils vorlagen und dass die Preise für diesen Rohstoff auf einem unverzerrten repräsentativen Markt zwischen 30 % und 50 % höher waren als die von Handan Jintai gezahlten Preise. In China gab es erhebliche Kapazitätsreserven mit dem Potenzial, das weltweite Angebot zu erhöhen, die Preise zu drücken und die Wirksamkeit der Maßnahme zu untergraben, wenn diese nicht in Höhe des Dumpings festgesetzt würde.  Zudem hätten Verwender Zugang zu elektronisch verchromtem Stahl aus dem Wirtschaftszweig der Union oder anderen Drittländern, auch wenn die Einfuhren aus China aufgrund des höheren Zolls gefallen sind. Daher gelangte die Kommission zu dem Schluss, dass es im Interesse der Union lag, höhere Zölle für dieses Unternehmen einzuführen (53,9 % statt 23,9 %). Der landesweite Zoll für nicht mitarbeitende ausführende Hersteller beruhte auf der höheren Dumpingspanne, die für Handan Jintai ermittelt wurde. Aus Gründen des Unionsinteresses nach Artikel 21 der Antidumpinggrundverordnung beschloss die Kommission, dass die Maßnahmen in Form eines Festbetrags pro Tonne eingeführt werden sollten.  </w:t>
      </w:r>
    </w:p>
    <w:p w14:paraId="13FD2E26" w14:textId="77777777" w:rsidR="003A5A48" w:rsidRDefault="003A5A48" w:rsidP="003A5A48">
      <w:pPr>
        <w:jc w:val="both"/>
        <w:rPr>
          <w:noProof/>
        </w:rPr>
      </w:pPr>
    </w:p>
    <w:p w14:paraId="13FD2E27" w14:textId="1913BA57" w:rsidR="003A5A48" w:rsidRDefault="003A5A48" w:rsidP="00764C8F">
      <w:pPr>
        <w:jc w:val="both"/>
        <w:rPr>
          <w:noProof/>
        </w:rPr>
      </w:pPr>
      <w:r>
        <w:rPr>
          <w:noProof/>
        </w:rPr>
        <w:t>Bei der Untersuchung hinsichtlich Fettsäure war die Dumpingspanne für einen mitarbeitenden Ausführer, P.T. Musim Mas, höher als die Zielpreisunterbietungsspanne. Für dieses Unternehmen ergab die Untersuchung erhebliche Verzerrungen in Form einer Ausfuhrsteuer in Verbindung mit Rohpalmöl und Rohpalmkernöl. Auf die betreffenden Rohstoffe entfielen bei Rohpalmöl und Rohpalmkernöl mehr als 40 % bzw. mehr als 50 % der Herstellkosten, während die festgestellten Preise erheblich unterhalb der geltenden internationalen Marktpreise lagen. Bei der Prüfung des Unionsinteresses nach Artikel 7 Absatz 2b der Antidumpinggrundverordnung stellte die Kommission fest, dass es in Indonesien erhebliche Kapazitätsreserven gab, was das weltweite Angebot erhöhen, die Preise drücken und die Wirksamkeit der Maßnahme untergraben könnte, wenn diese nicht in Höhe des Dumpings festgesetzt wird. Die Kommission gelangte auch zu dem Schluss, dass Unionshersteller oder andere Drittländer Verwender beliefern könnten, auch wenn die Einfuhren aus Indonesien abnahmen.  Daher war es angemessen, für P.T. Musim Mas höhere Maßnahmen einzuführen (46,4 % statt 30,5 %).</w:t>
      </w:r>
    </w:p>
    <w:p w14:paraId="13FD2E28" w14:textId="77777777" w:rsidR="003A5A48" w:rsidRDefault="003A5A48" w:rsidP="00764C8F">
      <w:pPr>
        <w:jc w:val="both"/>
        <w:rPr>
          <w:noProof/>
        </w:rPr>
      </w:pPr>
    </w:p>
    <w:p w14:paraId="13FD2E29" w14:textId="676A0DE0" w:rsidR="003A5A48" w:rsidRDefault="003A5A48" w:rsidP="00764C8F">
      <w:pPr>
        <w:pStyle w:val="Heading1"/>
        <w:numPr>
          <w:ilvl w:val="1"/>
          <w:numId w:val="9"/>
        </w:numPr>
        <w:spacing w:before="0" w:after="0"/>
        <w:rPr>
          <w:smallCaps w:val="0"/>
          <w:noProof/>
          <w:szCs w:val="24"/>
        </w:rPr>
      </w:pPr>
      <w:r>
        <w:rPr>
          <w:smallCaps w:val="0"/>
          <w:noProof/>
        </w:rPr>
        <w:t xml:space="preserve">Bewertung </w:t>
      </w:r>
    </w:p>
    <w:p w14:paraId="6AA33D03" w14:textId="77777777" w:rsidR="00764C8F" w:rsidRPr="00764C8F" w:rsidRDefault="00764C8F" w:rsidP="00764C8F">
      <w:pPr>
        <w:rPr>
          <w:noProof/>
          <w:lang w:eastAsia="en-US"/>
        </w:rPr>
      </w:pPr>
    </w:p>
    <w:p w14:paraId="13FD2E2A" w14:textId="50687AB5" w:rsidR="003A5A48" w:rsidRDefault="00532858" w:rsidP="00764C8F">
      <w:pPr>
        <w:jc w:val="both"/>
        <w:rPr>
          <w:i/>
          <w:noProof/>
        </w:rPr>
      </w:pPr>
      <w:r>
        <w:rPr>
          <w:noProof/>
        </w:rPr>
        <w:t xml:space="preserve">Im Einklang mit den überarbeiteten und gestärkten Vorschriften zu handelspolitischen Schutzinstrumenten hielt die EU es für erforderlich, erhebliche Verzerrungen des Rohstoffangebots in Ausfuhrländern anzugehen, durch die einige ausführende Hersteller einen erheblichen unfairen Vorteil bei ihren Kosten für die wichtigsten Inputs/Vorleistungen erlangen. Durch diese Praktiken werden die von den gedumpten Einfuhren im Wirtschaftszweig der Union verursachten Schäden noch verschlimmert.  Durch die im Rahmen des Modernisierungspakets eingeführten Änderungen wird gewährleistet, dass die überarbeitete Regel des niedrigeren Zolls ausreichend Schutz vor diesen schädigenden verzerrenden Praktiken im Ausfuhrland darstellt. Es ist wichtig, das Antidumpinginstrument so zu gestalten, dass die zusätzlichen Schäden aus unfairen oder künstlichen Vorteilen, die einigen Ausführern zugutekommen und die die gleichen Ausgangsbedingungen verzerren, angegangen werden können. </w:t>
      </w:r>
    </w:p>
    <w:p w14:paraId="13FD2E2B" w14:textId="77777777" w:rsidR="003A5A48" w:rsidRDefault="003A5A48" w:rsidP="003A5A48">
      <w:pPr>
        <w:jc w:val="both"/>
        <w:rPr>
          <w:noProof/>
        </w:rPr>
      </w:pPr>
    </w:p>
    <w:p w14:paraId="13FD2E2C" w14:textId="53385D20" w:rsidR="003A5A48" w:rsidRDefault="003A5A48" w:rsidP="003A5A48">
      <w:pPr>
        <w:jc w:val="both"/>
        <w:rPr>
          <w:noProof/>
        </w:rPr>
      </w:pPr>
      <w:r>
        <w:rPr>
          <w:noProof/>
        </w:rPr>
        <w:t xml:space="preserve">Die Durchführung der neuen Vorschriften ergab, dass sie praktisch, durchführbar sind und Wirkung zeigen, wenn die Voraussetzungen erfüllt sind. Gleichzeitig sollen die Vorschriften sicherstellen, dass auf die Anwendung der Regel des niedrigeren Zolls – eines Eckpfeilers der Antidumpingvorschriften der EU – nur unter ganz besonderen Umständen und wenn dies gerechtfertigt ist, verzichtet werden kann.  </w:t>
      </w:r>
    </w:p>
    <w:p w14:paraId="13FD2E2D" w14:textId="77777777" w:rsidR="003A5A48" w:rsidRDefault="003A5A48" w:rsidP="003A5A48">
      <w:pPr>
        <w:jc w:val="both"/>
        <w:rPr>
          <w:noProof/>
        </w:rPr>
      </w:pPr>
    </w:p>
    <w:p w14:paraId="13FD2E2E" w14:textId="345979A1" w:rsidR="003A5A48" w:rsidRDefault="006B152C" w:rsidP="003A5A48">
      <w:pPr>
        <w:jc w:val="both"/>
        <w:rPr>
          <w:noProof/>
        </w:rPr>
      </w:pPr>
      <w:r>
        <w:rPr>
          <w:noProof/>
        </w:rPr>
        <w:t xml:space="preserve">Die Analyse der betreffenden Fälle hat Folgendes ergeben: </w:t>
      </w:r>
    </w:p>
    <w:p w14:paraId="13FD2E2F" w14:textId="77777777" w:rsidR="003A5A48" w:rsidRPr="00444D4C" w:rsidRDefault="003A5A48" w:rsidP="003A5A48">
      <w:pPr>
        <w:pStyle w:val="ListParagraph"/>
        <w:numPr>
          <w:ilvl w:val="0"/>
          <w:numId w:val="5"/>
        </w:numPr>
        <w:jc w:val="both"/>
        <w:rPr>
          <w:rFonts w:ascii="Times New Roman" w:hAnsi="Times New Roman" w:cs="Times New Roman"/>
          <w:noProof/>
        </w:rPr>
      </w:pPr>
      <w:r>
        <w:rPr>
          <w:rFonts w:ascii="Times New Roman" w:hAnsi="Times New Roman"/>
          <w:noProof/>
        </w:rPr>
        <w:t xml:space="preserve">Die Vorschriften sind hinreichend detailliert und differenziert, um viele verschiedene Szenarien, die sich in diesem Kontext ergeben können, abzudecken. </w:t>
      </w:r>
    </w:p>
    <w:p w14:paraId="13FD2E30" w14:textId="046A329D" w:rsidR="003A5A48" w:rsidRPr="00444D4C" w:rsidRDefault="003F77C1" w:rsidP="003A5A48">
      <w:pPr>
        <w:pStyle w:val="ListParagraph"/>
        <w:numPr>
          <w:ilvl w:val="0"/>
          <w:numId w:val="5"/>
        </w:numPr>
        <w:jc w:val="both"/>
        <w:rPr>
          <w:rFonts w:ascii="Times New Roman" w:hAnsi="Times New Roman" w:cs="Times New Roman"/>
          <w:noProof/>
        </w:rPr>
      </w:pPr>
      <w:r>
        <w:rPr>
          <w:rFonts w:ascii="Times New Roman" w:hAnsi="Times New Roman"/>
          <w:noProof/>
        </w:rPr>
        <w:t>Die Überprüfungen haben nicht ergeben, dass der Schwellenwert von 17 % (d. h. auf die Rohstoffe müssen jeweils mehr als 17 % der Herstellkosten entfallen) nicht mehr angemessen wäre. Tatsächlich konnte sich der Wirtschaftszweig der Union durch diesen Schwellenwert in der Antragsphase bei 38 % der Antidumpingfälle, die im Überprüfungszeitraum eingeleitet wurden, auf die Bestimmungen berufen.  Zudem bestätigten alle Untersuchungen, dass die im Antrag enthaltenen Behauptungen zur Erfüllung des Schwellenwerts richtig waren.</w:t>
      </w:r>
    </w:p>
    <w:p w14:paraId="13FD2E31" w14:textId="635EC504" w:rsidR="003A5A48" w:rsidRPr="00444D4C" w:rsidRDefault="003A5A48" w:rsidP="003A5A48">
      <w:pPr>
        <w:pStyle w:val="ListParagraph"/>
        <w:numPr>
          <w:ilvl w:val="0"/>
          <w:numId w:val="5"/>
        </w:numPr>
        <w:jc w:val="both"/>
        <w:rPr>
          <w:rFonts w:ascii="Times New Roman" w:hAnsi="Times New Roman" w:cs="Times New Roman"/>
          <w:noProof/>
        </w:rPr>
      </w:pPr>
      <w:r>
        <w:rPr>
          <w:rFonts w:ascii="Times New Roman" w:hAnsi="Times New Roman"/>
          <w:noProof/>
        </w:rPr>
        <w:t xml:space="preserve">Die Analyse ist zwar gezielt aufgestellt, aber hinreichend weit gefasst und deckt alle Verzerrungen des Rohstoffangebots ab, die eine konkrete Auswirkung auf die Herstellkosten haben [und es der Kommission ermöglichen, in gerechtfertigten Fällen zu handeln. Gleichzeitig werden Unternehmen, die nicht von den Verzerrungen des Rohstoffangebots profitieren, nicht bestraft, z. B. wenn die ausführenden Unternehmen die betreffenden Rohstoffe nicht verwenden. </w:t>
      </w:r>
    </w:p>
    <w:p w14:paraId="13FD2E32" w14:textId="4D3658E1" w:rsidR="003A5A48" w:rsidRPr="00130F23" w:rsidRDefault="003A5A48" w:rsidP="003A5A48">
      <w:pPr>
        <w:pStyle w:val="ListParagraph"/>
        <w:numPr>
          <w:ilvl w:val="0"/>
          <w:numId w:val="5"/>
        </w:numPr>
        <w:jc w:val="both"/>
        <w:rPr>
          <w:rFonts w:ascii="Times New Roman" w:hAnsi="Times New Roman" w:cs="Times New Roman"/>
          <w:noProof/>
        </w:rPr>
      </w:pPr>
      <w:r>
        <w:rPr>
          <w:rFonts w:ascii="Times New Roman" w:hAnsi="Times New Roman"/>
          <w:noProof/>
        </w:rPr>
        <w:t xml:space="preserve">Die Prüfung des Unionsinteresses nach Artikel 7 Absatz 2b der Antidumpinggrundverordnung ist eine weitere wichtige Schutzmaßnahme, um sicherzustellen, dass höhere Maßnahmen nicht eingeführt werden, wenn sie eine negative Auswirkung hätten, zum Beispiel bei Verwendern oder der Wertschöpfungskette. Eine Untersuchung der beiden Fälle, in denen Maßnahmen aufgrund von Erwägungen des Unionsinteresses nicht in einer höheren Dumpingspanne eingeführt wurden (bestimmte warmgewalzte Flacherzeugnisse aus nicht rostendem Stahl in Tafeln oder Rollen (Coils) aus Indonesien und China), ergab, dass die niedrigeren Maßnahmen eine wesentliche Auswirkung auf Einfuhrmengen hatten, während sie es gleichzeitig einem der wichtigsten Verwender und bedeutendem Arbeitgeber ermöglichten, weiterhin einzuführen, ohne von den höheren Zöllen negativ betroffen zu sein. </w:t>
      </w:r>
    </w:p>
    <w:p w14:paraId="13FD2E33" w14:textId="77777777" w:rsidR="003A5A48" w:rsidRPr="00130F23" w:rsidRDefault="003A5A48" w:rsidP="003A5A48">
      <w:pPr>
        <w:pStyle w:val="ListParagraph"/>
        <w:numPr>
          <w:ilvl w:val="0"/>
          <w:numId w:val="5"/>
        </w:numPr>
        <w:jc w:val="both"/>
        <w:rPr>
          <w:rFonts w:ascii="Times New Roman" w:hAnsi="Times New Roman" w:cs="Times New Roman"/>
          <w:noProof/>
        </w:rPr>
      </w:pPr>
      <w:r>
        <w:rPr>
          <w:rFonts w:ascii="Times New Roman" w:hAnsi="Times New Roman"/>
          <w:noProof/>
        </w:rPr>
        <w:t>Die Vorschriften sind nichtdiskriminierend, was sich darin zeigt, dass die Anpassung der Regel des niedrigeren Zolls auf Fälle hinsichtlich Russland, China und Indonesien angewandt wurde.</w:t>
      </w:r>
    </w:p>
    <w:p w14:paraId="13FD2E34" w14:textId="77777777" w:rsidR="003A5A48" w:rsidRDefault="003A5A48" w:rsidP="003A5A48">
      <w:pPr>
        <w:jc w:val="both"/>
        <w:rPr>
          <w:noProof/>
        </w:rPr>
      </w:pPr>
    </w:p>
    <w:p w14:paraId="13FD2E44" w14:textId="77777777" w:rsidR="003A5A48" w:rsidRDefault="003A5A48" w:rsidP="003A5A48">
      <w:pPr>
        <w:jc w:val="both"/>
        <w:rPr>
          <w:noProof/>
          <w:lang w:eastAsia="en-US"/>
        </w:rPr>
      </w:pPr>
    </w:p>
    <w:p w14:paraId="13FD2E45" w14:textId="3CD0CCA0" w:rsidR="003A5A48" w:rsidRDefault="00DA4089" w:rsidP="00102E4B">
      <w:pPr>
        <w:pStyle w:val="Heading1"/>
        <w:numPr>
          <w:ilvl w:val="0"/>
          <w:numId w:val="9"/>
        </w:numPr>
        <w:rPr>
          <w:noProof/>
        </w:rPr>
      </w:pPr>
      <w:r>
        <w:rPr>
          <w:noProof/>
        </w:rPr>
        <w:t>Die Regel des niedrigeren Zolls bei Antisubventionsuntersuchungen (Artikel 12 Absatz 1 und Artikel 15 Absatz 1 der Antisubventionsgrundverordnung)</w:t>
      </w:r>
    </w:p>
    <w:p w14:paraId="13FD2E46" w14:textId="77777777" w:rsidR="003A5A48" w:rsidRPr="00CD6D66" w:rsidRDefault="003A5A48" w:rsidP="007F6A7C">
      <w:pPr>
        <w:pStyle w:val="Heading1"/>
        <w:numPr>
          <w:ilvl w:val="1"/>
          <w:numId w:val="9"/>
        </w:numPr>
        <w:rPr>
          <w:smallCaps w:val="0"/>
          <w:noProof/>
          <w:szCs w:val="24"/>
        </w:rPr>
      </w:pPr>
      <w:r>
        <w:rPr>
          <w:smallCaps w:val="0"/>
          <w:noProof/>
        </w:rPr>
        <w:t>Das Verfahren</w:t>
      </w:r>
    </w:p>
    <w:p w14:paraId="13FD2E49" w14:textId="58E498A5" w:rsidR="003A5A48" w:rsidRDefault="00260E58" w:rsidP="003A5A48">
      <w:pPr>
        <w:jc w:val="both"/>
        <w:rPr>
          <w:noProof/>
          <w:color w:val="000000"/>
        </w:rPr>
      </w:pPr>
      <w:r>
        <w:rPr>
          <w:noProof/>
        </w:rPr>
        <w:t>Die im Juni 2018 in Artikel 12 Absatz 1 und Artikel 15 Absatz 1 der Antisubventionsgrundverordnung vorgenommenen Änderungen reduzierten die Anwendung der Regel des niedrigeren Zolls wirksam auf Fälle, in denen die Kommission feststellt, dass es nicht im Interesse der Union ist, die Höhe der Maßnahmen auf Höhe der ermittelten anfechtbaren Subventionen festzulegen.</w:t>
      </w:r>
      <w:r>
        <w:rPr>
          <w:noProof/>
          <w:color w:val="000000"/>
        </w:rPr>
        <w:t xml:space="preserve"> </w:t>
      </w:r>
      <w:r>
        <w:rPr>
          <w:noProof/>
        </w:rPr>
        <w:t>Wenn die Prüfung des Unionsinteresses unter Berücksichtigung aller verschiedenen Interessen, einschließlich der des Wirtschaftszweigs der Union, der Einführer und Verwender, zeigt, dass es im Interesse der Union liegt, Antisubventionsmaßnahmen einzuführen, führt die Kommission diese (höheren) Ausgleichszölle ein.</w:t>
      </w:r>
      <w:r>
        <w:rPr>
          <w:noProof/>
          <w:color w:val="000000"/>
        </w:rPr>
        <w:t xml:space="preserve">   </w:t>
      </w:r>
    </w:p>
    <w:p w14:paraId="13FD2E4B" w14:textId="77777777" w:rsidR="003A5A48" w:rsidRPr="00CD6D66" w:rsidRDefault="003A5A48" w:rsidP="007F6A7C">
      <w:pPr>
        <w:pStyle w:val="Heading1"/>
        <w:numPr>
          <w:ilvl w:val="1"/>
          <w:numId w:val="9"/>
        </w:numPr>
        <w:rPr>
          <w:smallCaps w:val="0"/>
          <w:noProof/>
          <w:szCs w:val="24"/>
        </w:rPr>
      </w:pPr>
      <w:r>
        <w:rPr>
          <w:smallCaps w:val="0"/>
          <w:noProof/>
        </w:rPr>
        <w:t xml:space="preserve">Die Untersuchungen </w:t>
      </w:r>
    </w:p>
    <w:p w14:paraId="13FD2E4C" w14:textId="06CBE180" w:rsidR="003A5A48" w:rsidRDefault="003A5A48" w:rsidP="003A5A48">
      <w:pPr>
        <w:jc w:val="both"/>
        <w:rPr>
          <w:noProof/>
        </w:rPr>
      </w:pPr>
      <w:r>
        <w:rPr>
          <w:noProof/>
        </w:rPr>
        <w:t>Die Kommission hat in acht der seit 8. Juni 2018 eingeleiteten Fälle Ausgleichsmaßnahmen eingeführt.  In sechs dieser Fälle führte die Kommission separate Antidumpinguntersuchungen derselben Waren mit denselben Ursprungsländern durch.  Eine Liste dieser Fälle ist als Anhang 2 beigefügt.</w:t>
      </w:r>
    </w:p>
    <w:p w14:paraId="13FD2E4D" w14:textId="77777777" w:rsidR="003A5A48" w:rsidRDefault="003A5A48" w:rsidP="003A5A48">
      <w:pPr>
        <w:jc w:val="both"/>
        <w:rPr>
          <w:noProof/>
          <w:lang w:eastAsia="en-US"/>
        </w:rPr>
      </w:pPr>
    </w:p>
    <w:p w14:paraId="2CBB5FB4" w14:textId="7A3B42A0" w:rsidR="00884572" w:rsidRDefault="00884572" w:rsidP="00884572">
      <w:pPr>
        <w:jc w:val="both"/>
        <w:rPr>
          <w:noProof/>
        </w:rPr>
      </w:pPr>
      <w:r>
        <w:rPr>
          <w:noProof/>
        </w:rPr>
        <w:t xml:space="preserve">In allen Fällen gelangte die Kommission im Einklang mit der Prüfung des Unionsinteresses nach Artikel 15 Absatz 1 zu dem Schluss, dass es keine zwingenden Gründe für die Schlussfolgerung gab, dass die Einführung von Ausgleichsmaßnahmen in Gesamthöhe der anfechtbaren Subventionen dem Interesse der Union zuwiderlaufen würde. In zwei dieser Fälle (Biodiesel aus Indonesien (2019) und Waren aus Endlosglasfaserfilamenten aus Ägypten (2020)) wurde bereits im vorläufigen Stadium nach Artikel 12 Absatz 1 zu dieser Schlussfolgerung gelangt.    </w:t>
      </w:r>
    </w:p>
    <w:p w14:paraId="13FD2E55" w14:textId="77777777" w:rsidR="003A5A48" w:rsidRDefault="003A5A48" w:rsidP="003A5A48">
      <w:pPr>
        <w:jc w:val="both"/>
        <w:rPr>
          <w:noProof/>
        </w:rPr>
      </w:pPr>
    </w:p>
    <w:p w14:paraId="13FD2E58" w14:textId="391AE12E" w:rsidR="003A5A48" w:rsidRDefault="00A93B9E" w:rsidP="003A5A48">
      <w:pPr>
        <w:jc w:val="both"/>
        <w:rPr>
          <w:noProof/>
        </w:rPr>
      </w:pPr>
      <w:r>
        <w:rPr>
          <w:noProof/>
        </w:rPr>
        <w:t xml:space="preserve">Bei den zwei Antisubventionsfällen, bei denen keine separaten Antidumpinguntersuchungen derselben Waren mit denselben Ursprungsländern durchgeführt wurden, stellte die Kommission fest, dass die Höhe der Subventionierung niedriger war als die festgestellten Zielpreisunterbietungsspannen, dass also auch nach den Vorschriften vor der Modernisierung die gesamte Subventionshöhe eingeführt worden wäre. </w:t>
      </w:r>
    </w:p>
    <w:p w14:paraId="13FD2E59" w14:textId="77777777" w:rsidR="003A5A48" w:rsidRDefault="003A5A48" w:rsidP="003A5A48">
      <w:pPr>
        <w:jc w:val="both"/>
        <w:rPr>
          <w:noProof/>
          <w:lang w:eastAsia="en-US"/>
        </w:rPr>
      </w:pPr>
    </w:p>
    <w:p w14:paraId="13FD2E5A" w14:textId="573D7F25" w:rsidR="003A5A48" w:rsidRDefault="003A5A48" w:rsidP="003A5A48">
      <w:pPr>
        <w:jc w:val="both"/>
        <w:rPr>
          <w:noProof/>
        </w:rPr>
      </w:pPr>
      <w:r>
        <w:rPr>
          <w:noProof/>
        </w:rPr>
        <w:t>Bei den sechs Untersuchungen, bei denen separate Antidumping- und Antisubventionsuntersuchungen durchgeführt wurden, sehen die Ergebnisse anders aus.</w:t>
      </w:r>
    </w:p>
    <w:p w14:paraId="13FD2E5B" w14:textId="77777777" w:rsidR="003A5A48" w:rsidRDefault="003A5A48" w:rsidP="003A5A48">
      <w:pPr>
        <w:jc w:val="both"/>
        <w:rPr>
          <w:noProof/>
          <w:lang w:eastAsia="en-US"/>
        </w:rPr>
      </w:pPr>
    </w:p>
    <w:p w14:paraId="13FD2E5C" w14:textId="55B88255" w:rsidR="003A5A48" w:rsidRDefault="00C45C1B" w:rsidP="003A5A48">
      <w:pPr>
        <w:jc w:val="both"/>
        <w:rPr>
          <w:noProof/>
        </w:rPr>
      </w:pPr>
      <w:r>
        <w:rPr>
          <w:noProof/>
        </w:rPr>
        <w:t>Vor der Überarbeitung/Stärkung der handelspolitischen Schutzinstrumente bedeutete die Regel des niedrigeren Zolls bei Antidumping- und Antisubventionsuntersuchungen, dass es nur eine Schadensbeseitigungsschwelle für beide Verfahren gab, da sie dieselben Einfuhren betrafen. Daher wurden die miteinander kombinierten Antidumping- und Ausgleichsmaßnahmen durch die Schadensbeseitigungsschwelle begrenzt. Die Lage hat sich mit der Einführung der Änderungen im Juni 2018 geändert. Außer in Fällen, in denen Erwägungen des Unionsinteresses entgegenstehen, verstehen sich die aktuell eingeführten Ausgleichsmaßnahmen zusätzlich zu separaten Antidumpingzöllen, die bereits die volle in diesen Fällen ermittelte Schadensspanne abdecken.</w:t>
      </w:r>
    </w:p>
    <w:p w14:paraId="13FD2E5D" w14:textId="77777777" w:rsidR="003A5A48" w:rsidRDefault="003A5A48" w:rsidP="003A5A48">
      <w:pPr>
        <w:jc w:val="both"/>
        <w:rPr>
          <w:noProof/>
        </w:rPr>
      </w:pPr>
      <w:r>
        <w:rPr>
          <w:noProof/>
        </w:rPr>
        <w:t xml:space="preserve"> </w:t>
      </w:r>
    </w:p>
    <w:p w14:paraId="13FD2E5E" w14:textId="44872965" w:rsidR="003A5A48" w:rsidRDefault="003A5A48" w:rsidP="003A5A48">
      <w:pPr>
        <w:jc w:val="both"/>
        <w:rPr>
          <w:noProof/>
        </w:rPr>
      </w:pPr>
      <w:r>
        <w:rPr>
          <w:noProof/>
        </w:rPr>
        <w:t>Dies geht aus den Antidumping- und Antisubventionsuntersuchungen hinsichtlich Aluminiumfolie aus China hervor.   Es wurden Antidumpingmaßnahmen in Höhe der Zielpreisunterbietungsspannen von 23,6 % bis 28,5 % eingeführt. Vor der Modernisierung wäre die volle Höhe der Antidumping- und Antisubventionsmaßnahmen auf diese Schadensbeseitigungsschwelle begrenzt gewesen. Nach den aktuellen Vorschriften hat die Kommission jedoch Subventionen in voller Höhe der festgestellten Spannen eingeführt, ohne die separaten Antidumpingmaßnahmen entsprechend zu reduzieren</w:t>
      </w:r>
      <w:r>
        <w:rPr>
          <w:rStyle w:val="FootnoteReference"/>
          <w:noProof/>
        </w:rPr>
        <w:footnoteReference w:id="5"/>
      </w:r>
      <w:r>
        <w:rPr>
          <w:noProof/>
        </w:rPr>
        <w:t xml:space="preserve">, da dies dem Unionsinteresse nicht zuwiderlief. Dies führte zu einem zusätzlichen Schutz von 0,7 % bis 18,2 %.  </w:t>
      </w:r>
    </w:p>
    <w:p w14:paraId="13FD2E5F" w14:textId="77777777" w:rsidR="003A5A48" w:rsidRDefault="003A5A48" w:rsidP="003A5A48">
      <w:pPr>
        <w:jc w:val="both"/>
        <w:rPr>
          <w:noProof/>
        </w:rPr>
      </w:pPr>
    </w:p>
    <w:p w14:paraId="13FD2E60" w14:textId="4C8A2BE3" w:rsidR="003A5A48" w:rsidRDefault="003A5A48" w:rsidP="003A5A48">
      <w:pPr>
        <w:jc w:val="both"/>
        <w:rPr>
          <w:noProof/>
        </w:rPr>
      </w:pPr>
      <w:r>
        <w:rPr>
          <w:noProof/>
        </w:rPr>
        <w:t>Die separaten Antidumping- und Antisubventionsuntersuchungen hinsichtlich kaltgewalzter Flacherzeugnisse aus nicht rostendem Stahl aus Indien (2022) und Erzeugnissen aus Glasfasern aus China (2020) ergaben auch eine Auswirkung auf die Höhe der Maßnahmen. Die Änderungen der Rechtsvorschriften führten zu einem höheren Niveau an Maßnahmen für einige Einführer, als dies nach den vorherigen Vorschriften der Fall gewesen wäre. Bei kaltgewalzten Flacherzeugnissen aus nicht rostendem Stahl gehörten zur endgültigen Höhe der Maßnahmen für Chromeni Steels Private Ltd. die Subventionierung in voller Höhe von 7,5 % und ein Antidumpingzollsatz von 35,3 %, wodurch die Schadensspanne bereits gedeckt ist. Ebenso wurde im Fall der Erzeugnisse aus Glasfasern die volle Subventionshöhe von 17 % für die Yuntianhua Group eingeführt, sowie ein Dumpingzollsatz von 37,6 %, der ebenfalls die volle Schadensspanne abdeckt. In diesen beiden Fällen wäre die endgültige Höhe der Maßnahmen vor den Änderungen auf die Schadensbeseitigungsschwelle begrenzt gewesen.</w:t>
      </w:r>
    </w:p>
    <w:p w14:paraId="13FD2E61" w14:textId="77777777" w:rsidR="003A5A48" w:rsidRDefault="003A5A48" w:rsidP="003A5A48">
      <w:pPr>
        <w:jc w:val="both"/>
        <w:rPr>
          <w:noProof/>
        </w:rPr>
      </w:pPr>
    </w:p>
    <w:p w14:paraId="13FD2E62" w14:textId="6205F73A" w:rsidR="003A5A48" w:rsidRDefault="003A5A48" w:rsidP="003A5A48">
      <w:pPr>
        <w:jc w:val="both"/>
        <w:rPr>
          <w:noProof/>
        </w:rPr>
      </w:pPr>
      <w:r>
        <w:rPr>
          <w:noProof/>
        </w:rPr>
        <w:t xml:space="preserve">Andererseits beruhten die eingeführten kombinierten Antidumping- und Antisubventionsmaßnahmen bei den Antidumping- und Antisubventionsuntersuchungen hinsichtlich Kabeln aus optischen Fasern aus China (2022) auf den Dumping- und Subventionshöhen und lagen, obwohl sie erheblich waren (sie reichten von 19,7 % bis 44 %), unter der Schadensspanne. Daher konnten die neuen Vorschriften keine Auswirkungen haben, da die Höhe der Maßnahmen dem höchstmöglichen Schutzniveau nach WTO-Regeln entsprach.    </w:t>
      </w:r>
    </w:p>
    <w:p w14:paraId="2EAE0418" w14:textId="77777777" w:rsidR="00CD6D66" w:rsidRPr="00A563A5" w:rsidRDefault="00CD6D66" w:rsidP="00474428">
      <w:pPr>
        <w:keepNext/>
        <w:spacing w:before="240" w:after="240"/>
        <w:jc w:val="both"/>
        <w:outlineLvl w:val="0"/>
        <w:rPr>
          <w:b/>
          <w:smallCaps/>
          <w:noProof/>
          <w:vanish/>
        </w:rPr>
      </w:pPr>
    </w:p>
    <w:p w14:paraId="092689A3" w14:textId="77777777" w:rsidR="00CD6D66" w:rsidRPr="00A563A5" w:rsidRDefault="00CD6D66" w:rsidP="00474428">
      <w:pPr>
        <w:keepNext/>
        <w:spacing w:after="240"/>
        <w:jc w:val="both"/>
        <w:outlineLvl w:val="1"/>
        <w:rPr>
          <w:b/>
          <w:noProof/>
          <w:vanish/>
        </w:rPr>
      </w:pPr>
    </w:p>
    <w:p w14:paraId="13FD2E64" w14:textId="58FC59A4" w:rsidR="003A5A48" w:rsidRPr="00764C8F" w:rsidRDefault="003A5A48" w:rsidP="00764C8F">
      <w:pPr>
        <w:pStyle w:val="Heading1"/>
        <w:numPr>
          <w:ilvl w:val="1"/>
          <w:numId w:val="9"/>
        </w:numPr>
        <w:rPr>
          <w:smallCaps w:val="0"/>
          <w:noProof/>
          <w:szCs w:val="24"/>
        </w:rPr>
      </w:pPr>
      <w:r>
        <w:rPr>
          <w:smallCaps w:val="0"/>
          <w:noProof/>
        </w:rPr>
        <w:t xml:space="preserve">Bewertung </w:t>
      </w:r>
    </w:p>
    <w:p w14:paraId="13FD2E65" w14:textId="4FDE5B65" w:rsidR="007C6C26" w:rsidRDefault="003A5A48" w:rsidP="003A5A48">
      <w:pPr>
        <w:jc w:val="both"/>
        <w:rPr>
          <w:noProof/>
        </w:rPr>
      </w:pPr>
      <w:r>
        <w:rPr>
          <w:noProof/>
        </w:rPr>
        <w:t xml:space="preserve">Subventionierungen durch Drittländer geben zunehmend Anlass zur Sorge, und es ist wichtig zu zeigen, dass diese Praktiken strikt angegangen werden, wenn dadurch Unionshersteller geschädigt werden. Durch die Einführung von Ausgleichsmaßnahmen in einer Höhe, die der vollen Höhe der Subventionierung entspricht, zeigt die EU, dass sie die schädigenden Auswirkungen dieser unlauteren Handelspraxis rigoros bekämpft und einen angemessenen Schutz des Wirtschaftszweigs der Union sowie gleiche Ausgangsbedingungen gewährleistet. </w:t>
      </w:r>
    </w:p>
    <w:p w14:paraId="13FD2E66" w14:textId="77777777" w:rsidR="002062EA" w:rsidRDefault="003A5A48" w:rsidP="003A5A48">
      <w:pPr>
        <w:jc w:val="both"/>
        <w:rPr>
          <w:noProof/>
        </w:rPr>
      </w:pPr>
      <w:r>
        <w:rPr>
          <w:noProof/>
        </w:rPr>
        <w:t xml:space="preserve"> </w:t>
      </w:r>
    </w:p>
    <w:p w14:paraId="13FD2E67" w14:textId="3B5E279B" w:rsidR="00427FE6" w:rsidRDefault="003A5A48" w:rsidP="003A5A48">
      <w:pPr>
        <w:jc w:val="both"/>
        <w:rPr>
          <w:noProof/>
        </w:rPr>
      </w:pPr>
      <w:r>
        <w:rPr>
          <w:noProof/>
        </w:rPr>
        <w:t xml:space="preserve">Dies wird vor allem in Fällen deutlich, in denen separate Antidumping- und Antisubventionsmaßnahmen hinsichtlich derselben Waren mit denselben Ursprungsländern eingeführt wurden. Wie in Abschnitt 1.5.4 dargestellt, war diese Bestimmung in einer Reihe von parallelen Antidumping- und Antisubventionsuntersuchungen derselben Waren mit denselben Ursprungsländern entscheidend, insbesondere bei zur Weiterverarbeitung bestimmten Folien und dünnen Bändern aus Aluminium, kaltgewalzten Flacherzeugnissen aus nicht rostendem Stahl und Erzeugnissen aus Glasfasern, weil dadurch der kombinierte Schutz für den Wirtschaftszweig der Union erhöht wurde. Dies bedeutet, dass es für den Wirtschaftszweig ein klarer Vorteil ist, neben Antidumpinganträgen auch Antisubventionsanträge zu stellen, weil dies zu zusätzlichem, aber gleichzeitig angemessenem Schutz führt. </w:t>
      </w:r>
    </w:p>
    <w:p w14:paraId="13FD2E68" w14:textId="77777777" w:rsidR="007C6C26" w:rsidRDefault="007C6C26" w:rsidP="003A5A48">
      <w:pPr>
        <w:jc w:val="both"/>
        <w:rPr>
          <w:noProof/>
        </w:rPr>
      </w:pPr>
    </w:p>
    <w:p w14:paraId="029C0CCB" w14:textId="3E24AB99" w:rsidR="006F6803" w:rsidRDefault="004C249C" w:rsidP="003A5A48">
      <w:pPr>
        <w:jc w:val="both"/>
        <w:rPr>
          <w:noProof/>
        </w:rPr>
      </w:pPr>
      <w:r>
        <w:rPr>
          <w:noProof/>
        </w:rPr>
        <w:t xml:space="preserve">Zudem liegt es auf der Hand, dass die Antisubventionsuntersuchungen seit der Modernisierung zunehmend komplexe Wege aufgedeckt haben, auf denen Subventionen gewährt werden, einschließlich in Form von grenzübergreifender finanzieller Unterstützung. Angesichts der Entwicklung dieser besonders schädigenden Praktiken hält die Kommission es für unerlässlich, weiterhin Ausgleichsmaßnahmen anzuwenden, um die volle Höhe der festgestellten Subventionen in begründeten Fällen auszugleichen. Gleichzeitig werden durch die Prüfung des Unionsinteresses das unerlässliche Gleichgewicht und die Flexibilität des Systems aufrechterhalten, wodurch die Kommission die Interessen aller Wirtschaftsteilnehmer berücksichtigen kann.      </w:t>
      </w:r>
    </w:p>
    <w:p w14:paraId="441B4F2E" w14:textId="6A32B926" w:rsidR="002A6493" w:rsidRPr="002A6493" w:rsidRDefault="00F11E01" w:rsidP="002A6493">
      <w:pPr>
        <w:pStyle w:val="Heading1"/>
        <w:numPr>
          <w:ilvl w:val="0"/>
          <w:numId w:val="9"/>
        </w:numPr>
        <w:rPr>
          <w:noProof/>
        </w:rPr>
      </w:pPr>
      <w:r>
        <w:rPr>
          <w:noProof/>
        </w:rPr>
        <w:t xml:space="preserve">Die Regel des niedrigeren Zolls bei Verpflichtungen (Artikel 8 Absatz 1 der Antidumpinggrundverordnung und Artikel 13 Absatz 1 der Antisubventionsgrundverordnung) </w:t>
      </w:r>
    </w:p>
    <w:p w14:paraId="512242D2" w14:textId="77777777" w:rsidR="006F6803" w:rsidRDefault="006F6803" w:rsidP="002A6493">
      <w:pPr>
        <w:jc w:val="both"/>
        <w:rPr>
          <w:noProof/>
        </w:rPr>
      </w:pPr>
      <w:r>
        <w:rPr>
          <w:noProof/>
        </w:rPr>
        <w:t xml:space="preserve">Die Kommission erkannte bei den seit Inkrafttreten des Modernisierungspakets eingeleiteten Antidumping- und Antisubventionsuntersuchungen keine neuen Preisverpflichtungen an. </w:t>
      </w:r>
    </w:p>
    <w:p w14:paraId="4A8A2493" w14:textId="40D7F340" w:rsidR="006F6803" w:rsidRDefault="00F11E01" w:rsidP="002A6493">
      <w:pPr>
        <w:pStyle w:val="Heading1"/>
        <w:numPr>
          <w:ilvl w:val="0"/>
          <w:numId w:val="9"/>
        </w:numPr>
        <w:rPr>
          <w:noProof/>
        </w:rPr>
      </w:pPr>
      <w:r>
        <w:rPr>
          <w:noProof/>
        </w:rPr>
        <w:t>Überprüfung der Anwendung von Artikel 9 Absatz 4 der Antidumpinggrundverordnung (Vorunterrichtungszeitraum)</w:t>
      </w:r>
    </w:p>
    <w:p w14:paraId="30A9F7F1" w14:textId="29C6748C" w:rsidR="006F6803" w:rsidRDefault="009C656F" w:rsidP="00764C8F">
      <w:pPr>
        <w:jc w:val="both"/>
        <w:rPr>
          <w:noProof/>
        </w:rPr>
      </w:pPr>
      <w:r>
        <w:rPr>
          <w:noProof/>
        </w:rPr>
        <w:t>Durch die Änderungen im Rahmen der Modernisierung wurde eine Verpflichtung für die Kommission eingeführt, alle interessierten Parteien drei Wochen vorher darüber zu informieren (im Juni 2020 nach einer Überprüfung</w:t>
      </w:r>
      <w:r>
        <w:rPr>
          <w:rStyle w:val="FootnoteReference"/>
          <w:noProof/>
        </w:rPr>
        <w:footnoteReference w:id="6"/>
      </w:r>
      <w:r>
        <w:rPr>
          <w:noProof/>
        </w:rPr>
        <w:t xml:space="preserve"> abgeändert zu vier Wochen), ob sie beabsichtigt, vorläufige Antidumpingmaßnahmen einzuführen oder nicht (Vorunterrichtung)</w:t>
      </w:r>
      <w:r>
        <w:rPr>
          <w:rStyle w:val="FootnoteReference"/>
          <w:noProof/>
        </w:rPr>
        <w:footnoteReference w:id="7"/>
      </w:r>
      <w:r>
        <w:rPr>
          <w:noProof/>
        </w:rPr>
        <w:t xml:space="preserve">. In diesem Zeitraum kann die Kommission Einfuhren zollamtlich erfassen, um Hamsterkäufe zu vermeiden, die zur Untergrabung der Abhilfewirkung des Zolls führen können, und gegebenenfalls die rückwirkende Erhebung von Zöllen in dem Zeitraum zulassen. </w:t>
      </w:r>
    </w:p>
    <w:p w14:paraId="0399988B" w14:textId="77777777" w:rsidR="006F6803" w:rsidRDefault="006F6803" w:rsidP="00764C8F">
      <w:pPr>
        <w:jc w:val="both"/>
        <w:rPr>
          <w:noProof/>
        </w:rPr>
      </w:pPr>
    </w:p>
    <w:p w14:paraId="367DC49E" w14:textId="2670D1EC" w:rsidR="006F6803" w:rsidRDefault="006F6803" w:rsidP="00764C8F">
      <w:pPr>
        <w:jc w:val="both"/>
        <w:rPr>
          <w:noProof/>
        </w:rPr>
      </w:pPr>
      <w:r>
        <w:rPr>
          <w:noProof/>
        </w:rPr>
        <w:t xml:space="preserve">Artikel 9 Absatz 4 der Antidumpinggrundverordnung wurde ebenfalls dahin gehend geändert, dass die Kommission die Möglichkeit erhält, in Fällen, bei denen die Einfuhren nicht zollamtlich erfasst wurden, zu analysieren, ob es eine erhebliche Erhöhung der Einfuhren während des Vorunterrichtungszeitraums gab, die zusätzliche Schädigungen verursacht. Ergibt die Analyse, dass dies der Fall war, könnte die Kommission der zusätzlichen Schädigung dadurch Rechnung tragen, dass sie die Schadensspanne nach oben anpasst. </w:t>
      </w:r>
    </w:p>
    <w:p w14:paraId="782D011A" w14:textId="77777777" w:rsidR="00764C8F" w:rsidRDefault="00764C8F" w:rsidP="00764C8F">
      <w:pPr>
        <w:pStyle w:val="Heading3"/>
        <w:numPr>
          <w:ilvl w:val="0"/>
          <w:numId w:val="0"/>
        </w:numPr>
        <w:tabs>
          <w:tab w:val="left" w:pos="720"/>
        </w:tabs>
        <w:spacing w:after="0"/>
        <w:rPr>
          <w:i w:val="0"/>
          <w:noProof/>
          <w:szCs w:val="24"/>
          <w:lang w:eastAsia="ko-KR"/>
        </w:rPr>
      </w:pPr>
    </w:p>
    <w:p w14:paraId="6114987E" w14:textId="0ADA56C7" w:rsidR="00764C8F" w:rsidRDefault="00801CB8" w:rsidP="00764C8F">
      <w:pPr>
        <w:pStyle w:val="Heading3"/>
        <w:numPr>
          <w:ilvl w:val="0"/>
          <w:numId w:val="0"/>
        </w:numPr>
        <w:tabs>
          <w:tab w:val="left" w:pos="720"/>
        </w:tabs>
        <w:spacing w:after="0"/>
        <w:rPr>
          <w:i w:val="0"/>
          <w:noProof/>
          <w:szCs w:val="24"/>
        </w:rPr>
      </w:pPr>
      <w:r>
        <w:rPr>
          <w:noProof/>
        </w:rPr>
        <w:t>Die Kommission hat in 34 Fällen, die nach dem 8. Juni 2018 eingeleitet wurden, endgültige Antidumpingzölle eingeführt.</w:t>
      </w:r>
      <w:r>
        <w:rPr>
          <w:i w:val="0"/>
          <w:noProof/>
        </w:rPr>
        <w:t xml:space="preserve"> Die Kommission führte in 22 dieser Fälle vorläufige Maßnahmen ein und erfasste in elf Fällen keine Einfuhren zollamtlich. In der letzten Spalte des Anhangs 1 werden Einzelheiten zu den Fällen angegeben. </w:t>
      </w:r>
    </w:p>
    <w:p w14:paraId="5752F009" w14:textId="73175494" w:rsidR="006F6803" w:rsidRDefault="006F6803" w:rsidP="00764C8F">
      <w:pPr>
        <w:pStyle w:val="Heading3"/>
        <w:numPr>
          <w:ilvl w:val="0"/>
          <w:numId w:val="0"/>
        </w:numPr>
        <w:tabs>
          <w:tab w:val="left" w:pos="720"/>
        </w:tabs>
        <w:spacing w:after="0"/>
        <w:rPr>
          <w:i w:val="0"/>
          <w:noProof/>
          <w:szCs w:val="24"/>
        </w:rPr>
      </w:pPr>
      <w:r>
        <w:rPr>
          <w:i w:val="0"/>
          <w:noProof/>
        </w:rPr>
        <w:t xml:space="preserve"> </w:t>
      </w:r>
    </w:p>
    <w:p w14:paraId="23CF60DD" w14:textId="753FC57D" w:rsidR="006F6803" w:rsidRDefault="0033288A" w:rsidP="006F6803">
      <w:pPr>
        <w:jc w:val="both"/>
        <w:rPr>
          <w:noProof/>
        </w:rPr>
      </w:pPr>
      <w:r>
        <w:rPr>
          <w:noProof/>
        </w:rPr>
        <w:t xml:space="preserve">Die Analyse der elf Fälle ergab Folgendes: </w:t>
      </w:r>
    </w:p>
    <w:p w14:paraId="65C3BEB9" w14:textId="4894E677" w:rsidR="006F6803" w:rsidRPr="00130F23" w:rsidRDefault="006F6803" w:rsidP="006F6803">
      <w:pPr>
        <w:pStyle w:val="ListParagraph"/>
        <w:numPr>
          <w:ilvl w:val="1"/>
          <w:numId w:val="5"/>
        </w:numPr>
        <w:jc w:val="both"/>
        <w:rPr>
          <w:rFonts w:ascii="Times New Roman" w:hAnsi="Times New Roman" w:cs="Times New Roman"/>
          <w:noProof/>
        </w:rPr>
      </w:pPr>
      <w:r>
        <w:rPr>
          <w:rFonts w:ascii="Times New Roman" w:hAnsi="Times New Roman"/>
          <w:noProof/>
        </w:rPr>
        <w:t xml:space="preserve">Die Untersuchungen von zur Weiterverarbeitung bestimmten Folien und dünnen Bändern aus Aluminium (2021) und Kalziumsilizium (2022) – beide aus China – ergaben, dass die Einfuhren im Vorunterrichtungszeitraum um durchschnittlich 47 % bzw. 36 % fielen. Die Untersuchung von Monoethylenglykol aus Saudi-Arabien (2021) ergab, dass Einfuhren in dem Zeitraum um 15,3 % niedriger waren. </w:t>
      </w:r>
    </w:p>
    <w:p w14:paraId="2178A124" w14:textId="77777777" w:rsidR="006F6803" w:rsidRPr="00130F23" w:rsidRDefault="006F6803" w:rsidP="006F6803">
      <w:pPr>
        <w:pStyle w:val="ListParagraph"/>
        <w:numPr>
          <w:ilvl w:val="1"/>
          <w:numId w:val="5"/>
        </w:numPr>
        <w:jc w:val="both"/>
        <w:rPr>
          <w:rFonts w:ascii="Times New Roman" w:hAnsi="Times New Roman" w:cs="Times New Roman"/>
          <w:noProof/>
        </w:rPr>
      </w:pPr>
      <w:r>
        <w:rPr>
          <w:rFonts w:ascii="Times New Roman" w:hAnsi="Times New Roman"/>
          <w:noProof/>
        </w:rPr>
        <w:t>Die Untersuchungen von Stahlrädern (2020) und flachgewalzten Aluminiumerzeugnissen (2021) – beide aus China – ergaben keine Erhöhung der Einfuhren im Vorunterrichtungszeitraum.</w:t>
      </w:r>
    </w:p>
    <w:p w14:paraId="2BCAA511" w14:textId="77777777" w:rsidR="006F6803" w:rsidRPr="00130F23" w:rsidRDefault="006F6803" w:rsidP="006F6803">
      <w:pPr>
        <w:pStyle w:val="ListParagraph"/>
        <w:numPr>
          <w:ilvl w:val="1"/>
          <w:numId w:val="5"/>
        </w:numPr>
        <w:jc w:val="both"/>
        <w:rPr>
          <w:rFonts w:ascii="Times New Roman" w:hAnsi="Times New Roman" w:cs="Times New Roman"/>
          <w:noProof/>
        </w:rPr>
      </w:pPr>
      <w:r>
        <w:rPr>
          <w:rFonts w:ascii="Times New Roman" w:hAnsi="Times New Roman"/>
          <w:noProof/>
        </w:rPr>
        <w:t xml:space="preserve">Bei der Untersuchung von Grafitelektrodensystemen aus China (2022) war dies unerheblich, während Einfuhren im Vorunterrichtungszeitraum um 5,5 % stiegen. </w:t>
      </w:r>
    </w:p>
    <w:p w14:paraId="182B3F7D" w14:textId="26F9A94C" w:rsidR="006F6803" w:rsidRDefault="006F6803" w:rsidP="006F6803">
      <w:pPr>
        <w:pStyle w:val="ListParagraph"/>
        <w:numPr>
          <w:ilvl w:val="1"/>
          <w:numId w:val="5"/>
        </w:numPr>
        <w:jc w:val="both"/>
        <w:rPr>
          <w:noProof/>
        </w:rPr>
      </w:pPr>
      <w:r>
        <w:rPr>
          <w:rFonts w:ascii="Times New Roman" w:hAnsi="Times New Roman"/>
          <w:noProof/>
        </w:rPr>
        <w:t xml:space="preserve">Bei den restlichen fünf Untersuchungen (bestimmtes schwergewichtiges Thermopapier aus Korea (2020), Monoethylenglykol aus den USA (2021), Birkensperrholz aus Russland (2021), elektrolytisch verchromter Stahl aus China und Brasilien (2022)) stellte die Kommission fest, dass Einfuhren im Vorunterrichtungszeitraum erheblich stiegen.  Die Erhöhungen reichten von 39 % bei Monoethylenglykol bis fast 99 % bei Birkensperrholz. Um den durch die erheblich erhöhten Einfuhren verursachten zusätzlichen Schaden zu berücksichtigen, führte die Kommission angemessene Anpassungen durch, um die Schadensbeseitigungsschwellen zu erhöhen. Mit Ausnahme der Maßnahmen hinsichtlich elektronisch verchromten Stahls aus China und Brasilien beruhten die Maßnahmen in den anderen Fällen auf der Dumpingspanne. Infolgedessen wirkte sich die Anpassung der Schadensbeseitigungsschwelle nicht auf die Höhe der eingeführten Maßnahmen aus, da die Zölle durch die entsprechenden Dumpingspannen begrenzt waren; nach den WTO-Regeln und EU-Recht ist dies der bestmögliche zulässige Schutz. </w:t>
      </w:r>
      <w:r>
        <w:rPr>
          <w:noProof/>
        </w:rPr>
        <w:t xml:space="preserve">In den Fällen hinsichtlich elektronisch verchromten Stahls wirkte sich die Anpassung von 4,1 %, wodurch die zusätzliche Schädigung im Vorunterrichtungszeitraum berücksichtigt wurde, auf die Höhe der endgültigen Maßnahmen aus.   </w:t>
      </w:r>
    </w:p>
    <w:p w14:paraId="13FD2E6B" w14:textId="77777777" w:rsidR="00CF7BF0" w:rsidRDefault="00CF7BF0" w:rsidP="007F6A7C">
      <w:pPr>
        <w:pStyle w:val="Heading1"/>
        <w:numPr>
          <w:ilvl w:val="0"/>
          <w:numId w:val="9"/>
        </w:numPr>
        <w:rPr>
          <w:noProof/>
        </w:rPr>
      </w:pPr>
      <w:r>
        <w:rPr>
          <w:noProof/>
        </w:rPr>
        <w:t>Schlussfolgerung</w:t>
      </w:r>
    </w:p>
    <w:p w14:paraId="13FD2E6C" w14:textId="18F8E84C" w:rsidR="00CF7BF0" w:rsidRDefault="00CF7BF0" w:rsidP="003A5A48">
      <w:pPr>
        <w:jc w:val="both"/>
        <w:rPr>
          <w:iCs/>
          <w:noProof/>
        </w:rPr>
      </w:pPr>
      <w:r>
        <w:rPr>
          <w:noProof/>
        </w:rPr>
        <w:t>Die Überprüfung und Bewertung der einschlägigen modernisierten Bestimmungen hinsichtlich der überarbeiteten Anwendung der Regel des niedrigeren Zolls ergaben, dass diese den angestrebten Zweck, hinreichende Rechtsbehelfe gegen Dumping und Subventionierung zur Verfügung zu stellen, vollständig erfüllt haben.</w:t>
      </w:r>
    </w:p>
    <w:p w14:paraId="3D717A1E" w14:textId="77777777" w:rsidR="007713F7" w:rsidRDefault="007713F7" w:rsidP="007713F7">
      <w:pPr>
        <w:jc w:val="both"/>
        <w:rPr>
          <w:iCs/>
          <w:noProof/>
          <w:lang w:eastAsia="en-US"/>
        </w:rPr>
      </w:pPr>
    </w:p>
    <w:p w14:paraId="7ABE59EE" w14:textId="4BA8E040" w:rsidR="007713F7" w:rsidRDefault="007713F7" w:rsidP="007713F7">
      <w:pPr>
        <w:jc w:val="both"/>
        <w:rPr>
          <w:iCs/>
          <w:noProof/>
        </w:rPr>
      </w:pPr>
      <w:r>
        <w:rPr>
          <w:noProof/>
        </w:rPr>
        <w:t>Die vorliegenden Gesetzesänderungen wurden sorgfältig ausgearbeitet, um einen besseren Schutz gegen besonders schädigende Varianten erheblicher Verzerrungen des Rohstoffangebots und allgemeiner Subventionierungspraktiken zu bieten. In ganzen 38 % der im Überprüfungszeitraum eingeleiteten Antidumpingfälle beanstandete der Wirtschaftszweig der Union erhebliche Verzerrungen des Rohstoffangebots im Sinne der neuen Rechtsvorschriften. In einigen dieser Fälle konnte die Kommission eine Maßnahme einführen, die höher war, als dies vor den entsprechenden Gesetzesänderungen möglich gewesen wäre. Eine Überprüfung der Praxis ergab, dass der derzeitige Umfang und die derzeitigen Schwellenwerte ausreichend und angemessen sind, um einen angemessenen und ausgeglichenen Schutz gegen Verzerrungen des Rohstoffangebots zu gewährleisten. Ebenso gewährleistete die Beseitigung der Regel des niedrigeren Zolls bei Antisubventionspraktiken einen höheren Schutz für Unionshersteller, die unter subventionierten Einfuhren leiden.</w:t>
      </w:r>
    </w:p>
    <w:p w14:paraId="4447E3BF" w14:textId="77777777" w:rsidR="007713F7" w:rsidRDefault="007713F7" w:rsidP="007713F7">
      <w:pPr>
        <w:jc w:val="both"/>
        <w:rPr>
          <w:iCs/>
          <w:noProof/>
          <w:lang w:eastAsia="en-US"/>
        </w:rPr>
      </w:pPr>
    </w:p>
    <w:p w14:paraId="4CDACD7E" w14:textId="237E66A3" w:rsidR="007713F7" w:rsidRDefault="00065A22" w:rsidP="007713F7">
      <w:pPr>
        <w:jc w:val="both"/>
        <w:rPr>
          <w:iCs/>
          <w:noProof/>
        </w:rPr>
      </w:pPr>
      <w:r>
        <w:rPr>
          <w:noProof/>
        </w:rPr>
        <w:t>Durch die Prüfung des Unionsinteresses wurde sichergestellt, dass die gestärkte Handelsschutzpraxis weiterhin zielgerichtet und ausgeglichen bleibt.</w:t>
      </w:r>
    </w:p>
    <w:p w14:paraId="13FD2E6D" w14:textId="77777777" w:rsidR="00130F23" w:rsidRDefault="00130F23" w:rsidP="003A5A48">
      <w:pPr>
        <w:jc w:val="both"/>
        <w:rPr>
          <w:iCs/>
          <w:noProof/>
          <w:lang w:eastAsia="en-US"/>
        </w:rPr>
      </w:pPr>
    </w:p>
    <w:p w14:paraId="2B40EF62" w14:textId="549B0AFB" w:rsidR="00065A22" w:rsidRPr="007713F7" w:rsidRDefault="00065A22" w:rsidP="00065A22">
      <w:pPr>
        <w:jc w:val="both"/>
        <w:rPr>
          <w:iCs/>
          <w:noProof/>
        </w:rPr>
      </w:pPr>
      <w:r>
        <w:rPr>
          <w:noProof/>
        </w:rPr>
        <w:t>Auf dieser Grundlage hielt es die Kommission nicht für angezeigt, einen Gesetzgebungsvorschlag auszuarbeiten, der neben der aktuellen Überprüfung und Bewertung wie in Artikel 23 Absatz 4 der Antidumpinggrundverordnung und in Artikel 32a Absatz 2 der Antisubventionsgrundverordnung vorgesehen, vorgelegt wird. Wie in diesen Bestimmungen vorgeschrieben, wird die Kommission weiterhin die Situation überwachen und dabei die sich weiterentwickelnden politischen Prioritäten und den nach wie vor herausfordernden geopolitischen Kontext berücksichtigen.</w:t>
      </w:r>
    </w:p>
    <w:p w14:paraId="13FD2E6F" w14:textId="77777777" w:rsidR="009121E6" w:rsidRDefault="009121E6" w:rsidP="003A5A48">
      <w:pPr>
        <w:jc w:val="both"/>
        <w:rPr>
          <w:iCs/>
          <w:noProof/>
          <w:lang w:eastAsia="en-US"/>
        </w:rPr>
        <w:sectPr w:rsidR="009121E6" w:rsidSect="00CB72E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pPr>
    </w:p>
    <w:p w14:paraId="13FD2E71" w14:textId="77777777" w:rsidR="00377531" w:rsidRDefault="00377531" w:rsidP="00377531">
      <w:pPr>
        <w:ind w:right="708"/>
        <w:jc w:val="center"/>
        <w:rPr>
          <w:b/>
          <w:noProof/>
          <w:u w:val="single"/>
        </w:rPr>
      </w:pPr>
      <w:r>
        <w:rPr>
          <w:b/>
          <w:noProof/>
          <w:u w:val="single"/>
        </w:rPr>
        <w:t>Anhang 1</w:t>
      </w:r>
    </w:p>
    <w:p w14:paraId="13FD2E72" w14:textId="328C19FF" w:rsidR="00377531" w:rsidRDefault="00377531" w:rsidP="00377531">
      <w:pPr>
        <w:ind w:right="708"/>
        <w:jc w:val="center"/>
        <w:rPr>
          <w:b/>
          <w:noProof/>
          <w:u w:val="single"/>
        </w:rPr>
      </w:pPr>
    </w:p>
    <w:p w14:paraId="13FD2E74" w14:textId="719B09C7" w:rsidR="00377531" w:rsidRDefault="00377531" w:rsidP="00377531">
      <w:pPr>
        <w:ind w:right="708"/>
        <w:jc w:val="center"/>
        <w:rPr>
          <w:b/>
          <w:noProof/>
          <w:sz w:val="20"/>
          <w:szCs w:val="20"/>
          <w:u w:val="single"/>
        </w:rPr>
      </w:pPr>
      <w:r>
        <w:rPr>
          <w:b/>
          <w:noProof/>
          <w:sz w:val="20"/>
          <w:u w:val="single"/>
        </w:rPr>
        <w:t>ANTIDUMPINGMAßNAHMEN</w:t>
      </w:r>
    </w:p>
    <w:p w14:paraId="63D2FF24" w14:textId="77777777" w:rsidR="00F11E01" w:rsidRPr="00377531" w:rsidRDefault="00F11E01" w:rsidP="00377531">
      <w:pPr>
        <w:ind w:right="708"/>
        <w:jc w:val="center"/>
        <w:rPr>
          <w:b/>
          <w:noProof/>
          <w:sz w:val="20"/>
          <w:szCs w:val="20"/>
          <w:u w:val="single"/>
        </w:rPr>
      </w:pPr>
    </w:p>
    <w:tbl>
      <w:tblPr>
        <w:tblStyle w:val="TableGrid"/>
        <w:tblW w:w="5539" w:type="pct"/>
        <w:tblInd w:w="-572" w:type="dxa"/>
        <w:tblLayout w:type="fixed"/>
        <w:tblLook w:val="04A0" w:firstRow="1" w:lastRow="0" w:firstColumn="1" w:lastColumn="0" w:noHBand="0" w:noVBand="1"/>
      </w:tblPr>
      <w:tblGrid>
        <w:gridCol w:w="1700"/>
        <w:gridCol w:w="1134"/>
        <w:gridCol w:w="1703"/>
        <w:gridCol w:w="1703"/>
        <w:gridCol w:w="2003"/>
        <w:gridCol w:w="1965"/>
        <w:gridCol w:w="1418"/>
        <w:gridCol w:w="1307"/>
        <w:gridCol w:w="2519"/>
      </w:tblGrid>
      <w:tr w:rsidR="0087369D" w:rsidRPr="00377531" w14:paraId="13FD2E82" w14:textId="77777777" w:rsidTr="0087369D">
        <w:tc>
          <w:tcPr>
            <w:tcW w:w="550" w:type="pct"/>
          </w:tcPr>
          <w:p w14:paraId="13FD2E75" w14:textId="77777777" w:rsidR="00377531" w:rsidRPr="00377531" w:rsidRDefault="00377531" w:rsidP="004F2670">
            <w:pPr>
              <w:jc w:val="center"/>
              <w:rPr>
                <w:b/>
                <w:noProof/>
                <w:sz w:val="20"/>
                <w:szCs w:val="20"/>
              </w:rPr>
            </w:pPr>
            <w:r>
              <w:rPr>
                <w:b/>
                <w:noProof/>
                <w:sz w:val="20"/>
              </w:rPr>
              <w:t>WARE</w:t>
            </w:r>
          </w:p>
        </w:tc>
        <w:tc>
          <w:tcPr>
            <w:tcW w:w="367" w:type="pct"/>
          </w:tcPr>
          <w:p w14:paraId="13FD2E76" w14:textId="77777777" w:rsidR="00377531" w:rsidRPr="00377531" w:rsidRDefault="00377531" w:rsidP="004F2670">
            <w:pPr>
              <w:jc w:val="center"/>
              <w:rPr>
                <w:b/>
                <w:noProof/>
                <w:sz w:val="20"/>
                <w:szCs w:val="20"/>
              </w:rPr>
            </w:pPr>
            <w:r>
              <w:rPr>
                <w:b/>
                <w:noProof/>
                <w:sz w:val="20"/>
              </w:rPr>
              <w:t>LAND</w:t>
            </w:r>
          </w:p>
        </w:tc>
        <w:tc>
          <w:tcPr>
            <w:tcW w:w="551" w:type="pct"/>
          </w:tcPr>
          <w:p w14:paraId="13FD2E77" w14:textId="77777777" w:rsidR="00377531" w:rsidRPr="00377531" w:rsidRDefault="00377531" w:rsidP="004F2670">
            <w:pPr>
              <w:jc w:val="center"/>
              <w:rPr>
                <w:b/>
                <w:noProof/>
                <w:sz w:val="20"/>
                <w:szCs w:val="20"/>
              </w:rPr>
            </w:pPr>
            <w:r>
              <w:rPr>
                <w:b/>
                <w:noProof/>
                <w:sz w:val="20"/>
              </w:rPr>
              <w:t>VORLÄUFIGE MAßNAHMEN</w:t>
            </w:r>
          </w:p>
        </w:tc>
        <w:tc>
          <w:tcPr>
            <w:tcW w:w="551" w:type="pct"/>
          </w:tcPr>
          <w:p w14:paraId="13FD2E78" w14:textId="77777777" w:rsidR="00377531" w:rsidRPr="00377531" w:rsidRDefault="00377531" w:rsidP="004F2670">
            <w:pPr>
              <w:jc w:val="center"/>
              <w:rPr>
                <w:b/>
                <w:noProof/>
                <w:sz w:val="20"/>
                <w:szCs w:val="20"/>
              </w:rPr>
            </w:pPr>
            <w:r>
              <w:rPr>
                <w:b/>
                <w:noProof/>
                <w:sz w:val="20"/>
              </w:rPr>
              <w:t xml:space="preserve">ENDGÜLTIGE </w:t>
            </w:r>
          </w:p>
          <w:p w14:paraId="13FD2E79" w14:textId="77777777" w:rsidR="00377531" w:rsidRPr="00377531" w:rsidRDefault="00377531" w:rsidP="004F2670">
            <w:pPr>
              <w:jc w:val="center"/>
              <w:rPr>
                <w:b/>
                <w:noProof/>
                <w:sz w:val="20"/>
                <w:szCs w:val="20"/>
              </w:rPr>
            </w:pPr>
            <w:r>
              <w:rPr>
                <w:b/>
                <w:noProof/>
                <w:sz w:val="20"/>
              </w:rPr>
              <w:t>MAßNAHMEN</w:t>
            </w:r>
          </w:p>
        </w:tc>
        <w:tc>
          <w:tcPr>
            <w:tcW w:w="648" w:type="pct"/>
          </w:tcPr>
          <w:p w14:paraId="13FD2E7A" w14:textId="77777777" w:rsidR="00377531" w:rsidRPr="00377531" w:rsidRDefault="00377531" w:rsidP="004F2670">
            <w:pPr>
              <w:jc w:val="center"/>
              <w:rPr>
                <w:b/>
                <w:noProof/>
                <w:sz w:val="20"/>
                <w:szCs w:val="20"/>
              </w:rPr>
            </w:pPr>
            <w:r>
              <w:rPr>
                <w:b/>
                <w:noProof/>
                <w:sz w:val="20"/>
              </w:rPr>
              <w:t>GELTEND GEMACHTE VERZERRUNGEN DES ROHSTOFFANGEBOTS</w:t>
            </w:r>
          </w:p>
        </w:tc>
        <w:tc>
          <w:tcPr>
            <w:tcW w:w="636" w:type="pct"/>
          </w:tcPr>
          <w:p w14:paraId="13FD2E7B" w14:textId="625964FA" w:rsidR="00377531" w:rsidRPr="00377531" w:rsidRDefault="00377531" w:rsidP="004F2670">
            <w:pPr>
              <w:jc w:val="center"/>
              <w:rPr>
                <w:b/>
                <w:noProof/>
                <w:sz w:val="20"/>
                <w:szCs w:val="20"/>
              </w:rPr>
            </w:pPr>
            <w:r>
              <w:rPr>
                <w:b/>
                <w:noProof/>
                <w:sz w:val="20"/>
              </w:rPr>
              <w:t>VERZERRUNGEN DES ROHSTOFFANGE</w:t>
            </w:r>
            <w:r w:rsidR="0087369D">
              <w:rPr>
                <w:b/>
                <w:noProof/>
                <w:sz w:val="20"/>
              </w:rPr>
              <w:softHyphen/>
            </w:r>
            <w:r>
              <w:rPr>
                <w:b/>
                <w:noProof/>
                <w:sz w:val="20"/>
              </w:rPr>
              <w:t>BOTS</w:t>
            </w:r>
          </w:p>
          <w:p w14:paraId="13FD2E7C" w14:textId="532E4C8E" w:rsidR="00377531" w:rsidRPr="00377531" w:rsidRDefault="00377531" w:rsidP="004F2670">
            <w:pPr>
              <w:jc w:val="center"/>
              <w:rPr>
                <w:b/>
                <w:noProof/>
                <w:sz w:val="20"/>
                <w:szCs w:val="20"/>
              </w:rPr>
            </w:pPr>
            <w:r>
              <w:rPr>
                <w:b/>
                <w:noProof/>
                <w:sz w:val="20"/>
              </w:rPr>
              <w:t>UNTERSUCHUNG, OB DIE DUMPING</w:t>
            </w:r>
            <w:r w:rsidR="0087369D">
              <w:rPr>
                <w:b/>
                <w:noProof/>
                <w:sz w:val="20"/>
              </w:rPr>
              <w:softHyphen/>
            </w:r>
            <w:r>
              <w:rPr>
                <w:b/>
                <w:noProof/>
                <w:sz w:val="20"/>
              </w:rPr>
              <w:t>SPANNE &gt; DIE SCHÄDIGUNG</w:t>
            </w:r>
          </w:p>
        </w:tc>
        <w:tc>
          <w:tcPr>
            <w:tcW w:w="459" w:type="pct"/>
          </w:tcPr>
          <w:p w14:paraId="13FD2E7D" w14:textId="4DED2FC9" w:rsidR="00377531" w:rsidRPr="00377531" w:rsidRDefault="00377531" w:rsidP="004F2670">
            <w:pPr>
              <w:jc w:val="center"/>
              <w:rPr>
                <w:b/>
                <w:noProof/>
                <w:sz w:val="20"/>
                <w:szCs w:val="20"/>
              </w:rPr>
            </w:pPr>
            <w:r>
              <w:rPr>
                <w:b/>
                <w:noProof/>
                <w:sz w:val="20"/>
              </w:rPr>
              <w:t>VERZER</w:t>
            </w:r>
            <w:r w:rsidR="0087369D">
              <w:rPr>
                <w:b/>
                <w:noProof/>
                <w:sz w:val="20"/>
              </w:rPr>
              <w:softHyphen/>
            </w:r>
            <w:r>
              <w:rPr>
                <w:b/>
                <w:noProof/>
                <w:sz w:val="20"/>
              </w:rPr>
              <w:t>RUNGEN DES ROHSTOFFANGEBOTS/UNIONSIN</w:t>
            </w:r>
            <w:r w:rsidR="0087369D">
              <w:rPr>
                <w:b/>
                <w:noProof/>
                <w:sz w:val="20"/>
              </w:rPr>
              <w:softHyphen/>
            </w:r>
            <w:r>
              <w:rPr>
                <w:b/>
                <w:noProof/>
                <w:sz w:val="20"/>
              </w:rPr>
              <w:t xml:space="preserve">TERESSE </w:t>
            </w:r>
          </w:p>
        </w:tc>
        <w:tc>
          <w:tcPr>
            <w:tcW w:w="423" w:type="pct"/>
          </w:tcPr>
          <w:p w14:paraId="13FD2E7E" w14:textId="0AD90218" w:rsidR="00377531" w:rsidRPr="00377531" w:rsidRDefault="00377531" w:rsidP="004F2670">
            <w:pPr>
              <w:jc w:val="center"/>
              <w:rPr>
                <w:b/>
                <w:noProof/>
                <w:sz w:val="20"/>
                <w:szCs w:val="20"/>
              </w:rPr>
            </w:pPr>
            <w:r>
              <w:rPr>
                <w:b/>
                <w:noProof/>
                <w:sz w:val="20"/>
              </w:rPr>
              <w:t>ERFÜLLTE VORAUS</w:t>
            </w:r>
            <w:r w:rsidR="0087369D">
              <w:rPr>
                <w:b/>
                <w:noProof/>
                <w:sz w:val="20"/>
              </w:rPr>
              <w:softHyphen/>
            </w:r>
            <w:r>
              <w:rPr>
                <w:b/>
                <w:noProof/>
                <w:sz w:val="20"/>
              </w:rPr>
              <w:t>SET</w:t>
            </w:r>
            <w:r w:rsidR="0087369D">
              <w:rPr>
                <w:b/>
                <w:noProof/>
                <w:sz w:val="20"/>
              </w:rPr>
              <w:softHyphen/>
            </w:r>
            <w:r>
              <w:rPr>
                <w:b/>
                <w:noProof/>
                <w:sz w:val="20"/>
              </w:rPr>
              <w:t>ZUNGEN</w:t>
            </w:r>
          </w:p>
        </w:tc>
        <w:tc>
          <w:tcPr>
            <w:tcW w:w="816" w:type="pct"/>
          </w:tcPr>
          <w:p w14:paraId="13FD2E7F" w14:textId="77777777" w:rsidR="00377531" w:rsidRPr="00377531" w:rsidRDefault="00377531" w:rsidP="004F2670">
            <w:pPr>
              <w:jc w:val="center"/>
              <w:rPr>
                <w:b/>
                <w:noProof/>
                <w:sz w:val="20"/>
                <w:szCs w:val="20"/>
              </w:rPr>
            </w:pPr>
            <w:r>
              <w:rPr>
                <w:b/>
                <w:noProof/>
                <w:sz w:val="20"/>
              </w:rPr>
              <w:t xml:space="preserve">ARTIKEL 9 ABSATZ 4 – ZOLLAMTLICH ERFASSTE EINFUHREN </w:t>
            </w:r>
          </w:p>
          <w:p w14:paraId="13FD2E80" w14:textId="77777777" w:rsidR="00377531" w:rsidRPr="00377531" w:rsidRDefault="00377531" w:rsidP="004F2670">
            <w:pPr>
              <w:jc w:val="center"/>
              <w:rPr>
                <w:b/>
                <w:noProof/>
                <w:sz w:val="20"/>
                <w:szCs w:val="20"/>
              </w:rPr>
            </w:pPr>
            <w:r>
              <w:rPr>
                <w:b/>
                <w:noProof/>
                <w:sz w:val="20"/>
              </w:rPr>
              <w:t>JA/NEIN</w:t>
            </w:r>
          </w:p>
          <w:p w14:paraId="13FD2E81" w14:textId="77777777" w:rsidR="00377531" w:rsidRPr="00377531" w:rsidRDefault="00377531" w:rsidP="004F2670">
            <w:pPr>
              <w:jc w:val="center"/>
              <w:rPr>
                <w:b/>
                <w:noProof/>
                <w:sz w:val="20"/>
                <w:szCs w:val="20"/>
              </w:rPr>
            </w:pPr>
          </w:p>
        </w:tc>
      </w:tr>
      <w:tr w:rsidR="0087369D" w:rsidRPr="00377531" w14:paraId="13FD2E98" w14:textId="77777777" w:rsidTr="0087369D">
        <w:tc>
          <w:tcPr>
            <w:tcW w:w="550" w:type="pct"/>
          </w:tcPr>
          <w:p w14:paraId="13FD2E83" w14:textId="77777777" w:rsidR="00377531" w:rsidRPr="00377531" w:rsidRDefault="00377531" w:rsidP="004F2670">
            <w:pPr>
              <w:jc w:val="center"/>
              <w:rPr>
                <w:noProof/>
                <w:sz w:val="20"/>
                <w:szCs w:val="20"/>
                <w:u w:val="single"/>
              </w:rPr>
            </w:pPr>
            <w:r>
              <w:rPr>
                <w:noProof/>
                <w:sz w:val="20"/>
              </w:rPr>
              <w:t>Mischungen von Harnstoff und Ammoniumnitrat</w:t>
            </w:r>
          </w:p>
        </w:tc>
        <w:tc>
          <w:tcPr>
            <w:tcW w:w="367" w:type="pct"/>
          </w:tcPr>
          <w:p w14:paraId="13FD2E84" w14:textId="77777777" w:rsidR="00377531" w:rsidRPr="00377531" w:rsidRDefault="00377531" w:rsidP="004F2670">
            <w:pPr>
              <w:jc w:val="center"/>
              <w:rPr>
                <w:noProof/>
                <w:sz w:val="20"/>
                <w:szCs w:val="20"/>
              </w:rPr>
            </w:pPr>
            <w:r>
              <w:rPr>
                <w:noProof/>
                <w:sz w:val="20"/>
              </w:rPr>
              <w:t xml:space="preserve">Russland, Trinidad und Tobago </w:t>
            </w:r>
          </w:p>
          <w:p w14:paraId="13FD2E85" w14:textId="77777777" w:rsidR="00377531" w:rsidRPr="00377531" w:rsidRDefault="00377531" w:rsidP="004F2670">
            <w:pPr>
              <w:jc w:val="center"/>
              <w:rPr>
                <w:noProof/>
                <w:sz w:val="20"/>
                <w:szCs w:val="20"/>
                <w:u w:val="single"/>
              </w:rPr>
            </w:pPr>
            <w:r>
              <w:rPr>
                <w:noProof/>
                <w:sz w:val="20"/>
              </w:rPr>
              <w:t>USA</w:t>
            </w:r>
          </w:p>
        </w:tc>
        <w:tc>
          <w:tcPr>
            <w:tcW w:w="551" w:type="pct"/>
          </w:tcPr>
          <w:p w14:paraId="13FD2E86" w14:textId="77777777" w:rsidR="00377531" w:rsidRPr="00377531" w:rsidRDefault="00AB679B" w:rsidP="004F2670">
            <w:pPr>
              <w:jc w:val="center"/>
              <w:rPr>
                <w:rStyle w:val="Hyperlink"/>
                <w:noProof/>
                <w:sz w:val="20"/>
                <w:szCs w:val="20"/>
              </w:rPr>
            </w:pPr>
            <w:hyperlink r:id="rId25" w:history="1">
              <w:r w:rsidR="0062348C">
                <w:rPr>
                  <w:rStyle w:val="Hyperlink"/>
                  <w:noProof/>
                  <w:sz w:val="20"/>
                </w:rPr>
                <w:t xml:space="preserve">Vorläufige Verordnung </w:t>
              </w:r>
            </w:hyperlink>
          </w:p>
          <w:p w14:paraId="13FD2E87" w14:textId="77777777" w:rsidR="00377531" w:rsidRPr="00377531" w:rsidRDefault="00377531" w:rsidP="004F2670">
            <w:pPr>
              <w:jc w:val="center"/>
              <w:rPr>
                <w:noProof/>
                <w:sz w:val="20"/>
                <w:szCs w:val="20"/>
                <w:u w:val="single"/>
                <w:lang w:val="fr-BE"/>
              </w:rPr>
            </w:pPr>
          </w:p>
        </w:tc>
        <w:tc>
          <w:tcPr>
            <w:tcW w:w="551" w:type="pct"/>
          </w:tcPr>
          <w:p w14:paraId="13FD2E88" w14:textId="77777777" w:rsidR="00377531" w:rsidRPr="00377531" w:rsidRDefault="00AB679B" w:rsidP="004F2670">
            <w:pPr>
              <w:jc w:val="center"/>
              <w:rPr>
                <w:rStyle w:val="Hyperlink"/>
                <w:noProof/>
                <w:sz w:val="20"/>
                <w:szCs w:val="20"/>
              </w:rPr>
            </w:pPr>
            <w:hyperlink r:id="rId26" w:history="1">
              <w:r w:rsidR="0062348C">
                <w:rPr>
                  <w:rStyle w:val="Hyperlink"/>
                  <w:noProof/>
                  <w:sz w:val="20"/>
                </w:rPr>
                <w:t xml:space="preserve">Endgültige Verordnung </w:t>
              </w:r>
            </w:hyperlink>
          </w:p>
          <w:p w14:paraId="13FD2E89" w14:textId="77777777" w:rsidR="00377531" w:rsidRPr="00377531" w:rsidRDefault="00377531" w:rsidP="004F2670">
            <w:pPr>
              <w:jc w:val="center"/>
              <w:rPr>
                <w:noProof/>
                <w:sz w:val="20"/>
                <w:szCs w:val="20"/>
              </w:rPr>
            </w:pPr>
          </w:p>
        </w:tc>
        <w:tc>
          <w:tcPr>
            <w:tcW w:w="648" w:type="pct"/>
          </w:tcPr>
          <w:p w14:paraId="13FD2E8A" w14:textId="77777777" w:rsidR="00377531" w:rsidRPr="00377531" w:rsidRDefault="00377531" w:rsidP="004F2670">
            <w:pPr>
              <w:jc w:val="center"/>
              <w:rPr>
                <w:noProof/>
                <w:sz w:val="20"/>
                <w:szCs w:val="20"/>
              </w:rPr>
            </w:pPr>
            <w:r>
              <w:rPr>
                <w:noProof/>
                <w:sz w:val="20"/>
              </w:rPr>
              <w:t>Russland: JA</w:t>
            </w:r>
          </w:p>
          <w:p w14:paraId="13FD2E8B" w14:textId="77777777" w:rsidR="00377531" w:rsidRPr="00377531" w:rsidRDefault="00377531" w:rsidP="004F2670">
            <w:pPr>
              <w:jc w:val="center"/>
              <w:rPr>
                <w:noProof/>
                <w:sz w:val="20"/>
                <w:szCs w:val="20"/>
                <w:u w:val="single"/>
              </w:rPr>
            </w:pPr>
          </w:p>
          <w:p w14:paraId="13FD2E8C" w14:textId="77777777" w:rsidR="00377531" w:rsidRPr="00377531" w:rsidRDefault="00377531" w:rsidP="004F2670">
            <w:pPr>
              <w:jc w:val="center"/>
              <w:rPr>
                <w:noProof/>
                <w:sz w:val="20"/>
                <w:szCs w:val="20"/>
              </w:rPr>
            </w:pPr>
            <w:r>
              <w:rPr>
                <w:noProof/>
                <w:sz w:val="20"/>
              </w:rPr>
              <w:t>Trinidad und Tobago/USA: NEIN</w:t>
            </w:r>
          </w:p>
        </w:tc>
        <w:tc>
          <w:tcPr>
            <w:tcW w:w="636" w:type="pct"/>
          </w:tcPr>
          <w:p w14:paraId="13FD2E8D" w14:textId="77777777" w:rsidR="00377531" w:rsidRPr="00377531" w:rsidRDefault="00377531" w:rsidP="004F2670">
            <w:pPr>
              <w:jc w:val="center"/>
              <w:rPr>
                <w:noProof/>
                <w:sz w:val="20"/>
                <w:szCs w:val="20"/>
              </w:rPr>
            </w:pPr>
            <w:r>
              <w:rPr>
                <w:noProof/>
                <w:sz w:val="20"/>
              </w:rPr>
              <w:t>JA</w:t>
            </w:r>
          </w:p>
        </w:tc>
        <w:tc>
          <w:tcPr>
            <w:tcW w:w="459" w:type="pct"/>
          </w:tcPr>
          <w:p w14:paraId="13FD2E8E" w14:textId="77777777" w:rsidR="00377531" w:rsidRPr="00377531" w:rsidRDefault="00377531" w:rsidP="004F2670">
            <w:pPr>
              <w:jc w:val="center"/>
              <w:rPr>
                <w:noProof/>
                <w:sz w:val="20"/>
                <w:szCs w:val="20"/>
              </w:rPr>
            </w:pPr>
            <w:r>
              <w:rPr>
                <w:noProof/>
                <w:sz w:val="20"/>
              </w:rPr>
              <w:t xml:space="preserve">Erdgas </w:t>
            </w:r>
          </w:p>
          <w:p w14:paraId="13FD2E8F" w14:textId="77777777" w:rsidR="00377531" w:rsidRPr="00377531" w:rsidRDefault="00377531" w:rsidP="004F2670">
            <w:pPr>
              <w:jc w:val="center"/>
              <w:rPr>
                <w:noProof/>
                <w:sz w:val="20"/>
                <w:szCs w:val="20"/>
              </w:rPr>
            </w:pPr>
            <w:r>
              <w:rPr>
                <w:noProof/>
                <w:sz w:val="20"/>
              </w:rPr>
              <w:t>&gt; 50 % der Herstellkosten</w:t>
            </w:r>
          </w:p>
          <w:p w14:paraId="13FD2E90" w14:textId="77777777" w:rsidR="00377531" w:rsidRPr="00377531" w:rsidRDefault="00377531" w:rsidP="004F2670">
            <w:pPr>
              <w:jc w:val="center"/>
              <w:rPr>
                <w:noProof/>
                <w:sz w:val="20"/>
                <w:szCs w:val="20"/>
              </w:rPr>
            </w:pPr>
          </w:p>
          <w:p w14:paraId="13FD2E91" w14:textId="77777777" w:rsidR="00377531" w:rsidRPr="00377531" w:rsidRDefault="00377531" w:rsidP="004F2670">
            <w:pPr>
              <w:jc w:val="center"/>
              <w:rPr>
                <w:noProof/>
                <w:sz w:val="20"/>
                <w:szCs w:val="20"/>
              </w:rPr>
            </w:pPr>
            <w:r>
              <w:rPr>
                <w:noProof/>
                <w:sz w:val="20"/>
              </w:rPr>
              <w:t>Der Preis ist erheblich niedriger als der Referenzpreis</w:t>
            </w:r>
          </w:p>
          <w:p w14:paraId="13FD2E92" w14:textId="77777777" w:rsidR="00377531" w:rsidRPr="00377531" w:rsidRDefault="00377531" w:rsidP="004F2670">
            <w:pPr>
              <w:jc w:val="center"/>
              <w:rPr>
                <w:noProof/>
                <w:sz w:val="20"/>
                <w:szCs w:val="20"/>
              </w:rPr>
            </w:pPr>
          </w:p>
          <w:p w14:paraId="13FD2E93" w14:textId="3B059B10" w:rsidR="00377531" w:rsidRPr="00377531" w:rsidRDefault="00377531" w:rsidP="004F2670">
            <w:pPr>
              <w:jc w:val="center"/>
              <w:rPr>
                <w:noProof/>
                <w:sz w:val="20"/>
                <w:szCs w:val="20"/>
              </w:rPr>
            </w:pPr>
            <w:r>
              <w:rPr>
                <w:noProof/>
                <w:sz w:val="20"/>
              </w:rPr>
              <w:t>Unionsinte</w:t>
            </w:r>
            <w:r w:rsidR="0087369D">
              <w:rPr>
                <w:noProof/>
                <w:sz w:val="20"/>
              </w:rPr>
              <w:softHyphen/>
            </w:r>
            <w:r>
              <w:rPr>
                <w:noProof/>
                <w:sz w:val="20"/>
              </w:rPr>
              <w:t>resse – JA</w:t>
            </w:r>
          </w:p>
          <w:p w14:paraId="13FD2E94" w14:textId="77777777" w:rsidR="00377531" w:rsidRPr="00377531" w:rsidRDefault="00377531" w:rsidP="004F2670">
            <w:pPr>
              <w:jc w:val="center"/>
              <w:rPr>
                <w:noProof/>
                <w:sz w:val="20"/>
                <w:szCs w:val="20"/>
              </w:rPr>
            </w:pPr>
            <w:r>
              <w:rPr>
                <w:noProof/>
                <w:sz w:val="20"/>
              </w:rPr>
              <w:t xml:space="preserve"> </w:t>
            </w:r>
          </w:p>
        </w:tc>
        <w:tc>
          <w:tcPr>
            <w:tcW w:w="423" w:type="pct"/>
          </w:tcPr>
          <w:p w14:paraId="13FD2E95" w14:textId="77777777" w:rsidR="00377531" w:rsidRPr="00377531" w:rsidRDefault="00377531" w:rsidP="004F2670">
            <w:pPr>
              <w:jc w:val="center"/>
              <w:rPr>
                <w:noProof/>
                <w:sz w:val="20"/>
                <w:szCs w:val="20"/>
              </w:rPr>
            </w:pPr>
            <w:r>
              <w:rPr>
                <w:noProof/>
                <w:sz w:val="20"/>
              </w:rPr>
              <w:t xml:space="preserve"> JA</w:t>
            </w:r>
          </w:p>
          <w:p w14:paraId="13FD2E96" w14:textId="77777777" w:rsidR="00377531" w:rsidRPr="00377531" w:rsidRDefault="00377531" w:rsidP="004F2670">
            <w:pPr>
              <w:jc w:val="center"/>
              <w:rPr>
                <w:noProof/>
                <w:sz w:val="20"/>
                <w:szCs w:val="20"/>
                <w:u w:val="single"/>
              </w:rPr>
            </w:pPr>
          </w:p>
        </w:tc>
        <w:tc>
          <w:tcPr>
            <w:tcW w:w="816" w:type="pct"/>
          </w:tcPr>
          <w:p w14:paraId="13FD2E97" w14:textId="77777777" w:rsidR="00377531" w:rsidRPr="00377531" w:rsidRDefault="00377531" w:rsidP="004F2670">
            <w:pPr>
              <w:jc w:val="center"/>
              <w:rPr>
                <w:noProof/>
                <w:sz w:val="20"/>
                <w:szCs w:val="20"/>
              </w:rPr>
            </w:pPr>
            <w:r>
              <w:rPr>
                <w:noProof/>
                <w:sz w:val="20"/>
              </w:rPr>
              <w:t>JA</w:t>
            </w:r>
          </w:p>
        </w:tc>
      </w:tr>
      <w:tr w:rsidR="0087369D" w:rsidRPr="00377531" w14:paraId="13FD2EA6" w14:textId="77777777" w:rsidTr="0087369D">
        <w:tc>
          <w:tcPr>
            <w:tcW w:w="550" w:type="pct"/>
          </w:tcPr>
          <w:p w14:paraId="13FD2E99" w14:textId="77777777" w:rsidR="00377531" w:rsidRPr="00377531" w:rsidRDefault="00377531" w:rsidP="004F2670">
            <w:pPr>
              <w:jc w:val="center"/>
              <w:rPr>
                <w:noProof/>
                <w:sz w:val="20"/>
                <w:szCs w:val="20"/>
              </w:rPr>
            </w:pPr>
            <w:r>
              <w:rPr>
                <w:noProof/>
                <w:sz w:val="20"/>
              </w:rPr>
              <w:t>Stahlräder</w:t>
            </w:r>
          </w:p>
        </w:tc>
        <w:tc>
          <w:tcPr>
            <w:tcW w:w="367" w:type="pct"/>
          </w:tcPr>
          <w:p w14:paraId="13FD2E9A" w14:textId="77777777" w:rsidR="00377531" w:rsidRPr="00377531" w:rsidRDefault="00377531" w:rsidP="004F2670">
            <w:pPr>
              <w:jc w:val="center"/>
              <w:rPr>
                <w:noProof/>
                <w:sz w:val="20"/>
                <w:szCs w:val="20"/>
              </w:rPr>
            </w:pPr>
            <w:r>
              <w:rPr>
                <w:noProof/>
                <w:sz w:val="20"/>
              </w:rPr>
              <w:t>China</w:t>
            </w:r>
          </w:p>
        </w:tc>
        <w:tc>
          <w:tcPr>
            <w:tcW w:w="551" w:type="pct"/>
          </w:tcPr>
          <w:p w14:paraId="13FD2E9B" w14:textId="77777777" w:rsidR="00377531" w:rsidRPr="00377531" w:rsidRDefault="00AB679B" w:rsidP="004F2670">
            <w:pPr>
              <w:jc w:val="center"/>
              <w:rPr>
                <w:rStyle w:val="Hyperlink"/>
                <w:noProof/>
                <w:sz w:val="20"/>
                <w:szCs w:val="20"/>
              </w:rPr>
            </w:pPr>
            <w:hyperlink r:id="rId27" w:history="1">
              <w:r w:rsidR="0062348C">
                <w:rPr>
                  <w:rStyle w:val="Hyperlink"/>
                  <w:noProof/>
                  <w:sz w:val="20"/>
                </w:rPr>
                <w:t xml:space="preserve">Vorläufige Verordnung </w:t>
              </w:r>
            </w:hyperlink>
          </w:p>
          <w:p w14:paraId="13FD2E9C" w14:textId="77777777" w:rsidR="00377531" w:rsidRPr="00377531" w:rsidRDefault="00377531" w:rsidP="004F2670">
            <w:pPr>
              <w:jc w:val="center"/>
              <w:rPr>
                <w:rStyle w:val="Hyperlink"/>
                <w:noProof/>
                <w:sz w:val="20"/>
                <w:szCs w:val="20"/>
              </w:rPr>
            </w:pPr>
          </w:p>
        </w:tc>
        <w:tc>
          <w:tcPr>
            <w:tcW w:w="551" w:type="pct"/>
          </w:tcPr>
          <w:p w14:paraId="13FD2E9D" w14:textId="77777777" w:rsidR="00377531" w:rsidRPr="00377531" w:rsidRDefault="00AB679B" w:rsidP="004F2670">
            <w:pPr>
              <w:jc w:val="center"/>
              <w:rPr>
                <w:rStyle w:val="Hyperlink"/>
                <w:noProof/>
                <w:sz w:val="20"/>
                <w:szCs w:val="20"/>
              </w:rPr>
            </w:pPr>
            <w:hyperlink r:id="rId28" w:history="1">
              <w:r w:rsidR="0062348C">
                <w:rPr>
                  <w:rStyle w:val="Hyperlink"/>
                  <w:noProof/>
                  <w:sz w:val="20"/>
                </w:rPr>
                <w:t xml:space="preserve">Endgültige Verordnung </w:t>
              </w:r>
            </w:hyperlink>
          </w:p>
          <w:p w14:paraId="13FD2E9E" w14:textId="77777777" w:rsidR="00377531" w:rsidRPr="00377531" w:rsidRDefault="00377531" w:rsidP="004F2670">
            <w:pPr>
              <w:jc w:val="center"/>
              <w:rPr>
                <w:noProof/>
                <w:sz w:val="20"/>
                <w:szCs w:val="20"/>
              </w:rPr>
            </w:pPr>
          </w:p>
        </w:tc>
        <w:tc>
          <w:tcPr>
            <w:tcW w:w="648" w:type="pct"/>
          </w:tcPr>
          <w:p w14:paraId="13FD2E9F" w14:textId="77777777" w:rsidR="00377531" w:rsidRPr="00377531" w:rsidRDefault="00377531" w:rsidP="004F2670">
            <w:pPr>
              <w:jc w:val="center"/>
              <w:rPr>
                <w:noProof/>
                <w:sz w:val="20"/>
                <w:szCs w:val="20"/>
              </w:rPr>
            </w:pPr>
            <w:r>
              <w:rPr>
                <w:noProof/>
                <w:sz w:val="20"/>
              </w:rPr>
              <w:t>NEIN</w:t>
            </w:r>
          </w:p>
        </w:tc>
        <w:tc>
          <w:tcPr>
            <w:tcW w:w="636" w:type="pct"/>
          </w:tcPr>
          <w:p w14:paraId="13FD2EA0" w14:textId="77777777" w:rsidR="00377531" w:rsidRPr="00377531" w:rsidRDefault="00377531" w:rsidP="004F2670">
            <w:pPr>
              <w:jc w:val="center"/>
              <w:rPr>
                <w:noProof/>
                <w:sz w:val="20"/>
                <w:szCs w:val="20"/>
              </w:rPr>
            </w:pPr>
            <w:r>
              <w:rPr>
                <w:noProof/>
                <w:sz w:val="20"/>
              </w:rPr>
              <w:t xml:space="preserve">- </w:t>
            </w:r>
          </w:p>
        </w:tc>
        <w:tc>
          <w:tcPr>
            <w:tcW w:w="459" w:type="pct"/>
          </w:tcPr>
          <w:p w14:paraId="13FD2EA1" w14:textId="77777777" w:rsidR="00377531" w:rsidRPr="00377531" w:rsidRDefault="00377531" w:rsidP="004F2670">
            <w:pPr>
              <w:jc w:val="center"/>
              <w:rPr>
                <w:noProof/>
                <w:sz w:val="20"/>
                <w:szCs w:val="20"/>
              </w:rPr>
            </w:pPr>
            <w:r>
              <w:rPr>
                <w:noProof/>
                <w:sz w:val="20"/>
              </w:rPr>
              <w:t>-</w:t>
            </w:r>
          </w:p>
        </w:tc>
        <w:tc>
          <w:tcPr>
            <w:tcW w:w="423" w:type="pct"/>
          </w:tcPr>
          <w:p w14:paraId="13FD2EA2" w14:textId="77777777" w:rsidR="00377531" w:rsidRPr="00377531" w:rsidRDefault="00377531" w:rsidP="004F2670">
            <w:pPr>
              <w:jc w:val="center"/>
              <w:rPr>
                <w:noProof/>
                <w:sz w:val="20"/>
                <w:szCs w:val="20"/>
              </w:rPr>
            </w:pPr>
            <w:r>
              <w:rPr>
                <w:noProof/>
                <w:sz w:val="20"/>
              </w:rPr>
              <w:t>-</w:t>
            </w:r>
          </w:p>
        </w:tc>
        <w:tc>
          <w:tcPr>
            <w:tcW w:w="816" w:type="pct"/>
          </w:tcPr>
          <w:p w14:paraId="13FD2EA3" w14:textId="77777777" w:rsidR="00377531" w:rsidRPr="00377531" w:rsidRDefault="00377531" w:rsidP="004F2670">
            <w:pPr>
              <w:jc w:val="center"/>
              <w:rPr>
                <w:noProof/>
                <w:sz w:val="20"/>
                <w:szCs w:val="20"/>
              </w:rPr>
            </w:pPr>
            <w:r>
              <w:rPr>
                <w:noProof/>
                <w:sz w:val="20"/>
              </w:rPr>
              <w:t>NEIN</w:t>
            </w:r>
          </w:p>
          <w:p w14:paraId="13FD2EA4" w14:textId="77777777" w:rsidR="00377531" w:rsidRPr="00377531" w:rsidRDefault="00377531" w:rsidP="004F2670">
            <w:pPr>
              <w:jc w:val="center"/>
              <w:rPr>
                <w:noProof/>
                <w:sz w:val="20"/>
                <w:szCs w:val="20"/>
              </w:rPr>
            </w:pPr>
          </w:p>
          <w:p w14:paraId="13FD2EA5" w14:textId="77777777" w:rsidR="00377531" w:rsidRPr="00377531" w:rsidRDefault="00377531" w:rsidP="004F2670">
            <w:pPr>
              <w:jc w:val="center"/>
              <w:rPr>
                <w:noProof/>
                <w:sz w:val="20"/>
                <w:szCs w:val="20"/>
              </w:rPr>
            </w:pPr>
            <w:r>
              <w:rPr>
                <w:noProof/>
                <w:sz w:val="20"/>
              </w:rPr>
              <w:t>Kein Anstieg der Einfuhren</w:t>
            </w:r>
          </w:p>
        </w:tc>
      </w:tr>
      <w:tr w:rsidR="0087369D" w:rsidRPr="00377531" w14:paraId="13FD2EB2" w14:textId="77777777" w:rsidTr="0087369D">
        <w:tc>
          <w:tcPr>
            <w:tcW w:w="550" w:type="pct"/>
          </w:tcPr>
          <w:p w14:paraId="13FD2EA7" w14:textId="77777777" w:rsidR="00377531" w:rsidRPr="00377531" w:rsidRDefault="00377531" w:rsidP="004F2670">
            <w:pPr>
              <w:jc w:val="center"/>
              <w:rPr>
                <w:noProof/>
                <w:sz w:val="20"/>
                <w:szCs w:val="20"/>
                <w:u w:val="single"/>
              </w:rPr>
            </w:pPr>
            <w:r>
              <w:rPr>
                <w:noProof/>
                <w:sz w:val="20"/>
              </w:rPr>
              <w:t>Bestimmte gewebte und/oder genähte Erzeugnisse aus Glasfasern</w:t>
            </w:r>
          </w:p>
        </w:tc>
        <w:tc>
          <w:tcPr>
            <w:tcW w:w="367" w:type="pct"/>
          </w:tcPr>
          <w:p w14:paraId="13FD2EA8" w14:textId="77777777" w:rsidR="00377531" w:rsidRPr="00377531" w:rsidRDefault="00377531" w:rsidP="004F2670">
            <w:pPr>
              <w:jc w:val="center"/>
              <w:rPr>
                <w:noProof/>
                <w:sz w:val="20"/>
                <w:szCs w:val="20"/>
              </w:rPr>
            </w:pPr>
            <w:r>
              <w:rPr>
                <w:noProof/>
                <w:sz w:val="20"/>
              </w:rPr>
              <w:t>Ägypten</w:t>
            </w:r>
          </w:p>
          <w:p w14:paraId="13FD2EA9" w14:textId="77777777" w:rsidR="00377531" w:rsidRPr="00377531" w:rsidRDefault="00377531" w:rsidP="004F2670">
            <w:pPr>
              <w:jc w:val="center"/>
              <w:rPr>
                <w:noProof/>
                <w:sz w:val="20"/>
                <w:szCs w:val="20"/>
                <w:u w:val="single"/>
              </w:rPr>
            </w:pPr>
            <w:r>
              <w:rPr>
                <w:noProof/>
                <w:sz w:val="20"/>
              </w:rPr>
              <w:t>China</w:t>
            </w:r>
          </w:p>
        </w:tc>
        <w:tc>
          <w:tcPr>
            <w:tcW w:w="551" w:type="pct"/>
          </w:tcPr>
          <w:p w14:paraId="13FD2EAA" w14:textId="77777777" w:rsidR="00377531" w:rsidRPr="00377531" w:rsidRDefault="00377531" w:rsidP="004F2670">
            <w:pPr>
              <w:jc w:val="center"/>
              <w:rPr>
                <w:noProof/>
                <w:sz w:val="20"/>
                <w:szCs w:val="20"/>
              </w:rPr>
            </w:pPr>
            <w:r>
              <w:rPr>
                <w:noProof/>
                <w:sz w:val="20"/>
              </w:rPr>
              <w:t>-</w:t>
            </w:r>
          </w:p>
        </w:tc>
        <w:tc>
          <w:tcPr>
            <w:tcW w:w="551" w:type="pct"/>
          </w:tcPr>
          <w:p w14:paraId="13FD2EAB" w14:textId="77777777" w:rsidR="00377531" w:rsidRPr="00377531" w:rsidRDefault="00AB679B" w:rsidP="004F2670">
            <w:pPr>
              <w:jc w:val="center"/>
              <w:rPr>
                <w:rStyle w:val="Hyperlink"/>
                <w:noProof/>
                <w:sz w:val="20"/>
                <w:szCs w:val="20"/>
              </w:rPr>
            </w:pPr>
            <w:hyperlink r:id="rId29" w:history="1">
              <w:r w:rsidR="0062348C">
                <w:rPr>
                  <w:rStyle w:val="Hyperlink"/>
                  <w:noProof/>
                  <w:sz w:val="20"/>
                </w:rPr>
                <w:t xml:space="preserve">Endgültige Verordnung </w:t>
              </w:r>
            </w:hyperlink>
          </w:p>
        </w:tc>
        <w:tc>
          <w:tcPr>
            <w:tcW w:w="648" w:type="pct"/>
          </w:tcPr>
          <w:p w14:paraId="13FD2EAC" w14:textId="77777777" w:rsidR="00377531" w:rsidRPr="00377531" w:rsidRDefault="00377531" w:rsidP="004F2670">
            <w:pPr>
              <w:jc w:val="center"/>
              <w:rPr>
                <w:noProof/>
                <w:sz w:val="20"/>
                <w:szCs w:val="20"/>
              </w:rPr>
            </w:pPr>
            <w:r>
              <w:rPr>
                <w:noProof/>
                <w:sz w:val="20"/>
              </w:rPr>
              <w:t xml:space="preserve">NEIN </w:t>
            </w:r>
          </w:p>
        </w:tc>
        <w:tc>
          <w:tcPr>
            <w:tcW w:w="636" w:type="pct"/>
          </w:tcPr>
          <w:p w14:paraId="13FD2EAD" w14:textId="77777777" w:rsidR="00377531" w:rsidRPr="00377531" w:rsidRDefault="00377531" w:rsidP="004F2670">
            <w:pPr>
              <w:jc w:val="center"/>
              <w:rPr>
                <w:noProof/>
                <w:sz w:val="20"/>
                <w:szCs w:val="20"/>
              </w:rPr>
            </w:pPr>
            <w:r>
              <w:rPr>
                <w:noProof/>
                <w:sz w:val="20"/>
              </w:rPr>
              <w:t>-</w:t>
            </w:r>
          </w:p>
        </w:tc>
        <w:tc>
          <w:tcPr>
            <w:tcW w:w="459" w:type="pct"/>
          </w:tcPr>
          <w:p w14:paraId="13FD2EAE" w14:textId="77777777" w:rsidR="00377531" w:rsidRPr="00377531" w:rsidRDefault="00377531" w:rsidP="004F2670">
            <w:pPr>
              <w:pStyle w:val="ListParagraph"/>
              <w:rPr>
                <w:rFonts w:ascii="Times New Roman" w:hAnsi="Times New Roman" w:cs="Times New Roman"/>
                <w:noProof/>
                <w:sz w:val="20"/>
                <w:szCs w:val="20"/>
              </w:rPr>
            </w:pPr>
            <w:r>
              <w:rPr>
                <w:rFonts w:ascii="Times New Roman" w:hAnsi="Times New Roman"/>
                <w:noProof/>
                <w:sz w:val="20"/>
              </w:rPr>
              <w:t>-</w:t>
            </w:r>
          </w:p>
        </w:tc>
        <w:tc>
          <w:tcPr>
            <w:tcW w:w="423" w:type="pct"/>
          </w:tcPr>
          <w:p w14:paraId="13FD2EAF" w14:textId="77777777" w:rsidR="00377531" w:rsidRPr="00377531" w:rsidRDefault="00377531" w:rsidP="004F2670">
            <w:pPr>
              <w:jc w:val="center"/>
              <w:rPr>
                <w:noProof/>
                <w:sz w:val="20"/>
                <w:szCs w:val="20"/>
              </w:rPr>
            </w:pPr>
            <w:r>
              <w:rPr>
                <w:noProof/>
                <w:sz w:val="20"/>
              </w:rPr>
              <w:t>-</w:t>
            </w:r>
          </w:p>
          <w:p w14:paraId="13FD2EB0" w14:textId="77777777" w:rsidR="00377531" w:rsidRPr="00377531" w:rsidRDefault="00377531" w:rsidP="004F2670">
            <w:pPr>
              <w:jc w:val="center"/>
              <w:rPr>
                <w:noProof/>
                <w:sz w:val="20"/>
                <w:szCs w:val="20"/>
              </w:rPr>
            </w:pPr>
          </w:p>
        </w:tc>
        <w:tc>
          <w:tcPr>
            <w:tcW w:w="816" w:type="pct"/>
          </w:tcPr>
          <w:p w14:paraId="13FD2EB1" w14:textId="77777777" w:rsidR="00377531" w:rsidRPr="00377531" w:rsidRDefault="00377531" w:rsidP="004F2670">
            <w:pPr>
              <w:jc w:val="center"/>
              <w:rPr>
                <w:noProof/>
                <w:sz w:val="20"/>
                <w:szCs w:val="20"/>
              </w:rPr>
            </w:pPr>
            <w:r>
              <w:rPr>
                <w:noProof/>
                <w:sz w:val="20"/>
              </w:rPr>
              <w:t>-</w:t>
            </w:r>
          </w:p>
        </w:tc>
      </w:tr>
      <w:tr w:rsidR="0087369D" w:rsidRPr="00377531" w14:paraId="13FD2EBD" w14:textId="77777777" w:rsidTr="0087369D">
        <w:tc>
          <w:tcPr>
            <w:tcW w:w="550" w:type="pct"/>
          </w:tcPr>
          <w:p w14:paraId="13FD2EB3" w14:textId="77777777" w:rsidR="00377531" w:rsidRPr="00377531" w:rsidRDefault="00377531" w:rsidP="004F2670">
            <w:pPr>
              <w:jc w:val="center"/>
              <w:rPr>
                <w:noProof/>
                <w:sz w:val="20"/>
                <w:szCs w:val="20"/>
              </w:rPr>
            </w:pPr>
            <w:r>
              <w:rPr>
                <w:noProof/>
                <w:sz w:val="20"/>
              </w:rPr>
              <w:t>Bestimmte Polyvinylalkohole</w:t>
            </w:r>
          </w:p>
        </w:tc>
        <w:tc>
          <w:tcPr>
            <w:tcW w:w="367" w:type="pct"/>
          </w:tcPr>
          <w:p w14:paraId="13FD2EB4" w14:textId="77777777" w:rsidR="00377531" w:rsidRPr="00377531" w:rsidRDefault="00377531" w:rsidP="004F2670">
            <w:pPr>
              <w:jc w:val="center"/>
              <w:rPr>
                <w:noProof/>
                <w:sz w:val="20"/>
                <w:szCs w:val="20"/>
              </w:rPr>
            </w:pPr>
            <w:r>
              <w:rPr>
                <w:noProof/>
                <w:sz w:val="20"/>
              </w:rPr>
              <w:t>China</w:t>
            </w:r>
          </w:p>
        </w:tc>
        <w:tc>
          <w:tcPr>
            <w:tcW w:w="551" w:type="pct"/>
          </w:tcPr>
          <w:p w14:paraId="13FD2EB5" w14:textId="77777777" w:rsidR="00377531" w:rsidRPr="00377531" w:rsidRDefault="00377531" w:rsidP="004F2670">
            <w:pPr>
              <w:jc w:val="center"/>
              <w:rPr>
                <w:noProof/>
                <w:sz w:val="20"/>
                <w:szCs w:val="20"/>
              </w:rPr>
            </w:pPr>
            <w:r>
              <w:rPr>
                <w:noProof/>
                <w:sz w:val="20"/>
              </w:rPr>
              <w:t>_</w:t>
            </w:r>
          </w:p>
        </w:tc>
        <w:tc>
          <w:tcPr>
            <w:tcW w:w="551" w:type="pct"/>
          </w:tcPr>
          <w:p w14:paraId="13FD2EB6" w14:textId="77777777" w:rsidR="00377531" w:rsidRPr="00377531" w:rsidRDefault="00377531" w:rsidP="004F2670">
            <w:pPr>
              <w:jc w:val="center"/>
              <w:rPr>
                <w:noProof/>
                <w:sz w:val="20"/>
                <w:szCs w:val="20"/>
              </w:rPr>
            </w:pPr>
            <w:r>
              <w:rPr>
                <w:rStyle w:val="Hyperlink"/>
                <w:noProof/>
                <w:sz w:val="20"/>
              </w:rPr>
              <w:t>Endgültige Verordnung</w:t>
            </w:r>
            <w:r>
              <w:rPr>
                <w:noProof/>
                <w:sz w:val="20"/>
              </w:rPr>
              <w:t xml:space="preserve"> </w:t>
            </w:r>
          </w:p>
        </w:tc>
        <w:tc>
          <w:tcPr>
            <w:tcW w:w="648" w:type="pct"/>
          </w:tcPr>
          <w:p w14:paraId="13FD2EB7" w14:textId="77777777" w:rsidR="00377531" w:rsidRPr="00377531" w:rsidRDefault="00377531" w:rsidP="004F2670">
            <w:pPr>
              <w:jc w:val="center"/>
              <w:rPr>
                <w:noProof/>
                <w:sz w:val="20"/>
                <w:szCs w:val="20"/>
              </w:rPr>
            </w:pPr>
            <w:r>
              <w:rPr>
                <w:noProof/>
                <w:sz w:val="20"/>
              </w:rPr>
              <w:t>NEIN</w:t>
            </w:r>
          </w:p>
        </w:tc>
        <w:tc>
          <w:tcPr>
            <w:tcW w:w="636" w:type="pct"/>
          </w:tcPr>
          <w:p w14:paraId="13FD2EB8" w14:textId="77777777" w:rsidR="00377531" w:rsidRPr="00377531" w:rsidRDefault="00377531" w:rsidP="004F2670">
            <w:pPr>
              <w:jc w:val="center"/>
              <w:rPr>
                <w:noProof/>
                <w:sz w:val="20"/>
                <w:szCs w:val="20"/>
              </w:rPr>
            </w:pPr>
            <w:r>
              <w:rPr>
                <w:noProof/>
                <w:sz w:val="20"/>
              </w:rPr>
              <w:t>-</w:t>
            </w:r>
          </w:p>
        </w:tc>
        <w:tc>
          <w:tcPr>
            <w:tcW w:w="459" w:type="pct"/>
          </w:tcPr>
          <w:p w14:paraId="13FD2EB9" w14:textId="77777777" w:rsidR="00377531" w:rsidRPr="00377531" w:rsidRDefault="00377531" w:rsidP="004F2670">
            <w:pPr>
              <w:jc w:val="center"/>
              <w:rPr>
                <w:noProof/>
                <w:sz w:val="20"/>
                <w:szCs w:val="20"/>
              </w:rPr>
            </w:pPr>
            <w:r>
              <w:rPr>
                <w:noProof/>
                <w:sz w:val="20"/>
              </w:rPr>
              <w:t>-</w:t>
            </w:r>
          </w:p>
        </w:tc>
        <w:tc>
          <w:tcPr>
            <w:tcW w:w="423" w:type="pct"/>
          </w:tcPr>
          <w:p w14:paraId="13FD2EBA" w14:textId="77777777" w:rsidR="00377531" w:rsidRPr="00377531" w:rsidRDefault="00377531" w:rsidP="004F2670">
            <w:pPr>
              <w:jc w:val="center"/>
              <w:rPr>
                <w:noProof/>
                <w:sz w:val="20"/>
                <w:szCs w:val="20"/>
              </w:rPr>
            </w:pPr>
            <w:r>
              <w:rPr>
                <w:noProof/>
                <w:sz w:val="20"/>
              </w:rPr>
              <w:t>-</w:t>
            </w:r>
          </w:p>
        </w:tc>
        <w:tc>
          <w:tcPr>
            <w:tcW w:w="816" w:type="pct"/>
          </w:tcPr>
          <w:p w14:paraId="13FD2EBB" w14:textId="77777777" w:rsidR="00377531" w:rsidRPr="00377531" w:rsidRDefault="00377531" w:rsidP="004F2670">
            <w:pPr>
              <w:jc w:val="center"/>
              <w:rPr>
                <w:noProof/>
                <w:sz w:val="20"/>
                <w:szCs w:val="20"/>
              </w:rPr>
            </w:pPr>
            <w:r>
              <w:rPr>
                <w:noProof/>
                <w:sz w:val="20"/>
              </w:rPr>
              <w:t>-</w:t>
            </w:r>
          </w:p>
          <w:p w14:paraId="13FD2EBC" w14:textId="77777777" w:rsidR="00377531" w:rsidRPr="00377531" w:rsidRDefault="00377531" w:rsidP="004F2670">
            <w:pPr>
              <w:jc w:val="center"/>
              <w:rPr>
                <w:noProof/>
                <w:sz w:val="20"/>
                <w:szCs w:val="20"/>
              </w:rPr>
            </w:pPr>
          </w:p>
        </w:tc>
      </w:tr>
      <w:tr w:rsidR="0087369D" w:rsidRPr="00377531" w14:paraId="13FD2ED4" w14:textId="77777777" w:rsidTr="0087369D">
        <w:tc>
          <w:tcPr>
            <w:tcW w:w="550" w:type="pct"/>
          </w:tcPr>
          <w:p w14:paraId="13FD2EBE" w14:textId="77777777" w:rsidR="00377531" w:rsidRPr="00377531" w:rsidRDefault="00377531" w:rsidP="004F2670">
            <w:pPr>
              <w:jc w:val="center"/>
              <w:rPr>
                <w:noProof/>
                <w:sz w:val="20"/>
                <w:szCs w:val="20"/>
              </w:rPr>
            </w:pPr>
            <w:r>
              <w:rPr>
                <w:noProof/>
                <w:sz w:val="20"/>
              </w:rPr>
              <w:t>Bestimmte warmgewalzte Flacherzeugnisse aus nicht rostendem Stahl in Tafeln oder Rollen (Coils)</w:t>
            </w:r>
          </w:p>
        </w:tc>
        <w:tc>
          <w:tcPr>
            <w:tcW w:w="367" w:type="pct"/>
          </w:tcPr>
          <w:p w14:paraId="13FD2EBF" w14:textId="77777777" w:rsidR="00377531" w:rsidRPr="00377531" w:rsidRDefault="00377531" w:rsidP="004F2670">
            <w:pPr>
              <w:jc w:val="center"/>
              <w:rPr>
                <w:noProof/>
                <w:sz w:val="20"/>
                <w:szCs w:val="20"/>
              </w:rPr>
            </w:pPr>
            <w:r>
              <w:rPr>
                <w:noProof/>
                <w:sz w:val="20"/>
              </w:rPr>
              <w:t xml:space="preserve">Indonesien </w:t>
            </w:r>
          </w:p>
          <w:p w14:paraId="13FD2EC0" w14:textId="77777777" w:rsidR="00377531" w:rsidRPr="00377531" w:rsidRDefault="00377531" w:rsidP="004F2670">
            <w:pPr>
              <w:jc w:val="center"/>
              <w:rPr>
                <w:noProof/>
                <w:sz w:val="20"/>
                <w:szCs w:val="20"/>
              </w:rPr>
            </w:pPr>
            <w:r>
              <w:rPr>
                <w:noProof/>
                <w:sz w:val="20"/>
              </w:rPr>
              <w:t>China</w:t>
            </w:r>
          </w:p>
          <w:p w14:paraId="13FD2EC1" w14:textId="77777777" w:rsidR="00377531" w:rsidRPr="00377531" w:rsidRDefault="00377531" w:rsidP="004F2670">
            <w:pPr>
              <w:jc w:val="center"/>
              <w:rPr>
                <w:noProof/>
                <w:sz w:val="20"/>
                <w:szCs w:val="20"/>
              </w:rPr>
            </w:pPr>
            <w:r>
              <w:rPr>
                <w:noProof/>
                <w:sz w:val="20"/>
              </w:rPr>
              <w:t xml:space="preserve"> Taiwan</w:t>
            </w:r>
          </w:p>
        </w:tc>
        <w:tc>
          <w:tcPr>
            <w:tcW w:w="551" w:type="pct"/>
          </w:tcPr>
          <w:p w14:paraId="13FD2EC2" w14:textId="77777777" w:rsidR="00377531" w:rsidRPr="00377531" w:rsidRDefault="00AB679B" w:rsidP="004F2670">
            <w:pPr>
              <w:jc w:val="center"/>
              <w:rPr>
                <w:noProof/>
                <w:sz w:val="20"/>
                <w:szCs w:val="20"/>
              </w:rPr>
            </w:pPr>
            <w:hyperlink r:id="rId30" w:history="1">
              <w:r w:rsidR="0062348C">
                <w:rPr>
                  <w:rStyle w:val="Hyperlink"/>
                  <w:noProof/>
                  <w:sz w:val="20"/>
                </w:rPr>
                <w:t>Vorläufige Verordnung</w:t>
              </w:r>
            </w:hyperlink>
          </w:p>
          <w:p w14:paraId="13FD2EC3" w14:textId="77777777" w:rsidR="00377531" w:rsidRPr="00377531" w:rsidRDefault="00377531" w:rsidP="004F2670">
            <w:pPr>
              <w:jc w:val="center"/>
              <w:rPr>
                <w:noProof/>
                <w:sz w:val="20"/>
                <w:szCs w:val="20"/>
              </w:rPr>
            </w:pPr>
          </w:p>
        </w:tc>
        <w:tc>
          <w:tcPr>
            <w:tcW w:w="551" w:type="pct"/>
          </w:tcPr>
          <w:p w14:paraId="13FD2EC4" w14:textId="77777777" w:rsidR="00377531" w:rsidRPr="00377531" w:rsidRDefault="00AB679B" w:rsidP="004F2670">
            <w:pPr>
              <w:jc w:val="center"/>
              <w:rPr>
                <w:noProof/>
                <w:sz w:val="20"/>
                <w:szCs w:val="20"/>
              </w:rPr>
            </w:pPr>
            <w:hyperlink r:id="rId31" w:history="1">
              <w:r w:rsidR="0062348C">
                <w:rPr>
                  <w:rStyle w:val="Hyperlink"/>
                  <w:noProof/>
                  <w:sz w:val="20"/>
                </w:rPr>
                <w:t xml:space="preserve">Endgültige Verordnung </w:t>
              </w:r>
            </w:hyperlink>
          </w:p>
          <w:p w14:paraId="13FD2EC5" w14:textId="77777777" w:rsidR="00377531" w:rsidRPr="00377531" w:rsidRDefault="00377531" w:rsidP="004F2670">
            <w:pPr>
              <w:jc w:val="center"/>
              <w:rPr>
                <w:noProof/>
                <w:sz w:val="20"/>
                <w:szCs w:val="20"/>
              </w:rPr>
            </w:pPr>
          </w:p>
        </w:tc>
        <w:tc>
          <w:tcPr>
            <w:tcW w:w="648" w:type="pct"/>
          </w:tcPr>
          <w:p w14:paraId="13FD2EC6" w14:textId="77777777" w:rsidR="00377531" w:rsidRPr="00377531" w:rsidRDefault="00377531" w:rsidP="004F2670">
            <w:pPr>
              <w:jc w:val="center"/>
              <w:rPr>
                <w:noProof/>
                <w:sz w:val="20"/>
                <w:szCs w:val="20"/>
              </w:rPr>
            </w:pPr>
            <w:r>
              <w:rPr>
                <w:noProof/>
                <w:sz w:val="20"/>
              </w:rPr>
              <w:t>Indonesien und China: JA</w:t>
            </w:r>
          </w:p>
          <w:p w14:paraId="13FD2EC7" w14:textId="77777777" w:rsidR="00377531" w:rsidRPr="00377531" w:rsidRDefault="00377531" w:rsidP="004F2670">
            <w:pPr>
              <w:jc w:val="center"/>
              <w:rPr>
                <w:noProof/>
                <w:sz w:val="20"/>
                <w:szCs w:val="20"/>
              </w:rPr>
            </w:pPr>
          </w:p>
          <w:p w14:paraId="13FD2EC8" w14:textId="77777777" w:rsidR="00377531" w:rsidRPr="00377531" w:rsidRDefault="00377531" w:rsidP="004F2670">
            <w:pPr>
              <w:jc w:val="center"/>
              <w:rPr>
                <w:noProof/>
                <w:sz w:val="20"/>
                <w:szCs w:val="20"/>
              </w:rPr>
            </w:pPr>
            <w:r>
              <w:rPr>
                <w:noProof/>
                <w:sz w:val="20"/>
              </w:rPr>
              <w:t>Taiwan: NEIN</w:t>
            </w:r>
          </w:p>
        </w:tc>
        <w:tc>
          <w:tcPr>
            <w:tcW w:w="636" w:type="pct"/>
          </w:tcPr>
          <w:p w14:paraId="13FD2EC9" w14:textId="77777777" w:rsidR="00377531" w:rsidRPr="00377531" w:rsidRDefault="00377531" w:rsidP="004F2670">
            <w:pPr>
              <w:jc w:val="center"/>
              <w:rPr>
                <w:noProof/>
                <w:sz w:val="20"/>
                <w:szCs w:val="20"/>
              </w:rPr>
            </w:pPr>
            <w:r>
              <w:rPr>
                <w:noProof/>
                <w:sz w:val="20"/>
              </w:rPr>
              <w:t>Indonesien und China: JA</w:t>
            </w:r>
          </w:p>
          <w:p w14:paraId="13FD2ECA" w14:textId="77777777" w:rsidR="00377531" w:rsidRPr="00377531" w:rsidRDefault="00377531" w:rsidP="004F2670">
            <w:pPr>
              <w:jc w:val="both"/>
              <w:rPr>
                <w:noProof/>
                <w:sz w:val="20"/>
                <w:szCs w:val="20"/>
              </w:rPr>
            </w:pPr>
          </w:p>
        </w:tc>
        <w:tc>
          <w:tcPr>
            <w:tcW w:w="459" w:type="pct"/>
          </w:tcPr>
          <w:p w14:paraId="13FD2ECB" w14:textId="77777777" w:rsidR="00377531" w:rsidRPr="00377531" w:rsidRDefault="00377531" w:rsidP="004F2670">
            <w:pPr>
              <w:jc w:val="both"/>
              <w:rPr>
                <w:noProof/>
                <w:sz w:val="20"/>
                <w:szCs w:val="20"/>
              </w:rPr>
            </w:pPr>
            <w:r>
              <w:rPr>
                <w:noProof/>
                <w:sz w:val="20"/>
              </w:rPr>
              <w:t>China: Wichtigste Rohstoffe &gt; 17 % der Herstellkosten</w:t>
            </w:r>
          </w:p>
          <w:p w14:paraId="13FD2ECC" w14:textId="77777777" w:rsidR="00377531" w:rsidRPr="00377531" w:rsidRDefault="00377531" w:rsidP="004F2670">
            <w:pPr>
              <w:jc w:val="both"/>
              <w:rPr>
                <w:noProof/>
                <w:sz w:val="20"/>
                <w:szCs w:val="20"/>
              </w:rPr>
            </w:pPr>
            <w:r>
              <w:rPr>
                <w:noProof/>
                <w:sz w:val="20"/>
              </w:rPr>
              <w:t xml:space="preserve">Der Preis ist niedriger als der Referenzpreis. </w:t>
            </w:r>
          </w:p>
          <w:p w14:paraId="13FD2ECD" w14:textId="77777777" w:rsidR="00377531" w:rsidRPr="00377531" w:rsidRDefault="00377531" w:rsidP="004F2670">
            <w:pPr>
              <w:jc w:val="both"/>
              <w:rPr>
                <w:noProof/>
                <w:sz w:val="20"/>
                <w:szCs w:val="20"/>
              </w:rPr>
            </w:pPr>
            <w:r>
              <w:rPr>
                <w:noProof/>
                <w:sz w:val="20"/>
              </w:rPr>
              <w:t>Indonesien: Nickelerz &gt; 17 % der Herstellkosten</w:t>
            </w:r>
          </w:p>
          <w:p w14:paraId="13FD2ECE" w14:textId="77777777" w:rsidR="00377531" w:rsidRPr="00377531" w:rsidRDefault="00377531" w:rsidP="004F2670">
            <w:pPr>
              <w:jc w:val="both"/>
              <w:rPr>
                <w:noProof/>
                <w:sz w:val="20"/>
                <w:szCs w:val="20"/>
              </w:rPr>
            </w:pPr>
            <w:r>
              <w:rPr>
                <w:noProof/>
                <w:sz w:val="20"/>
              </w:rPr>
              <w:t>Der Preis ist niedriger als der Referenzpreis.</w:t>
            </w:r>
          </w:p>
          <w:p w14:paraId="13FD2ECF" w14:textId="767D8E8D" w:rsidR="00377531" w:rsidRPr="00377531" w:rsidRDefault="00377531" w:rsidP="004F2670">
            <w:pPr>
              <w:jc w:val="both"/>
              <w:rPr>
                <w:noProof/>
                <w:sz w:val="20"/>
                <w:szCs w:val="20"/>
              </w:rPr>
            </w:pPr>
            <w:r>
              <w:rPr>
                <w:noProof/>
                <w:sz w:val="20"/>
              </w:rPr>
              <w:t>Unionsinte</w:t>
            </w:r>
            <w:r w:rsidR="0087369D">
              <w:rPr>
                <w:noProof/>
                <w:sz w:val="20"/>
              </w:rPr>
              <w:softHyphen/>
            </w:r>
            <w:r>
              <w:rPr>
                <w:noProof/>
                <w:sz w:val="20"/>
              </w:rPr>
              <w:t>resse: NEIN</w:t>
            </w:r>
          </w:p>
        </w:tc>
        <w:tc>
          <w:tcPr>
            <w:tcW w:w="423" w:type="pct"/>
          </w:tcPr>
          <w:p w14:paraId="13FD2ED0" w14:textId="77777777" w:rsidR="00377531" w:rsidRPr="00377531" w:rsidRDefault="00377531" w:rsidP="004F2670">
            <w:pPr>
              <w:jc w:val="center"/>
              <w:rPr>
                <w:noProof/>
                <w:sz w:val="20"/>
                <w:szCs w:val="20"/>
              </w:rPr>
            </w:pPr>
            <w:r>
              <w:rPr>
                <w:noProof/>
                <w:sz w:val="20"/>
              </w:rPr>
              <w:t>NEIN</w:t>
            </w:r>
          </w:p>
        </w:tc>
        <w:tc>
          <w:tcPr>
            <w:tcW w:w="816" w:type="pct"/>
          </w:tcPr>
          <w:p w14:paraId="13FD2ED1" w14:textId="77777777" w:rsidR="00377531" w:rsidRPr="00377531" w:rsidRDefault="00377531" w:rsidP="004F2670">
            <w:pPr>
              <w:jc w:val="center"/>
              <w:rPr>
                <w:noProof/>
                <w:sz w:val="20"/>
                <w:szCs w:val="20"/>
              </w:rPr>
            </w:pPr>
            <w:r>
              <w:rPr>
                <w:noProof/>
                <w:sz w:val="20"/>
              </w:rPr>
              <w:t>JA</w:t>
            </w:r>
          </w:p>
          <w:p w14:paraId="13FD2ED2" w14:textId="77777777" w:rsidR="00377531" w:rsidRPr="00377531" w:rsidRDefault="00377531" w:rsidP="004F2670">
            <w:pPr>
              <w:jc w:val="center"/>
              <w:rPr>
                <w:noProof/>
                <w:sz w:val="20"/>
                <w:szCs w:val="20"/>
              </w:rPr>
            </w:pPr>
          </w:p>
          <w:p w14:paraId="13FD2ED3" w14:textId="77777777" w:rsidR="00377531" w:rsidRPr="00377531" w:rsidRDefault="00377531" w:rsidP="004F2670">
            <w:pPr>
              <w:jc w:val="center"/>
              <w:rPr>
                <w:noProof/>
                <w:sz w:val="20"/>
                <w:szCs w:val="20"/>
              </w:rPr>
            </w:pPr>
          </w:p>
        </w:tc>
      </w:tr>
      <w:tr w:rsidR="0087369D" w:rsidRPr="00377531" w14:paraId="13FD2EE2" w14:textId="77777777" w:rsidTr="0087369D">
        <w:tc>
          <w:tcPr>
            <w:tcW w:w="550" w:type="pct"/>
          </w:tcPr>
          <w:p w14:paraId="13FD2ED5" w14:textId="77777777" w:rsidR="00377531" w:rsidRPr="00377531" w:rsidRDefault="00377531" w:rsidP="004F2670">
            <w:pPr>
              <w:jc w:val="center"/>
              <w:rPr>
                <w:noProof/>
                <w:sz w:val="20"/>
                <w:szCs w:val="20"/>
              </w:rPr>
            </w:pPr>
            <w:r>
              <w:rPr>
                <w:noProof/>
                <w:sz w:val="20"/>
              </w:rPr>
              <w:t>Bestimmtes schwergewichtiges Thermopapier</w:t>
            </w:r>
          </w:p>
        </w:tc>
        <w:tc>
          <w:tcPr>
            <w:tcW w:w="367" w:type="pct"/>
          </w:tcPr>
          <w:p w14:paraId="13FD2ED6" w14:textId="77777777" w:rsidR="00377531" w:rsidRPr="00377531" w:rsidRDefault="00377531" w:rsidP="004F2670">
            <w:pPr>
              <w:jc w:val="center"/>
              <w:rPr>
                <w:noProof/>
                <w:sz w:val="20"/>
                <w:szCs w:val="20"/>
              </w:rPr>
            </w:pPr>
            <w:r>
              <w:rPr>
                <w:noProof/>
                <w:sz w:val="20"/>
              </w:rPr>
              <w:t>Korea</w:t>
            </w:r>
          </w:p>
        </w:tc>
        <w:tc>
          <w:tcPr>
            <w:tcW w:w="551" w:type="pct"/>
          </w:tcPr>
          <w:p w14:paraId="13FD2ED7" w14:textId="77777777" w:rsidR="00377531" w:rsidRPr="00377531" w:rsidRDefault="00AB679B" w:rsidP="004F2670">
            <w:pPr>
              <w:jc w:val="center"/>
              <w:rPr>
                <w:noProof/>
                <w:color w:val="1F497D"/>
                <w:sz w:val="20"/>
                <w:szCs w:val="20"/>
              </w:rPr>
            </w:pPr>
            <w:hyperlink r:id="rId32" w:history="1">
              <w:r w:rsidR="0062348C">
                <w:rPr>
                  <w:rStyle w:val="Hyperlink"/>
                  <w:noProof/>
                  <w:sz w:val="20"/>
                </w:rPr>
                <w:t>Vorläufige Verordnung</w:t>
              </w:r>
            </w:hyperlink>
          </w:p>
          <w:p w14:paraId="13FD2ED8" w14:textId="77777777" w:rsidR="00377531" w:rsidRPr="00377531" w:rsidRDefault="00377531" w:rsidP="004F2670">
            <w:pPr>
              <w:jc w:val="center"/>
              <w:rPr>
                <w:noProof/>
                <w:sz w:val="20"/>
                <w:szCs w:val="20"/>
                <w:lang w:val="fr-BE"/>
              </w:rPr>
            </w:pPr>
          </w:p>
        </w:tc>
        <w:tc>
          <w:tcPr>
            <w:tcW w:w="551" w:type="pct"/>
          </w:tcPr>
          <w:p w14:paraId="13FD2ED9" w14:textId="77777777" w:rsidR="00377531" w:rsidRPr="00377531" w:rsidRDefault="00AB679B" w:rsidP="004F2670">
            <w:pPr>
              <w:jc w:val="center"/>
              <w:rPr>
                <w:noProof/>
                <w:sz w:val="20"/>
                <w:szCs w:val="20"/>
              </w:rPr>
            </w:pPr>
            <w:hyperlink r:id="rId33" w:history="1">
              <w:r w:rsidR="0062348C">
                <w:rPr>
                  <w:rStyle w:val="Hyperlink"/>
                  <w:noProof/>
                  <w:sz w:val="20"/>
                </w:rPr>
                <w:t xml:space="preserve">Endgültige Verordnung </w:t>
              </w:r>
            </w:hyperlink>
          </w:p>
          <w:p w14:paraId="13FD2EDA" w14:textId="77777777" w:rsidR="00377531" w:rsidRPr="00377531" w:rsidRDefault="00377531" w:rsidP="004F2670">
            <w:pPr>
              <w:jc w:val="center"/>
              <w:rPr>
                <w:noProof/>
                <w:sz w:val="20"/>
                <w:szCs w:val="20"/>
                <w:lang w:val="fr-BE"/>
              </w:rPr>
            </w:pPr>
          </w:p>
        </w:tc>
        <w:tc>
          <w:tcPr>
            <w:tcW w:w="648" w:type="pct"/>
          </w:tcPr>
          <w:p w14:paraId="13FD2EDB" w14:textId="77777777" w:rsidR="00377531" w:rsidRPr="00377531" w:rsidRDefault="00377531" w:rsidP="004F2670">
            <w:pPr>
              <w:jc w:val="center"/>
              <w:rPr>
                <w:noProof/>
                <w:sz w:val="20"/>
                <w:szCs w:val="20"/>
              </w:rPr>
            </w:pPr>
            <w:r>
              <w:rPr>
                <w:noProof/>
                <w:sz w:val="20"/>
              </w:rPr>
              <w:t>NEIN</w:t>
            </w:r>
          </w:p>
        </w:tc>
        <w:tc>
          <w:tcPr>
            <w:tcW w:w="636" w:type="pct"/>
          </w:tcPr>
          <w:p w14:paraId="13FD2EDC" w14:textId="77777777" w:rsidR="00377531" w:rsidRPr="00377531" w:rsidRDefault="00377531" w:rsidP="004F2670">
            <w:pPr>
              <w:jc w:val="center"/>
              <w:rPr>
                <w:noProof/>
                <w:sz w:val="20"/>
                <w:szCs w:val="20"/>
              </w:rPr>
            </w:pPr>
            <w:r>
              <w:rPr>
                <w:noProof/>
                <w:sz w:val="20"/>
              </w:rPr>
              <w:t>-</w:t>
            </w:r>
          </w:p>
        </w:tc>
        <w:tc>
          <w:tcPr>
            <w:tcW w:w="459" w:type="pct"/>
          </w:tcPr>
          <w:p w14:paraId="13FD2EDD" w14:textId="77777777" w:rsidR="00377531" w:rsidRPr="00377531" w:rsidRDefault="00377531" w:rsidP="004F2670">
            <w:pPr>
              <w:jc w:val="center"/>
              <w:rPr>
                <w:noProof/>
                <w:sz w:val="20"/>
                <w:szCs w:val="20"/>
              </w:rPr>
            </w:pPr>
            <w:r>
              <w:rPr>
                <w:noProof/>
                <w:sz w:val="20"/>
              </w:rPr>
              <w:t>-</w:t>
            </w:r>
          </w:p>
        </w:tc>
        <w:tc>
          <w:tcPr>
            <w:tcW w:w="423" w:type="pct"/>
          </w:tcPr>
          <w:p w14:paraId="13FD2EDE" w14:textId="77777777" w:rsidR="00377531" w:rsidRPr="00377531" w:rsidRDefault="00377531" w:rsidP="004F2670">
            <w:pPr>
              <w:jc w:val="center"/>
              <w:rPr>
                <w:noProof/>
                <w:sz w:val="20"/>
                <w:szCs w:val="20"/>
              </w:rPr>
            </w:pPr>
            <w:r>
              <w:rPr>
                <w:noProof/>
                <w:sz w:val="20"/>
              </w:rPr>
              <w:t>-</w:t>
            </w:r>
          </w:p>
        </w:tc>
        <w:tc>
          <w:tcPr>
            <w:tcW w:w="816" w:type="pct"/>
          </w:tcPr>
          <w:p w14:paraId="13FD2EDF" w14:textId="77777777" w:rsidR="00377531" w:rsidRPr="00377531" w:rsidRDefault="00377531" w:rsidP="004F2670">
            <w:pPr>
              <w:jc w:val="center"/>
              <w:rPr>
                <w:noProof/>
                <w:sz w:val="20"/>
                <w:szCs w:val="20"/>
              </w:rPr>
            </w:pPr>
            <w:r>
              <w:rPr>
                <w:noProof/>
                <w:sz w:val="20"/>
              </w:rPr>
              <w:t xml:space="preserve">NEIN </w:t>
            </w:r>
          </w:p>
          <w:p w14:paraId="13FD2EE0" w14:textId="77777777" w:rsidR="00377531" w:rsidRPr="00377531" w:rsidRDefault="00377531" w:rsidP="004F2670">
            <w:pPr>
              <w:jc w:val="center"/>
              <w:rPr>
                <w:noProof/>
                <w:sz w:val="20"/>
                <w:szCs w:val="20"/>
              </w:rPr>
            </w:pPr>
            <w:r>
              <w:rPr>
                <w:noProof/>
                <w:sz w:val="20"/>
              </w:rPr>
              <w:t xml:space="preserve">Anstieg der Einfuhren um 71 %.   </w:t>
            </w:r>
          </w:p>
          <w:p w14:paraId="13FD2EE1" w14:textId="77777777" w:rsidR="00377531" w:rsidRPr="00377531" w:rsidRDefault="00377531" w:rsidP="004F2670">
            <w:pPr>
              <w:jc w:val="center"/>
              <w:rPr>
                <w:noProof/>
                <w:sz w:val="20"/>
                <w:szCs w:val="20"/>
              </w:rPr>
            </w:pPr>
            <w:r>
              <w:rPr>
                <w:noProof/>
                <w:sz w:val="20"/>
              </w:rPr>
              <w:t>Schadensspanne von 16,9 % auf 17,6 % gestiegen.</w:t>
            </w:r>
          </w:p>
        </w:tc>
      </w:tr>
      <w:tr w:rsidR="0087369D" w:rsidRPr="00377531" w14:paraId="13FD2EEE" w14:textId="77777777" w:rsidTr="0087369D">
        <w:tc>
          <w:tcPr>
            <w:tcW w:w="550" w:type="pct"/>
          </w:tcPr>
          <w:p w14:paraId="13FD2EE3" w14:textId="77777777" w:rsidR="00377531" w:rsidRPr="00377531" w:rsidRDefault="00377531" w:rsidP="004F2670">
            <w:pPr>
              <w:jc w:val="center"/>
              <w:rPr>
                <w:noProof/>
                <w:sz w:val="20"/>
                <w:szCs w:val="20"/>
              </w:rPr>
            </w:pPr>
            <w:r>
              <w:rPr>
                <w:noProof/>
                <w:sz w:val="20"/>
              </w:rPr>
              <w:t>Aluminiumstrangpresserzeugnisse</w:t>
            </w:r>
          </w:p>
        </w:tc>
        <w:tc>
          <w:tcPr>
            <w:tcW w:w="367" w:type="pct"/>
          </w:tcPr>
          <w:p w14:paraId="13FD2EE4" w14:textId="77777777" w:rsidR="00377531" w:rsidRPr="00377531" w:rsidRDefault="00377531" w:rsidP="004F2670">
            <w:pPr>
              <w:jc w:val="center"/>
              <w:rPr>
                <w:noProof/>
                <w:sz w:val="20"/>
                <w:szCs w:val="20"/>
              </w:rPr>
            </w:pPr>
            <w:r>
              <w:rPr>
                <w:noProof/>
                <w:sz w:val="20"/>
              </w:rPr>
              <w:t>China</w:t>
            </w:r>
          </w:p>
        </w:tc>
        <w:tc>
          <w:tcPr>
            <w:tcW w:w="551" w:type="pct"/>
          </w:tcPr>
          <w:p w14:paraId="13FD2EE5" w14:textId="77777777" w:rsidR="00377531" w:rsidRPr="00377531" w:rsidRDefault="00AB679B" w:rsidP="004F2670">
            <w:pPr>
              <w:jc w:val="center"/>
              <w:rPr>
                <w:noProof/>
                <w:sz w:val="20"/>
                <w:szCs w:val="20"/>
              </w:rPr>
            </w:pPr>
            <w:hyperlink r:id="rId34" w:history="1">
              <w:r w:rsidR="0062348C">
                <w:rPr>
                  <w:rStyle w:val="Hyperlink"/>
                  <w:noProof/>
                  <w:sz w:val="20"/>
                </w:rPr>
                <w:t xml:space="preserve">Vorläufige Verordnung </w:t>
              </w:r>
            </w:hyperlink>
          </w:p>
          <w:p w14:paraId="13FD2EE6" w14:textId="77777777" w:rsidR="00377531" w:rsidRPr="00377531" w:rsidRDefault="00377531" w:rsidP="004F2670">
            <w:pPr>
              <w:jc w:val="center"/>
              <w:rPr>
                <w:noProof/>
                <w:sz w:val="20"/>
                <w:szCs w:val="20"/>
              </w:rPr>
            </w:pPr>
          </w:p>
        </w:tc>
        <w:tc>
          <w:tcPr>
            <w:tcW w:w="551" w:type="pct"/>
          </w:tcPr>
          <w:p w14:paraId="13FD2EE7" w14:textId="77777777" w:rsidR="00377531" w:rsidRPr="00377531" w:rsidRDefault="00AB679B" w:rsidP="004F2670">
            <w:pPr>
              <w:jc w:val="center"/>
              <w:rPr>
                <w:noProof/>
                <w:sz w:val="20"/>
                <w:szCs w:val="20"/>
              </w:rPr>
            </w:pPr>
            <w:hyperlink r:id="rId35" w:history="1">
              <w:r w:rsidR="0062348C">
                <w:rPr>
                  <w:rStyle w:val="Hyperlink"/>
                  <w:noProof/>
                  <w:sz w:val="20"/>
                </w:rPr>
                <w:t xml:space="preserve">Endgültige Verordnung </w:t>
              </w:r>
            </w:hyperlink>
          </w:p>
        </w:tc>
        <w:tc>
          <w:tcPr>
            <w:tcW w:w="648" w:type="pct"/>
          </w:tcPr>
          <w:p w14:paraId="13FD2EE8" w14:textId="77777777" w:rsidR="00377531" w:rsidRPr="00377531" w:rsidRDefault="00377531" w:rsidP="004F2670">
            <w:pPr>
              <w:jc w:val="center"/>
              <w:rPr>
                <w:noProof/>
                <w:sz w:val="20"/>
                <w:szCs w:val="20"/>
              </w:rPr>
            </w:pPr>
            <w:r>
              <w:rPr>
                <w:noProof/>
                <w:sz w:val="20"/>
              </w:rPr>
              <w:t>JA</w:t>
            </w:r>
          </w:p>
        </w:tc>
        <w:tc>
          <w:tcPr>
            <w:tcW w:w="636" w:type="pct"/>
          </w:tcPr>
          <w:p w14:paraId="13FD2EE9" w14:textId="77777777" w:rsidR="00377531" w:rsidRPr="00377531" w:rsidRDefault="00377531" w:rsidP="004F2670">
            <w:pPr>
              <w:jc w:val="center"/>
              <w:rPr>
                <w:noProof/>
                <w:sz w:val="20"/>
                <w:szCs w:val="20"/>
              </w:rPr>
            </w:pPr>
            <w:r>
              <w:rPr>
                <w:noProof/>
                <w:sz w:val="20"/>
              </w:rPr>
              <w:t>NEIN</w:t>
            </w:r>
          </w:p>
        </w:tc>
        <w:tc>
          <w:tcPr>
            <w:tcW w:w="459" w:type="pct"/>
          </w:tcPr>
          <w:p w14:paraId="13FD2EEA" w14:textId="77777777" w:rsidR="00377531" w:rsidRPr="00377531" w:rsidRDefault="00377531" w:rsidP="004F2670">
            <w:pPr>
              <w:jc w:val="center"/>
              <w:rPr>
                <w:noProof/>
                <w:sz w:val="20"/>
                <w:szCs w:val="20"/>
              </w:rPr>
            </w:pPr>
            <w:r>
              <w:rPr>
                <w:noProof/>
                <w:sz w:val="20"/>
              </w:rPr>
              <w:t>-</w:t>
            </w:r>
          </w:p>
        </w:tc>
        <w:tc>
          <w:tcPr>
            <w:tcW w:w="423" w:type="pct"/>
          </w:tcPr>
          <w:p w14:paraId="13FD2EEB" w14:textId="77777777" w:rsidR="00377531" w:rsidRPr="00377531" w:rsidRDefault="00377531" w:rsidP="004F2670">
            <w:pPr>
              <w:jc w:val="center"/>
              <w:rPr>
                <w:noProof/>
                <w:sz w:val="20"/>
                <w:szCs w:val="20"/>
              </w:rPr>
            </w:pPr>
            <w:r>
              <w:rPr>
                <w:noProof/>
                <w:sz w:val="20"/>
              </w:rPr>
              <w:t>-</w:t>
            </w:r>
          </w:p>
        </w:tc>
        <w:tc>
          <w:tcPr>
            <w:tcW w:w="816" w:type="pct"/>
          </w:tcPr>
          <w:p w14:paraId="13FD2EEC" w14:textId="77777777" w:rsidR="00377531" w:rsidRPr="00377531" w:rsidRDefault="00377531" w:rsidP="004F2670">
            <w:pPr>
              <w:jc w:val="center"/>
              <w:rPr>
                <w:noProof/>
                <w:sz w:val="20"/>
                <w:szCs w:val="20"/>
              </w:rPr>
            </w:pPr>
            <w:r>
              <w:rPr>
                <w:noProof/>
                <w:sz w:val="20"/>
              </w:rPr>
              <w:t>JA</w:t>
            </w:r>
          </w:p>
          <w:p w14:paraId="13FD2EED" w14:textId="77777777" w:rsidR="00377531" w:rsidRPr="00377531" w:rsidRDefault="00377531" w:rsidP="004F2670">
            <w:pPr>
              <w:jc w:val="center"/>
              <w:rPr>
                <w:noProof/>
                <w:sz w:val="20"/>
                <w:szCs w:val="20"/>
                <w:lang w:val="fr-BE"/>
              </w:rPr>
            </w:pPr>
          </w:p>
        </w:tc>
      </w:tr>
      <w:tr w:rsidR="0087369D" w:rsidRPr="00377531" w14:paraId="13FD2EFB" w14:textId="77777777" w:rsidTr="0087369D">
        <w:tc>
          <w:tcPr>
            <w:tcW w:w="550" w:type="pct"/>
          </w:tcPr>
          <w:p w14:paraId="13FD2EEF" w14:textId="77777777" w:rsidR="00377531" w:rsidRPr="00377531" w:rsidRDefault="00377531" w:rsidP="004F2670">
            <w:pPr>
              <w:jc w:val="center"/>
              <w:rPr>
                <w:noProof/>
                <w:sz w:val="20"/>
                <w:szCs w:val="20"/>
              </w:rPr>
            </w:pPr>
            <w:r>
              <w:rPr>
                <w:noProof/>
                <w:sz w:val="20"/>
              </w:rPr>
              <w:t xml:space="preserve">Warmgewalzte Flacherzeugnisse aus Eisen, nicht legiertem Stahl oder anderem legiertem Stahl </w:t>
            </w:r>
          </w:p>
        </w:tc>
        <w:tc>
          <w:tcPr>
            <w:tcW w:w="367" w:type="pct"/>
          </w:tcPr>
          <w:p w14:paraId="13FD2EF0" w14:textId="77777777" w:rsidR="00377531" w:rsidRPr="00377531" w:rsidRDefault="00377531" w:rsidP="004F2670">
            <w:pPr>
              <w:jc w:val="center"/>
              <w:rPr>
                <w:noProof/>
                <w:sz w:val="20"/>
                <w:szCs w:val="20"/>
              </w:rPr>
            </w:pPr>
            <w:r>
              <w:rPr>
                <w:noProof/>
                <w:sz w:val="20"/>
              </w:rPr>
              <w:t>Türkei</w:t>
            </w:r>
          </w:p>
        </w:tc>
        <w:tc>
          <w:tcPr>
            <w:tcW w:w="551" w:type="pct"/>
          </w:tcPr>
          <w:p w14:paraId="13FD2EF1" w14:textId="77777777" w:rsidR="00377531" w:rsidRPr="00377531" w:rsidRDefault="00AB679B" w:rsidP="004F2670">
            <w:pPr>
              <w:jc w:val="center"/>
              <w:rPr>
                <w:noProof/>
                <w:color w:val="1F497D"/>
                <w:sz w:val="20"/>
                <w:szCs w:val="20"/>
              </w:rPr>
            </w:pPr>
            <w:hyperlink r:id="rId36" w:history="1">
              <w:r w:rsidR="0062348C">
                <w:rPr>
                  <w:rStyle w:val="Hyperlink"/>
                  <w:noProof/>
                  <w:sz w:val="20"/>
                </w:rPr>
                <w:t xml:space="preserve">Vorläufige Verordnung </w:t>
              </w:r>
            </w:hyperlink>
          </w:p>
          <w:p w14:paraId="13FD2EF2" w14:textId="77777777" w:rsidR="00377531" w:rsidRPr="00377531" w:rsidRDefault="00377531" w:rsidP="004F2670">
            <w:pPr>
              <w:jc w:val="center"/>
              <w:rPr>
                <w:noProof/>
                <w:sz w:val="20"/>
                <w:szCs w:val="20"/>
              </w:rPr>
            </w:pPr>
          </w:p>
        </w:tc>
        <w:tc>
          <w:tcPr>
            <w:tcW w:w="551" w:type="pct"/>
          </w:tcPr>
          <w:p w14:paraId="13FD2EF3" w14:textId="77777777" w:rsidR="00377531" w:rsidRPr="00377531" w:rsidRDefault="00AB679B" w:rsidP="004F2670">
            <w:pPr>
              <w:jc w:val="center"/>
              <w:rPr>
                <w:noProof/>
                <w:sz w:val="20"/>
                <w:szCs w:val="20"/>
              </w:rPr>
            </w:pPr>
            <w:hyperlink r:id="rId37" w:history="1">
              <w:r w:rsidR="0062348C">
                <w:rPr>
                  <w:rStyle w:val="Hyperlink"/>
                  <w:noProof/>
                  <w:sz w:val="20"/>
                </w:rPr>
                <w:t>Endgültige Verordnung</w:t>
              </w:r>
            </w:hyperlink>
          </w:p>
          <w:p w14:paraId="13FD2EF4" w14:textId="77777777" w:rsidR="00377531" w:rsidRPr="00377531" w:rsidRDefault="00377531" w:rsidP="004F2670">
            <w:pPr>
              <w:jc w:val="center"/>
              <w:rPr>
                <w:noProof/>
                <w:sz w:val="20"/>
                <w:szCs w:val="20"/>
              </w:rPr>
            </w:pPr>
          </w:p>
        </w:tc>
        <w:tc>
          <w:tcPr>
            <w:tcW w:w="648" w:type="pct"/>
          </w:tcPr>
          <w:p w14:paraId="13FD2EF5" w14:textId="77777777" w:rsidR="00377531" w:rsidRPr="00377531" w:rsidRDefault="00377531" w:rsidP="004F2670">
            <w:pPr>
              <w:jc w:val="center"/>
              <w:rPr>
                <w:noProof/>
                <w:sz w:val="20"/>
                <w:szCs w:val="20"/>
              </w:rPr>
            </w:pPr>
            <w:r>
              <w:rPr>
                <w:noProof/>
                <w:sz w:val="20"/>
              </w:rPr>
              <w:t>JA</w:t>
            </w:r>
          </w:p>
        </w:tc>
        <w:tc>
          <w:tcPr>
            <w:tcW w:w="636" w:type="pct"/>
          </w:tcPr>
          <w:p w14:paraId="13FD2EF6" w14:textId="77777777" w:rsidR="00377531" w:rsidRPr="00377531" w:rsidRDefault="00377531" w:rsidP="004F2670">
            <w:pPr>
              <w:jc w:val="center"/>
              <w:rPr>
                <w:noProof/>
                <w:sz w:val="20"/>
                <w:szCs w:val="20"/>
              </w:rPr>
            </w:pPr>
            <w:r>
              <w:rPr>
                <w:noProof/>
                <w:sz w:val="20"/>
              </w:rPr>
              <w:t>NEIN</w:t>
            </w:r>
          </w:p>
        </w:tc>
        <w:tc>
          <w:tcPr>
            <w:tcW w:w="459" w:type="pct"/>
          </w:tcPr>
          <w:p w14:paraId="13FD2EF7" w14:textId="77777777" w:rsidR="00377531" w:rsidRPr="00377531" w:rsidRDefault="00377531" w:rsidP="004F2670">
            <w:pPr>
              <w:jc w:val="center"/>
              <w:rPr>
                <w:noProof/>
                <w:sz w:val="20"/>
                <w:szCs w:val="20"/>
              </w:rPr>
            </w:pPr>
            <w:r>
              <w:rPr>
                <w:noProof/>
                <w:sz w:val="20"/>
              </w:rPr>
              <w:t>-</w:t>
            </w:r>
          </w:p>
        </w:tc>
        <w:tc>
          <w:tcPr>
            <w:tcW w:w="423" w:type="pct"/>
          </w:tcPr>
          <w:p w14:paraId="13FD2EF8" w14:textId="77777777" w:rsidR="00377531" w:rsidRPr="00377531" w:rsidRDefault="00377531" w:rsidP="004F2670">
            <w:pPr>
              <w:jc w:val="center"/>
              <w:rPr>
                <w:noProof/>
                <w:sz w:val="20"/>
                <w:szCs w:val="20"/>
              </w:rPr>
            </w:pPr>
            <w:r>
              <w:rPr>
                <w:noProof/>
                <w:sz w:val="20"/>
              </w:rPr>
              <w:t>-</w:t>
            </w:r>
          </w:p>
        </w:tc>
        <w:tc>
          <w:tcPr>
            <w:tcW w:w="816" w:type="pct"/>
          </w:tcPr>
          <w:p w14:paraId="13FD2EF9" w14:textId="77777777" w:rsidR="00377531" w:rsidRPr="00377531" w:rsidRDefault="00377531" w:rsidP="004F2670">
            <w:pPr>
              <w:jc w:val="center"/>
              <w:rPr>
                <w:noProof/>
                <w:sz w:val="20"/>
                <w:szCs w:val="20"/>
              </w:rPr>
            </w:pPr>
            <w:r>
              <w:rPr>
                <w:noProof/>
                <w:sz w:val="20"/>
              </w:rPr>
              <w:t>JA</w:t>
            </w:r>
          </w:p>
          <w:p w14:paraId="13FD2EFA" w14:textId="77777777" w:rsidR="00377531" w:rsidRPr="00377531" w:rsidRDefault="00377531" w:rsidP="004F2670">
            <w:pPr>
              <w:jc w:val="center"/>
              <w:rPr>
                <w:noProof/>
                <w:sz w:val="20"/>
                <w:szCs w:val="20"/>
              </w:rPr>
            </w:pPr>
          </w:p>
        </w:tc>
      </w:tr>
      <w:tr w:rsidR="0087369D" w:rsidRPr="00377531" w14:paraId="13FD2F0A" w14:textId="77777777" w:rsidTr="0087369D">
        <w:tc>
          <w:tcPr>
            <w:tcW w:w="550" w:type="pct"/>
          </w:tcPr>
          <w:p w14:paraId="13FD2EFC" w14:textId="77777777" w:rsidR="00377531" w:rsidRPr="00377531" w:rsidRDefault="00377531" w:rsidP="004F2670">
            <w:pPr>
              <w:jc w:val="center"/>
              <w:rPr>
                <w:noProof/>
                <w:sz w:val="20"/>
                <w:szCs w:val="20"/>
              </w:rPr>
            </w:pPr>
            <w:r>
              <w:rPr>
                <w:noProof/>
                <w:sz w:val="20"/>
              </w:rPr>
              <w:t>Flachgewalzte Aluminiumerzeugnisse</w:t>
            </w:r>
          </w:p>
        </w:tc>
        <w:tc>
          <w:tcPr>
            <w:tcW w:w="367" w:type="pct"/>
          </w:tcPr>
          <w:p w14:paraId="13FD2EFD" w14:textId="77777777" w:rsidR="00377531" w:rsidRPr="00377531" w:rsidRDefault="00377531" w:rsidP="004F2670">
            <w:pPr>
              <w:jc w:val="center"/>
              <w:rPr>
                <w:noProof/>
                <w:sz w:val="20"/>
                <w:szCs w:val="20"/>
              </w:rPr>
            </w:pPr>
            <w:r>
              <w:rPr>
                <w:noProof/>
                <w:sz w:val="20"/>
              </w:rPr>
              <w:t>China</w:t>
            </w:r>
          </w:p>
        </w:tc>
        <w:tc>
          <w:tcPr>
            <w:tcW w:w="551" w:type="pct"/>
          </w:tcPr>
          <w:p w14:paraId="13FD2EFE" w14:textId="77777777" w:rsidR="00377531" w:rsidRPr="00377531" w:rsidRDefault="00AB679B" w:rsidP="004F2670">
            <w:pPr>
              <w:jc w:val="center"/>
              <w:rPr>
                <w:noProof/>
                <w:sz w:val="20"/>
                <w:szCs w:val="20"/>
              </w:rPr>
            </w:pPr>
            <w:hyperlink r:id="rId38" w:history="1">
              <w:r w:rsidR="0062348C">
                <w:rPr>
                  <w:rStyle w:val="Hyperlink"/>
                  <w:noProof/>
                  <w:sz w:val="20"/>
                </w:rPr>
                <w:t xml:space="preserve">Vorläufige Verordnung </w:t>
              </w:r>
            </w:hyperlink>
          </w:p>
          <w:p w14:paraId="13FD2EFF" w14:textId="77777777" w:rsidR="00377531" w:rsidRPr="00377531" w:rsidRDefault="00377531" w:rsidP="004F2670">
            <w:pPr>
              <w:jc w:val="center"/>
              <w:rPr>
                <w:noProof/>
                <w:sz w:val="20"/>
                <w:szCs w:val="20"/>
              </w:rPr>
            </w:pPr>
          </w:p>
        </w:tc>
        <w:tc>
          <w:tcPr>
            <w:tcW w:w="551" w:type="pct"/>
          </w:tcPr>
          <w:p w14:paraId="13FD2F00" w14:textId="77777777" w:rsidR="00377531" w:rsidRPr="00377531" w:rsidRDefault="00AB679B" w:rsidP="004F2670">
            <w:pPr>
              <w:jc w:val="center"/>
              <w:rPr>
                <w:noProof/>
                <w:sz w:val="20"/>
                <w:szCs w:val="20"/>
              </w:rPr>
            </w:pPr>
            <w:hyperlink r:id="rId39" w:history="1">
              <w:r w:rsidR="0062348C">
                <w:rPr>
                  <w:rStyle w:val="Hyperlink"/>
                  <w:noProof/>
                  <w:sz w:val="20"/>
                </w:rPr>
                <w:t>Endgültige Verordnung</w:t>
              </w:r>
            </w:hyperlink>
          </w:p>
          <w:p w14:paraId="13FD2F01" w14:textId="77777777" w:rsidR="00377531" w:rsidRPr="00377531" w:rsidRDefault="00377531" w:rsidP="004F2670">
            <w:pPr>
              <w:jc w:val="center"/>
              <w:rPr>
                <w:noProof/>
                <w:sz w:val="20"/>
                <w:szCs w:val="20"/>
                <w:lang w:val="fr-BE"/>
              </w:rPr>
            </w:pPr>
          </w:p>
        </w:tc>
        <w:tc>
          <w:tcPr>
            <w:tcW w:w="648" w:type="pct"/>
          </w:tcPr>
          <w:p w14:paraId="13FD2F02" w14:textId="77777777" w:rsidR="00377531" w:rsidRPr="00377531" w:rsidRDefault="00377531" w:rsidP="004F2670">
            <w:pPr>
              <w:jc w:val="center"/>
              <w:rPr>
                <w:noProof/>
                <w:sz w:val="20"/>
                <w:szCs w:val="20"/>
              </w:rPr>
            </w:pPr>
            <w:r>
              <w:rPr>
                <w:noProof/>
                <w:sz w:val="20"/>
              </w:rPr>
              <w:t>JA</w:t>
            </w:r>
          </w:p>
        </w:tc>
        <w:tc>
          <w:tcPr>
            <w:tcW w:w="636" w:type="pct"/>
          </w:tcPr>
          <w:p w14:paraId="13FD2F03" w14:textId="77777777" w:rsidR="00377531" w:rsidRPr="00377531" w:rsidRDefault="00377531" w:rsidP="004F2670">
            <w:pPr>
              <w:jc w:val="center"/>
              <w:rPr>
                <w:noProof/>
                <w:sz w:val="20"/>
                <w:szCs w:val="20"/>
              </w:rPr>
            </w:pPr>
            <w:r>
              <w:rPr>
                <w:noProof/>
                <w:sz w:val="20"/>
              </w:rPr>
              <w:t>JA</w:t>
            </w:r>
          </w:p>
        </w:tc>
        <w:tc>
          <w:tcPr>
            <w:tcW w:w="459" w:type="pct"/>
          </w:tcPr>
          <w:p w14:paraId="13FD2F04" w14:textId="0EAE4137" w:rsidR="00377531" w:rsidRPr="00377531" w:rsidRDefault="00377531" w:rsidP="004F2670">
            <w:pPr>
              <w:rPr>
                <w:noProof/>
                <w:sz w:val="20"/>
                <w:szCs w:val="20"/>
              </w:rPr>
            </w:pPr>
            <w:r>
              <w:rPr>
                <w:noProof/>
                <w:sz w:val="20"/>
              </w:rPr>
              <w:t>Aluminium</w:t>
            </w:r>
            <w:r w:rsidR="0087369D">
              <w:rPr>
                <w:noProof/>
                <w:sz w:val="20"/>
              </w:rPr>
              <w:softHyphen/>
            </w:r>
            <w:r>
              <w:rPr>
                <w:noProof/>
                <w:sz w:val="20"/>
              </w:rPr>
              <w:t>barren &gt; 17 % der Herstellkosten</w:t>
            </w:r>
          </w:p>
          <w:p w14:paraId="13FD2F05" w14:textId="77777777" w:rsidR="00377531" w:rsidRPr="00377531" w:rsidRDefault="00377531" w:rsidP="004F2670">
            <w:pPr>
              <w:jc w:val="both"/>
              <w:rPr>
                <w:noProof/>
                <w:sz w:val="20"/>
                <w:szCs w:val="20"/>
              </w:rPr>
            </w:pPr>
            <w:r>
              <w:rPr>
                <w:noProof/>
                <w:sz w:val="20"/>
              </w:rPr>
              <w:t xml:space="preserve">Der Preis ist </w:t>
            </w:r>
            <w:r>
              <w:rPr>
                <w:noProof/>
                <w:sz w:val="20"/>
                <w:u w:val="single"/>
              </w:rPr>
              <w:t>nicht</w:t>
            </w:r>
            <w:r>
              <w:rPr>
                <w:noProof/>
                <w:sz w:val="20"/>
              </w:rPr>
              <w:t xml:space="preserve"> erheblich niedriger als der Referenzpreis</w:t>
            </w:r>
          </w:p>
        </w:tc>
        <w:tc>
          <w:tcPr>
            <w:tcW w:w="423" w:type="pct"/>
          </w:tcPr>
          <w:p w14:paraId="13FD2F06" w14:textId="77777777" w:rsidR="00377531" w:rsidRPr="00377531" w:rsidRDefault="00377531" w:rsidP="004F2670">
            <w:pPr>
              <w:jc w:val="center"/>
              <w:rPr>
                <w:noProof/>
                <w:sz w:val="20"/>
                <w:szCs w:val="20"/>
              </w:rPr>
            </w:pPr>
            <w:r>
              <w:rPr>
                <w:noProof/>
                <w:sz w:val="20"/>
              </w:rPr>
              <w:t>NEIN</w:t>
            </w:r>
          </w:p>
        </w:tc>
        <w:tc>
          <w:tcPr>
            <w:tcW w:w="816" w:type="pct"/>
          </w:tcPr>
          <w:p w14:paraId="13FD2F07" w14:textId="77777777" w:rsidR="00377531" w:rsidRPr="00377531" w:rsidRDefault="00377531" w:rsidP="004F2670">
            <w:pPr>
              <w:jc w:val="center"/>
              <w:rPr>
                <w:noProof/>
                <w:sz w:val="20"/>
                <w:szCs w:val="20"/>
              </w:rPr>
            </w:pPr>
            <w:r>
              <w:rPr>
                <w:noProof/>
                <w:sz w:val="20"/>
              </w:rPr>
              <w:t>NEIN</w:t>
            </w:r>
          </w:p>
          <w:p w14:paraId="13FD2F08" w14:textId="77777777" w:rsidR="00377531" w:rsidRPr="00377531" w:rsidRDefault="00377531" w:rsidP="004F2670">
            <w:pPr>
              <w:jc w:val="center"/>
              <w:rPr>
                <w:noProof/>
                <w:sz w:val="20"/>
                <w:szCs w:val="20"/>
              </w:rPr>
            </w:pPr>
          </w:p>
          <w:p w14:paraId="13FD2F09" w14:textId="77777777" w:rsidR="00377531" w:rsidRPr="00377531" w:rsidRDefault="00377531" w:rsidP="004F2670">
            <w:pPr>
              <w:jc w:val="center"/>
              <w:rPr>
                <w:noProof/>
                <w:sz w:val="20"/>
                <w:szCs w:val="20"/>
              </w:rPr>
            </w:pPr>
            <w:r>
              <w:rPr>
                <w:noProof/>
                <w:sz w:val="20"/>
              </w:rPr>
              <w:t xml:space="preserve"> Kein Anstieg der Einfuhren</w:t>
            </w:r>
          </w:p>
        </w:tc>
      </w:tr>
      <w:tr w:rsidR="0087369D" w:rsidRPr="00377531" w14:paraId="13FD2F16" w14:textId="77777777" w:rsidTr="0087369D">
        <w:tc>
          <w:tcPr>
            <w:tcW w:w="550" w:type="pct"/>
          </w:tcPr>
          <w:p w14:paraId="13FD2F0B" w14:textId="77777777" w:rsidR="00377531" w:rsidRPr="00377531" w:rsidRDefault="00377531" w:rsidP="004F2670">
            <w:pPr>
              <w:jc w:val="center"/>
              <w:rPr>
                <w:noProof/>
                <w:sz w:val="20"/>
                <w:szCs w:val="20"/>
              </w:rPr>
            </w:pPr>
            <w:r>
              <w:rPr>
                <w:noProof/>
                <w:sz w:val="20"/>
              </w:rPr>
              <w:t>Kabel aus optischen Fasern</w:t>
            </w:r>
          </w:p>
        </w:tc>
        <w:tc>
          <w:tcPr>
            <w:tcW w:w="367" w:type="pct"/>
          </w:tcPr>
          <w:p w14:paraId="13FD2F0C" w14:textId="77777777" w:rsidR="00377531" w:rsidRPr="00377531" w:rsidRDefault="00377531" w:rsidP="004F2670">
            <w:pPr>
              <w:jc w:val="center"/>
              <w:rPr>
                <w:noProof/>
                <w:sz w:val="20"/>
                <w:szCs w:val="20"/>
              </w:rPr>
            </w:pPr>
            <w:r>
              <w:rPr>
                <w:noProof/>
                <w:sz w:val="20"/>
              </w:rPr>
              <w:t>China</w:t>
            </w:r>
          </w:p>
        </w:tc>
        <w:tc>
          <w:tcPr>
            <w:tcW w:w="551" w:type="pct"/>
          </w:tcPr>
          <w:p w14:paraId="13FD2F0D" w14:textId="77777777" w:rsidR="00377531" w:rsidRPr="00377531" w:rsidRDefault="00377531" w:rsidP="004F2670">
            <w:pPr>
              <w:jc w:val="center"/>
              <w:rPr>
                <w:noProof/>
                <w:sz w:val="20"/>
                <w:szCs w:val="20"/>
              </w:rPr>
            </w:pPr>
            <w:r>
              <w:rPr>
                <w:noProof/>
                <w:sz w:val="20"/>
              </w:rPr>
              <w:t>-</w:t>
            </w:r>
          </w:p>
        </w:tc>
        <w:tc>
          <w:tcPr>
            <w:tcW w:w="551" w:type="pct"/>
          </w:tcPr>
          <w:p w14:paraId="13FD2F0E" w14:textId="77777777" w:rsidR="00377531" w:rsidRPr="00377531" w:rsidRDefault="00AB679B" w:rsidP="004F2670">
            <w:pPr>
              <w:jc w:val="center"/>
              <w:rPr>
                <w:noProof/>
                <w:sz w:val="20"/>
                <w:szCs w:val="20"/>
              </w:rPr>
            </w:pPr>
            <w:hyperlink r:id="rId40" w:history="1">
              <w:r w:rsidR="0062348C">
                <w:rPr>
                  <w:rStyle w:val="Hyperlink"/>
                  <w:noProof/>
                  <w:sz w:val="20"/>
                </w:rPr>
                <w:t>Endgültige Verordnung</w:t>
              </w:r>
            </w:hyperlink>
          </w:p>
          <w:p w14:paraId="13FD2F0F" w14:textId="77777777" w:rsidR="00377531" w:rsidRPr="00377531" w:rsidRDefault="00377531" w:rsidP="004F2670">
            <w:pPr>
              <w:jc w:val="center"/>
              <w:rPr>
                <w:noProof/>
                <w:sz w:val="20"/>
                <w:szCs w:val="20"/>
                <w:lang w:val="fr-BE"/>
              </w:rPr>
            </w:pPr>
          </w:p>
        </w:tc>
        <w:tc>
          <w:tcPr>
            <w:tcW w:w="648" w:type="pct"/>
          </w:tcPr>
          <w:p w14:paraId="13FD2F10" w14:textId="77777777" w:rsidR="00377531" w:rsidRPr="00377531" w:rsidRDefault="00377531" w:rsidP="004F2670">
            <w:pPr>
              <w:jc w:val="center"/>
              <w:rPr>
                <w:noProof/>
                <w:sz w:val="20"/>
                <w:szCs w:val="20"/>
              </w:rPr>
            </w:pPr>
            <w:r>
              <w:rPr>
                <w:noProof/>
                <w:sz w:val="20"/>
              </w:rPr>
              <w:t>NEIN</w:t>
            </w:r>
          </w:p>
        </w:tc>
        <w:tc>
          <w:tcPr>
            <w:tcW w:w="636" w:type="pct"/>
          </w:tcPr>
          <w:p w14:paraId="13FD2F11" w14:textId="77777777" w:rsidR="00377531" w:rsidRPr="00377531" w:rsidRDefault="00377531" w:rsidP="004F2670">
            <w:pPr>
              <w:jc w:val="center"/>
              <w:rPr>
                <w:noProof/>
                <w:sz w:val="20"/>
                <w:szCs w:val="20"/>
              </w:rPr>
            </w:pPr>
            <w:r>
              <w:rPr>
                <w:noProof/>
                <w:sz w:val="20"/>
              </w:rPr>
              <w:t>-</w:t>
            </w:r>
          </w:p>
        </w:tc>
        <w:tc>
          <w:tcPr>
            <w:tcW w:w="459" w:type="pct"/>
          </w:tcPr>
          <w:p w14:paraId="13FD2F12" w14:textId="77777777" w:rsidR="00377531" w:rsidRPr="00377531" w:rsidRDefault="00377531" w:rsidP="004F2670">
            <w:pPr>
              <w:jc w:val="center"/>
              <w:rPr>
                <w:noProof/>
                <w:sz w:val="20"/>
                <w:szCs w:val="20"/>
              </w:rPr>
            </w:pPr>
            <w:r>
              <w:rPr>
                <w:noProof/>
                <w:sz w:val="20"/>
              </w:rPr>
              <w:t>-</w:t>
            </w:r>
          </w:p>
        </w:tc>
        <w:tc>
          <w:tcPr>
            <w:tcW w:w="423" w:type="pct"/>
          </w:tcPr>
          <w:p w14:paraId="13FD2F13" w14:textId="77777777" w:rsidR="00377531" w:rsidRPr="00377531" w:rsidRDefault="00377531" w:rsidP="004F2670">
            <w:pPr>
              <w:jc w:val="center"/>
              <w:rPr>
                <w:noProof/>
                <w:sz w:val="20"/>
                <w:szCs w:val="20"/>
              </w:rPr>
            </w:pPr>
            <w:r>
              <w:rPr>
                <w:noProof/>
                <w:sz w:val="20"/>
              </w:rPr>
              <w:t>-</w:t>
            </w:r>
          </w:p>
        </w:tc>
        <w:tc>
          <w:tcPr>
            <w:tcW w:w="816" w:type="pct"/>
          </w:tcPr>
          <w:p w14:paraId="13FD2F14" w14:textId="77777777" w:rsidR="00377531" w:rsidRPr="00377531" w:rsidRDefault="00377531" w:rsidP="004F2670">
            <w:pPr>
              <w:jc w:val="center"/>
              <w:rPr>
                <w:noProof/>
                <w:sz w:val="20"/>
                <w:szCs w:val="20"/>
              </w:rPr>
            </w:pPr>
            <w:r>
              <w:rPr>
                <w:noProof/>
                <w:sz w:val="20"/>
              </w:rPr>
              <w:t>k. A.</w:t>
            </w:r>
          </w:p>
          <w:p w14:paraId="13FD2F15" w14:textId="77777777" w:rsidR="00377531" w:rsidRPr="00377531" w:rsidRDefault="00377531" w:rsidP="004F2670">
            <w:pPr>
              <w:jc w:val="center"/>
              <w:rPr>
                <w:noProof/>
                <w:sz w:val="20"/>
                <w:szCs w:val="20"/>
                <w:lang w:val="fr-BE"/>
              </w:rPr>
            </w:pPr>
          </w:p>
        </w:tc>
      </w:tr>
      <w:tr w:rsidR="0087369D" w:rsidRPr="00377531" w14:paraId="13FD2F23" w14:textId="77777777" w:rsidTr="0087369D">
        <w:tc>
          <w:tcPr>
            <w:tcW w:w="550" w:type="pct"/>
          </w:tcPr>
          <w:p w14:paraId="13FD2F17" w14:textId="77777777" w:rsidR="00377531" w:rsidRPr="00377531" w:rsidRDefault="00377531" w:rsidP="004F2670">
            <w:pPr>
              <w:jc w:val="center"/>
              <w:rPr>
                <w:noProof/>
                <w:sz w:val="20"/>
                <w:szCs w:val="20"/>
              </w:rPr>
            </w:pPr>
            <w:r>
              <w:rPr>
                <w:noProof/>
                <w:sz w:val="20"/>
              </w:rPr>
              <w:t>Kaltgewalzte Flacherzeugnisse aus nicht rostendem Stahl</w:t>
            </w:r>
          </w:p>
        </w:tc>
        <w:tc>
          <w:tcPr>
            <w:tcW w:w="367" w:type="pct"/>
          </w:tcPr>
          <w:p w14:paraId="13FD2F18" w14:textId="77777777" w:rsidR="00377531" w:rsidRPr="00377531" w:rsidRDefault="00377531" w:rsidP="004F2670">
            <w:pPr>
              <w:jc w:val="center"/>
              <w:rPr>
                <w:noProof/>
                <w:sz w:val="20"/>
                <w:szCs w:val="20"/>
              </w:rPr>
            </w:pPr>
            <w:r>
              <w:rPr>
                <w:noProof/>
                <w:sz w:val="20"/>
              </w:rPr>
              <w:t>Indien</w:t>
            </w:r>
          </w:p>
          <w:p w14:paraId="13FD2F19" w14:textId="77777777" w:rsidR="00377531" w:rsidRPr="00377531" w:rsidRDefault="00377531" w:rsidP="004F2670">
            <w:pPr>
              <w:jc w:val="center"/>
              <w:rPr>
                <w:noProof/>
                <w:sz w:val="20"/>
                <w:szCs w:val="20"/>
              </w:rPr>
            </w:pPr>
            <w:r>
              <w:rPr>
                <w:noProof/>
                <w:sz w:val="20"/>
              </w:rPr>
              <w:t>Indonesien</w:t>
            </w:r>
          </w:p>
        </w:tc>
        <w:tc>
          <w:tcPr>
            <w:tcW w:w="551" w:type="pct"/>
          </w:tcPr>
          <w:p w14:paraId="13FD2F1A" w14:textId="77777777" w:rsidR="00377531" w:rsidRPr="00377531" w:rsidRDefault="00AB679B" w:rsidP="004F2670">
            <w:pPr>
              <w:jc w:val="center"/>
              <w:rPr>
                <w:noProof/>
                <w:sz w:val="20"/>
                <w:szCs w:val="20"/>
              </w:rPr>
            </w:pPr>
            <w:hyperlink r:id="rId41" w:history="1">
              <w:r w:rsidR="0062348C">
                <w:rPr>
                  <w:rStyle w:val="Hyperlink"/>
                  <w:noProof/>
                  <w:sz w:val="20"/>
                </w:rPr>
                <w:t xml:space="preserve">Vorläufige Verordnung </w:t>
              </w:r>
            </w:hyperlink>
          </w:p>
          <w:p w14:paraId="13FD2F1B" w14:textId="77777777" w:rsidR="00377531" w:rsidRPr="00377531" w:rsidRDefault="00377531" w:rsidP="004F2670">
            <w:pPr>
              <w:jc w:val="center"/>
              <w:rPr>
                <w:noProof/>
                <w:sz w:val="20"/>
                <w:szCs w:val="20"/>
                <w:lang w:val="fr-BE"/>
              </w:rPr>
            </w:pPr>
          </w:p>
        </w:tc>
        <w:tc>
          <w:tcPr>
            <w:tcW w:w="551" w:type="pct"/>
          </w:tcPr>
          <w:p w14:paraId="13FD2F1C" w14:textId="77777777" w:rsidR="00377531" w:rsidRPr="00377531" w:rsidRDefault="00AB679B" w:rsidP="004F2670">
            <w:pPr>
              <w:jc w:val="center"/>
              <w:rPr>
                <w:noProof/>
                <w:sz w:val="20"/>
                <w:szCs w:val="20"/>
              </w:rPr>
            </w:pPr>
            <w:hyperlink r:id="rId42" w:history="1">
              <w:r w:rsidR="0062348C">
                <w:rPr>
                  <w:rStyle w:val="Hyperlink"/>
                  <w:noProof/>
                  <w:sz w:val="20"/>
                </w:rPr>
                <w:t xml:space="preserve">Endgültige Verordnung </w:t>
              </w:r>
            </w:hyperlink>
          </w:p>
        </w:tc>
        <w:tc>
          <w:tcPr>
            <w:tcW w:w="648" w:type="pct"/>
          </w:tcPr>
          <w:p w14:paraId="13FD2F1D" w14:textId="77777777" w:rsidR="00377531" w:rsidRPr="00377531" w:rsidRDefault="00377531" w:rsidP="004F2670">
            <w:pPr>
              <w:jc w:val="center"/>
              <w:rPr>
                <w:noProof/>
                <w:sz w:val="20"/>
                <w:szCs w:val="20"/>
              </w:rPr>
            </w:pPr>
            <w:r>
              <w:rPr>
                <w:noProof/>
                <w:sz w:val="20"/>
              </w:rPr>
              <w:t>JA</w:t>
            </w:r>
          </w:p>
        </w:tc>
        <w:tc>
          <w:tcPr>
            <w:tcW w:w="636" w:type="pct"/>
          </w:tcPr>
          <w:p w14:paraId="13FD2F1E" w14:textId="77777777" w:rsidR="00377531" w:rsidRPr="00377531" w:rsidRDefault="00377531" w:rsidP="004F2670">
            <w:pPr>
              <w:jc w:val="center"/>
              <w:rPr>
                <w:noProof/>
                <w:sz w:val="20"/>
                <w:szCs w:val="20"/>
              </w:rPr>
            </w:pPr>
            <w:r>
              <w:rPr>
                <w:noProof/>
                <w:sz w:val="20"/>
              </w:rPr>
              <w:t>INDIEN: JA</w:t>
            </w:r>
          </w:p>
        </w:tc>
        <w:tc>
          <w:tcPr>
            <w:tcW w:w="459" w:type="pct"/>
          </w:tcPr>
          <w:p w14:paraId="13FD2F1F" w14:textId="77777777" w:rsidR="00377531" w:rsidRPr="00377531" w:rsidRDefault="00377531" w:rsidP="004F2670">
            <w:pPr>
              <w:jc w:val="center"/>
              <w:rPr>
                <w:noProof/>
                <w:sz w:val="20"/>
                <w:szCs w:val="20"/>
              </w:rPr>
            </w:pPr>
            <w:r>
              <w:rPr>
                <w:noProof/>
                <w:sz w:val="20"/>
              </w:rPr>
              <w:t xml:space="preserve">Indien: Ausführer verwenden den Rohstoff </w:t>
            </w:r>
            <w:r>
              <w:rPr>
                <w:noProof/>
                <w:sz w:val="20"/>
                <w:u w:val="single"/>
              </w:rPr>
              <w:t>nicht</w:t>
            </w:r>
            <w:r>
              <w:rPr>
                <w:noProof/>
                <w:sz w:val="20"/>
              </w:rPr>
              <w:t xml:space="preserve">. </w:t>
            </w:r>
          </w:p>
        </w:tc>
        <w:tc>
          <w:tcPr>
            <w:tcW w:w="423" w:type="pct"/>
          </w:tcPr>
          <w:p w14:paraId="13FD2F20" w14:textId="77777777" w:rsidR="00377531" w:rsidRPr="00377531" w:rsidRDefault="00377531" w:rsidP="004F2670">
            <w:pPr>
              <w:jc w:val="center"/>
              <w:rPr>
                <w:noProof/>
                <w:sz w:val="20"/>
                <w:szCs w:val="20"/>
              </w:rPr>
            </w:pPr>
            <w:r>
              <w:rPr>
                <w:noProof/>
                <w:sz w:val="20"/>
              </w:rPr>
              <w:t>NEIN</w:t>
            </w:r>
          </w:p>
        </w:tc>
        <w:tc>
          <w:tcPr>
            <w:tcW w:w="816" w:type="pct"/>
          </w:tcPr>
          <w:p w14:paraId="13FD2F21" w14:textId="77777777" w:rsidR="00377531" w:rsidRPr="00377531" w:rsidRDefault="00377531" w:rsidP="004F2670">
            <w:pPr>
              <w:jc w:val="center"/>
              <w:rPr>
                <w:noProof/>
                <w:sz w:val="20"/>
                <w:szCs w:val="20"/>
              </w:rPr>
            </w:pPr>
            <w:r>
              <w:rPr>
                <w:noProof/>
                <w:sz w:val="20"/>
              </w:rPr>
              <w:t>JA</w:t>
            </w:r>
          </w:p>
          <w:p w14:paraId="13FD2F22" w14:textId="77777777" w:rsidR="00377531" w:rsidRPr="00377531" w:rsidRDefault="00377531" w:rsidP="004F2670">
            <w:pPr>
              <w:jc w:val="center"/>
              <w:rPr>
                <w:noProof/>
                <w:sz w:val="20"/>
                <w:szCs w:val="20"/>
                <w:lang w:val="fr-BE"/>
              </w:rPr>
            </w:pPr>
          </w:p>
        </w:tc>
      </w:tr>
      <w:tr w:rsidR="0087369D" w:rsidRPr="00377531" w14:paraId="13FD2F35" w14:textId="77777777" w:rsidTr="0087369D">
        <w:tc>
          <w:tcPr>
            <w:tcW w:w="550" w:type="pct"/>
          </w:tcPr>
          <w:p w14:paraId="13FD2F24" w14:textId="6C2B1485" w:rsidR="00377531" w:rsidRPr="00377531" w:rsidRDefault="00377531" w:rsidP="004F2670">
            <w:pPr>
              <w:jc w:val="center"/>
              <w:rPr>
                <w:noProof/>
                <w:sz w:val="20"/>
                <w:szCs w:val="20"/>
              </w:rPr>
            </w:pPr>
            <w:r>
              <w:rPr>
                <w:noProof/>
                <w:sz w:val="20"/>
              </w:rPr>
              <w:t>Monoethylengly</w:t>
            </w:r>
            <w:r w:rsidR="0087369D">
              <w:rPr>
                <w:noProof/>
                <w:sz w:val="20"/>
              </w:rPr>
              <w:softHyphen/>
            </w:r>
            <w:r>
              <w:rPr>
                <w:noProof/>
                <w:sz w:val="20"/>
              </w:rPr>
              <w:t>kol</w:t>
            </w:r>
          </w:p>
        </w:tc>
        <w:tc>
          <w:tcPr>
            <w:tcW w:w="367" w:type="pct"/>
          </w:tcPr>
          <w:p w14:paraId="13FD2F25" w14:textId="77777777" w:rsidR="00377531" w:rsidRPr="00377531" w:rsidRDefault="00377531" w:rsidP="004F2670">
            <w:pPr>
              <w:jc w:val="center"/>
              <w:rPr>
                <w:noProof/>
                <w:sz w:val="20"/>
                <w:szCs w:val="20"/>
              </w:rPr>
            </w:pPr>
            <w:r>
              <w:rPr>
                <w:noProof/>
                <w:sz w:val="20"/>
              </w:rPr>
              <w:t>Saudi-Arabien</w:t>
            </w:r>
          </w:p>
          <w:p w14:paraId="13FD2F26" w14:textId="77777777" w:rsidR="00377531" w:rsidRPr="00377531" w:rsidRDefault="00377531" w:rsidP="004F2670">
            <w:pPr>
              <w:jc w:val="center"/>
              <w:rPr>
                <w:noProof/>
                <w:sz w:val="20"/>
                <w:szCs w:val="20"/>
              </w:rPr>
            </w:pPr>
            <w:r>
              <w:rPr>
                <w:noProof/>
                <w:sz w:val="20"/>
              </w:rPr>
              <w:t>USA</w:t>
            </w:r>
          </w:p>
        </w:tc>
        <w:tc>
          <w:tcPr>
            <w:tcW w:w="551" w:type="pct"/>
          </w:tcPr>
          <w:p w14:paraId="13FD2F27" w14:textId="77777777" w:rsidR="00377531" w:rsidRPr="00377531" w:rsidRDefault="00AB679B" w:rsidP="004F2670">
            <w:pPr>
              <w:jc w:val="center"/>
              <w:rPr>
                <w:noProof/>
                <w:sz w:val="20"/>
                <w:szCs w:val="20"/>
              </w:rPr>
            </w:pPr>
            <w:hyperlink r:id="rId43" w:history="1">
              <w:r w:rsidR="0062348C">
                <w:rPr>
                  <w:rStyle w:val="Hyperlink"/>
                  <w:noProof/>
                  <w:sz w:val="20"/>
                </w:rPr>
                <w:t xml:space="preserve">Vorläufige Verordnung </w:t>
              </w:r>
            </w:hyperlink>
          </w:p>
          <w:p w14:paraId="13FD2F28" w14:textId="77777777" w:rsidR="00377531" w:rsidRPr="00377531" w:rsidRDefault="00377531" w:rsidP="004F2670">
            <w:pPr>
              <w:jc w:val="center"/>
              <w:rPr>
                <w:noProof/>
                <w:sz w:val="20"/>
                <w:szCs w:val="20"/>
                <w:lang w:val="fr-BE"/>
              </w:rPr>
            </w:pPr>
          </w:p>
        </w:tc>
        <w:tc>
          <w:tcPr>
            <w:tcW w:w="551" w:type="pct"/>
          </w:tcPr>
          <w:p w14:paraId="13FD2F29" w14:textId="77777777" w:rsidR="00377531" w:rsidRPr="00377531" w:rsidRDefault="00AB679B" w:rsidP="004F2670">
            <w:pPr>
              <w:jc w:val="center"/>
              <w:rPr>
                <w:noProof/>
                <w:sz w:val="20"/>
                <w:szCs w:val="20"/>
              </w:rPr>
            </w:pPr>
            <w:hyperlink r:id="rId44" w:history="1">
              <w:r w:rsidR="0062348C">
                <w:rPr>
                  <w:rStyle w:val="Hyperlink"/>
                  <w:noProof/>
                  <w:sz w:val="20"/>
                </w:rPr>
                <w:t>Endgültige Verordnung</w:t>
              </w:r>
            </w:hyperlink>
          </w:p>
          <w:p w14:paraId="13FD2F2A" w14:textId="77777777" w:rsidR="00377531" w:rsidRPr="00377531" w:rsidRDefault="00377531" w:rsidP="004F2670">
            <w:pPr>
              <w:jc w:val="center"/>
              <w:rPr>
                <w:noProof/>
                <w:sz w:val="20"/>
                <w:szCs w:val="20"/>
              </w:rPr>
            </w:pPr>
            <w:r>
              <w:rPr>
                <w:noProof/>
                <w:sz w:val="20"/>
              </w:rPr>
              <w:t xml:space="preserve"> </w:t>
            </w:r>
          </w:p>
        </w:tc>
        <w:tc>
          <w:tcPr>
            <w:tcW w:w="648" w:type="pct"/>
          </w:tcPr>
          <w:p w14:paraId="13FD2F2B" w14:textId="77777777" w:rsidR="00377531" w:rsidRPr="00377531" w:rsidRDefault="00377531" w:rsidP="004F2670">
            <w:pPr>
              <w:jc w:val="center"/>
              <w:rPr>
                <w:noProof/>
                <w:sz w:val="20"/>
                <w:szCs w:val="20"/>
              </w:rPr>
            </w:pPr>
            <w:r>
              <w:rPr>
                <w:noProof/>
                <w:sz w:val="20"/>
              </w:rPr>
              <w:t>NEIN</w:t>
            </w:r>
          </w:p>
        </w:tc>
        <w:tc>
          <w:tcPr>
            <w:tcW w:w="636" w:type="pct"/>
          </w:tcPr>
          <w:p w14:paraId="13FD2F2C" w14:textId="77777777" w:rsidR="00377531" w:rsidRPr="00377531" w:rsidRDefault="00377531" w:rsidP="004F2670">
            <w:pPr>
              <w:jc w:val="center"/>
              <w:rPr>
                <w:noProof/>
                <w:sz w:val="20"/>
                <w:szCs w:val="20"/>
              </w:rPr>
            </w:pPr>
            <w:r>
              <w:rPr>
                <w:noProof/>
                <w:sz w:val="20"/>
              </w:rPr>
              <w:t>-</w:t>
            </w:r>
          </w:p>
        </w:tc>
        <w:tc>
          <w:tcPr>
            <w:tcW w:w="459" w:type="pct"/>
          </w:tcPr>
          <w:p w14:paraId="13FD2F2D" w14:textId="77777777" w:rsidR="00377531" w:rsidRPr="00377531" w:rsidRDefault="00377531" w:rsidP="004F2670">
            <w:pPr>
              <w:jc w:val="center"/>
              <w:rPr>
                <w:noProof/>
                <w:sz w:val="20"/>
                <w:szCs w:val="20"/>
              </w:rPr>
            </w:pPr>
            <w:r>
              <w:rPr>
                <w:noProof/>
                <w:sz w:val="20"/>
              </w:rPr>
              <w:t>-</w:t>
            </w:r>
          </w:p>
        </w:tc>
        <w:tc>
          <w:tcPr>
            <w:tcW w:w="423" w:type="pct"/>
          </w:tcPr>
          <w:p w14:paraId="13FD2F2E" w14:textId="77777777" w:rsidR="00377531" w:rsidRPr="00377531" w:rsidRDefault="00377531" w:rsidP="004F2670">
            <w:pPr>
              <w:jc w:val="center"/>
              <w:rPr>
                <w:noProof/>
                <w:sz w:val="20"/>
                <w:szCs w:val="20"/>
              </w:rPr>
            </w:pPr>
            <w:r>
              <w:rPr>
                <w:noProof/>
                <w:sz w:val="20"/>
              </w:rPr>
              <w:t>-</w:t>
            </w:r>
          </w:p>
          <w:p w14:paraId="13FD2F2F" w14:textId="77777777" w:rsidR="00377531" w:rsidRPr="00377531" w:rsidRDefault="00377531" w:rsidP="004F2670">
            <w:pPr>
              <w:jc w:val="center"/>
              <w:rPr>
                <w:noProof/>
                <w:sz w:val="20"/>
                <w:szCs w:val="20"/>
              </w:rPr>
            </w:pPr>
          </w:p>
          <w:p w14:paraId="13FD2F30" w14:textId="77777777" w:rsidR="00377531" w:rsidRPr="00377531" w:rsidRDefault="00377531" w:rsidP="004F2670">
            <w:pPr>
              <w:jc w:val="center"/>
              <w:rPr>
                <w:noProof/>
                <w:sz w:val="20"/>
                <w:szCs w:val="20"/>
              </w:rPr>
            </w:pPr>
          </w:p>
        </w:tc>
        <w:tc>
          <w:tcPr>
            <w:tcW w:w="816" w:type="pct"/>
          </w:tcPr>
          <w:p w14:paraId="13FD2F31" w14:textId="77777777" w:rsidR="00377531" w:rsidRPr="00377531" w:rsidRDefault="00377531" w:rsidP="004F2670">
            <w:pPr>
              <w:jc w:val="center"/>
              <w:rPr>
                <w:noProof/>
                <w:sz w:val="20"/>
                <w:szCs w:val="20"/>
              </w:rPr>
            </w:pPr>
            <w:r>
              <w:rPr>
                <w:noProof/>
                <w:sz w:val="20"/>
              </w:rPr>
              <w:t>NEIN</w:t>
            </w:r>
          </w:p>
          <w:p w14:paraId="13FD2F32" w14:textId="77777777" w:rsidR="00377531" w:rsidRPr="00377531" w:rsidRDefault="00377531" w:rsidP="004F2670">
            <w:pPr>
              <w:jc w:val="center"/>
              <w:rPr>
                <w:noProof/>
                <w:sz w:val="20"/>
                <w:szCs w:val="20"/>
              </w:rPr>
            </w:pPr>
          </w:p>
          <w:p w14:paraId="13FD2F33" w14:textId="77777777" w:rsidR="00377531" w:rsidRPr="00377531" w:rsidRDefault="00377531" w:rsidP="004F2670">
            <w:pPr>
              <w:jc w:val="center"/>
              <w:rPr>
                <w:noProof/>
                <w:sz w:val="20"/>
                <w:szCs w:val="20"/>
              </w:rPr>
            </w:pPr>
            <w:r>
              <w:rPr>
                <w:noProof/>
                <w:sz w:val="20"/>
              </w:rPr>
              <w:t xml:space="preserve">USA: Anstieg der Einfuhren um 39 % </w:t>
            </w:r>
          </w:p>
          <w:p w14:paraId="13FD2F34" w14:textId="77777777" w:rsidR="00377531" w:rsidRPr="00377531" w:rsidRDefault="00377531" w:rsidP="004F2670">
            <w:pPr>
              <w:jc w:val="center"/>
              <w:rPr>
                <w:noProof/>
                <w:sz w:val="20"/>
                <w:szCs w:val="20"/>
              </w:rPr>
            </w:pPr>
            <w:r>
              <w:rPr>
                <w:noProof/>
                <w:sz w:val="20"/>
              </w:rPr>
              <w:t>Angepasste Schadensspanne in Saudi-Arabien: Kein Anstieg der Einfuhren</w:t>
            </w:r>
          </w:p>
        </w:tc>
      </w:tr>
      <w:tr w:rsidR="0087369D" w:rsidRPr="00377531" w14:paraId="13FD2F43" w14:textId="77777777" w:rsidTr="0087369D">
        <w:tc>
          <w:tcPr>
            <w:tcW w:w="550" w:type="pct"/>
          </w:tcPr>
          <w:p w14:paraId="13FD2F36" w14:textId="77777777" w:rsidR="00377531" w:rsidRPr="00377531" w:rsidRDefault="00377531" w:rsidP="004F2670">
            <w:pPr>
              <w:jc w:val="center"/>
              <w:rPr>
                <w:noProof/>
                <w:sz w:val="20"/>
                <w:szCs w:val="20"/>
              </w:rPr>
            </w:pPr>
            <w:r>
              <w:rPr>
                <w:noProof/>
                <w:sz w:val="20"/>
              </w:rPr>
              <w:t>Birkensperrholz</w:t>
            </w:r>
          </w:p>
        </w:tc>
        <w:tc>
          <w:tcPr>
            <w:tcW w:w="367" w:type="pct"/>
          </w:tcPr>
          <w:p w14:paraId="13FD2F37" w14:textId="77777777" w:rsidR="00377531" w:rsidRPr="00377531" w:rsidRDefault="00377531" w:rsidP="004F2670">
            <w:pPr>
              <w:jc w:val="center"/>
              <w:rPr>
                <w:noProof/>
                <w:sz w:val="20"/>
                <w:szCs w:val="20"/>
              </w:rPr>
            </w:pPr>
            <w:r>
              <w:rPr>
                <w:noProof/>
                <w:sz w:val="20"/>
              </w:rPr>
              <w:t>Russland</w:t>
            </w:r>
          </w:p>
        </w:tc>
        <w:tc>
          <w:tcPr>
            <w:tcW w:w="551" w:type="pct"/>
          </w:tcPr>
          <w:p w14:paraId="13FD2F38" w14:textId="77777777" w:rsidR="00377531" w:rsidRPr="00377531" w:rsidRDefault="00AB679B" w:rsidP="004F2670">
            <w:pPr>
              <w:jc w:val="center"/>
              <w:rPr>
                <w:noProof/>
                <w:sz w:val="20"/>
                <w:szCs w:val="20"/>
              </w:rPr>
            </w:pPr>
            <w:hyperlink r:id="rId45" w:history="1">
              <w:r w:rsidR="0062348C">
                <w:rPr>
                  <w:rStyle w:val="Hyperlink"/>
                  <w:noProof/>
                  <w:sz w:val="20"/>
                </w:rPr>
                <w:t>Vorläufige Verordnung</w:t>
              </w:r>
            </w:hyperlink>
          </w:p>
          <w:p w14:paraId="13FD2F39" w14:textId="77777777" w:rsidR="00377531" w:rsidRPr="00377531" w:rsidRDefault="00377531" w:rsidP="004F2670">
            <w:pPr>
              <w:jc w:val="center"/>
              <w:rPr>
                <w:noProof/>
                <w:sz w:val="20"/>
                <w:szCs w:val="20"/>
                <w:lang w:val="fr-BE"/>
              </w:rPr>
            </w:pPr>
          </w:p>
        </w:tc>
        <w:tc>
          <w:tcPr>
            <w:tcW w:w="551" w:type="pct"/>
          </w:tcPr>
          <w:p w14:paraId="13FD2F3A" w14:textId="77777777" w:rsidR="00377531" w:rsidRPr="00377531" w:rsidRDefault="00AB679B" w:rsidP="004F2670">
            <w:pPr>
              <w:jc w:val="center"/>
              <w:rPr>
                <w:noProof/>
                <w:sz w:val="20"/>
                <w:szCs w:val="20"/>
              </w:rPr>
            </w:pPr>
            <w:hyperlink r:id="rId46" w:history="1">
              <w:r w:rsidR="0062348C">
                <w:rPr>
                  <w:rStyle w:val="Hyperlink"/>
                  <w:noProof/>
                  <w:sz w:val="20"/>
                </w:rPr>
                <w:t>Endgültige Verordnung</w:t>
              </w:r>
            </w:hyperlink>
          </w:p>
          <w:p w14:paraId="13FD2F3B" w14:textId="77777777" w:rsidR="00377531" w:rsidRPr="00377531" w:rsidRDefault="00377531" w:rsidP="004F2670">
            <w:pPr>
              <w:jc w:val="center"/>
              <w:rPr>
                <w:noProof/>
                <w:sz w:val="20"/>
                <w:szCs w:val="20"/>
              </w:rPr>
            </w:pPr>
            <w:r>
              <w:rPr>
                <w:noProof/>
                <w:sz w:val="20"/>
              </w:rPr>
              <w:t xml:space="preserve"> </w:t>
            </w:r>
          </w:p>
        </w:tc>
        <w:tc>
          <w:tcPr>
            <w:tcW w:w="648" w:type="pct"/>
          </w:tcPr>
          <w:p w14:paraId="13FD2F3C" w14:textId="77777777" w:rsidR="00377531" w:rsidRPr="00377531" w:rsidRDefault="00377531" w:rsidP="004F2670">
            <w:pPr>
              <w:jc w:val="center"/>
              <w:rPr>
                <w:noProof/>
                <w:sz w:val="20"/>
                <w:szCs w:val="20"/>
              </w:rPr>
            </w:pPr>
            <w:r>
              <w:rPr>
                <w:noProof/>
                <w:sz w:val="20"/>
              </w:rPr>
              <w:t>NEIN</w:t>
            </w:r>
          </w:p>
        </w:tc>
        <w:tc>
          <w:tcPr>
            <w:tcW w:w="636" w:type="pct"/>
          </w:tcPr>
          <w:p w14:paraId="13FD2F3D" w14:textId="77777777" w:rsidR="00377531" w:rsidRPr="00377531" w:rsidRDefault="00377531" w:rsidP="004F2670">
            <w:pPr>
              <w:jc w:val="center"/>
              <w:rPr>
                <w:noProof/>
                <w:sz w:val="20"/>
                <w:szCs w:val="20"/>
              </w:rPr>
            </w:pPr>
            <w:r>
              <w:rPr>
                <w:noProof/>
                <w:sz w:val="20"/>
              </w:rPr>
              <w:t>-</w:t>
            </w:r>
          </w:p>
        </w:tc>
        <w:tc>
          <w:tcPr>
            <w:tcW w:w="459" w:type="pct"/>
          </w:tcPr>
          <w:p w14:paraId="13FD2F3E" w14:textId="77777777" w:rsidR="00377531" w:rsidRPr="00377531" w:rsidRDefault="00377531" w:rsidP="004F2670">
            <w:pPr>
              <w:jc w:val="center"/>
              <w:rPr>
                <w:noProof/>
                <w:sz w:val="20"/>
                <w:szCs w:val="20"/>
              </w:rPr>
            </w:pPr>
            <w:r>
              <w:rPr>
                <w:noProof/>
                <w:sz w:val="20"/>
              </w:rPr>
              <w:t>-</w:t>
            </w:r>
          </w:p>
        </w:tc>
        <w:tc>
          <w:tcPr>
            <w:tcW w:w="423" w:type="pct"/>
          </w:tcPr>
          <w:p w14:paraId="13FD2F3F" w14:textId="77777777" w:rsidR="00377531" w:rsidRPr="00377531" w:rsidRDefault="00377531" w:rsidP="004F2670">
            <w:pPr>
              <w:jc w:val="center"/>
              <w:rPr>
                <w:noProof/>
                <w:sz w:val="20"/>
                <w:szCs w:val="20"/>
              </w:rPr>
            </w:pPr>
            <w:r>
              <w:rPr>
                <w:noProof/>
                <w:sz w:val="20"/>
              </w:rPr>
              <w:t>-</w:t>
            </w:r>
          </w:p>
        </w:tc>
        <w:tc>
          <w:tcPr>
            <w:tcW w:w="816" w:type="pct"/>
          </w:tcPr>
          <w:p w14:paraId="13FD2F40" w14:textId="77777777" w:rsidR="00377531" w:rsidRPr="00377531" w:rsidRDefault="00377531" w:rsidP="004F2670">
            <w:pPr>
              <w:jc w:val="center"/>
              <w:rPr>
                <w:noProof/>
                <w:sz w:val="20"/>
                <w:szCs w:val="20"/>
              </w:rPr>
            </w:pPr>
            <w:r>
              <w:rPr>
                <w:noProof/>
                <w:sz w:val="20"/>
              </w:rPr>
              <w:t>NEIN</w:t>
            </w:r>
          </w:p>
          <w:p w14:paraId="13FD2F41" w14:textId="77777777" w:rsidR="00377531" w:rsidRPr="00377531" w:rsidRDefault="00377531" w:rsidP="004F2670">
            <w:pPr>
              <w:jc w:val="center"/>
              <w:rPr>
                <w:noProof/>
                <w:sz w:val="20"/>
                <w:szCs w:val="20"/>
              </w:rPr>
            </w:pPr>
          </w:p>
          <w:p w14:paraId="13FD2F42" w14:textId="77777777" w:rsidR="00377531" w:rsidRPr="00377531" w:rsidRDefault="00377531" w:rsidP="004F2670">
            <w:pPr>
              <w:jc w:val="center"/>
              <w:rPr>
                <w:noProof/>
                <w:sz w:val="20"/>
                <w:szCs w:val="20"/>
              </w:rPr>
            </w:pPr>
            <w:r>
              <w:rPr>
                <w:noProof/>
                <w:sz w:val="20"/>
              </w:rPr>
              <w:t xml:space="preserve">  Anstieg der Einfuhren um 98,6 % – um den Faktor 1,02 angepasste Schadensspanne </w:t>
            </w:r>
          </w:p>
        </w:tc>
      </w:tr>
      <w:tr w:rsidR="0087369D" w:rsidRPr="00377531" w14:paraId="13FD2F54" w14:textId="77777777" w:rsidTr="0087369D">
        <w:tc>
          <w:tcPr>
            <w:tcW w:w="550" w:type="pct"/>
          </w:tcPr>
          <w:p w14:paraId="13FD2F44" w14:textId="16CEC2E4" w:rsidR="00377531" w:rsidRPr="00377531" w:rsidRDefault="00377531" w:rsidP="004F2670">
            <w:pPr>
              <w:jc w:val="center"/>
              <w:rPr>
                <w:noProof/>
                <w:sz w:val="20"/>
                <w:szCs w:val="20"/>
              </w:rPr>
            </w:pPr>
            <w:r>
              <w:rPr>
                <w:noProof/>
                <w:sz w:val="20"/>
              </w:rPr>
              <w:t>Zur Weiterverarbei</w:t>
            </w:r>
            <w:r w:rsidR="0087369D">
              <w:rPr>
                <w:noProof/>
                <w:sz w:val="20"/>
              </w:rPr>
              <w:softHyphen/>
            </w:r>
            <w:r>
              <w:rPr>
                <w:noProof/>
                <w:sz w:val="20"/>
              </w:rPr>
              <w:t>tung bestimmte Folien und dünne Bändern aus Aluminium</w:t>
            </w:r>
          </w:p>
        </w:tc>
        <w:tc>
          <w:tcPr>
            <w:tcW w:w="367" w:type="pct"/>
          </w:tcPr>
          <w:p w14:paraId="13FD2F45" w14:textId="77777777" w:rsidR="00377531" w:rsidRPr="00377531" w:rsidRDefault="00377531" w:rsidP="004F2670">
            <w:pPr>
              <w:jc w:val="center"/>
              <w:rPr>
                <w:noProof/>
                <w:sz w:val="20"/>
                <w:szCs w:val="20"/>
              </w:rPr>
            </w:pPr>
            <w:r>
              <w:rPr>
                <w:noProof/>
                <w:sz w:val="20"/>
              </w:rPr>
              <w:t>China</w:t>
            </w:r>
          </w:p>
        </w:tc>
        <w:tc>
          <w:tcPr>
            <w:tcW w:w="551" w:type="pct"/>
          </w:tcPr>
          <w:p w14:paraId="13FD2F46" w14:textId="77777777" w:rsidR="00377531" w:rsidRPr="00377531" w:rsidRDefault="00AB679B" w:rsidP="004F2670">
            <w:pPr>
              <w:jc w:val="center"/>
              <w:rPr>
                <w:noProof/>
                <w:sz w:val="20"/>
                <w:szCs w:val="20"/>
              </w:rPr>
            </w:pPr>
            <w:hyperlink r:id="rId47" w:history="1">
              <w:r w:rsidR="0062348C">
                <w:rPr>
                  <w:rStyle w:val="Hyperlink"/>
                  <w:noProof/>
                  <w:sz w:val="20"/>
                </w:rPr>
                <w:t xml:space="preserve">Vorläufige Verordnung </w:t>
              </w:r>
            </w:hyperlink>
          </w:p>
          <w:p w14:paraId="13FD2F47" w14:textId="77777777" w:rsidR="00377531" w:rsidRPr="00377531" w:rsidRDefault="00377531" w:rsidP="004F2670">
            <w:pPr>
              <w:jc w:val="center"/>
              <w:rPr>
                <w:noProof/>
                <w:sz w:val="20"/>
                <w:szCs w:val="20"/>
                <w:lang w:val="fr-BE"/>
              </w:rPr>
            </w:pPr>
          </w:p>
        </w:tc>
        <w:tc>
          <w:tcPr>
            <w:tcW w:w="551" w:type="pct"/>
          </w:tcPr>
          <w:p w14:paraId="13FD2F48" w14:textId="77777777" w:rsidR="00377531" w:rsidRPr="00377531" w:rsidRDefault="00AB679B" w:rsidP="004F2670">
            <w:pPr>
              <w:jc w:val="center"/>
              <w:rPr>
                <w:rStyle w:val="Hyperlink"/>
                <w:noProof/>
                <w:sz w:val="20"/>
                <w:szCs w:val="20"/>
              </w:rPr>
            </w:pPr>
            <w:hyperlink r:id="rId48" w:history="1">
              <w:r w:rsidR="0062348C">
                <w:rPr>
                  <w:rStyle w:val="Hyperlink"/>
                  <w:noProof/>
                  <w:sz w:val="20"/>
                </w:rPr>
                <w:t xml:space="preserve">Endgültige Verordnung </w:t>
              </w:r>
            </w:hyperlink>
          </w:p>
          <w:p w14:paraId="13FD2F49" w14:textId="77777777" w:rsidR="00377531" w:rsidRPr="00377531" w:rsidRDefault="00377531" w:rsidP="004F2670">
            <w:pPr>
              <w:jc w:val="center"/>
              <w:rPr>
                <w:noProof/>
                <w:sz w:val="20"/>
                <w:szCs w:val="20"/>
              </w:rPr>
            </w:pPr>
          </w:p>
        </w:tc>
        <w:tc>
          <w:tcPr>
            <w:tcW w:w="648" w:type="pct"/>
          </w:tcPr>
          <w:p w14:paraId="13FD2F4A" w14:textId="77777777" w:rsidR="00377531" w:rsidRPr="00377531" w:rsidRDefault="00377531" w:rsidP="004F2670">
            <w:pPr>
              <w:jc w:val="center"/>
              <w:rPr>
                <w:noProof/>
                <w:sz w:val="20"/>
                <w:szCs w:val="20"/>
              </w:rPr>
            </w:pPr>
            <w:r>
              <w:rPr>
                <w:noProof/>
                <w:sz w:val="20"/>
              </w:rPr>
              <w:t>JA</w:t>
            </w:r>
          </w:p>
        </w:tc>
        <w:tc>
          <w:tcPr>
            <w:tcW w:w="636" w:type="pct"/>
          </w:tcPr>
          <w:p w14:paraId="13FD2F4B" w14:textId="77777777" w:rsidR="00377531" w:rsidRPr="00377531" w:rsidRDefault="00377531" w:rsidP="004F2670">
            <w:pPr>
              <w:jc w:val="center"/>
              <w:rPr>
                <w:noProof/>
                <w:sz w:val="20"/>
                <w:szCs w:val="20"/>
              </w:rPr>
            </w:pPr>
            <w:r>
              <w:rPr>
                <w:noProof/>
                <w:sz w:val="20"/>
              </w:rPr>
              <w:t>JA</w:t>
            </w:r>
          </w:p>
        </w:tc>
        <w:tc>
          <w:tcPr>
            <w:tcW w:w="459" w:type="pct"/>
          </w:tcPr>
          <w:p w14:paraId="13FD2F4C" w14:textId="77777777" w:rsidR="00377531" w:rsidRPr="00377531" w:rsidRDefault="00377531" w:rsidP="004F2670">
            <w:pPr>
              <w:jc w:val="center"/>
              <w:rPr>
                <w:noProof/>
                <w:sz w:val="20"/>
                <w:szCs w:val="20"/>
              </w:rPr>
            </w:pPr>
            <w:r>
              <w:rPr>
                <w:noProof/>
                <w:sz w:val="20"/>
              </w:rPr>
              <w:t>Aluminiumbarren</w:t>
            </w:r>
          </w:p>
          <w:p w14:paraId="13FD2F4D" w14:textId="77777777" w:rsidR="00377531" w:rsidRPr="00377531" w:rsidRDefault="00377531" w:rsidP="004F2670">
            <w:pPr>
              <w:jc w:val="both"/>
              <w:rPr>
                <w:noProof/>
                <w:sz w:val="20"/>
                <w:szCs w:val="20"/>
              </w:rPr>
            </w:pPr>
            <w:r>
              <w:rPr>
                <w:noProof/>
                <w:sz w:val="20"/>
              </w:rPr>
              <w:t>&gt; 17 % der Herstellkosten</w:t>
            </w:r>
          </w:p>
          <w:p w14:paraId="13FD2F4E" w14:textId="77777777" w:rsidR="00377531" w:rsidRPr="00377531" w:rsidRDefault="00377531" w:rsidP="004F2670">
            <w:pPr>
              <w:jc w:val="both"/>
              <w:rPr>
                <w:noProof/>
                <w:sz w:val="20"/>
                <w:szCs w:val="20"/>
              </w:rPr>
            </w:pPr>
          </w:p>
          <w:p w14:paraId="13FD2F4F" w14:textId="77777777" w:rsidR="00377531" w:rsidRPr="00377531" w:rsidRDefault="00377531" w:rsidP="004F2670">
            <w:pPr>
              <w:jc w:val="center"/>
              <w:rPr>
                <w:noProof/>
                <w:sz w:val="20"/>
                <w:szCs w:val="20"/>
              </w:rPr>
            </w:pPr>
            <w:r>
              <w:rPr>
                <w:noProof/>
                <w:sz w:val="20"/>
              </w:rPr>
              <w:t xml:space="preserve">Der Preis ist </w:t>
            </w:r>
            <w:r>
              <w:rPr>
                <w:noProof/>
                <w:sz w:val="20"/>
                <w:u w:val="single"/>
              </w:rPr>
              <w:t>nicht</w:t>
            </w:r>
            <w:r>
              <w:rPr>
                <w:noProof/>
                <w:sz w:val="20"/>
              </w:rPr>
              <w:t xml:space="preserve"> erheblich niedriger als der Referenzpreis.</w:t>
            </w:r>
          </w:p>
        </w:tc>
        <w:tc>
          <w:tcPr>
            <w:tcW w:w="423" w:type="pct"/>
          </w:tcPr>
          <w:p w14:paraId="13FD2F50" w14:textId="77777777" w:rsidR="00377531" w:rsidRPr="00377531" w:rsidRDefault="00377531" w:rsidP="004F2670">
            <w:pPr>
              <w:jc w:val="center"/>
              <w:rPr>
                <w:noProof/>
                <w:sz w:val="20"/>
                <w:szCs w:val="20"/>
              </w:rPr>
            </w:pPr>
            <w:r>
              <w:rPr>
                <w:noProof/>
                <w:sz w:val="20"/>
              </w:rPr>
              <w:t>NEIN</w:t>
            </w:r>
          </w:p>
        </w:tc>
        <w:tc>
          <w:tcPr>
            <w:tcW w:w="816" w:type="pct"/>
          </w:tcPr>
          <w:p w14:paraId="13FD2F51" w14:textId="77777777" w:rsidR="00377531" w:rsidRPr="00377531" w:rsidRDefault="00377531" w:rsidP="004F2670">
            <w:pPr>
              <w:jc w:val="center"/>
              <w:rPr>
                <w:noProof/>
                <w:sz w:val="20"/>
                <w:szCs w:val="20"/>
              </w:rPr>
            </w:pPr>
            <w:r>
              <w:rPr>
                <w:noProof/>
                <w:sz w:val="20"/>
              </w:rPr>
              <w:t>NEIN</w:t>
            </w:r>
          </w:p>
          <w:p w14:paraId="13FD2F52" w14:textId="77777777" w:rsidR="00377531" w:rsidRPr="00377531" w:rsidRDefault="00377531" w:rsidP="004F2670">
            <w:pPr>
              <w:jc w:val="center"/>
              <w:rPr>
                <w:noProof/>
                <w:sz w:val="20"/>
                <w:szCs w:val="20"/>
              </w:rPr>
            </w:pPr>
          </w:p>
          <w:p w14:paraId="13FD2F53" w14:textId="77777777" w:rsidR="00377531" w:rsidRPr="00377531" w:rsidRDefault="00377531" w:rsidP="004F2670">
            <w:pPr>
              <w:jc w:val="center"/>
              <w:rPr>
                <w:noProof/>
                <w:sz w:val="20"/>
                <w:szCs w:val="20"/>
              </w:rPr>
            </w:pPr>
            <w:r>
              <w:rPr>
                <w:noProof/>
                <w:sz w:val="20"/>
              </w:rPr>
              <w:t xml:space="preserve">Rückgang der Einfuhren um 47 % </w:t>
            </w:r>
          </w:p>
        </w:tc>
      </w:tr>
      <w:tr w:rsidR="0087369D" w:rsidRPr="00377531" w14:paraId="13FD2F5F" w14:textId="77777777" w:rsidTr="0087369D">
        <w:tc>
          <w:tcPr>
            <w:tcW w:w="550" w:type="pct"/>
          </w:tcPr>
          <w:p w14:paraId="13FD2F55" w14:textId="77777777" w:rsidR="00377531" w:rsidRPr="00377531" w:rsidRDefault="00377531" w:rsidP="004F2670">
            <w:pPr>
              <w:jc w:val="center"/>
              <w:rPr>
                <w:noProof/>
                <w:sz w:val="20"/>
                <w:szCs w:val="20"/>
              </w:rPr>
            </w:pPr>
            <w:r>
              <w:rPr>
                <w:noProof/>
                <w:sz w:val="20"/>
              </w:rPr>
              <w:t>Windkrafttürme aus Stahl</w:t>
            </w:r>
          </w:p>
        </w:tc>
        <w:tc>
          <w:tcPr>
            <w:tcW w:w="367" w:type="pct"/>
          </w:tcPr>
          <w:p w14:paraId="13FD2F56" w14:textId="77777777" w:rsidR="00377531" w:rsidRPr="00377531" w:rsidRDefault="00377531" w:rsidP="004F2670">
            <w:pPr>
              <w:jc w:val="center"/>
              <w:rPr>
                <w:noProof/>
                <w:sz w:val="20"/>
                <w:szCs w:val="20"/>
              </w:rPr>
            </w:pPr>
            <w:r>
              <w:rPr>
                <w:noProof/>
                <w:sz w:val="20"/>
              </w:rPr>
              <w:t>China</w:t>
            </w:r>
          </w:p>
        </w:tc>
        <w:tc>
          <w:tcPr>
            <w:tcW w:w="551" w:type="pct"/>
          </w:tcPr>
          <w:p w14:paraId="13FD2F57" w14:textId="77777777" w:rsidR="00377531" w:rsidRPr="00377531" w:rsidRDefault="00377531" w:rsidP="004F2670">
            <w:pPr>
              <w:jc w:val="center"/>
              <w:rPr>
                <w:noProof/>
                <w:sz w:val="20"/>
                <w:szCs w:val="20"/>
              </w:rPr>
            </w:pPr>
            <w:r>
              <w:rPr>
                <w:noProof/>
                <w:sz w:val="20"/>
              </w:rPr>
              <w:t>-</w:t>
            </w:r>
          </w:p>
        </w:tc>
        <w:tc>
          <w:tcPr>
            <w:tcW w:w="551" w:type="pct"/>
          </w:tcPr>
          <w:p w14:paraId="13FD2F58" w14:textId="77777777" w:rsidR="00377531" w:rsidRPr="00377531" w:rsidRDefault="00AB679B" w:rsidP="004F2670">
            <w:pPr>
              <w:jc w:val="center"/>
              <w:rPr>
                <w:noProof/>
                <w:sz w:val="20"/>
                <w:szCs w:val="20"/>
              </w:rPr>
            </w:pPr>
            <w:hyperlink r:id="rId49" w:history="1">
              <w:r w:rsidR="0062348C">
                <w:rPr>
                  <w:rStyle w:val="Hyperlink"/>
                  <w:noProof/>
                  <w:sz w:val="20"/>
                </w:rPr>
                <w:t xml:space="preserve">Endgültige Verordnung </w:t>
              </w:r>
            </w:hyperlink>
          </w:p>
        </w:tc>
        <w:tc>
          <w:tcPr>
            <w:tcW w:w="648" w:type="pct"/>
          </w:tcPr>
          <w:p w14:paraId="13FD2F59" w14:textId="77777777" w:rsidR="00377531" w:rsidRPr="00377531" w:rsidRDefault="00377531" w:rsidP="004F2670">
            <w:pPr>
              <w:jc w:val="center"/>
              <w:rPr>
                <w:noProof/>
                <w:sz w:val="20"/>
                <w:szCs w:val="20"/>
              </w:rPr>
            </w:pPr>
            <w:r>
              <w:rPr>
                <w:noProof/>
                <w:sz w:val="20"/>
              </w:rPr>
              <w:t>NEIN</w:t>
            </w:r>
          </w:p>
        </w:tc>
        <w:tc>
          <w:tcPr>
            <w:tcW w:w="636" w:type="pct"/>
          </w:tcPr>
          <w:p w14:paraId="13FD2F5A" w14:textId="77777777" w:rsidR="00377531" w:rsidRPr="00377531" w:rsidRDefault="00377531" w:rsidP="004F2670">
            <w:pPr>
              <w:jc w:val="center"/>
              <w:rPr>
                <w:noProof/>
                <w:sz w:val="20"/>
                <w:szCs w:val="20"/>
              </w:rPr>
            </w:pPr>
            <w:r>
              <w:rPr>
                <w:noProof/>
                <w:sz w:val="20"/>
              </w:rPr>
              <w:t>-</w:t>
            </w:r>
          </w:p>
        </w:tc>
        <w:tc>
          <w:tcPr>
            <w:tcW w:w="459" w:type="pct"/>
          </w:tcPr>
          <w:p w14:paraId="13FD2F5B" w14:textId="77777777" w:rsidR="00377531" w:rsidRPr="00377531" w:rsidRDefault="00377531" w:rsidP="004F2670">
            <w:pPr>
              <w:jc w:val="center"/>
              <w:rPr>
                <w:noProof/>
                <w:sz w:val="20"/>
                <w:szCs w:val="20"/>
              </w:rPr>
            </w:pPr>
            <w:r>
              <w:rPr>
                <w:noProof/>
                <w:sz w:val="20"/>
              </w:rPr>
              <w:t>-</w:t>
            </w:r>
          </w:p>
        </w:tc>
        <w:tc>
          <w:tcPr>
            <w:tcW w:w="423" w:type="pct"/>
          </w:tcPr>
          <w:p w14:paraId="13FD2F5C" w14:textId="77777777" w:rsidR="00377531" w:rsidRPr="00377531" w:rsidRDefault="00377531" w:rsidP="004F2670">
            <w:pPr>
              <w:jc w:val="center"/>
              <w:rPr>
                <w:noProof/>
                <w:sz w:val="20"/>
                <w:szCs w:val="20"/>
              </w:rPr>
            </w:pPr>
            <w:r>
              <w:rPr>
                <w:noProof/>
                <w:sz w:val="20"/>
              </w:rPr>
              <w:t>-</w:t>
            </w:r>
          </w:p>
        </w:tc>
        <w:tc>
          <w:tcPr>
            <w:tcW w:w="816" w:type="pct"/>
          </w:tcPr>
          <w:p w14:paraId="13FD2F5D" w14:textId="77777777" w:rsidR="00377531" w:rsidRPr="00377531" w:rsidRDefault="00377531" w:rsidP="004F2670">
            <w:pPr>
              <w:jc w:val="center"/>
              <w:rPr>
                <w:noProof/>
                <w:sz w:val="20"/>
                <w:szCs w:val="20"/>
              </w:rPr>
            </w:pPr>
            <w:r>
              <w:rPr>
                <w:noProof/>
                <w:sz w:val="20"/>
              </w:rPr>
              <w:t>k. A.</w:t>
            </w:r>
          </w:p>
          <w:p w14:paraId="13FD2F5E" w14:textId="77777777" w:rsidR="00377531" w:rsidRPr="00377531" w:rsidRDefault="00377531" w:rsidP="004F2670">
            <w:pPr>
              <w:jc w:val="center"/>
              <w:rPr>
                <w:noProof/>
                <w:sz w:val="20"/>
                <w:szCs w:val="20"/>
              </w:rPr>
            </w:pPr>
          </w:p>
        </w:tc>
      </w:tr>
      <w:tr w:rsidR="0087369D" w:rsidRPr="00377531" w14:paraId="13FD2F6A" w14:textId="77777777" w:rsidTr="0087369D">
        <w:tc>
          <w:tcPr>
            <w:tcW w:w="550" w:type="pct"/>
          </w:tcPr>
          <w:p w14:paraId="13FD2F60" w14:textId="1D0DD52F" w:rsidR="00377531" w:rsidRPr="00377531" w:rsidRDefault="00377531" w:rsidP="004F2670">
            <w:pPr>
              <w:jc w:val="center"/>
              <w:rPr>
                <w:noProof/>
                <w:sz w:val="20"/>
                <w:szCs w:val="20"/>
              </w:rPr>
            </w:pPr>
            <w:r>
              <w:rPr>
                <w:noProof/>
                <w:sz w:val="20"/>
              </w:rPr>
              <w:t>Verbindungsele</w:t>
            </w:r>
            <w:r w:rsidR="0087369D">
              <w:rPr>
                <w:noProof/>
                <w:sz w:val="20"/>
              </w:rPr>
              <w:softHyphen/>
            </w:r>
            <w:r>
              <w:rPr>
                <w:noProof/>
                <w:sz w:val="20"/>
              </w:rPr>
              <w:t>mente aus Eisen oder Stahl</w:t>
            </w:r>
          </w:p>
        </w:tc>
        <w:tc>
          <w:tcPr>
            <w:tcW w:w="367" w:type="pct"/>
          </w:tcPr>
          <w:p w14:paraId="13FD2F61" w14:textId="77777777" w:rsidR="00377531" w:rsidRPr="00377531" w:rsidRDefault="00377531" w:rsidP="004F2670">
            <w:pPr>
              <w:jc w:val="center"/>
              <w:rPr>
                <w:noProof/>
                <w:sz w:val="20"/>
                <w:szCs w:val="20"/>
              </w:rPr>
            </w:pPr>
            <w:r>
              <w:rPr>
                <w:noProof/>
                <w:sz w:val="20"/>
              </w:rPr>
              <w:t>China</w:t>
            </w:r>
          </w:p>
        </w:tc>
        <w:tc>
          <w:tcPr>
            <w:tcW w:w="551" w:type="pct"/>
          </w:tcPr>
          <w:p w14:paraId="13FD2F62" w14:textId="77777777" w:rsidR="00377531" w:rsidRPr="00377531" w:rsidRDefault="00377531" w:rsidP="004F2670">
            <w:pPr>
              <w:jc w:val="center"/>
              <w:rPr>
                <w:noProof/>
                <w:sz w:val="20"/>
                <w:szCs w:val="20"/>
              </w:rPr>
            </w:pPr>
            <w:r>
              <w:rPr>
                <w:noProof/>
                <w:sz w:val="20"/>
              </w:rPr>
              <w:t>-</w:t>
            </w:r>
          </w:p>
        </w:tc>
        <w:tc>
          <w:tcPr>
            <w:tcW w:w="551" w:type="pct"/>
          </w:tcPr>
          <w:p w14:paraId="13FD2F63" w14:textId="77777777" w:rsidR="00377531" w:rsidRPr="00377531" w:rsidRDefault="00AB679B" w:rsidP="004F2670">
            <w:pPr>
              <w:jc w:val="center"/>
              <w:rPr>
                <w:noProof/>
                <w:sz w:val="20"/>
                <w:szCs w:val="20"/>
              </w:rPr>
            </w:pPr>
            <w:hyperlink r:id="rId50" w:history="1">
              <w:r w:rsidR="0062348C">
                <w:rPr>
                  <w:rStyle w:val="Hyperlink"/>
                  <w:noProof/>
                  <w:sz w:val="20"/>
                </w:rPr>
                <w:t xml:space="preserve">Endgültige Verordnung </w:t>
              </w:r>
            </w:hyperlink>
          </w:p>
        </w:tc>
        <w:tc>
          <w:tcPr>
            <w:tcW w:w="648" w:type="pct"/>
          </w:tcPr>
          <w:p w14:paraId="13FD2F64" w14:textId="77777777" w:rsidR="00377531" w:rsidRPr="00377531" w:rsidRDefault="00377531" w:rsidP="004F2670">
            <w:pPr>
              <w:jc w:val="center"/>
              <w:rPr>
                <w:noProof/>
                <w:sz w:val="20"/>
                <w:szCs w:val="20"/>
              </w:rPr>
            </w:pPr>
            <w:r>
              <w:rPr>
                <w:noProof/>
                <w:sz w:val="20"/>
              </w:rPr>
              <w:t>NEIN</w:t>
            </w:r>
          </w:p>
        </w:tc>
        <w:tc>
          <w:tcPr>
            <w:tcW w:w="636" w:type="pct"/>
          </w:tcPr>
          <w:p w14:paraId="13FD2F65" w14:textId="77777777" w:rsidR="00377531" w:rsidRPr="00377531" w:rsidRDefault="00377531" w:rsidP="004F2670">
            <w:pPr>
              <w:jc w:val="center"/>
              <w:rPr>
                <w:noProof/>
                <w:sz w:val="20"/>
                <w:szCs w:val="20"/>
              </w:rPr>
            </w:pPr>
            <w:r>
              <w:rPr>
                <w:noProof/>
                <w:sz w:val="20"/>
              </w:rPr>
              <w:t>-</w:t>
            </w:r>
          </w:p>
        </w:tc>
        <w:tc>
          <w:tcPr>
            <w:tcW w:w="459" w:type="pct"/>
          </w:tcPr>
          <w:p w14:paraId="13FD2F66" w14:textId="77777777" w:rsidR="00377531" w:rsidRPr="00377531" w:rsidRDefault="00377531" w:rsidP="004F2670">
            <w:pPr>
              <w:jc w:val="center"/>
              <w:rPr>
                <w:noProof/>
                <w:sz w:val="20"/>
                <w:szCs w:val="20"/>
              </w:rPr>
            </w:pPr>
            <w:r>
              <w:rPr>
                <w:noProof/>
                <w:sz w:val="20"/>
              </w:rPr>
              <w:t>-</w:t>
            </w:r>
          </w:p>
        </w:tc>
        <w:tc>
          <w:tcPr>
            <w:tcW w:w="423" w:type="pct"/>
          </w:tcPr>
          <w:p w14:paraId="13FD2F67" w14:textId="77777777" w:rsidR="00377531" w:rsidRPr="00377531" w:rsidRDefault="00377531" w:rsidP="004F2670">
            <w:pPr>
              <w:jc w:val="center"/>
              <w:rPr>
                <w:noProof/>
                <w:sz w:val="20"/>
                <w:szCs w:val="20"/>
              </w:rPr>
            </w:pPr>
            <w:r>
              <w:rPr>
                <w:noProof/>
                <w:sz w:val="20"/>
              </w:rPr>
              <w:t>-</w:t>
            </w:r>
          </w:p>
        </w:tc>
        <w:tc>
          <w:tcPr>
            <w:tcW w:w="816" w:type="pct"/>
          </w:tcPr>
          <w:p w14:paraId="13FD2F68" w14:textId="77777777" w:rsidR="00377531" w:rsidRPr="00377531" w:rsidRDefault="00377531" w:rsidP="004F2670">
            <w:pPr>
              <w:jc w:val="center"/>
              <w:rPr>
                <w:noProof/>
                <w:sz w:val="20"/>
                <w:szCs w:val="20"/>
              </w:rPr>
            </w:pPr>
            <w:r>
              <w:rPr>
                <w:noProof/>
                <w:sz w:val="20"/>
              </w:rPr>
              <w:t>k. A.</w:t>
            </w:r>
          </w:p>
          <w:p w14:paraId="13FD2F69" w14:textId="77777777" w:rsidR="00377531" w:rsidRPr="00377531" w:rsidRDefault="00377531" w:rsidP="004F2670">
            <w:pPr>
              <w:jc w:val="center"/>
              <w:rPr>
                <w:noProof/>
                <w:sz w:val="20"/>
                <w:szCs w:val="20"/>
                <w:lang w:val="fr-BE"/>
              </w:rPr>
            </w:pPr>
          </w:p>
        </w:tc>
      </w:tr>
      <w:tr w:rsidR="0087369D" w:rsidRPr="00377531" w14:paraId="13FD2F7A" w14:textId="77777777" w:rsidTr="0087369D">
        <w:tc>
          <w:tcPr>
            <w:tcW w:w="550" w:type="pct"/>
          </w:tcPr>
          <w:p w14:paraId="13FD2F6B" w14:textId="77777777" w:rsidR="00377531" w:rsidRPr="00377531" w:rsidRDefault="00377531" w:rsidP="004F2670">
            <w:pPr>
              <w:jc w:val="center"/>
              <w:rPr>
                <w:noProof/>
                <w:sz w:val="20"/>
                <w:szCs w:val="20"/>
              </w:rPr>
            </w:pPr>
            <w:r>
              <w:rPr>
                <w:noProof/>
                <w:sz w:val="20"/>
              </w:rPr>
              <w:t>Kalziumsilizium</w:t>
            </w:r>
          </w:p>
        </w:tc>
        <w:tc>
          <w:tcPr>
            <w:tcW w:w="367" w:type="pct"/>
          </w:tcPr>
          <w:p w14:paraId="13FD2F6C" w14:textId="77777777" w:rsidR="00377531" w:rsidRPr="00377531" w:rsidRDefault="00377531" w:rsidP="004F2670">
            <w:pPr>
              <w:jc w:val="center"/>
              <w:rPr>
                <w:noProof/>
                <w:sz w:val="20"/>
                <w:szCs w:val="20"/>
              </w:rPr>
            </w:pPr>
            <w:r>
              <w:rPr>
                <w:noProof/>
                <w:sz w:val="20"/>
              </w:rPr>
              <w:t>China</w:t>
            </w:r>
          </w:p>
        </w:tc>
        <w:tc>
          <w:tcPr>
            <w:tcW w:w="551" w:type="pct"/>
          </w:tcPr>
          <w:p w14:paraId="13FD2F6D" w14:textId="77777777" w:rsidR="00377531" w:rsidRPr="00377531" w:rsidRDefault="00AB679B" w:rsidP="004F2670">
            <w:pPr>
              <w:jc w:val="center"/>
              <w:rPr>
                <w:noProof/>
                <w:sz w:val="20"/>
                <w:szCs w:val="20"/>
              </w:rPr>
            </w:pPr>
            <w:hyperlink r:id="rId51" w:history="1">
              <w:r w:rsidR="0062348C">
                <w:rPr>
                  <w:rStyle w:val="Hyperlink"/>
                  <w:noProof/>
                  <w:sz w:val="20"/>
                </w:rPr>
                <w:t xml:space="preserve">Vorläufige Verordnung </w:t>
              </w:r>
            </w:hyperlink>
          </w:p>
          <w:p w14:paraId="13FD2F6E" w14:textId="77777777" w:rsidR="00377531" w:rsidRPr="00377531" w:rsidRDefault="00377531" w:rsidP="004F2670">
            <w:pPr>
              <w:jc w:val="center"/>
              <w:rPr>
                <w:noProof/>
                <w:sz w:val="20"/>
                <w:szCs w:val="20"/>
                <w:lang w:val="fr-BE"/>
              </w:rPr>
            </w:pPr>
          </w:p>
        </w:tc>
        <w:tc>
          <w:tcPr>
            <w:tcW w:w="551" w:type="pct"/>
          </w:tcPr>
          <w:p w14:paraId="13FD2F6F" w14:textId="77777777" w:rsidR="00377531" w:rsidRPr="00377531" w:rsidRDefault="00AB679B" w:rsidP="004F2670">
            <w:pPr>
              <w:jc w:val="center"/>
              <w:rPr>
                <w:rStyle w:val="Hyperlink"/>
                <w:noProof/>
                <w:sz w:val="20"/>
                <w:szCs w:val="20"/>
              </w:rPr>
            </w:pPr>
            <w:hyperlink r:id="rId52" w:history="1">
              <w:r w:rsidR="0062348C">
                <w:rPr>
                  <w:rStyle w:val="Hyperlink"/>
                  <w:noProof/>
                  <w:sz w:val="20"/>
                </w:rPr>
                <w:t xml:space="preserve">Endgültige Verordnung </w:t>
              </w:r>
            </w:hyperlink>
          </w:p>
          <w:p w14:paraId="13FD2F70" w14:textId="77777777" w:rsidR="00377531" w:rsidRPr="00377531" w:rsidRDefault="00377531" w:rsidP="004F2670">
            <w:pPr>
              <w:jc w:val="center"/>
              <w:rPr>
                <w:noProof/>
                <w:sz w:val="20"/>
                <w:szCs w:val="20"/>
                <w:lang w:val="fr-BE"/>
              </w:rPr>
            </w:pPr>
          </w:p>
        </w:tc>
        <w:tc>
          <w:tcPr>
            <w:tcW w:w="648" w:type="pct"/>
          </w:tcPr>
          <w:p w14:paraId="13FD2F71" w14:textId="77777777" w:rsidR="00377531" w:rsidRPr="00377531" w:rsidRDefault="00377531" w:rsidP="004F2670">
            <w:pPr>
              <w:jc w:val="center"/>
              <w:rPr>
                <w:noProof/>
                <w:sz w:val="20"/>
                <w:szCs w:val="20"/>
              </w:rPr>
            </w:pPr>
            <w:r>
              <w:rPr>
                <w:noProof/>
                <w:sz w:val="20"/>
              </w:rPr>
              <w:t>JA</w:t>
            </w:r>
          </w:p>
        </w:tc>
        <w:tc>
          <w:tcPr>
            <w:tcW w:w="636" w:type="pct"/>
          </w:tcPr>
          <w:p w14:paraId="13FD2F72" w14:textId="77777777" w:rsidR="00377531" w:rsidRPr="00377531" w:rsidRDefault="00377531" w:rsidP="004F2670">
            <w:pPr>
              <w:jc w:val="center"/>
              <w:rPr>
                <w:noProof/>
                <w:sz w:val="20"/>
                <w:szCs w:val="20"/>
              </w:rPr>
            </w:pPr>
            <w:r>
              <w:rPr>
                <w:noProof/>
                <w:sz w:val="20"/>
              </w:rPr>
              <w:t>JA</w:t>
            </w:r>
          </w:p>
          <w:p w14:paraId="13FD2F73" w14:textId="77777777" w:rsidR="00377531" w:rsidRPr="00377531" w:rsidRDefault="00377531" w:rsidP="004F2670">
            <w:pPr>
              <w:jc w:val="center"/>
              <w:rPr>
                <w:noProof/>
                <w:sz w:val="20"/>
                <w:szCs w:val="20"/>
              </w:rPr>
            </w:pPr>
          </w:p>
        </w:tc>
        <w:tc>
          <w:tcPr>
            <w:tcW w:w="459" w:type="pct"/>
          </w:tcPr>
          <w:p w14:paraId="13FD2F74" w14:textId="0DA2E144" w:rsidR="00377531" w:rsidRPr="00377531" w:rsidRDefault="00377531" w:rsidP="004F2670">
            <w:pPr>
              <w:jc w:val="center"/>
              <w:rPr>
                <w:noProof/>
                <w:sz w:val="20"/>
                <w:szCs w:val="20"/>
              </w:rPr>
            </w:pPr>
            <w:r>
              <w:rPr>
                <w:noProof/>
                <w:sz w:val="20"/>
              </w:rPr>
              <w:t>Strom = 20 % der Herstellkosten – kein Nachweis für ein Doppelpreis</w:t>
            </w:r>
            <w:r w:rsidR="0087369D">
              <w:rPr>
                <w:noProof/>
                <w:sz w:val="20"/>
              </w:rPr>
              <w:softHyphen/>
            </w:r>
            <w:r>
              <w:rPr>
                <w:noProof/>
                <w:sz w:val="20"/>
              </w:rPr>
              <w:t>system</w:t>
            </w:r>
          </w:p>
          <w:p w14:paraId="13FD2F75" w14:textId="77777777" w:rsidR="00377531" w:rsidRPr="00377531" w:rsidRDefault="00377531" w:rsidP="004F2670">
            <w:pPr>
              <w:jc w:val="center"/>
              <w:rPr>
                <w:noProof/>
                <w:sz w:val="20"/>
                <w:szCs w:val="20"/>
              </w:rPr>
            </w:pPr>
          </w:p>
        </w:tc>
        <w:tc>
          <w:tcPr>
            <w:tcW w:w="423" w:type="pct"/>
          </w:tcPr>
          <w:p w14:paraId="13FD2F76" w14:textId="77777777" w:rsidR="00377531" w:rsidRPr="00377531" w:rsidRDefault="00377531" w:rsidP="004F2670">
            <w:pPr>
              <w:jc w:val="center"/>
              <w:rPr>
                <w:noProof/>
                <w:sz w:val="20"/>
                <w:szCs w:val="20"/>
              </w:rPr>
            </w:pPr>
            <w:r>
              <w:rPr>
                <w:noProof/>
                <w:sz w:val="20"/>
              </w:rPr>
              <w:t>NEIN</w:t>
            </w:r>
          </w:p>
        </w:tc>
        <w:tc>
          <w:tcPr>
            <w:tcW w:w="816" w:type="pct"/>
          </w:tcPr>
          <w:p w14:paraId="13FD2F77" w14:textId="77777777" w:rsidR="00377531" w:rsidRPr="00377531" w:rsidRDefault="00377531" w:rsidP="004F2670">
            <w:pPr>
              <w:jc w:val="center"/>
              <w:rPr>
                <w:noProof/>
                <w:sz w:val="20"/>
                <w:szCs w:val="20"/>
              </w:rPr>
            </w:pPr>
            <w:r>
              <w:rPr>
                <w:noProof/>
                <w:sz w:val="20"/>
              </w:rPr>
              <w:t>NEIN</w:t>
            </w:r>
          </w:p>
          <w:p w14:paraId="13FD2F78" w14:textId="77777777" w:rsidR="00377531" w:rsidRPr="00377531" w:rsidRDefault="00377531" w:rsidP="004F2670">
            <w:pPr>
              <w:jc w:val="center"/>
              <w:rPr>
                <w:noProof/>
                <w:sz w:val="20"/>
                <w:szCs w:val="20"/>
              </w:rPr>
            </w:pPr>
          </w:p>
          <w:p w14:paraId="13FD2F79" w14:textId="77777777" w:rsidR="00377531" w:rsidRPr="00377531" w:rsidRDefault="00377531" w:rsidP="004F2670">
            <w:pPr>
              <w:jc w:val="center"/>
              <w:rPr>
                <w:noProof/>
                <w:sz w:val="20"/>
                <w:szCs w:val="20"/>
              </w:rPr>
            </w:pPr>
            <w:r>
              <w:rPr>
                <w:noProof/>
                <w:sz w:val="20"/>
              </w:rPr>
              <w:t xml:space="preserve">Rückgang der Einfuhren um 36 %  </w:t>
            </w:r>
          </w:p>
        </w:tc>
      </w:tr>
      <w:tr w:rsidR="0087369D" w:rsidRPr="00377531" w14:paraId="13FD2F87" w14:textId="77777777" w:rsidTr="0087369D">
        <w:tc>
          <w:tcPr>
            <w:tcW w:w="550" w:type="pct"/>
          </w:tcPr>
          <w:p w14:paraId="13FD2F7B" w14:textId="23C81FDD" w:rsidR="00377531" w:rsidRPr="00377531" w:rsidRDefault="00377531" w:rsidP="004F2670">
            <w:pPr>
              <w:jc w:val="center"/>
              <w:rPr>
                <w:noProof/>
                <w:sz w:val="20"/>
                <w:szCs w:val="20"/>
              </w:rPr>
            </w:pPr>
            <w:r>
              <w:rPr>
                <w:noProof/>
                <w:sz w:val="20"/>
              </w:rPr>
              <w:t>Grafitelektroden</w:t>
            </w:r>
            <w:r w:rsidR="0087369D">
              <w:rPr>
                <w:noProof/>
                <w:sz w:val="20"/>
              </w:rPr>
              <w:softHyphen/>
            </w:r>
            <w:r>
              <w:rPr>
                <w:noProof/>
                <w:sz w:val="20"/>
              </w:rPr>
              <w:t>systeme</w:t>
            </w:r>
          </w:p>
        </w:tc>
        <w:tc>
          <w:tcPr>
            <w:tcW w:w="367" w:type="pct"/>
          </w:tcPr>
          <w:p w14:paraId="13FD2F7C" w14:textId="77777777" w:rsidR="00377531" w:rsidRPr="00377531" w:rsidRDefault="00377531" w:rsidP="004F2670">
            <w:pPr>
              <w:jc w:val="center"/>
              <w:rPr>
                <w:noProof/>
                <w:sz w:val="20"/>
                <w:szCs w:val="20"/>
              </w:rPr>
            </w:pPr>
            <w:r>
              <w:rPr>
                <w:noProof/>
                <w:sz w:val="20"/>
              </w:rPr>
              <w:t>China</w:t>
            </w:r>
          </w:p>
        </w:tc>
        <w:tc>
          <w:tcPr>
            <w:tcW w:w="551" w:type="pct"/>
          </w:tcPr>
          <w:p w14:paraId="13FD2F7D" w14:textId="77777777" w:rsidR="00377531" w:rsidRPr="00377531" w:rsidRDefault="00AB679B" w:rsidP="004F2670">
            <w:pPr>
              <w:jc w:val="center"/>
              <w:rPr>
                <w:noProof/>
                <w:sz w:val="20"/>
                <w:szCs w:val="20"/>
              </w:rPr>
            </w:pPr>
            <w:hyperlink r:id="rId53" w:history="1">
              <w:r w:rsidR="0062348C">
                <w:rPr>
                  <w:rStyle w:val="Hyperlink"/>
                  <w:noProof/>
                  <w:sz w:val="20"/>
                </w:rPr>
                <w:t xml:space="preserve">Vorläufige Verordnung </w:t>
              </w:r>
            </w:hyperlink>
          </w:p>
          <w:p w14:paraId="13FD2F7E" w14:textId="77777777" w:rsidR="00377531" w:rsidRPr="00377531" w:rsidRDefault="00377531" w:rsidP="004F2670">
            <w:pPr>
              <w:jc w:val="center"/>
              <w:rPr>
                <w:noProof/>
                <w:sz w:val="20"/>
                <w:szCs w:val="20"/>
                <w:lang w:val="fr-BE"/>
              </w:rPr>
            </w:pPr>
          </w:p>
        </w:tc>
        <w:tc>
          <w:tcPr>
            <w:tcW w:w="551" w:type="pct"/>
          </w:tcPr>
          <w:p w14:paraId="13FD2F7F" w14:textId="77777777" w:rsidR="00377531" w:rsidRPr="00377531" w:rsidRDefault="00AB679B" w:rsidP="004F2670">
            <w:pPr>
              <w:jc w:val="center"/>
              <w:rPr>
                <w:noProof/>
                <w:sz w:val="20"/>
                <w:szCs w:val="20"/>
              </w:rPr>
            </w:pPr>
            <w:hyperlink r:id="rId54" w:history="1">
              <w:r w:rsidR="0062348C">
                <w:rPr>
                  <w:rStyle w:val="Hyperlink"/>
                  <w:noProof/>
                  <w:sz w:val="20"/>
                </w:rPr>
                <w:t xml:space="preserve">Endgültige Verordnung </w:t>
              </w:r>
            </w:hyperlink>
          </w:p>
          <w:p w14:paraId="13FD2F80" w14:textId="77777777" w:rsidR="00377531" w:rsidRPr="00377531" w:rsidRDefault="00377531" w:rsidP="004F2670">
            <w:pPr>
              <w:jc w:val="center"/>
              <w:rPr>
                <w:noProof/>
                <w:sz w:val="20"/>
                <w:szCs w:val="20"/>
                <w:lang w:val="fr-BE"/>
              </w:rPr>
            </w:pPr>
          </w:p>
        </w:tc>
        <w:tc>
          <w:tcPr>
            <w:tcW w:w="648" w:type="pct"/>
          </w:tcPr>
          <w:p w14:paraId="13FD2F81" w14:textId="77777777" w:rsidR="00377531" w:rsidRPr="00377531" w:rsidRDefault="00377531" w:rsidP="004F2670">
            <w:pPr>
              <w:jc w:val="center"/>
              <w:rPr>
                <w:noProof/>
                <w:sz w:val="20"/>
                <w:szCs w:val="20"/>
              </w:rPr>
            </w:pPr>
            <w:r>
              <w:rPr>
                <w:noProof/>
                <w:sz w:val="20"/>
              </w:rPr>
              <w:t>JA</w:t>
            </w:r>
          </w:p>
        </w:tc>
        <w:tc>
          <w:tcPr>
            <w:tcW w:w="636" w:type="pct"/>
          </w:tcPr>
          <w:p w14:paraId="13FD2F82" w14:textId="77777777" w:rsidR="00377531" w:rsidRPr="00377531" w:rsidRDefault="00377531" w:rsidP="004F2670">
            <w:pPr>
              <w:jc w:val="center"/>
              <w:rPr>
                <w:noProof/>
                <w:sz w:val="20"/>
                <w:szCs w:val="20"/>
              </w:rPr>
            </w:pPr>
            <w:r>
              <w:rPr>
                <w:noProof/>
                <w:sz w:val="20"/>
              </w:rPr>
              <w:t>NEIN</w:t>
            </w:r>
          </w:p>
        </w:tc>
        <w:tc>
          <w:tcPr>
            <w:tcW w:w="459" w:type="pct"/>
          </w:tcPr>
          <w:p w14:paraId="13FD2F83" w14:textId="77777777" w:rsidR="00377531" w:rsidRPr="00377531" w:rsidRDefault="00377531" w:rsidP="004F2670">
            <w:pPr>
              <w:jc w:val="center"/>
              <w:rPr>
                <w:noProof/>
                <w:sz w:val="20"/>
                <w:szCs w:val="20"/>
              </w:rPr>
            </w:pPr>
            <w:r>
              <w:rPr>
                <w:noProof/>
                <w:sz w:val="20"/>
              </w:rPr>
              <w:t>-</w:t>
            </w:r>
          </w:p>
        </w:tc>
        <w:tc>
          <w:tcPr>
            <w:tcW w:w="423" w:type="pct"/>
          </w:tcPr>
          <w:p w14:paraId="13FD2F84" w14:textId="77777777" w:rsidR="00377531" w:rsidRPr="00377531" w:rsidRDefault="00377531" w:rsidP="004F2670">
            <w:pPr>
              <w:jc w:val="center"/>
              <w:rPr>
                <w:noProof/>
                <w:sz w:val="20"/>
                <w:szCs w:val="20"/>
              </w:rPr>
            </w:pPr>
            <w:r>
              <w:rPr>
                <w:noProof/>
                <w:sz w:val="20"/>
              </w:rPr>
              <w:t>-</w:t>
            </w:r>
          </w:p>
        </w:tc>
        <w:tc>
          <w:tcPr>
            <w:tcW w:w="816" w:type="pct"/>
          </w:tcPr>
          <w:p w14:paraId="13FD2F85" w14:textId="77777777" w:rsidR="00377531" w:rsidRPr="00377531" w:rsidRDefault="00377531" w:rsidP="004F2670">
            <w:pPr>
              <w:jc w:val="center"/>
              <w:rPr>
                <w:noProof/>
                <w:sz w:val="20"/>
                <w:szCs w:val="20"/>
              </w:rPr>
            </w:pPr>
            <w:r>
              <w:rPr>
                <w:noProof/>
                <w:sz w:val="20"/>
              </w:rPr>
              <w:t>NEIN</w:t>
            </w:r>
          </w:p>
          <w:p w14:paraId="13FD2F86" w14:textId="77777777" w:rsidR="00377531" w:rsidRPr="00377531" w:rsidRDefault="00377531" w:rsidP="004F2670">
            <w:pPr>
              <w:jc w:val="center"/>
              <w:rPr>
                <w:noProof/>
                <w:sz w:val="20"/>
                <w:szCs w:val="20"/>
              </w:rPr>
            </w:pPr>
            <w:r>
              <w:rPr>
                <w:noProof/>
                <w:sz w:val="20"/>
              </w:rPr>
              <w:t xml:space="preserve">  Anstieg der Einfuhren um 5,5 % </w:t>
            </w:r>
          </w:p>
        </w:tc>
      </w:tr>
      <w:tr w:rsidR="0087369D" w:rsidRPr="00377531" w14:paraId="13FD2F91" w14:textId="77777777" w:rsidTr="0087369D">
        <w:tc>
          <w:tcPr>
            <w:tcW w:w="550" w:type="pct"/>
          </w:tcPr>
          <w:p w14:paraId="13FD2F88" w14:textId="77777777" w:rsidR="00377531" w:rsidRPr="00377531" w:rsidRDefault="00377531" w:rsidP="004F2670">
            <w:pPr>
              <w:jc w:val="center"/>
              <w:rPr>
                <w:noProof/>
                <w:sz w:val="20"/>
                <w:szCs w:val="20"/>
              </w:rPr>
            </w:pPr>
            <w:r>
              <w:rPr>
                <w:noProof/>
                <w:sz w:val="20"/>
              </w:rPr>
              <w:t>Superabsorbierende Polymere</w:t>
            </w:r>
          </w:p>
        </w:tc>
        <w:tc>
          <w:tcPr>
            <w:tcW w:w="367" w:type="pct"/>
          </w:tcPr>
          <w:p w14:paraId="13FD2F89" w14:textId="77777777" w:rsidR="00377531" w:rsidRPr="00377531" w:rsidRDefault="00377531" w:rsidP="004F2670">
            <w:pPr>
              <w:jc w:val="center"/>
              <w:rPr>
                <w:noProof/>
                <w:sz w:val="20"/>
                <w:szCs w:val="20"/>
              </w:rPr>
            </w:pPr>
            <w:r>
              <w:rPr>
                <w:noProof/>
                <w:sz w:val="20"/>
              </w:rPr>
              <w:t>Republik Korea</w:t>
            </w:r>
          </w:p>
        </w:tc>
        <w:tc>
          <w:tcPr>
            <w:tcW w:w="551" w:type="pct"/>
          </w:tcPr>
          <w:p w14:paraId="13FD2F8A" w14:textId="77777777" w:rsidR="00377531" w:rsidRPr="00377531" w:rsidRDefault="00377531" w:rsidP="004F2670">
            <w:pPr>
              <w:jc w:val="center"/>
              <w:rPr>
                <w:noProof/>
                <w:sz w:val="20"/>
                <w:szCs w:val="20"/>
              </w:rPr>
            </w:pPr>
            <w:r>
              <w:rPr>
                <w:noProof/>
                <w:sz w:val="20"/>
              </w:rPr>
              <w:t>-</w:t>
            </w:r>
          </w:p>
        </w:tc>
        <w:tc>
          <w:tcPr>
            <w:tcW w:w="551" w:type="pct"/>
          </w:tcPr>
          <w:p w14:paraId="13FD2F8B" w14:textId="77777777" w:rsidR="00377531" w:rsidRPr="00377531" w:rsidRDefault="00AB679B" w:rsidP="004F2670">
            <w:pPr>
              <w:jc w:val="center"/>
              <w:rPr>
                <w:noProof/>
                <w:sz w:val="20"/>
                <w:szCs w:val="20"/>
              </w:rPr>
            </w:pPr>
            <w:hyperlink r:id="rId55" w:history="1">
              <w:r w:rsidR="0062348C">
                <w:rPr>
                  <w:rStyle w:val="Hyperlink"/>
                  <w:noProof/>
                  <w:sz w:val="20"/>
                </w:rPr>
                <w:t xml:space="preserve">Endgültige Verordnung </w:t>
              </w:r>
            </w:hyperlink>
          </w:p>
        </w:tc>
        <w:tc>
          <w:tcPr>
            <w:tcW w:w="648" w:type="pct"/>
          </w:tcPr>
          <w:p w14:paraId="13FD2F8C" w14:textId="77777777" w:rsidR="00377531" w:rsidRPr="00377531" w:rsidRDefault="00377531" w:rsidP="004F2670">
            <w:pPr>
              <w:jc w:val="center"/>
              <w:rPr>
                <w:noProof/>
                <w:sz w:val="20"/>
                <w:szCs w:val="20"/>
              </w:rPr>
            </w:pPr>
            <w:r>
              <w:rPr>
                <w:noProof/>
                <w:sz w:val="20"/>
              </w:rPr>
              <w:t>NEIN</w:t>
            </w:r>
          </w:p>
        </w:tc>
        <w:tc>
          <w:tcPr>
            <w:tcW w:w="636" w:type="pct"/>
          </w:tcPr>
          <w:p w14:paraId="13FD2F8D" w14:textId="77777777" w:rsidR="00377531" w:rsidRPr="00377531" w:rsidRDefault="00377531" w:rsidP="004F2670">
            <w:pPr>
              <w:jc w:val="center"/>
              <w:rPr>
                <w:noProof/>
                <w:sz w:val="20"/>
                <w:szCs w:val="20"/>
              </w:rPr>
            </w:pPr>
            <w:r>
              <w:rPr>
                <w:noProof/>
                <w:sz w:val="20"/>
              </w:rPr>
              <w:t>-</w:t>
            </w:r>
          </w:p>
        </w:tc>
        <w:tc>
          <w:tcPr>
            <w:tcW w:w="459" w:type="pct"/>
          </w:tcPr>
          <w:p w14:paraId="13FD2F8E" w14:textId="77777777" w:rsidR="00377531" w:rsidRPr="00377531" w:rsidRDefault="00377531" w:rsidP="004F2670">
            <w:pPr>
              <w:jc w:val="center"/>
              <w:rPr>
                <w:noProof/>
                <w:sz w:val="20"/>
                <w:szCs w:val="20"/>
              </w:rPr>
            </w:pPr>
            <w:r>
              <w:rPr>
                <w:noProof/>
                <w:sz w:val="20"/>
              </w:rPr>
              <w:t>-</w:t>
            </w:r>
          </w:p>
        </w:tc>
        <w:tc>
          <w:tcPr>
            <w:tcW w:w="423" w:type="pct"/>
          </w:tcPr>
          <w:p w14:paraId="13FD2F8F" w14:textId="77777777" w:rsidR="00377531" w:rsidRPr="00377531" w:rsidRDefault="00377531" w:rsidP="004F2670">
            <w:pPr>
              <w:jc w:val="center"/>
              <w:rPr>
                <w:noProof/>
                <w:sz w:val="20"/>
                <w:szCs w:val="20"/>
              </w:rPr>
            </w:pPr>
            <w:r>
              <w:rPr>
                <w:noProof/>
                <w:sz w:val="20"/>
              </w:rPr>
              <w:t>-</w:t>
            </w:r>
          </w:p>
        </w:tc>
        <w:tc>
          <w:tcPr>
            <w:tcW w:w="816" w:type="pct"/>
          </w:tcPr>
          <w:p w14:paraId="13FD2F90" w14:textId="77777777" w:rsidR="00377531" w:rsidRPr="00377531" w:rsidRDefault="00377531" w:rsidP="004F2670">
            <w:pPr>
              <w:jc w:val="center"/>
              <w:rPr>
                <w:noProof/>
                <w:sz w:val="20"/>
                <w:szCs w:val="20"/>
              </w:rPr>
            </w:pPr>
            <w:r>
              <w:rPr>
                <w:noProof/>
                <w:sz w:val="20"/>
              </w:rPr>
              <w:t>k. A.</w:t>
            </w:r>
          </w:p>
        </w:tc>
      </w:tr>
      <w:tr w:rsidR="0087369D" w:rsidRPr="00377531" w14:paraId="13FD2F9D" w14:textId="77777777" w:rsidTr="0087369D">
        <w:tc>
          <w:tcPr>
            <w:tcW w:w="550" w:type="pct"/>
          </w:tcPr>
          <w:p w14:paraId="13FD2F92" w14:textId="77777777" w:rsidR="00377531" w:rsidRPr="00377531" w:rsidRDefault="00377531" w:rsidP="004F2670">
            <w:pPr>
              <w:jc w:val="center"/>
              <w:rPr>
                <w:noProof/>
                <w:sz w:val="20"/>
                <w:szCs w:val="20"/>
              </w:rPr>
            </w:pPr>
            <w:r>
              <w:rPr>
                <w:noProof/>
                <w:sz w:val="20"/>
              </w:rPr>
              <w:t xml:space="preserve">Korrosionsbeständiger Stahl  </w:t>
            </w:r>
          </w:p>
        </w:tc>
        <w:tc>
          <w:tcPr>
            <w:tcW w:w="367" w:type="pct"/>
          </w:tcPr>
          <w:p w14:paraId="13FD2F93" w14:textId="77777777" w:rsidR="00377531" w:rsidRPr="00377531" w:rsidRDefault="00377531" w:rsidP="004F2670">
            <w:pPr>
              <w:jc w:val="center"/>
              <w:rPr>
                <w:noProof/>
                <w:sz w:val="20"/>
                <w:szCs w:val="20"/>
              </w:rPr>
            </w:pPr>
            <w:r>
              <w:rPr>
                <w:noProof/>
                <w:sz w:val="20"/>
              </w:rPr>
              <w:t>Russland</w:t>
            </w:r>
          </w:p>
          <w:p w14:paraId="13FD2F94" w14:textId="77777777" w:rsidR="00377531" w:rsidRPr="00377531" w:rsidRDefault="00377531" w:rsidP="004F2670">
            <w:pPr>
              <w:jc w:val="center"/>
              <w:rPr>
                <w:noProof/>
                <w:sz w:val="20"/>
                <w:szCs w:val="20"/>
              </w:rPr>
            </w:pPr>
            <w:r>
              <w:rPr>
                <w:noProof/>
                <w:sz w:val="20"/>
              </w:rPr>
              <w:t>Türkei</w:t>
            </w:r>
          </w:p>
        </w:tc>
        <w:tc>
          <w:tcPr>
            <w:tcW w:w="551" w:type="pct"/>
          </w:tcPr>
          <w:p w14:paraId="13FD2F95" w14:textId="77777777" w:rsidR="00377531" w:rsidRPr="00377531" w:rsidRDefault="00377531" w:rsidP="004F2670">
            <w:pPr>
              <w:jc w:val="center"/>
              <w:rPr>
                <w:noProof/>
                <w:sz w:val="20"/>
                <w:szCs w:val="20"/>
              </w:rPr>
            </w:pPr>
            <w:r>
              <w:rPr>
                <w:noProof/>
                <w:sz w:val="20"/>
              </w:rPr>
              <w:t>-</w:t>
            </w:r>
          </w:p>
        </w:tc>
        <w:tc>
          <w:tcPr>
            <w:tcW w:w="551" w:type="pct"/>
          </w:tcPr>
          <w:p w14:paraId="13FD2F96" w14:textId="77777777" w:rsidR="00377531" w:rsidRPr="00377531" w:rsidRDefault="00AB679B" w:rsidP="004F2670">
            <w:pPr>
              <w:jc w:val="center"/>
              <w:rPr>
                <w:noProof/>
                <w:sz w:val="20"/>
                <w:szCs w:val="20"/>
              </w:rPr>
            </w:pPr>
            <w:hyperlink r:id="rId56" w:history="1">
              <w:r w:rsidR="0062348C">
                <w:rPr>
                  <w:rStyle w:val="Hyperlink"/>
                  <w:noProof/>
                  <w:sz w:val="20"/>
                </w:rPr>
                <w:t xml:space="preserve">Endgültige Verordnung </w:t>
              </w:r>
            </w:hyperlink>
          </w:p>
        </w:tc>
        <w:tc>
          <w:tcPr>
            <w:tcW w:w="648" w:type="pct"/>
          </w:tcPr>
          <w:p w14:paraId="13FD2F97" w14:textId="77777777" w:rsidR="00377531" w:rsidRPr="00377531" w:rsidRDefault="00377531" w:rsidP="004F2670">
            <w:pPr>
              <w:jc w:val="center"/>
              <w:rPr>
                <w:noProof/>
                <w:sz w:val="20"/>
                <w:szCs w:val="20"/>
              </w:rPr>
            </w:pPr>
            <w:r>
              <w:rPr>
                <w:noProof/>
                <w:sz w:val="20"/>
              </w:rPr>
              <w:t>NEIN</w:t>
            </w:r>
          </w:p>
        </w:tc>
        <w:tc>
          <w:tcPr>
            <w:tcW w:w="636" w:type="pct"/>
          </w:tcPr>
          <w:p w14:paraId="13FD2F98" w14:textId="77777777" w:rsidR="00377531" w:rsidRPr="00377531" w:rsidRDefault="00377531" w:rsidP="004F2670">
            <w:pPr>
              <w:jc w:val="center"/>
              <w:rPr>
                <w:noProof/>
                <w:sz w:val="20"/>
                <w:szCs w:val="20"/>
              </w:rPr>
            </w:pPr>
            <w:r>
              <w:rPr>
                <w:noProof/>
                <w:sz w:val="20"/>
              </w:rPr>
              <w:t>-</w:t>
            </w:r>
          </w:p>
        </w:tc>
        <w:tc>
          <w:tcPr>
            <w:tcW w:w="459" w:type="pct"/>
          </w:tcPr>
          <w:p w14:paraId="13FD2F99" w14:textId="77777777" w:rsidR="00377531" w:rsidRPr="00377531" w:rsidRDefault="00377531" w:rsidP="004F2670">
            <w:pPr>
              <w:jc w:val="center"/>
              <w:rPr>
                <w:noProof/>
                <w:sz w:val="20"/>
                <w:szCs w:val="20"/>
              </w:rPr>
            </w:pPr>
            <w:r>
              <w:rPr>
                <w:noProof/>
                <w:sz w:val="20"/>
              </w:rPr>
              <w:t xml:space="preserve">- </w:t>
            </w:r>
          </w:p>
        </w:tc>
        <w:tc>
          <w:tcPr>
            <w:tcW w:w="423" w:type="pct"/>
          </w:tcPr>
          <w:p w14:paraId="13FD2F9A" w14:textId="77777777" w:rsidR="00377531" w:rsidRPr="00377531" w:rsidRDefault="00377531" w:rsidP="004F2670">
            <w:pPr>
              <w:jc w:val="center"/>
              <w:rPr>
                <w:noProof/>
                <w:sz w:val="20"/>
                <w:szCs w:val="20"/>
              </w:rPr>
            </w:pPr>
            <w:r>
              <w:rPr>
                <w:noProof/>
                <w:sz w:val="20"/>
              </w:rPr>
              <w:t>-</w:t>
            </w:r>
          </w:p>
        </w:tc>
        <w:tc>
          <w:tcPr>
            <w:tcW w:w="816" w:type="pct"/>
          </w:tcPr>
          <w:p w14:paraId="13FD2F9B" w14:textId="77777777" w:rsidR="00377531" w:rsidRPr="00377531" w:rsidRDefault="00377531" w:rsidP="004F2670">
            <w:pPr>
              <w:jc w:val="center"/>
              <w:rPr>
                <w:noProof/>
                <w:sz w:val="20"/>
                <w:szCs w:val="20"/>
              </w:rPr>
            </w:pPr>
            <w:r>
              <w:rPr>
                <w:noProof/>
                <w:sz w:val="20"/>
              </w:rPr>
              <w:t>k. A.</w:t>
            </w:r>
          </w:p>
          <w:p w14:paraId="13FD2F9C" w14:textId="77777777" w:rsidR="00377531" w:rsidRPr="00377531" w:rsidRDefault="00377531" w:rsidP="004F2670">
            <w:pPr>
              <w:jc w:val="center"/>
              <w:rPr>
                <w:noProof/>
                <w:sz w:val="20"/>
                <w:szCs w:val="20"/>
              </w:rPr>
            </w:pPr>
          </w:p>
        </w:tc>
      </w:tr>
      <w:tr w:rsidR="0087369D" w:rsidRPr="00377531" w14:paraId="13FD2FB2" w14:textId="77777777" w:rsidTr="0087369D">
        <w:tc>
          <w:tcPr>
            <w:tcW w:w="550" w:type="pct"/>
          </w:tcPr>
          <w:p w14:paraId="13FD2F9E" w14:textId="77777777" w:rsidR="00377531" w:rsidRPr="00377531" w:rsidRDefault="00377531" w:rsidP="004F2670">
            <w:pPr>
              <w:jc w:val="center"/>
              <w:rPr>
                <w:noProof/>
                <w:sz w:val="20"/>
                <w:szCs w:val="20"/>
              </w:rPr>
            </w:pPr>
            <w:r>
              <w:rPr>
                <w:noProof/>
                <w:sz w:val="20"/>
              </w:rPr>
              <w:t xml:space="preserve">Elektrolytisch verchromter Stahl </w:t>
            </w:r>
          </w:p>
        </w:tc>
        <w:tc>
          <w:tcPr>
            <w:tcW w:w="367" w:type="pct"/>
          </w:tcPr>
          <w:p w14:paraId="13FD2F9F" w14:textId="77777777" w:rsidR="00377531" w:rsidRPr="00377531" w:rsidRDefault="00377531" w:rsidP="004F2670">
            <w:pPr>
              <w:jc w:val="center"/>
              <w:rPr>
                <w:noProof/>
                <w:sz w:val="20"/>
                <w:szCs w:val="20"/>
              </w:rPr>
            </w:pPr>
            <w:r>
              <w:rPr>
                <w:noProof/>
                <w:sz w:val="20"/>
              </w:rPr>
              <w:t>China</w:t>
            </w:r>
          </w:p>
          <w:p w14:paraId="13FD2FA0" w14:textId="77777777" w:rsidR="00377531" w:rsidRPr="00377531" w:rsidRDefault="00377531" w:rsidP="004F2670">
            <w:pPr>
              <w:jc w:val="center"/>
              <w:rPr>
                <w:noProof/>
                <w:sz w:val="20"/>
                <w:szCs w:val="20"/>
              </w:rPr>
            </w:pPr>
            <w:r>
              <w:rPr>
                <w:noProof/>
                <w:sz w:val="20"/>
              </w:rPr>
              <w:t>Brasilien</w:t>
            </w:r>
          </w:p>
        </w:tc>
        <w:tc>
          <w:tcPr>
            <w:tcW w:w="551" w:type="pct"/>
          </w:tcPr>
          <w:p w14:paraId="13FD2FA1" w14:textId="77777777" w:rsidR="00377531" w:rsidRPr="00377531" w:rsidRDefault="00AB679B" w:rsidP="004F2670">
            <w:pPr>
              <w:jc w:val="center"/>
              <w:rPr>
                <w:noProof/>
                <w:sz w:val="20"/>
                <w:szCs w:val="20"/>
              </w:rPr>
            </w:pPr>
            <w:hyperlink r:id="rId57" w:history="1">
              <w:r w:rsidR="0062348C">
                <w:rPr>
                  <w:rStyle w:val="Hyperlink"/>
                  <w:noProof/>
                  <w:sz w:val="20"/>
                </w:rPr>
                <w:t xml:space="preserve">Vorläufige Verordnung </w:t>
              </w:r>
            </w:hyperlink>
            <w:r w:rsidR="0062348C">
              <w:rPr>
                <w:noProof/>
                <w:sz w:val="20"/>
              </w:rPr>
              <w:t xml:space="preserve"> </w:t>
            </w:r>
          </w:p>
          <w:p w14:paraId="13FD2FA2" w14:textId="77777777" w:rsidR="00377531" w:rsidRPr="00377531" w:rsidRDefault="00377531" w:rsidP="004F2670">
            <w:pPr>
              <w:jc w:val="center"/>
              <w:rPr>
                <w:noProof/>
                <w:sz w:val="20"/>
                <w:szCs w:val="20"/>
              </w:rPr>
            </w:pPr>
          </w:p>
        </w:tc>
        <w:tc>
          <w:tcPr>
            <w:tcW w:w="551" w:type="pct"/>
          </w:tcPr>
          <w:p w14:paraId="13FD2FA3" w14:textId="77777777" w:rsidR="00377531" w:rsidRPr="00377531" w:rsidRDefault="00AB679B" w:rsidP="004F2670">
            <w:pPr>
              <w:jc w:val="center"/>
              <w:rPr>
                <w:noProof/>
                <w:sz w:val="20"/>
                <w:szCs w:val="20"/>
              </w:rPr>
            </w:pPr>
            <w:hyperlink r:id="rId58" w:history="1">
              <w:r w:rsidR="0062348C">
                <w:rPr>
                  <w:rStyle w:val="Hyperlink"/>
                  <w:noProof/>
                  <w:sz w:val="20"/>
                </w:rPr>
                <w:t xml:space="preserve">Endgültige Verordnung </w:t>
              </w:r>
            </w:hyperlink>
          </w:p>
          <w:p w14:paraId="13FD2FA4" w14:textId="77777777" w:rsidR="00377531" w:rsidRPr="00377531" w:rsidRDefault="00377531" w:rsidP="004F2670">
            <w:pPr>
              <w:jc w:val="center"/>
              <w:rPr>
                <w:noProof/>
                <w:sz w:val="20"/>
                <w:szCs w:val="20"/>
              </w:rPr>
            </w:pPr>
          </w:p>
        </w:tc>
        <w:tc>
          <w:tcPr>
            <w:tcW w:w="648" w:type="pct"/>
          </w:tcPr>
          <w:p w14:paraId="13FD2FA5" w14:textId="77777777" w:rsidR="00377531" w:rsidRPr="00377531" w:rsidRDefault="00377531" w:rsidP="004F2670">
            <w:pPr>
              <w:jc w:val="center"/>
              <w:rPr>
                <w:noProof/>
                <w:sz w:val="20"/>
                <w:szCs w:val="20"/>
              </w:rPr>
            </w:pPr>
            <w:r>
              <w:rPr>
                <w:noProof/>
                <w:sz w:val="20"/>
              </w:rPr>
              <w:t xml:space="preserve">China: JA </w:t>
            </w:r>
          </w:p>
          <w:p w14:paraId="13FD2FA6" w14:textId="77777777" w:rsidR="00377531" w:rsidRPr="00377531" w:rsidRDefault="00377531" w:rsidP="004F2670">
            <w:pPr>
              <w:jc w:val="center"/>
              <w:rPr>
                <w:noProof/>
                <w:sz w:val="20"/>
                <w:szCs w:val="20"/>
              </w:rPr>
            </w:pPr>
          </w:p>
          <w:p w14:paraId="13FD2FA7" w14:textId="77777777" w:rsidR="00377531" w:rsidRPr="00377531" w:rsidRDefault="00377531" w:rsidP="004F2670">
            <w:pPr>
              <w:jc w:val="center"/>
              <w:rPr>
                <w:noProof/>
                <w:sz w:val="20"/>
                <w:szCs w:val="20"/>
              </w:rPr>
            </w:pPr>
            <w:r>
              <w:rPr>
                <w:noProof/>
                <w:sz w:val="20"/>
              </w:rPr>
              <w:t xml:space="preserve">Brasilien: NEIN </w:t>
            </w:r>
          </w:p>
        </w:tc>
        <w:tc>
          <w:tcPr>
            <w:tcW w:w="636" w:type="pct"/>
          </w:tcPr>
          <w:p w14:paraId="13FD2FA8" w14:textId="77777777" w:rsidR="00377531" w:rsidRPr="00377531" w:rsidRDefault="00377531" w:rsidP="004F2670">
            <w:pPr>
              <w:jc w:val="center"/>
              <w:rPr>
                <w:noProof/>
                <w:sz w:val="20"/>
                <w:szCs w:val="20"/>
              </w:rPr>
            </w:pPr>
            <w:r>
              <w:rPr>
                <w:noProof/>
                <w:sz w:val="20"/>
              </w:rPr>
              <w:t>JA</w:t>
            </w:r>
          </w:p>
        </w:tc>
        <w:tc>
          <w:tcPr>
            <w:tcW w:w="459" w:type="pct"/>
          </w:tcPr>
          <w:p w14:paraId="13FD2FA9" w14:textId="12AC445B" w:rsidR="00377531" w:rsidRPr="00377531" w:rsidRDefault="00377531" w:rsidP="004F2670">
            <w:pPr>
              <w:jc w:val="center"/>
              <w:rPr>
                <w:noProof/>
                <w:sz w:val="20"/>
                <w:szCs w:val="20"/>
              </w:rPr>
            </w:pPr>
            <w:r>
              <w:rPr>
                <w:noProof/>
                <w:sz w:val="20"/>
              </w:rPr>
              <w:t>Warmge</w:t>
            </w:r>
            <w:r w:rsidR="0087369D">
              <w:rPr>
                <w:noProof/>
                <w:sz w:val="20"/>
              </w:rPr>
              <w:softHyphen/>
            </w:r>
            <w:r>
              <w:rPr>
                <w:noProof/>
                <w:sz w:val="20"/>
              </w:rPr>
              <w:t>walzte Coils &gt; 17 % der Herstellkosten</w:t>
            </w:r>
          </w:p>
          <w:p w14:paraId="13FD2FAA" w14:textId="77777777" w:rsidR="00377531" w:rsidRPr="00377531" w:rsidRDefault="00377531" w:rsidP="004F2670">
            <w:pPr>
              <w:jc w:val="center"/>
              <w:rPr>
                <w:noProof/>
                <w:sz w:val="20"/>
                <w:szCs w:val="20"/>
              </w:rPr>
            </w:pPr>
          </w:p>
          <w:p w14:paraId="13FD2FAB" w14:textId="77777777" w:rsidR="00377531" w:rsidRPr="00377531" w:rsidRDefault="00377531" w:rsidP="004F2670">
            <w:pPr>
              <w:jc w:val="center"/>
              <w:rPr>
                <w:noProof/>
                <w:sz w:val="20"/>
                <w:szCs w:val="20"/>
              </w:rPr>
            </w:pPr>
            <w:r>
              <w:rPr>
                <w:noProof/>
                <w:sz w:val="20"/>
              </w:rPr>
              <w:t>Der Preis ist erheblich niedriger als die Referenzpreise.</w:t>
            </w:r>
          </w:p>
          <w:p w14:paraId="13FD2FAC" w14:textId="77777777" w:rsidR="00377531" w:rsidRPr="00377531" w:rsidRDefault="00377531" w:rsidP="004F2670">
            <w:pPr>
              <w:jc w:val="center"/>
              <w:rPr>
                <w:noProof/>
                <w:sz w:val="20"/>
                <w:szCs w:val="20"/>
              </w:rPr>
            </w:pPr>
          </w:p>
          <w:p w14:paraId="13FD2FAD" w14:textId="5518E056" w:rsidR="00377531" w:rsidRPr="00377531" w:rsidRDefault="00377531" w:rsidP="004F2670">
            <w:pPr>
              <w:jc w:val="center"/>
              <w:rPr>
                <w:noProof/>
                <w:sz w:val="20"/>
                <w:szCs w:val="20"/>
              </w:rPr>
            </w:pPr>
            <w:r>
              <w:rPr>
                <w:noProof/>
                <w:sz w:val="20"/>
              </w:rPr>
              <w:t>Unionsinte</w:t>
            </w:r>
            <w:r w:rsidR="0087369D">
              <w:rPr>
                <w:noProof/>
                <w:sz w:val="20"/>
              </w:rPr>
              <w:softHyphen/>
            </w:r>
            <w:r>
              <w:rPr>
                <w:noProof/>
                <w:sz w:val="20"/>
              </w:rPr>
              <w:t>resse: JA</w:t>
            </w:r>
          </w:p>
        </w:tc>
        <w:tc>
          <w:tcPr>
            <w:tcW w:w="423" w:type="pct"/>
          </w:tcPr>
          <w:p w14:paraId="13FD2FAE" w14:textId="77777777" w:rsidR="00377531" w:rsidRPr="00377531" w:rsidRDefault="00377531" w:rsidP="004F2670">
            <w:pPr>
              <w:jc w:val="center"/>
              <w:rPr>
                <w:noProof/>
                <w:sz w:val="20"/>
                <w:szCs w:val="20"/>
              </w:rPr>
            </w:pPr>
            <w:r>
              <w:rPr>
                <w:noProof/>
                <w:sz w:val="20"/>
              </w:rPr>
              <w:t>JA</w:t>
            </w:r>
            <w:r>
              <w:rPr>
                <w:noProof/>
                <w:color w:val="FF0000"/>
                <w:sz w:val="20"/>
              </w:rPr>
              <w:t xml:space="preserve"> </w:t>
            </w:r>
          </w:p>
        </w:tc>
        <w:tc>
          <w:tcPr>
            <w:tcW w:w="816" w:type="pct"/>
          </w:tcPr>
          <w:p w14:paraId="13FD2FAF" w14:textId="77777777" w:rsidR="00377531" w:rsidRPr="00377531" w:rsidRDefault="00377531" w:rsidP="004F2670">
            <w:pPr>
              <w:jc w:val="center"/>
              <w:rPr>
                <w:noProof/>
                <w:sz w:val="20"/>
                <w:szCs w:val="20"/>
              </w:rPr>
            </w:pPr>
            <w:r>
              <w:rPr>
                <w:noProof/>
                <w:sz w:val="20"/>
              </w:rPr>
              <w:t>NEIN</w:t>
            </w:r>
          </w:p>
          <w:p w14:paraId="13FD2FB0" w14:textId="77777777" w:rsidR="00377531" w:rsidRPr="00377531" w:rsidRDefault="00377531" w:rsidP="004F2670">
            <w:pPr>
              <w:jc w:val="center"/>
              <w:rPr>
                <w:noProof/>
                <w:sz w:val="20"/>
                <w:szCs w:val="20"/>
              </w:rPr>
            </w:pPr>
          </w:p>
          <w:p w14:paraId="13FD2FB1" w14:textId="77777777" w:rsidR="00377531" w:rsidRPr="00377531" w:rsidRDefault="00377531" w:rsidP="004F2670">
            <w:pPr>
              <w:jc w:val="center"/>
              <w:rPr>
                <w:noProof/>
                <w:sz w:val="20"/>
                <w:szCs w:val="20"/>
              </w:rPr>
            </w:pPr>
            <w:r>
              <w:rPr>
                <w:noProof/>
                <w:sz w:val="20"/>
              </w:rPr>
              <w:t xml:space="preserve">Anstieg der Einfuhren um 58 % – Schadensspanne um 4,1 % angepasst </w:t>
            </w:r>
          </w:p>
        </w:tc>
      </w:tr>
      <w:tr w:rsidR="0087369D" w:rsidRPr="00377531" w14:paraId="13FD2FBD" w14:textId="77777777" w:rsidTr="0087369D">
        <w:tc>
          <w:tcPr>
            <w:tcW w:w="550" w:type="pct"/>
          </w:tcPr>
          <w:p w14:paraId="13FD2FB3" w14:textId="77777777" w:rsidR="00377531" w:rsidRPr="00377531" w:rsidRDefault="00377531" w:rsidP="004F2670">
            <w:pPr>
              <w:jc w:val="center"/>
              <w:rPr>
                <w:noProof/>
                <w:sz w:val="20"/>
                <w:szCs w:val="20"/>
              </w:rPr>
            </w:pPr>
            <w:r>
              <w:rPr>
                <w:noProof/>
                <w:sz w:val="20"/>
              </w:rPr>
              <w:t>Keramikfliesen</w:t>
            </w:r>
          </w:p>
        </w:tc>
        <w:tc>
          <w:tcPr>
            <w:tcW w:w="367" w:type="pct"/>
          </w:tcPr>
          <w:p w14:paraId="13FD2FB4" w14:textId="77777777" w:rsidR="00377531" w:rsidRPr="00377531" w:rsidRDefault="00377531" w:rsidP="004F2670">
            <w:pPr>
              <w:jc w:val="center"/>
              <w:rPr>
                <w:noProof/>
                <w:sz w:val="20"/>
                <w:szCs w:val="20"/>
              </w:rPr>
            </w:pPr>
            <w:r>
              <w:rPr>
                <w:noProof/>
                <w:sz w:val="20"/>
              </w:rPr>
              <w:t>Indien</w:t>
            </w:r>
          </w:p>
          <w:p w14:paraId="13FD2FB5" w14:textId="77777777" w:rsidR="00377531" w:rsidRPr="00377531" w:rsidRDefault="00377531" w:rsidP="004F2670">
            <w:pPr>
              <w:jc w:val="center"/>
              <w:rPr>
                <w:noProof/>
                <w:sz w:val="20"/>
                <w:szCs w:val="20"/>
              </w:rPr>
            </w:pPr>
            <w:r>
              <w:rPr>
                <w:noProof/>
                <w:sz w:val="20"/>
              </w:rPr>
              <w:t>Türkei</w:t>
            </w:r>
          </w:p>
        </w:tc>
        <w:tc>
          <w:tcPr>
            <w:tcW w:w="551" w:type="pct"/>
          </w:tcPr>
          <w:p w14:paraId="13FD2FB6" w14:textId="77777777" w:rsidR="00377531" w:rsidRPr="00377531" w:rsidRDefault="00377531" w:rsidP="004F2670">
            <w:pPr>
              <w:jc w:val="center"/>
              <w:rPr>
                <w:noProof/>
                <w:sz w:val="20"/>
                <w:szCs w:val="20"/>
              </w:rPr>
            </w:pPr>
            <w:r>
              <w:rPr>
                <w:noProof/>
                <w:sz w:val="20"/>
              </w:rPr>
              <w:t>-</w:t>
            </w:r>
          </w:p>
        </w:tc>
        <w:tc>
          <w:tcPr>
            <w:tcW w:w="551" w:type="pct"/>
          </w:tcPr>
          <w:p w14:paraId="13FD2FB7" w14:textId="77777777" w:rsidR="00377531" w:rsidRPr="00377531" w:rsidRDefault="00AB679B" w:rsidP="004F2670">
            <w:pPr>
              <w:jc w:val="center"/>
              <w:rPr>
                <w:noProof/>
                <w:sz w:val="20"/>
                <w:szCs w:val="20"/>
              </w:rPr>
            </w:pPr>
            <w:hyperlink r:id="rId59" w:history="1">
              <w:r w:rsidR="0062348C">
                <w:rPr>
                  <w:rStyle w:val="Hyperlink"/>
                  <w:noProof/>
                  <w:sz w:val="20"/>
                </w:rPr>
                <w:t xml:space="preserve">Endgültige Verordnung </w:t>
              </w:r>
            </w:hyperlink>
          </w:p>
        </w:tc>
        <w:tc>
          <w:tcPr>
            <w:tcW w:w="648" w:type="pct"/>
          </w:tcPr>
          <w:p w14:paraId="13FD2FB8" w14:textId="77777777" w:rsidR="00377531" w:rsidRPr="00377531" w:rsidRDefault="00377531" w:rsidP="004F2670">
            <w:pPr>
              <w:jc w:val="center"/>
              <w:rPr>
                <w:noProof/>
                <w:sz w:val="20"/>
                <w:szCs w:val="20"/>
              </w:rPr>
            </w:pPr>
            <w:r>
              <w:rPr>
                <w:noProof/>
                <w:sz w:val="20"/>
              </w:rPr>
              <w:t>NEIN</w:t>
            </w:r>
          </w:p>
        </w:tc>
        <w:tc>
          <w:tcPr>
            <w:tcW w:w="636" w:type="pct"/>
          </w:tcPr>
          <w:p w14:paraId="13FD2FB9" w14:textId="77777777" w:rsidR="00377531" w:rsidRPr="00377531" w:rsidRDefault="00377531" w:rsidP="004F2670">
            <w:pPr>
              <w:jc w:val="center"/>
              <w:rPr>
                <w:noProof/>
                <w:sz w:val="20"/>
                <w:szCs w:val="20"/>
              </w:rPr>
            </w:pPr>
            <w:r>
              <w:rPr>
                <w:noProof/>
                <w:sz w:val="20"/>
              </w:rPr>
              <w:t>-</w:t>
            </w:r>
          </w:p>
        </w:tc>
        <w:tc>
          <w:tcPr>
            <w:tcW w:w="459" w:type="pct"/>
          </w:tcPr>
          <w:p w14:paraId="13FD2FBA" w14:textId="77777777" w:rsidR="00377531" w:rsidRPr="00377531" w:rsidRDefault="00377531" w:rsidP="004F2670">
            <w:pPr>
              <w:jc w:val="center"/>
              <w:rPr>
                <w:noProof/>
                <w:sz w:val="20"/>
                <w:szCs w:val="20"/>
              </w:rPr>
            </w:pPr>
            <w:r>
              <w:rPr>
                <w:noProof/>
                <w:sz w:val="20"/>
              </w:rPr>
              <w:t>-</w:t>
            </w:r>
          </w:p>
        </w:tc>
        <w:tc>
          <w:tcPr>
            <w:tcW w:w="423" w:type="pct"/>
          </w:tcPr>
          <w:p w14:paraId="13FD2FBB" w14:textId="77777777" w:rsidR="00377531" w:rsidRPr="00377531" w:rsidRDefault="00377531" w:rsidP="004F2670">
            <w:pPr>
              <w:jc w:val="center"/>
              <w:rPr>
                <w:noProof/>
                <w:sz w:val="20"/>
                <w:szCs w:val="20"/>
              </w:rPr>
            </w:pPr>
            <w:r>
              <w:rPr>
                <w:noProof/>
                <w:sz w:val="20"/>
              </w:rPr>
              <w:t>-</w:t>
            </w:r>
          </w:p>
        </w:tc>
        <w:tc>
          <w:tcPr>
            <w:tcW w:w="816" w:type="pct"/>
          </w:tcPr>
          <w:p w14:paraId="13FD2FBC" w14:textId="77777777" w:rsidR="00377531" w:rsidRPr="00377531" w:rsidRDefault="00377531" w:rsidP="004F2670">
            <w:pPr>
              <w:jc w:val="center"/>
              <w:rPr>
                <w:noProof/>
                <w:sz w:val="20"/>
                <w:szCs w:val="20"/>
              </w:rPr>
            </w:pPr>
            <w:r>
              <w:rPr>
                <w:noProof/>
                <w:sz w:val="20"/>
              </w:rPr>
              <w:t>k. A.</w:t>
            </w:r>
          </w:p>
        </w:tc>
      </w:tr>
      <w:tr w:rsidR="0087369D" w:rsidRPr="00377531" w14:paraId="13FD2FC9" w14:textId="77777777" w:rsidTr="0087369D">
        <w:tc>
          <w:tcPr>
            <w:tcW w:w="550" w:type="pct"/>
          </w:tcPr>
          <w:p w14:paraId="13FD2FBE" w14:textId="77777777" w:rsidR="00377531" w:rsidRPr="00377531" w:rsidRDefault="00377531" w:rsidP="004F2670">
            <w:pPr>
              <w:jc w:val="center"/>
              <w:rPr>
                <w:noProof/>
                <w:sz w:val="20"/>
                <w:szCs w:val="20"/>
              </w:rPr>
            </w:pPr>
            <w:r>
              <w:rPr>
                <w:noProof/>
                <w:sz w:val="20"/>
              </w:rPr>
              <w:t>Kraftfahrzeugräder aus Aluminium</w:t>
            </w:r>
          </w:p>
        </w:tc>
        <w:tc>
          <w:tcPr>
            <w:tcW w:w="367" w:type="pct"/>
          </w:tcPr>
          <w:p w14:paraId="13FD2FBF" w14:textId="77777777" w:rsidR="00377531" w:rsidRPr="00377531" w:rsidRDefault="00377531" w:rsidP="004F2670">
            <w:pPr>
              <w:jc w:val="center"/>
              <w:rPr>
                <w:noProof/>
                <w:sz w:val="20"/>
                <w:szCs w:val="20"/>
              </w:rPr>
            </w:pPr>
            <w:r>
              <w:rPr>
                <w:noProof/>
                <w:sz w:val="20"/>
              </w:rPr>
              <w:t>Marokko</w:t>
            </w:r>
          </w:p>
        </w:tc>
        <w:tc>
          <w:tcPr>
            <w:tcW w:w="551" w:type="pct"/>
          </w:tcPr>
          <w:p w14:paraId="13FD2FC0" w14:textId="77777777" w:rsidR="00377531" w:rsidRPr="00377531" w:rsidRDefault="00AB679B" w:rsidP="004F2670">
            <w:pPr>
              <w:jc w:val="center"/>
              <w:rPr>
                <w:noProof/>
                <w:sz w:val="20"/>
                <w:szCs w:val="20"/>
              </w:rPr>
            </w:pPr>
            <w:hyperlink r:id="rId60" w:history="1">
              <w:r w:rsidR="0062348C">
                <w:rPr>
                  <w:rStyle w:val="Hyperlink"/>
                  <w:noProof/>
                  <w:sz w:val="20"/>
                </w:rPr>
                <w:t xml:space="preserve">Vorläufige Verordnung </w:t>
              </w:r>
            </w:hyperlink>
          </w:p>
          <w:p w14:paraId="13FD2FC1" w14:textId="77777777" w:rsidR="00377531" w:rsidRPr="00377531" w:rsidRDefault="00377531" w:rsidP="004F2670">
            <w:pPr>
              <w:jc w:val="center"/>
              <w:rPr>
                <w:noProof/>
                <w:sz w:val="20"/>
                <w:szCs w:val="20"/>
                <w:lang w:val="fr-BE"/>
              </w:rPr>
            </w:pPr>
          </w:p>
        </w:tc>
        <w:tc>
          <w:tcPr>
            <w:tcW w:w="551" w:type="pct"/>
          </w:tcPr>
          <w:p w14:paraId="13FD2FC2" w14:textId="77777777" w:rsidR="00377531" w:rsidRPr="00377531" w:rsidRDefault="00AB679B" w:rsidP="004F2670">
            <w:pPr>
              <w:jc w:val="center"/>
              <w:rPr>
                <w:noProof/>
                <w:sz w:val="20"/>
                <w:szCs w:val="20"/>
              </w:rPr>
            </w:pPr>
            <w:hyperlink r:id="rId61" w:history="1">
              <w:r w:rsidR="0062348C">
                <w:rPr>
                  <w:rStyle w:val="Hyperlink"/>
                  <w:noProof/>
                  <w:sz w:val="20"/>
                </w:rPr>
                <w:t xml:space="preserve">Endgültige Verordnung </w:t>
              </w:r>
            </w:hyperlink>
          </w:p>
        </w:tc>
        <w:tc>
          <w:tcPr>
            <w:tcW w:w="648" w:type="pct"/>
          </w:tcPr>
          <w:p w14:paraId="13FD2FC3" w14:textId="77777777" w:rsidR="00377531" w:rsidRPr="00377531" w:rsidRDefault="00377531" w:rsidP="004F2670">
            <w:pPr>
              <w:jc w:val="center"/>
              <w:rPr>
                <w:noProof/>
                <w:sz w:val="20"/>
                <w:szCs w:val="20"/>
              </w:rPr>
            </w:pPr>
            <w:r>
              <w:rPr>
                <w:noProof/>
                <w:sz w:val="20"/>
              </w:rPr>
              <w:t>NEIN</w:t>
            </w:r>
          </w:p>
        </w:tc>
        <w:tc>
          <w:tcPr>
            <w:tcW w:w="636" w:type="pct"/>
          </w:tcPr>
          <w:p w14:paraId="13FD2FC4" w14:textId="77777777" w:rsidR="00377531" w:rsidRPr="00377531" w:rsidRDefault="00377531" w:rsidP="004F2670">
            <w:pPr>
              <w:jc w:val="center"/>
              <w:rPr>
                <w:noProof/>
                <w:sz w:val="20"/>
                <w:szCs w:val="20"/>
              </w:rPr>
            </w:pPr>
            <w:r>
              <w:rPr>
                <w:noProof/>
                <w:sz w:val="20"/>
              </w:rPr>
              <w:t>-</w:t>
            </w:r>
          </w:p>
        </w:tc>
        <w:tc>
          <w:tcPr>
            <w:tcW w:w="459" w:type="pct"/>
          </w:tcPr>
          <w:p w14:paraId="13FD2FC5" w14:textId="77777777" w:rsidR="00377531" w:rsidRPr="00377531" w:rsidRDefault="00377531" w:rsidP="004F2670">
            <w:pPr>
              <w:jc w:val="center"/>
              <w:rPr>
                <w:noProof/>
                <w:sz w:val="20"/>
                <w:szCs w:val="20"/>
              </w:rPr>
            </w:pPr>
            <w:r>
              <w:rPr>
                <w:noProof/>
                <w:sz w:val="20"/>
              </w:rPr>
              <w:t>-</w:t>
            </w:r>
          </w:p>
        </w:tc>
        <w:tc>
          <w:tcPr>
            <w:tcW w:w="423" w:type="pct"/>
          </w:tcPr>
          <w:p w14:paraId="13FD2FC6" w14:textId="77777777" w:rsidR="00377531" w:rsidRPr="00377531" w:rsidRDefault="00377531" w:rsidP="004F2670">
            <w:pPr>
              <w:jc w:val="center"/>
              <w:rPr>
                <w:noProof/>
                <w:sz w:val="20"/>
                <w:szCs w:val="20"/>
              </w:rPr>
            </w:pPr>
            <w:r>
              <w:rPr>
                <w:noProof/>
                <w:sz w:val="20"/>
              </w:rPr>
              <w:t>-</w:t>
            </w:r>
          </w:p>
        </w:tc>
        <w:tc>
          <w:tcPr>
            <w:tcW w:w="816" w:type="pct"/>
          </w:tcPr>
          <w:p w14:paraId="13FD2FC7" w14:textId="77777777" w:rsidR="00377531" w:rsidRPr="00377531" w:rsidRDefault="00377531" w:rsidP="004F2670">
            <w:pPr>
              <w:jc w:val="center"/>
              <w:rPr>
                <w:noProof/>
                <w:sz w:val="20"/>
                <w:szCs w:val="20"/>
              </w:rPr>
            </w:pPr>
            <w:r>
              <w:rPr>
                <w:noProof/>
                <w:sz w:val="20"/>
              </w:rPr>
              <w:t>JA</w:t>
            </w:r>
          </w:p>
          <w:p w14:paraId="13FD2FC8" w14:textId="77777777" w:rsidR="00377531" w:rsidRPr="00377531" w:rsidRDefault="00377531" w:rsidP="004F2670">
            <w:pPr>
              <w:jc w:val="center"/>
              <w:rPr>
                <w:noProof/>
                <w:sz w:val="20"/>
                <w:szCs w:val="20"/>
                <w:lang w:val="fr-BE"/>
              </w:rPr>
            </w:pPr>
          </w:p>
        </w:tc>
      </w:tr>
      <w:tr w:rsidR="0087369D" w:rsidRPr="00377531" w14:paraId="13FD2FD8" w14:textId="77777777" w:rsidTr="0087369D">
        <w:tc>
          <w:tcPr>
            <w:tcW w:w="550" w:type="pct"/>
          </w:tcPr>
          <w:p w14:paraId="13FD2FCA" w14:textId="77777777" w:rsidR="00377531" w:rsidRPr="00377531" w:rsidRDefault="00377531" w:rsidP="004F2670">
            <w:pPr>
              <w:jc w:val="center"/>
              <w:rPr>
                <w:noProof/>
                <w:sz w:val="20"/>
                <w:szCs w:val="20"/>
              </w:rPr>
            </w:pPr>
            <w:r>
              <w:rPr>
                <w:noProof/>
                <w:sz w:val="20"/>
              </w:rPr>
              <w:t>Fettsäuren</w:t>
            </w:r>
          </w:p>
        </w:tc>
        <w:tc>
          <w:tcPr>
            <w:tcW w:w="367" w:type="pct"/>
          </w:tcPr>
          <w:p w14:paraId="13FD2FCB" w14:textId="77777777" w:rsidR="00377531" w:rsidRPr="00377531" w:rsidRDefault="00377531" w:rsidP="004F2670">
            <w:pPr>
              <w:jc w:val="center"/>
              <w:rPr>
                <w:noProof/>
                <w:sz w:val="20"/>
                <w:szCs w:val="20"/>
              </w:rPr>
            </w:pPr>
            <w:r>
              <w:rPr>
                <w:noProof/>
                <w:sz w:val="20"/>
              </w:rPr>
              <w:t>Indonesien</w:t>
            </w:r>
          </w:p>
        </w:tc>
        <w:tc>
          <w:tcPr>
            <w:tcW w:w="551" w:type="pct"/>
          </w:tcPr>
          <w:p w14:paraId="13FD2FCC" w14:textId="77777777" w:rsidR="00377531" w:rsidRPr="00377531" w:rsidRDefault="00377531" w:rsidP="004F2670">
            <w:pPr>
              <w:jc w:val="center"/>
              <w:rPr>
                <w:noProof/>
                <w:sz w:val="20"/>
                <w:szCs w:val="20"/>
              </w:rPr>
            </w:pPr>
            <w:r>
              <w:rPr>
                <w:noProof/>
                <w:sz w:val="20"/>
              </w:rPr>
              <w:t>-</w:t>
            </w:r>
          </w:p>
        </w:tc>
        <w:tc>
          <w:tcPr>
            <w:tcW w:w="551" w:type="pct"/>
          </w:tcPr>
          <w:p w14:paraId="13FD2FCD" w14:textId="77777777" w:rsidR="00377531" w:rsidRPr="00377531" w:rsidRDefault="00AB679B" w:rsidP="004F2670">
            <w:pPr>
              <w:jc w:val="center"/>
              <w:rPr>
                <w:noProof/>
                <w:sz w:val="20"/>
                <w:szCs w:val="20"/>
              </w:rPr>
            </w:pPr>
            <w:hyperlink r:id="rId62" w:history="1">
              <w:r w:rsidR="0062348C">
                <w:rPr>
                  <w:rStyle w:val="Hyperlink"/>
                  <w:noProof/>
                  <w:sz w:val="20"/>
                </w:rPr>
                <w:t xml:space="preserve">Endgültige Verordnung </w:t>
              </w:r>
            </w:hyperlink>
          </w:p>
          <w:p w14:paraId="13FD2FCE" w14:textId="77777777" w:rsidR="00377531" w:rsidRPr="00377531" w:rsidRDefault="00377531" w:rsidP="004F2670">
            <w:pPr>
              <w:jc w:val="center"/>
              <w:rPr>
                <w:noProof/>
                <w:sz w:val="20"/>
                <w:szCs w:val="20"/>
                <w:lang w:val="fr-BE"/>
              </w:rPr>
            </w:pPr>
          </w:p>
        </w:tc>
        <w:tc>
          <w:tcPr>
            <w:tcW w:w="648" w:type="pct"/>
          </w:tcPr>
          <w:p w14:paraId="13FD2FCF" w14:textId="77777777" w:rsidR="00377531" w:rsidRPr="00377531" w:rsidRDefault="00377531" w:rsidP="004F2670">
            <w:pPr>
              <w:jc w:val="center"/>
              <w:rPr>
                <w:noProof/>
                <w:sz w:val="20"/>
                <w:szCs w:val="20"/>
              </w:rPr>
            </w:pPr>
            <w:r>
              <w:rPr>
                <w:noProof/>
                <w:sz w:val="20"/>
              </w:rPr>
              <w:t>JA</w:t>
            </w:r>
          </w:p>
        </w:tc>
        <w:tc>
          <w:tcPr>
            <w:tcW w:w="636" w:type="pct"/>
          </w:tcPr>
          <w:p w14:paraId="13FD2FD0" w14:textId="77777777" w:rsidR="00377531" w:rsidRPr="00377531" w:rsidRDefault="00377531" w:rsidP="004F2670">
            <w:pPr>
              <w:jc w:val="center"/>
              <w:rPr>
                <w:noProof/>
                <w:sz w:val="20"/>
                <w:szCs w:val="20"/>
              </w:rPr>
            </w:pPr>
            <w:r>
              <w:rPr>
                <w:noProof/>
                <w:sz w:val="20"/>
              </w:rPr>
              <w:t>JA</w:t>
            </w:r>
          </w:p>
        </w:tc>
        <w:tc>
          <w:tcPr>
            <w:tcW w:w="459" w:type="pct"/>
          </w:tcPr>
          <w:p w14:paraId="13FD2FD1" w14:textId="77777777" w:rsidR="00377531" w:rsidRPr="00377531" w:rsidRDefault="00377531" w:rsidP="004F2670">
            <w:pPr>
              <w:jc w:val="center"/>
              <w:rPr>
                <w:noProof/>
                <w:sz w:val="20"/>
                <w:szCs w:val="20"/>
              </w:rPr>
            </w:pPr>
            <w:r>
              <w:rPr>
                <w:noProof/>
                <w:sz w:val="20"/>
              </w:rPr>
              <w:t>Rohstoffe CPO &gt;40 % und CPKO &gt;50 % der Herstellkosten</w:t>
            </w:r>
          </w:p>
          <w:p w14:paraId="13FD2FD2" w14:textId="77777777" w:rsidR="00377531" w:rsidRPr="00377531" w:rsidRDefault="00377531" w:rsidP="004F2670">
            <w:pPr>
              <w:jc w:val="center"/>
              <w:rPr>
                <w:noProof/>
                <w:sz w:val="20"/>
                <w:szCs w:val="20"/>
              </w:rPr>
            </w:pPr>
          </w:p>
          <w:p w14:paraId="13FD2FD3" w14:textId="77777777" w:rsidR="00377531" w:rsidRPr="00377531" w:rsidRDefault="00377531" w:rsidP="004F2670">
            <w:pPr>
              <w:jc w:val="center"/>
              <w:rPr>
                <w:noProof/>
                <w:sz w:val="20"/>
                <w:szCs w:val="20"/>
              </w:rPr>
            </w:pPr>
            <w:r>
              <w:rPr>
                <w:noProof/>
                <w:sz w:val="20"/>
              </w:rPr>
              <w:t>Der Preis ist erheblich niedriger als die Referenzpreise.</w:t>
            </w:r>
          </w:p>
          <w:p w14:paraId="13FD2FD4" w14:textId="77777777" w:rsidR="00377531" w:rsidRPr="00377531" w:rsidRDefault="00377531" w:rsidP="004F2670">
            <w:pPr>
              <w:jc w:val="center"/>
              <w:rPr>
                <w:noProof/>
                <w:sz w:val="20"/>
                <w:szCs w:val="20"/>
              </w:rPr>
            </w:pPr>
          </w:p>
          <w:p w14:paraId="13FD2FD5" w14:textId="5965739E" w:rsidR="00377531" w:rsidRPr="00377531" w:rsidRDefault="00377531" w:rsidP="004F2670">
            <w:pPr>
              <w:jc w:val="center"/>
              <w:rPr>
                <w:noProof/>
                <w:sz w:val="20"/>
                <w:szCs w:val="20"/>
              </w:rPr>
            </w:pPr>
            <w:r>
              <w:rPr>
                <w:noProof/>
                <w:sz w:val="20"/>
              </w:rPr>
              <w:t>Unionsinte</w:t>
            </w:r>
            <w:r w:rsidR="0087369D">
              <w:rPr>
                <w:noProof/>
                <w:sz w:val="20"/>
              </w:rPr>
              <w:softHyphen/>
            </w:r>
            <w:r>
              <w:rPr>
                <w:noProof/>
                <w:sz w:val="20"/>
              </w:rPr>
              <w:t>resse: JA</w:t>
            </w:r>
          </w:p>
        </w:tc>
        <w:tc>
          <w:tcPr>
            <w:tcW w:w="423" w:type="pct"/>
          </w:tcPr>
          <w:p w14:paraId="13FD2FD6" w14:textId="77777777" w:rsidR="00377531" w:rsidRPr="00377531" w:rsidRDefault="00377531" w:rsidP="004F2670">
            <w:pPr>
              <w:jc w:val="center"/>
              <w:rPr>
                <w:noProof/>
                <w:color w:val="FF0000"/>
                <w:sz w:val="20"/>
                <w:szCs w:val="20"/>
              </w:rPr>
            </w:pPr>
            <w:r>
              <w:rPr>
                <w:noProof/>
                <w:sz w:val="20"/>
              </w:rPr>
              <w:t xml:space="preserve">JA </w:t>
            </w:r>
          </w:p>
        </w:tc>
        <w:tc>
          <w:tcPr>
            <w:tcW w:w="816" w:type="pct"/>
          </w:tcPr>
          <w:p w14:paraId="13FD2FD7" w14:textId="77777777" w:rsidR="00377531" w:rsidRPr="00377531" w:rsidRDefault="00377531" w:rsidP="004F2670">
            <w:pPr>
              <w:jc w:val="center"/>
              <w:rPr>
                <w:noProof/>
                <w:sz w:val="20"/>
                <w:szCs w:val="20"/>
              </w:rPr>
            </w:pPr>
            <w:r>
              <w:rPr>
                <w:noProof/>
                <w:sz w:val="20"/>
              </w:rPr>
              <w:t>k. A.</w:t>
            </w:r>
          </w:p>
        </w:tc>
      </w:tr>
    </w:tbl>
    <w:p w14:paraId="13FD2FD9" w14:textId="77777777" w:rsidR="00377531" w:rsidRPr="00377531" w:rsidRDefault="00377531" w:rsidP="00377531">
      <w:pPr>
        <w:rPr>
          <w:noProof/>
          <w:sz w:val="20"/>
          <w:szCs w:val="20"/>
        </w:rPr>
      </w:pPr>
    </w:p>
    <w:p w14:paraId="13FD2FDA" w14:textId="77777777" w:rsidR="00A1247B" w:rsidRPr="00377531" w:rsidRDefault="00A1247B" w:rsidP="003A5A48">
      <w:pPr>
        <w:jc w:val="both"/>
        <w:rPr>
          <w:iCs/>
          <w:noProof/>
          <w:sz w:val="20"/>
          <w:szCs w:val="20"/>
          <w:lang w:eastAsia="en-US"/>
        </w:rPr>
      </w:pPr>
    </w:p>
    <w:p w14:paraId="13FD2FDB" w14:textId="77777777" w:rsidR="00377531" w:rsidRPr="00377531" w:rsidRDefault="00377531" w:rsidP="003A5A48">
      <w:pPr>
        <w:jc w:val="both"/>
        <w:rPr>
          <w:iCs/>
          <w:noProof/>
          <w:sz w:val="20"/>
          <w:szCs w:val="20"/>
          <w:lang w:eastAsia="en-US"/>
        </w:rPr>
      </w:pPr>
    </w:p>
    <w:p w14:paraId="13FD2FDC" w14:textId="77777777" w:rsidR="00377531" w:rsidRPr="00377531" w:rsidRDefault="00377531" w:rsidP="003A5A48">
      <w:pPr>
        <w:jc w:val="both"/>
        <w:rPr>
          <w:iCs/>
          <w:noProof/>
          <w:sz w:val="20"/>
          <w:szCs w:val="20"/>
          <w:lang w:eastAsia="en-US"/>
        </w:rPr>
      </w:pPr>
    </w:p>
    <w:p w14:paraId="13FD2FDD" w14:textId="77777777" w:rsidR="00377531" w:rsidRDefault="00377531" w:rsidP="003A5A48">
      <w:pPr>
        <w:jc w:val="both"/>
        <w:rPr>
          <w:iCs/>
          <w:noProof/>
          <w:lang w:eastAsia="en-US"/>
        </w:rPr>
      </w:pPr>
    </w:p>
    <w:p w14:paraId="13FD2FDE" w14:textId="77777777" w:rsidR="00377531" w:rsidRDefault="00377531" w:rsidP="003A5A48">
      <w:pPr>
        <w:jc w:val="both"/>
        <w:rPr>
          <w:iCs/>
          <w:noProof/>
          <w:lang w:eastAsia="en-US"/>
        </w:rPr>
      </w:pPr>
    </w:p>
    <w:p w14:paraId="13FD2FDF" w14:textId="77777777" w:rsidR="009121E6" w:rsidRDefault="009121E6" w:rsidP="003A5A48">
      <w:pPr>
        <w:jc w:val="both"/>
        <w:rPr>
          <w:iCs/>
          <w:noProof/>
          <w:lang w:eastAsia="en-US"/>
        </w:rPr>
        <w:sectPr w:rsidR="009121E6" w:rsidSect="009121E6">
          <w:headerReference w:type="even" r:id="rId63"/>
          <w:headerReference w:type="default" r:id="rId64"/>
          <w:footerReference w:type="even" r:id="rId65"/>
          <w:footerReference w:type="default" r:id="rId66"/>
          <w:headerReference w:type="first" r:id="rId67"/>
          <w:footerReference w:type="first" r:id="rId68"/>
          <w:pgSz w:w="16838" w:h="11906" w:orient="landscape"/>
          <w:pgMar w:top="1440" w:right="1440" w:bottom="1440" w:left="1440" w:header="708" w:footer="708" w:gutter="0"/>
          <w:cols w:space="720"/>
          <w:docGrid w:linePitch="360"/>
        </w:sectPr>
      </w:pPr>
    </w:p>
    <w:p w14:paraId="13FD2FE3" w14:textId="77777777" w:rsidR="00A1247B" w:rsidRDefault="00A1247B" w:rsidP="00A1247B">
      <w:pPr>
        <w:ind w:right="708"/>
        <w:jc w:val="center"/>
        <w:rPr>
          <w:b/>
          <w:noProof/>
          <w:u w:val="single"/>
        </w:rPr>
      </w:pPr>
      <w:r>
        <w:rPr>
          <w:b/>
          <w:noProof/>
          <w:u w:val="single"/>
        </w:rPr>
        <w:t>Anhang 2</w:t>
      </w:r>
    </w:p>
    <w:p w14:paraId="13FD2FE4" w14:textId="77777777" w:rsidR="00A1247B" w:rsidRDefault="00A1247B" w:rsidP="00A1247B">
      <w:pPr>
        <w:ind w:right="708"/>
        <w:jc w:val="center"/>
        <w:rPr>
          <w:b/>
          <w:noProof/>
          <w:u w:val="single"/>
        </w:rPr>
      </w:pPr>
    </w:p>
    <w:p w14:paraId="13FD2FE5" w14:textId="548CF0B4" w:rsidR="00A1247B" w:rsidRDefault="0053126E" w:rsidP="00A1247B">
      <w:pPr>
        <w:ind w:right="708"/>
        <w:jc w:val="center"/>
        <w:rPr>
          <w:b/>
          <w:noProof/>
          <w:u w:val="single"/>
        </w:rPr>
      </w:pPr>
      <w:r>
        <w:rPr>
          <w:b/>
          <w:noProof/>
          <w:u w:val="single"/>
        </w:rPr>
        <w:t>AUSGLEICHSMAßNAHMEN</w:t>
      </w:r>
    </w:p>
    <w:p w14:paraId="13FD2FE6" w14:textId="77777777" w:rsidR="00866709" w:rsidRDefault="00866709" w:rsidP="00A1247B">
      <w:pPr>
        <w:ind w:right="708"/>
        <w:jc w:val="center"/>
        <w:rPr>
          <w:b/>
          <w:noProof/>
          <w:u w:val="single"/>
        </w:rPr>
      </w:pPr>
    </w:p>
    <w:tbl>
      <w:tblPr>
        <w:tblStyle w:val="TableGrid"/>
        <w:tblW w:w="8956" w:type="dxa"/>
        <w:tblLook w:val="04A0" w:firstRow="1" w:lastRow="0" w:firstColumn="1" w:lastColumn="0" w:noHBand="0" w:noVBand="1"/>
      </w:tblPr>
      <w:tblGrid>
        <w:gridCol w:w="2013"/>
        <w:gridCol w:w="960"/>
        <w:gridCol w:w="1928"/>
        <w:gridCol w:w="1928"/>
        <w:gridCol w:w="1047"/>
        <w:gridCol w:w="1140"/>
      </w:tblGrid>
      <w:tr w:rsidR="00866709" w:rsidRPr="00042222" w14:paraId="13FD2FF0" w14:textId="77777777" w:rsidTr="00866709">
        <w:tc>
          <w:tcPr>
            <w:tcW w:w="2197" w:type="dxa"/>
          </w:tcPr>
          <w:p w14:paraId="13FD2FE7" w14:textId="77777777" w:rsidR="00866709" w:rsidRPr="00042222" w:rsidRDefault="00866709" w:rsidP="00866709">
            <w:pPr>
              <w:jc w:val="center"/>
              <w:rPr>
                <w:b/>
                <w:noProof/>
                <w:sz w:val="18"/>
                <w:szCs w:val="18"/>
                <w:u w:val="single"/>
              </w:rPr>
            </w:pPr>
            <w:r>
              <w:rPr>
                <w:b/>
                <w:noProof/>
                <w:sz w:val="18"/>
                <w:u w:val="single"/>
              </w:rPr>
              <w:t>Ware</w:t>
            </w:r>
          </w:p>
        </w:tc>
        <w:tc>
          <w:tcPr>
            <w:tcW w:w="1237" w:type="dxa"/>
          </w:tcPr>
          <w:p w14:paraId="13FD2FE8" w14:textId="77777777" w:rsidR="00866709" w:rsidRPr="00042222" w:rsidRDefault="00866709" w:rsidP="00866709">
            <w:pPr>
              <w:jc w:val="center"/>
              <w:rPr>
                <w:b/>
                <w:noProof/>
                <w:sz w:val="18"/>
                <w:szCs w:val="18"/>
                <w:u w:val="single"/>
              </w:rPr>
            </w:pPr>
            <w:r>
              <w:rPr>
                <w:b/>
                <w:noProof/>
                <w:sz w:val="18"/>
                <w:u w:val="single"/>
              </w:rPr>
              <w:t>Land</w:t>
            </w:r>
          </w:p>
        </w:tc>
        <w:tc>
          <w:tcPr>
            <w:tcW w:w="1484" w:type="dxa"/>
          </w:tcPr>
          <w:p w14:paraId="13FD2FE9" w14:textId="77777777" w:rsidR="00866709" w:rsidRPr="00042222" w:rsidRDefault="00866709" w:rsidP="00866709">
            <w:pPr>
              <w:jc w:val="center"/>
              <w:rPr>
                <w:b/>
                <w:noProof/>
                <w:sz w:val="18"/>
                <w:szCs w:val="18"/>
                <w:u w:val="single"/>
              </w:rPr>
            </w:pPr>
            <w:r>
              <w:rPr>
                <w:b/>
                <w:noProof/>
                <w:sz w:val="18"/>
                <w:u w:val="single"/>
              </w:rPr>
              <w:t xml:space="preserve">Vorläufiger </w:t>
            </w:r>
          </w:p>
          <w:p w14:paraId="13FD2FEA" w14:textId="77777777" w:rsidR="00866709" w:rsidRPr="00042222" w:rsidRDefault="00866709" w:rsidP="00866709">
            <w:pPr>
              <w:jc w:val="center"/>
              <w:rPr>
                <w:b/>
                <w:noProof/>
                <w:sz w:val="18"/>
                <w:szCs w:val="18"/>
                <w:u w:val="single"/>
              </w:rPr>
            </w:pPr>
            <w:r>
              <w:rPr>
                <w:b/>
                <w:noProof/>
                <w:sz w:val="18"/>
                <w:u w:val="single"/>
              </w:rPr>
              <w:t xml:space="preserve">Artikel 12 Absatz 1 </w:t>
            </w:r>
          </w:p>
          <w:p w14:paraId="13FD2FEB" w14:textId="77777777" w:rsidR="00866709" w:rsidRPr="00042222" w:rsidRDefault="00866709" w:rsidP="00866709">
            <w:pPr>
              <w:jc w:val="center"/>
              <w:rPr>
                <w:b/>
                <w:noProof/>
                <w:sz w:val="18"/>
                <w:szCs w:val="18"/>
                <w:u w:val="single"/>
                <w:lang w:val="fr-BE"/>
              </w:rPr>
            </w:pPr>
          </w:p>
        </w:tc>
        <w:tc>
          <w:tcPr>
            <w:tcW w:w="1472" w:type="dxa"/>
          </w:tcPr>
          <w:p w14:paraId="13FD2FEC" w14:textId="77777777" w:rsidR="00866709" w:rsidRPr="00042222" w:rsidRDefault="00866709" w:rsidP="00866709">
            <w:pPr>
              <w:jc w:val="center"/>
              <w:rPr>
                <w:b/>
                <w:noProof/>
                <w:sz w:val="18"/>
                <w:szCs w:val="18"/>
                <w:u w:val="single"/>
              </w:rPr>
            </w:pPr>
            <w:r>
              <w:rPr>
                <w:b/>
                <w:noProof/>
                <w:sz w:val="18"/>
                <w:u w:val="single"/>
              </w:rPr>
              <w:t xml:space="preserve">Endgültiger </w:t>
            </w:r>
          </w:p>
          <w:p w14:paraId="13FD2FED" w14:textId="77777777" w:rsidR="00866709" w:rsidRPr="00042222" w:rsidRDefault="00866709" w:rsidP="00866709">
            <w:pPr>
              <w:jc w:val="center"/>
              <w:rPr>
                <w:b/>
                <w:noProof/>
                <w:sz w:val="18"/>
                <w:szCs w:val="18"/>
                <w:u w:val="single"/>
              </w:rPr>
            </w:pPr>
            <w:r>
              <w:rPr>
                <w:b/>
                <w:noProof/>
                <w:sz w:val="18"/>
                <w:u w:val="single"/>
              </w:rPr>
              <w:t>Artikel 15 Absatz 1</w:t>
            </w:r>
          </w:p>
        </w:tc>
        <w:tc>
          <w:tcPr>
            <w:tcW w:w="1283" w:type="dxa"/>
          </w:tcPr>
          <w:p w14:paraId="13FD2FEE" w14:textId="5344EFF9" w:rsidR="00866709" w:rsidRPr="00866709" w:rsidRDefault="00866709" w:rsidP="004C7E4C">
            <w:pPr>
              <w:jc w:val="center"/>
              <w:rPr>
                <w:b/>
                <w:noProof/>
                <w:sz w:val="18"/>
                <w:szCs w:val="18"/>
                <w:u w:val="single"/>
              </w:rPr>
            </w:pPr>
            <w:r>
              <w:rPr>
                <w:b/>
                <w:noProof/>
                <w:sz w:val="18"/>
                <w:u w:val="single"/>
              </w:rPr>
              <w:t>Verhängte Maßnahmen volle Subven</w:t>
            </w:r>
            <w:r w:rsidR="0087369D">
              <w:rPr>
                <w:b/>
                <w:noProof/>
                <w:sz w:val="18"/>
                <w:u w:val="single"/>
              </w:rPr>
              <w:softHyphen/>
            </w:r>
            <w:r>
              <w:rPr>
                <w:b/>
                <w:noProof/>
                <w:sz w:val="18"/>
                <w:u w:val="single"/>
              </w:rPr>
              <w:t>tionshöhe</w:t>
            </w:r>
          </w:p>
        </w:tc>
        <w:tc>
          <w:tcPr>
            <w:tcW w:w="1283" w:type="dxa"/>
          </w:tcPr>
          <w:p w14:paraId="13FD2FEF" w14:textId="30202013" w:rsidR="00866709" w:rsidRPr="00042222" w:rsidRDefault="0033288A" w:rsidP="00866709">
            <w:pPr>
              <w:jc w:val="center"/>
              <w:rPr>
                <w:b/>
                <w:noProof/>
                <w:sz w:val="18"/>
                <w:szCs w:val="18"/>
                <w:u w:val="single"/>
              </w:rPr>
            </w:pPr>
            <w:r>
              <w:rPr>
                <w:b/>
                <w:noProof/>
                <w:sz w:val="18"/>
                <w:u w:val="single"/>
              </w:rPr>
              <w:t>Separater Antidumping</w:t>
            </w:r>
            <w:r w:rsidR="0087369D">
              <w:rPr>
                <w:b/>
                <w:noProof/>
                <w:sz w:val="18"/>
                <w:u w:val="single"/>
              </w:rPr>
              <w:softHyphen/>
            </w:r>
            <w:r>
              <w:rPr>
                <w:b/>
                <w:noProof/>
                <w:sz w:val="18"/>
                <w:u w:val="single"/>
              </w:rPr>
              <w:t>fall</w:t>
            </w:r>
          </w:p>
        </w:tc>
      </w:tr>
      <w:tr w:rsidR="00866709" w:rsidRPr="00042222" w14:paraId="13FD2FF9" w14:textId="77777777" w:rsidTr="00866709">
        <w:tc>
          <w:tcPr>
            <w:tcW w:w="2197" w:type="dxa"/>
          </w:tcPr>
          <w:p w14:paraId="13FD2FF1" w14:textId="77777777" w:rsidR="00866709" w:rsidRPr="00042222" w:rsidRDefault="00866709" w:rsidP="00866709">
            <w:pPr>
              <w:jc w:val="center"/>
              <w:rPr>
                <w:noProof/>
                <w:sz w:val="20"/>
                <w:szCs w:val="20"/>
              </w:rPr>
            </w:pPr>
            <w:r>
              <w:rPr>
                <w:noProof/>
                <w:sz w:val="20"/>
              </w:rPr>
              <w:t xml:space="preserve">Biodiesel </w:t>
            </w:r>
          </w:p>
        </w:tc>
        <w:tc>
          <w:tcPr>
            <w:tcW w:w="1237" w:type="dxa"/>
          </w:tcPr>
          <w:p w14:paraId="13FD2FF2" w14:textId="77777777" w:rsidR="00866709" w:rsidRPr="00042222" w:rsidRDefault="00866709" w:rsidP="00866709">
            <w:pPr>
              <w:jc w:val="center"/>
              <w:rPr>
                <w:noProof/>
                <w:sz w:val="20"/>
                <w:szCs w:val="20"/>
              </w:rPr>
            </w:pPr>
            <w:r>
              <w:rPr>
                <w:noProof/>
                <w:sz w:val="20"/>
              </w:rPr>
              <w:t xml:space="preserve"> Indonesien</w:t>
            </w:r>
          </w:p>
        </w:tc>
        <w:tc>
          <w:tcPr>
            <w:tcW w:w="1484" w:type="dxa"/>
          </w:tcPr>
          <w:p w14:paraId="13FD2FF3" w14:textId="77777777" w:rsidR="00866709" w:rsidRPr="00042222" w:rsidRDefault="00AB679B" w:rsidP="00866709">
            <w:pPr>
              <w:jc w:val="center"/>
              <w:rPr>
                <w:noProof/>
                <w:sz w:val="20"/>
                <w:szCs w:val="20"/>
                <w:u w:val="single"/>
              </w:rPr>
            </w:pPr>
            <w:hyperlink r:id="rId69" w:history="1">
              <w:r w:rsidR="0062348C">
                <w:rPr>
                  <w:rStyle w:val="Hyperlink"/>
                  <w:noProof/>
                  <w:sz w:val="20"/>
                </w:rPr>
                <w:t>Vorläufige Verordnung Biodiesel</w:t>
              </w:r>
            </w:hyperlink>
          </w:p>
          <w:p w14:paraId="13FD2FF4" w14:textId="77777777" w:rsidR="00866709" w:rsidRPr="00042222" w:rsidRDefault="00866709" w:rsidP="00866709">
            <w:pPr>
              <w:jc w:val="center"/>
              <w:rPr>
                <w:noProof/>
                <w:sz w:val="20"/>
                <w:szCs w:val="20"/>
                <w:u w:val="single"/>
              </w:rPr>
            </w:pPr>
          </w:p>
        </w:tc>
        <w:tc>
          <w:tcPr>
            <w:tcW w:w="1472" w:type="dxa"/>
          </w:tcPr>
          <w:p w14:paraId="13FD2FF5" w14:textId="77777777" w:rsidR="00866709" w:rsidRPr="00042222" w:rsidRDefault="00AB679B" w:rsidP="00866709">
            <w:pPr>
              <w:jc w:val="center"/>
              <w:rPr>
                <w:noProof/>
                <w:sz w:val="20"/>
                <w:szCs w:val="20"/>
              </w:rPr>
            </w:pPr>
            <w:hyperlink r:id="rId70" w:history="1">
              <w:r w:rsidR="0062348C">
                <w:rPr>
                  <w:rStyle w:val="Hyperlink"/>
                  <w:noProof/>
                  <w:sz w:val="20"/>
                </w:rPr>
                <w:t>Endgültige Verordnung Biodiesel</w:t>
              </w:r>
            </w:hyperlink>
          </w:p>
          <w:p w14:paraId="13FD2FF6" w14:textId="77777777" w:rsidR="00866709" w:rsidRPr="00042222" w:rsidRDefault="00866709" w:rsidP="00866709">
            <w:pPr>
              <w:jc w:val="center"/>
              <w:rPr>
                <w:noProof/>
                <w:sz w:val="20"/>
                <w:szCs w:val="20"/>
              </w:rPr>
            </w:pPr>
          </w:p>
        </w:tc>
        <w:tc>
          <w:tcPr>
            <w:tcW w:w="1283" w:type="dxa"/>
          </w:tcPr>
          <w:p w14:paraId="13FD2FF7" w14:textId="77777777" w:rsidR="00866709" w:rsidRPr="00042222" w:rsidRDefault="00866709" w:rsidP="00866709">
            <w:pPr>
              <w:jc w:val="center"/>
              <w:rPr>
                <w:noProof/>
                <w:sz w:val="20"/>
                <w:szCs w:val="20"/>
              </w:rPr>
            </w:pPr>
            <w:r>
              <w:rPr>
                <w:noProof/>
                <w:sz w:val="20"/>
              </w:rPr>
              <w:t>JA</w:t>
            </w:r>
          </w:p>
        </w:tc>
        <w:tc>
          <w:tcPr>
            <w:tcW w:w="1283" w:type="dxa"/>
          </w:tcPr>
          <w:p w14:paraId="13FD2FF8" w14:textId="77777777" w:rsidR="00866709" w:rsidRPr="00042222" w:rsidRDefault="00866709" w:rsidP="00866709">
            <w:pPr>
              <w:jc w:val="center"/>
              <w:rPr>
                <w:noProof/>
                <w:sz w:val="20"/>
                <w:szCs w:val="20"/>
              </w:rPr>
            </w:pPr>
            <w:r>
              <w:rPr>
                <w:noProof/>
                <w:sz w:val="20"/>
              </w:rPr>
              <w:t>-</w:t>
            </w:r>
          </w:p>
        </w:tc>
      </w:tr>
      <w:tr w:rsidR="00866709" w:rsidRPr="00042222" w14:paraId="13FD3002" w14:textId="77777777" w:rsidTr="00866709">
        <w:tc>
          <w:tcPr>
            <w:tcW w:w="2197" w:type="dxa"/>
          </w:tcPr>
          <w:p w14:paraId="13FD2FFA" w14:textId="77777777" w:rsidR="00866709" w:rsidRPr="00042222" w:rsidRDefault="00866709" w:rsidP="00866709">
            <w:pPr>
              <w:jc w:val="center"/>
              <w:rPr>
                <w:noProof/>
                <w:sz w:val="20"/>
                <w:szCs w:val="20"/>
              </w:rPr>
            </w:pPr>
            <w:r>
              <w:rPr>
                <w:noProof/>
                <w:sz w:val="20"/>
                <w:shd w:val="clear" w:color="auto" w:fill="FFFFFF"/>
              </w:rPr>
              <w:t>Erzeugnisse aus Glasfaser (gewebt und/oder genäht)</w:t>
            </w:r>
          </w:p>
        </w:tc>
        <w:tc>
          <w:tcPr>
            <w:tcW w:w="1237" w:type="dxa"/>
          </w:tcPr>
          <w:p w14:paraId="13FD2FFB" w14:textId="77777777" w:rsidR="00866709" w:rsidRPr="00042222" w:rsidRDefault="00866709" w:rsidP="00866709">
            <w:pPr>
              <w:jc w:val="center"/>
              <w:rPr>
                <w:noProof/>
                <w:sz w:val="20"/>
                <w:szCs w:val="20"/>
              </w:rPr>
            </w:pPr>
            <w:r>
              <w:rPr>
                <w:noProof/>
                <w:sz w:val="20"/>
              </w:rPr>
              <w:t>China</w:t>
            </w:r>
          </w:p>
          <w:p w14:paraId="13FD2FFC" w14:textId="77777777" w:rsidR="00866709" w:rsidRPr="00042222" w:rsidRDefault="00866709" w:rsidP="00866709">
            <w:pPr>
              <w:jc w:val="center"/>
              <w:rPr>
                <w:noProof/>
                <w:sz w:val="20"/>
                <w:szCs w:val="20"/>
              </w:rPr>
            </w:pPr>
            <w:r>
              <w:rPr>
                <w:noProof/>
                <w:sz w:val="20"/>
              </w:rPr>
              <w:t>Ägypten</w:t>
            </w:r>
          </w:p>
        </w:tc>
        <w:tc>
          <w:tcPr>
            <w:tcW w:w="1484" w:type="dxa"/>
          </w:tcPr>
          <w:p w14:paraId="13FD2FFD" w14:textId="77777777" w:rsidR="00866709" w:rsidRPr="00042222" w:rsidRDefault="00866709" w:rsidP="00866709">
            <w:pPr>
              <w:jc w:val="center"/>
              <w:rPr>
                <w:noProof/>
                <w:sz w:val="20"/>
                <w:szCs w:val="20"/>
              </w:rPr>
            </w:pPr>
            <w:r>
              <w:rPr>
                <w:noProof/>
                <w:sz w:val="20"/>
              </w:rPr>
              <w:t>-</w:t>
            </w:r>
          </w:p>
        </w:tc>
        <w:tc>
          <w:tcPr>
            <w:tcW w:w="1472" w:type="dxa"/>
          </w:tcPr>
          <w:p w14:paraId="13FD2FFE" w14:textId="77777777" w:rsidR="00866709" w:rsidRPr="00042222" w:rsidRDefault="00AB679B" w:rsidP="00866709">
            <w:pPr>
              <w:jc w:val="center"/>
              <w:rPr>
                <w:noProof/>
                <w:sz w:val="20"/>
                <w:szCs w:val="20"/>
              </w:rPr>
            </w:pPr>
            <w:hyperlink r:id="rId71" w:history="1">
              <w:r w:rsidR="0062348C">
                <w:rPr>
                  <w:rStyle w:val="Hyperlink"/>
                  <w:noProof/>
                  <w:sz w:val="20"/>
                </w:rPr>
                <w:t>Endgültige Verordnung Erzeugnisse aus Glasfaser</w:t>
              </w:r>
            </w:hyperlink>
          </w:p>
          <w:p w14:paraId="13FD2FFF" w14:textId="77777777" w:rsidR="00866709" w:rsidRPr="00042222" w:rsidRDefault="00866709" w:rsidP="00866709">
            <w:pPr>
              <w:jc w:val="center"/>
              <w:rPr>
                <w:noProof/>
                <w:sz w:val="20"/>
                <w:szCs w:val="20"/>
              </w:rPr>
            </w:pPr>
          </w:p>
        </w:tc>
        <w:tc>
          <w:tcPr>
            <w:tcW w:w="1283" w:type="dxa"/>
          </w:tcPr>
          <w:p w14:paraId="13FD3000" w14:textId="77777777" w:rsidR="00866709" w:rsidRPr="00042222" w:rsidRDefault="00866709" w:rsidP="00866709">
            <w:pPr>
              <w:jc w:val="center"/>
              <w:rPr>
                <w:noProof/>
                <w:sz w:val="20"/>
                <w:szCs w:val="20"/>
              </w:rPr>
            </w:pPr>
            <w:r>
              <w:rPr>
                <w:noProof/>
                <w:sz w:val="20"/>
              </w:rPr>
              <w:t>JA</w:t>
            </w:r>
          </w:p>
        </w:tc>
        <w:tc>
          <w:tcPr>
            <w:tcW w:w="1283" w:type="dxa"/>
          </w:tcPr>
          <w:p w14:paraId="13FD3001" w14:textId="77777777" w:rsidR="00866709" w:rsidRPr="00042222" w:rsidRDefault="00866709" w:rsidP="00866709">
            <w:pPr>
              <w:jc w:val="center"/>
              <w:rPr>
                <w:noProof/>
                <w:sz w:val="20"/>
                <w:szCs w:val="20"/>
              </w:rPr>
            </w:pPr>
            <w:r>
              <w:rPr>
                <w:noProof/>
                <w:sz w:val="20"/>
              </w:rPr>
              <w:t>AD653</w:t>
            </w:r>
          </w:p>
        </w:tc>
      </w:tr>
      <w:tr w:rsidR="00866709" w:rsidRPr="00042222" w14:paraId="13FD300B" w14:textId="77777777" w:rsidTr="00866709">
        <w:tc>
          <w:tcPr>
            <w:tcW w:w="2197" w:type="dxa"/>
          </w:tcPr>
          <w:p w14:paraId="13FD3003" w14:textId="77777777" w:rsidR="00866709" w:rsidRPr="00042222" w:rsidRDefault="00866709" w:rsidP="00866709">
            <w:pPr>
              <w:jc w:val="center"/>
              <w:rPr>
                <w:noProof/>
                <w:sz w:val="20"/>
                <w:szCs w:val="20"/>
                <w:u w:val="single"/>
              </w:rPr>
            </w:pPr>
            <w:r>
              <w:rPr>
                <w:noProof/>
                <w:sz w:val="20"/>
              </w:rPr>
              <w:t>Waren aus Endlosglasfaserfilamenten</w:t>
            </w:r>
          </w:p>
        </w:tc>
        <w:tc>
          <w:tcPr>
            <w:tcW w:w="1237" w:type="dxa"/>
          </w:tcPr>
          <w:p w14:paraId="13FD3004" w14:textId="77777777" w:rsidR="00866709" w:rsidRPr="00042222" w:rsidRDefault="00866709" w:rsidP="00866709">
            <w:pPr>
              <w:jc w:val="center"/>
              <w:rPr>
                <w:noProof/>
                <w:sz w:val="20"/>
                <w:szCs w:val="20"/>
                <w:u w:val="single"/>
              </w:rPr>
            </w:pPr>
            <w:r>
              <w:rPr>
                <w:noProof/>
                <w:sz w:val="20"/>
                <w:u w:val="single"/>
              </w:rPr>
              <w:t>Ägypten</w:t>
            </w:r>
          </w:p>
        </w:tc>
        <w:tc>
          <w:tcPr>
            <w:tcW w:w="1484" w:type="dxa"/>
          </w:tcPr>
          <w:p w14:paraId="13FD3005" w14:textId="77777777" w:rsidR="00866709" w:rsidRPr="005C401C" w:rsidRDefault="00AB679B" w:rsidP="00866709">
            <w:pPr>
              <w:jc w:val="center"/>
              <w:rPr>
                <w:rStyle w:val="Hyperlink"/>
                <w:noProof/>
                <w:sz w:val="20"/>
              </w:rPr>
            </w:pPr>
            <w:hyperlink r:id="rId72" w:history="1">
              <w:r w:rsidR="0062348C">
                <w:rPr>
                  <w:rStyle w:val="Hyperlink"/>
                  <w:noProof/>
                  <w:sz w:val="20"/>
                </w:rPr>
                <w:t>Vorläufige Verordnung Endlosglasfaserfilamente</w:t>
              </w:r>
            </w:hyperlink>
          </w:p>
          <w:p w14:paraId="13FD3006" w14:textId="77777777" w:rsidR="00866709" w:rsidRPr="005C401C" w:rsidRDefault="00866709" w:rsidP="00866709">
            <w:pPr>
              <w:jc w:val="center"/>
              <w:rPr>
                <w:noProof/>
                <w:sz w:val="20"/>
                <w:szCs w:val="20"/>
              </w:rPr>
            </w:pPr>
          </w:p>
        </w:tc>
        <w:tc>
          <w:tcPr>
            <w:tcW w:w="1472" w:type="dxa"/>
          </w:tcPr>
          <w:p w14:paraId="13FD3007" w14:textId="77777777" w:rsidR="00866709" w:rsidRPr="00042222" w:rsidRDefault="00AB679B" w:rsidP="00866709">
            <w:pPr>
              <w:jc w:val="center"/>
              <w:rPr>
                <w:noProof/>
                <w:sz w:val="20"/>
                <w:szCs w:val="20"/>
              </w:rPr>
            </w:pPr>
            <w:hyperlink r:id="rId73" w:history="1">
              <w:r w:rsidR="0062348C">
                <w:rPr>
                  <w:rStyle w:val="Hyperlink"/>
                  <w:noProof/>
                  <w:sz w:val="20"/>
                </w:rPr>
                <w:t>Endgültige Verordnung Endlosglasfaserfilamente</w:t>
              </w:r>
            </w:hyperlink>
          </w:p>
          <w:p w14:paraId="13FD3008" w14:textId="77777777" w:rsidR="00866709" w:rsidRPr="00042222" w:rsidRDefault="00866709" w:rsidP="00866709">
            <w:pPr>
              <w:jc w:val="center"/>
              <w:rPr>
                <w:noProof/>
                <w:sz w:val="20"/>
                <w:szCs w:val="20"/>
              </w:rPr>
            </w:pPr>
          </w:p>
        </w:tc>
        <w:tc>
          <w:tcPr>
            <w:tcW w:w="1283" w:type="dxa"/>
          </w:tcPr>
          <w:p w14:paraId="13FD3009" w14:textId="77777777" w:rsidR="00866709" w:rsidRPr="00042222" w:rsidRDefault="00866709" w:rsidP="00866709">
            <w:pPr>
              <w:jc w:val="center"/>
              <w:rPr>
                <w:noProof/>
                <w:sz w:val="20"/>
                <w:szCs w:val="20"/>
              </w:rPr>
            </w:pPr>
            <w:r>
              <w:rPr>
                <w:noProof/>
                <w:sz w:val="20"/>
              </w:rPr>
              <w:t>JA</w:t>
            </w:r>
          </w:p>
        </w:tc>
        <w:tc>
          <w:tcPr>
            <w:tcW w:w="1283" w:type="dxa"/>
          </w:tcPr>
          <w:p w14:paraId="13FD300A" w14:textId="77777777" w:rsidR="00866709" w:rsidRPr="00042222" w:rsidRDefault="00866709" w:rsidP="00866709">
            <w:pPr>
              <w:jc w:val="center"/>
              <w:rPr>
                <w:noProof/>
                <w:sz w:val="20"/>
                <w:szCs w:val="20"/>
              </w:rPr>
            </w:pPr>
            <w:r>
              <w:rPr>
                <w:noProof/>
                <w:sz w:val="20"/>
              </w:rPr>
              <w:t>-</w:t>
            </w:r>
          </w:p>
        </w:tc>
      </w:tr>
      <w:tr w:rsidR="00866709" w:rsidRPr="00042222" w14:paraId="13FD3013" w14:textId="77777777" w:rsidTr="00866709">
        <w:tc>
          <w:tcPr>
            <w:tcW w:w="2197" w:type="dxa"/>
          </w:tcPr>
          <w:p w14:paraId="13FD300C" w14:textId="77777777" w:rsidR="00866709" w:rsidRPr="00042222" w:rsidRDefault="00866709" w:rsidP="00866709">
            <w:pPr>
              <w:jc w:val="center"/>
              <w:rPr>
                <w:noProof/>
                <w:sz w:val="20"/>
                <w:szCs w:val="20"/>
              </w:rPr>
            </w:pPr>
            <w:r>
              <w:rPr>
                <w:noProof/>
                <w:sz w:val="20"/>
              </w:rPr>
              <w:t>Zur Weiterverarbeitung bestimmte Folien und dünne Bänder aus Aluminium</w:t>
            </w:r>
          </w:p>
        </w:tc>
        <w:tc>
          <w:tcPr>
            <w:tcW w:w="1237" w:type="dxa"/>
          </w:tcPr>
          <w:p w14:paraId="13FD300D" w14:textId="77777777" w:rsidR="00866709" w:rsidRPr="00042222" w:rsidRDefault="00866709" w:rsidP="00866709">
            <w:pPr>
              <w:jc w:val="center"/>
              <w:rPr>
                <w:noProof/>
                <w:sz w:val="20"/>
                <w:szCs w:val="20"/>
              </w:rPr>
            </w:pPr>
            <w:r>
              <w:rPr>
                <w:noProof/>
                <w:sz w:val="20"/>
              </w:rPr>
              <w:t>China</w:t>
            </w:r>
          </w:p>
        </w:tc>
        <w:tc>
          <w:tcPr>
            <w:tcW w:w="1484" w:type="dxa"/>
          </w:tcPr>
          <w:p w14:paraId="13FD300E" w14:textId="77777777" w:rsidR="00866709" w:rsidRPr="00042222" w:rsidRDefault="00866709" w:rsidP="00866709">
            <w:pPr>
              <w:jc w:val="center"/>
              <w:rPr>
                <w:noProof/>
                <w:sz w:val="20"/>
                <w:szCs w:val="20"/>
              </w:rPr>
            </w:pPr>
            <w:r>
              <w:rPr>
                <w:noProof/>
                <w:sz w:val="20"/>
              </w:rPr>
              <w:t>-</w:t>
            </w:r>
          </w:p>
        </w:tc>
        <w:tc>
          <w:tcPr>
            <w:tcW w:w="1472" w:type="dxa"/>
          </w:tcPr>
          <w:p w14:paraId="13FD300F" w14:textId="77777777" w:rsidR="00866709" w:rsidRPr="00042222" w:rsidRDefault="00AB679B" w:rsidP="00866709">
            <w:pPr>
              <w:jc w:val="center"/>
              <w:rPr>
                <w:noProof/>
                <w:sz w:val="20"/>
                <w:szCs w:val="20"/>
              </w:rPr>
            </w:pPr>
            <w:hyperlink r:id="rId74" w:history="1">
              <w:r w:rsidR="0062348C">
                <w:rPr>
                  <w:rStyle w:val="Hyperlink"/>
                  <w:noProof/>
                  <w:sz w:val="20"/>
                </w:rPr>
                <w:t>Endgültige Verordnung zur Weiterverarbeitung bestimmte Folien und dünne Bänder aus Aluminium</w:t>
              </w:r>
            </w:hyperlink>
          </w:p>
          <w:p w14:paraId="13FD3010" w14:textId="77777777" w:rsidR="00866709" w:rsidRPr="00042222" w:rsidRDefault="00866709" w:rsidP="00866709">
            <w:pPr>
              <w:jc w:val="center"/>
              <w:rPr>
                <w:noProof/>
                <w:sz w:val="20"/>
                <w:szCs w:val="20"/>
              </w:rPr>
            </w:pPr>
          </w:p>
        </w:tc>
        <w:tc>
          <w:tcPr>
            <w:tcW w:w="1283" w:type="dxa"/>
          </w:tcPr>
          <w:p w14:paraId="13FD3011" w14:textId="77777777" w:rsidR="00866709" w:rsidRPr="00042222" w:rsidRDefault="00866709" w:rsidP="00866709">
            <w:pPr>
              <w:jc w:val="center"/>
              <w:rPr>
                <w:noProof/>
                <w:sz w:val="20"/>
                <w:szCs w:val="20"/>
              </w:rPr>
            </w:pPr>
            <w:r>
              <w:rPr>
                <w:noProof/>
                <w:sz w:val="20"/>
              </w:rPr>
              <w:t>JA</w:t>
            </w:r>
          </w:p>
        </w:tc>
        <w:tc>
          <w:tcPr>
            <w:tcW w:w="1283" w:type="dxa"/>
          </w:tcPr>
          <w:p w14:paraId="13FD3012" w14:textId="77777777" w:rsidR="00866709" w:rsidRPr="00042222" w:rsidRDefault="00866709" w:rsidP="00866709">
            <w:pPr>
              <w:jc w:val="center"/>
              <w:rPr>
                <w:noProof/>
                <w:sz w:val="20"/>
                <w:szCs w:val="20"/>
              </w:rPr>
            </w:pPr>
            <w:r>
              <w:rPr>
                <w:noProof/>
                <w:sz w:val="20"/>
              </w:rPr>
              <w:t>AD673</w:t>
            </w:r>
          </w:p>
        </w:tc>
      </w:tr>
      <w:tr w:rsidR="00866709" w:rsidRPr="00042222" w14:paraId="13FD301B" w14:textId="77777777" w:rsidTr="00866709">
        <w:tc>
          <w:tcPr>
            <w:tcW w:w="2197" w:type="dxa"/>
          </w:tcPr>
          <w:p w14:paraId="13FD3014" w14:textId="77777777" w:rsidR="00866709" w:rsidRPr="00CC5B59" w:rsidRDefault="00866709" w:rsidP="00866709">
            <w:pPr>
              <w:jc w:val="center"/>
              <w:rPr>
                <w:noProof/>
                <w:sz w:val="20"/>
                <w:szCs w:val="20"/>
              </w:rPr>
            </w:pPr>
            <w:r>
              <w:rPr>
                <w:noProof/>
                <w:sz w:val="20"/>
              </w:rPr>
              <w:t>Kabel aus optischen Fasern</w:t>
            </w:r>
          </w:p>
        </w:tc>
        <w:tc>
          <w:tcPr>
            <w:tcW w:w="1237" w:type="dxa"/>
          </w:tcPr>
          <w:p w14:paraId="13FD3015" w14:textId="77777777" w:rsidR="00866709" w:rsidRPr="00CC5B59" w:rsidRDefault="00866709" w:rsidP="00866709">
            <w:pPr>
              <w:jc w:val="center"/>
              <w:rPr>
                <w:noProof/>
                <w:sz w:val="20"/>
                <w:szCs w:val="20"/>
              </w:rPr>
            </w:pPr>
            <w:r>
              <w:rPr>
                <w:noProof/>
                <w:sz w:val="20"/>
              </w:rPr>
              <w:t>China</w:t>
            </w:r>
          </w:p>
        </w:tc>
        <w:tc>
          <w:tcPr>
            <w:tcW w:w="1484" w:type="dxa"/>
          </w:tcPr>
          <w:p w14:paraId="13FD3016" w14:textId="77777777" w:rsidR="00866709" w:rsidRPr="00042222" w:rsidRDefault="00866709" w:rsidP="00866709">
            <w:pPr>
              <w:jc w:val="center"/>
              <w:rPr>
                <w:noProof/>
                <w:sz w:val="20"/>
                <w:szCs w:val="20"/>
              </w:rPr>
            </w:pPr>
            <w:r>
              <w:rPr>
                <w:noProof/>
                <w:sz w:val="20"/>
              </w:rPr>
              <w:t>-</w:t>
            </w:r>
          </w:p>
        </w:tc>
        <w:tc>
          <w:tcPr>
            <w:tcW w:w="1472" w:type="dxa"/>
          </w:tcPr>
          <w:p w14:paraId="13FD3017" w14:textId="77777777" w:rsidR="00866709" w:rsidRPr="00042222" w:rsidRDefault="00AB679B" w:rsidP="00866709">
            <w:pPr>
              <w:jc w:val="center"/>
              <w:rPr>
                <w:noProof/>
                <w:sz w:val="20"/>
                <w:szCs w:val="20"/>
              </w:rPr>
            </w:pPr>
            <w:hyperlink r:id="rId75" w:history="1">
              <w:r w:rsidR="0062348C">
                <w:rPr>
                  <w:rStyle w:val="Hyperlink"/>
                  <w:noProof/>
                  <w:sz w:val="20"/>
                </w:rPr>
                <w:t>Endgültige Verordnung Kabel aus optischen Glasfasern</w:t>
              </w:r>
            </w:hyperlink>
          </w:p>
          <w:p w14:paraId="13FD3018" w14:textId="77777777" w:rsidR="00866709" w:rsidRPr="00042222" w:rsidRDefault="00866709" w:rsidP="00866709">
            <w:pPr>
              <w:jc w:val="center"/>
              <w:rPr>
                <w:noProof/>
                <w:sz w:val="20"/>
                <w:szCs w:val="20"/>
              </w:rPr>
            </w:pPr>
          </w:p>
        </w:tc>
        <w:tc>
          <w:tcPr>
            <w:tcW w:w="1283" w:type="dxa"/>
          </w:tcPr>
          <w:p w14:paraId="13FD3019" w14:textId="77777777" w:rsidR="00866709" w:rsidRPr="00042222" w:rsidRDefault="00866709" w:rsidP="00866709">
            <w:pPr>
              <w:jc w:val="center"/>
              <w:rPr>
                <w:noProof/>
                <w:sz w:val="20"/>
                <w:szCs w:val="20"/>
              </w:rPr>
            </w:pPr>
            <w:r>
              <w:rPr>
                <w:noProof/>
                <w:sz w:val="20"/>
              </w:rPr>
              <w:t>JA</w:t>
            </w:r>
          </w:p>
        </w:tc>
        <w:tc>
          <w:tcPr>
            <w:tcW w:w="1283" w:type="dxa"/>
          </w:tcPr>
          <w:p w14:paraId="13FD301A" w14:textId="77777777" w:rsidR="00866709" w:rsidRPr="00042222" w:rsidRDefault="00866709" w:rsidP="00866709">
            <w:pPr>
              <w:jc w:val="center"/>
              <w:rPr>
                <w:noProof/>
                <w:sz w:val="20"/>
                <w:szCs w:val="20"/>
              </w:rPr>
            </w:pPr>
            <w:r>
              <w:rPr>
                <w:noProof/>
                <w:sz w:val="20"/>
              </w:rPr>
              <w:t>AD669</w:t>
            </w:r>
          </w:p>
        </w:tc>
      </w:tr>
      <w:tr w:rsidR="00866709" w:rsidRPr="00042222" w14:paraId="13FD3024" w14:textId="77777777" w:rsidTr="00866709">
        <w:tc>
          <w:tcPr>
            <w:tcW w:w="2197" w:type="dxa"/>
          </w:tcPr>
          <w:p w14:paraId="13FD301C" w14:textId="77777777" w:rsidR="00866709" w:rsidRPr="00042222" w:rsidRDefault="00866709" w:rsidP="00866709">
            <w:pPr>
              <w:jc w:val="center"/>
              <w:rPr>
                <w:noProof/>
                <w:sz w:val="20"/>
                <w:szCs w:val="20"/>
              </w:rPr>
            </w:pPr>
            <w:r>
              <w:rPr>
                <w:noProof/>
                <w:sz w:val="20"/>
              </w:rPr>
              <w:t>Kaltgewalzte Flacherzeugnisse aus nicht rostendem Stahl</w:t>
            </w:r>
          </w:p>
        </w:tc>
        <w:tc>
          <w:tcPr>
            <w:tcW w:w="1237" w:type="dxa"/>
          </w:tcPr>
          <w:p w14:paraId="13FD301D" w14:textId="77777777" w:rsidR="00866709" w:rsidRPr="00042222" w:rsidRDefault="00866709" w:rsidP="00866709">
            <w:pPr>
              <w:jc w:val="center"/>
              <w:rPr>
                <w:noProof/>
                <w:sz w:val="20"/>
                <w:szCs w:val="20"/>
              </w:rPr>
            </w:pPr>
            <w:r>
              <w:rPr>
                <w:noProof/>
                <w:sz w:val="20"/>
              </w:rPr>
              <w:t>Indien</w:t>
            </w:r>
          </w:p>
          <w:p w14:paraId="13FD301E" w14:textId="77777777" w:rsidR="00866709" w:rsidRPr="00042222" w:rsidRDefault="00866709" w:rsidP="00866709">
            <w:pPr>
              <w:jc w:val="center"/>
              <w:rPr>
                <w:noProof/>
                <w:sz w:val="20"/>
                <w:szCs w:val="20"/>
              </w:rPr>
            </w:pPr>
            <w:r>
              <w:rPr>
                <w:noProof/>
                <w:sz w:val="20"/>
              </w:rPr>
              <w:t>Indonesien</w:t>
            </w:r>
          </w:p>
        </w:tc>
        <w:tc>
          <w:tcPr>
            <w:tcW w:w="1484" w:type="dxa"/>
          </w:tcPr>
          <w:p w14:paraId="13FD301F" w14:textId="77777777" w:rsidR="00866709" w:rsidRPr="00042222" w:rsidRDefault="00866709" w:rsidP="00866709">
            <w:pPr>
              <w:jc w:val="center"/>
              <w:rPr>
                <w:noProof/>
                <w:sz w:val="20"/>
                <w:szCs w:val="20"/>
              </w:rPr>
            </w:pPr>
            <w:r>
              <w:rPr>
                <w:noProof/>
                <w:sz w:val="20"/>
              </w:rPr>
              <w:t>-</w:t>
            </w:r>
          </w:p>
        </w:tc>
        <w:tc>
          <w:tcPr>
            <w:tcW w:w="1472" w:type="dxa"/>
          </w:tcPr>
          <w:p w14:paraId="13FD3020" w14:textId="77777777" w:rsidR="00866709" w:rsidRPr="00042222" w:rsidRDefault="00AB679B" w:rsidP="00866709">
            <w:pPr>
              <w:jc w:val="center"/>
              <w:rPr>
                <w:noProof/>
                <w:sz w:val="20"/>
                <w:szCs w:val="20"/>
              </w:rPr>
            </w:pPr>
            <w:hyperlink r:id="rId76" w:history="1">
              <w:r w:rsidR="0062348C">
                <w:rPr>
                  <w:rStyle w:val="Hyperlink"/>
                  <w:noProof/>
                  <w:sz w:val="20"/>
                </w:rPr>
                <w:t>Endgültige Verordnung kaltgewalzte Flacherzeugnisse aus nicht rostendem Stahl</w:t>
              </w:r>
            </w:hyperlink>
          </w:p>
          <w:p w14:paraId="13FD3021" w14:textId="77777777" w:rsidR="00866709" w:rsidRPr="00042222" w:rsidRDefault="00866709" w:rsidP="00866709">
            <w:pPr>
              <w:jc w:val="center"/>
              <w:rPr>
                <w:noProof/>
                <w:sz w:val="20"/>
                <w:szCs w:val="20"/>
              </w:rPr>
            </w:pPr>
          </w:p>
        </w:tc>
        <w:tc>
          <w:tcPr>
            <w:tcW w:w="1283" w:type="dxa"/>
          </w:tcPr>
          <w:p w14:paraId="13FD3022" w14:textId="77777777" w:rsidR="00866709" w:rsidRPr="00042222" w:rsidRDefault="00866709" w:rsidP="00866709">
            <w:pPr>
              <w:jc w:val="center"/>
              <w:rPr>
                <w:noProof/>
                <w:sz w:val="20"/>
                <w:szCs w:val="20"/>
              </w:rPr>
            </w:pPr>
            <w:r>
              <w:rPr>
                <w:noProof/>
                <w:sz w:val="20"/>
              </w:rPr>
              <w:t>JA</w:t>
            </w:r>
          </w:p>
        </w:tc>
        <w:tc>
          <w:tcPr>
            <w:tcW w:w="1283" w:type="dxa"/>
          </w:tcPr>
          <w:p w14:paraId="13FD3023" w14:textId="77777777" w:rsidR="00866709" w:rsidRPr="00042222" w:rsidRDefault="00866709" w:rsidP="00866709">
            <w:pPr>
              <w:jc w:val="center"/>
              <w:rPr>
                <w:noProof/>
                <w:sz w:val="20"/>
                <w:szCs w:val="20"/>
              </w:rPr>
            </w:pPr>
            <w:r>
              <w:rPr>
                <w:noProof/>
                <w:sz w:val="20"/>
              </w:rPr>
              <w:t>AD670</w:t>
            </w:r>
          </w:p>
        </w:tc>
      </w:tr>
    </w:tbl>
    <w:p w14:paraId="13FD3025" w14:textId="77777777" w:rsidR="00A1247B" w:rsidRPr="00C04103" w:rsidRDefault="00A1247B" w:rsidP="00A1247B">
      <w:pPr>
        <w:rPr>
          <w:noProof/>
        </w:rPr>
      </w:pPr>
    </w:p>
    <w:p w14:paraId="13FD3026" w14:textId="77777777" w:rsidR="00A1247B" w:rsidRPr="00130F23" w:rsidRDefault="00A1247B" w:rsidP="003A5A48">
      <w:pPr>
        <w:jc w:val="both"/>
        <w:rPr>
          <w:iCs/>
          <w:noProof/>
          <w:lang w:eastAsia="en-US"/>
        </w:rPr>
      </w:pPr>
    </w:p>
    <w:p w14:paraId="13FD3027" w14:textId="77777777" w:rsidR="00A1247B" w:rsidRDefault="00A1247B" w:rsidP="00BD1B91">
      <w:pPr>
        <w:rPr>
          <w:noProof/>
        </w:rPr>
      </w:pPr>
    </w:p>
    <w:sectPr w:rsidR="00A1247B" w:rsidSect="009121E6">
      <w:headerReference w:type="even" r:id="rId77"/>
      <w:headerReference w:type="default" r:id="rId78"/>
      <w:footerReference w:type="even" r:id="rId79"/>
      <w:footerReference w:type="default" r:id="rId80"/>
      <w:headerReference w:type="first" r:id="rId81"/>
      <w:footerReference w:type="first" r:id="rId8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9CECB" w14:textId="77777777" w:rsidR="00BF28F3" w:rsidRDefault="00BF28F3" w:rsidP="003A5A48">
      <w:r>
        <w:separator/>
      </w:r>
    </w:p>
  </w:endnote>
  <w:endnote w:type="continuationSeparator" w:id="0">
    <w:p w14:paraId="63BBE972" w14:textId="77777777" w:rsidR="00BF28F3" w:rsidRDefault="00BF28F3" w:rsidP="003A5A48">
      <w:r>
        <w:continuationSeparator/>
      </w:r>
    </w:p>
  </w:endnote>
  <w:endnote w:type="continuationNotice" w:id="1">
    <w:p w14:paraId="488EE14F" w14:textId="77777777" w:rsidR="00BF28F3" w:rsidRDefault="00BF2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F170A" w14:textId="564A9BFD" w:rsidR="00F04EA1" w:rsidRPr="00AB679B" w:rsidRDefault="00F04EA1" w:rsidP="00AB679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E076B" w14:textId="77777777" w:rsidR="004175A3" w:rsidRDefault="004175A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487417"/>
      <w:docPartObj>
        <w:docPartGallery w:val="Page Numbers (Bottom of Page)"/>
        <w:docPartUnique/>
      </w:docPartObj>
    </w:sdtPr>
    <w:sdtEndPr>
      <w:rPr>
        <w:noProof/>
      </w:rPr>
    </w:sdtEndPr>
    <w:sdtContent>
      <w:p w14:paraId="71C725B2" w14:textId="6D673EF1" w:rsidR="004175A3" w:rsidRDefault="004175A3">
        <w:pPr>
          <w:pStyle w:val="Footer"/>
          <w:jc w:val="center"/>
        </w:pPr>
        <w:r>
          <w:fldChar w:fldCharType="begin"/>
        </w:r>
        <w:r>
          <w:instrText xml:space="preserve"> PAGE   \* MERGEFORMAT </w:instrText>
        </w:r>
        <w:r>
          <w:fldChar w:fldCharType="separate"/>
        </w:r>
        <w:r w:rsidR="00AB679B">
          <w:rPr>
            <w:noProof/>
          </w:rPr>
          <w:t>17</w:t>
        </w:r>
        <w:r>
          <w:fldChar w:fldCharType="end"/>
        </w:r>
      </w:p>
    </w:sdtContent>
  </w:sdt>
  <w:p w14:paraId="7FFE10D3" w14:textId="77777777" w:rsidR="004175A3" w:rsidRDefault="004175A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6D62" w14:textId="77777777" w:rsidR="004175A3" w:rsidRDefault="0041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02DE" w14:textId="67E50C24" w:rsidR="00F04EA1" w:rsidRPr="00AB679B" w:rsidRDefault="00AB679B" w:rsidP="00AB679B">
    <w:pPr>
      <w:pStyle w:val="FooterCoverPage"/>
      <w:rPr>
        <w:rFonts w:ascii="Arial" w:hAnsi="Arial" w:cs="Arial"/>
        <w:b/>
        <w:sz w:val="48"/>
      </w:rPr>
    </w:pPr>
    <w:r w:rsidRPr="00AB679B">
      <w:rPr>
        <w:rFonts w:ascii="Arial" w:hAnsi="Arial" w:cs="Arial"/>
        <w:b/>
        <w:sz w:val="48"/>
      </w:rPr>
      <w:t>DE</w:t>
    </w:r>
    <w:r w:rsidRPr="00AB679B">
      <w:rPr>
        <w:rFonts w:ascii="Arial" w:hAnsi="Arial" w:cs="Arial"/>
        <w:b/>
        <w:sz w:val="48"/>
      </w:rPr>
      <w:tab/>
    </w:r>
    <w:r w:rsidRPr="00AB679B">
      <w:rPr>
        <w:rFonts w:ascii="Arial" w:hAnsi="Arial" w:cs="Arial"/>
        <w:b/>
        <w:sz w:val="48"/>
      </w:rPr>
      <w:tab/>
    </w:r>
    <w:r w:rsidRPr="00AB679B">
      <w:tab/>
    </w:r>
    <w:r w:rsidRPr="00AB679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F5F96" w14:textId="77777777" w:rsidR="00AB679B" w:rsidRPr="00AB679B" w:rsidRDefault="00AB679B" w:rsidP="00AB679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7" w14:textId="77777777" w:rsidR="004B4813" w:rsidRDefault="004B48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317025"/>
      <w:docPartObj>
        <w:docPartGallery w:val="Page Numbers (Bottom of Page)"/>
        <w:docPartUnique/>
      </w:docPartObj>
    </w:sdtPr>
    <w:sdtEndPr>
      <w:rPr>
        <w:noProof/>
      </w:rPr>
    </w:sdtEndPr>
    <w:sdtContent>
      <w:p w14:paraId="295AE8A3" w14:textId="28240C43" w:rsidR="004B4813" w:rsidRDefault="004B4813">
        <w:pPr>
          <w:pStyle w:val="Footer"/>
          <w:jc w:val="center"/>
        </w:pPr>
        <w:r>
          <w:fldChar w:fldCharType="begin"/>
        </w:r>
        <w:r>
          <w:instrText xml:space="preserve"> PAGE   \* MERGEFORMAT </w:instrText>
        </w:r>
        <w:r>
          <w:fldChar w:fldCharType="separate"/>
        </w:r>
        <w:r w:rsidR="00AB679B">
          <w:rPr>
            <w:noProof/>
          </w:rPr>
          <w:t>1</w:t>
        </w:r>
        <w:r>
          <w:fldChar w:fldCharType="end"/>
        </w:r>
      </w:p>
    </w:sdtContent>
  </w:sdt>
  <w:p w14:paraId="13FD3038" w14:textId="77777777" w:rsidR="004B4813" w:rsidRDefault="004B48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A" w14:textId="77777777" w:rsidR="004B4813" w:rsidRDefault="004B48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2FBC" w14:textId="77777777" w:rsidR="004175A3" w:rsidRDefault="004175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5365"/>
      <w:docPartObj>
        <w:docPartGallery w:val="Page Numbers (Bottom of Page)"/>
        <w:docPartUnique/>
      </w:docPartObj>
    </w:sdtPr>
    <w:sdtEndPr>
      <w:rPr>
        <w:noProof/>
      </w:rPr>
    </w:sdtEndPr>
    <w:sdtContent>
      <w:p w14:paraId="18C28E92" w14:textId="36EF5E1B" w:rsidR="004175A3" w:rsidRDefault="004175A3">
        <w:pPr>
          <w:pStyle w:val="Footer"/>
          <w:jc w:val="center"/>
        </w:pPr>
        <w:r>
          <w:fldChar w:fldCharType="begin"/>
        </w:r>
        <w:r>
          <w:instrText xml:space="preserve"> PAGE   \* MERGEFORMAT </w:instrText>
        </w:r>
        <w:r>
          <w:fldChar w:fldCharType="separate"/>
        </w:r>
        <w:r w:rsidR="00AB679B">
          <w:rPr>
            <w:noProof/>
          </w:rPr>
          <w:t>16</w:t>
        </w:r>
        <w:r>
          <w:fldChar w:fldCharType="end"/>
        </w:r>
      </w:p>
    </w:sdtContent>
  </w:sdt>
  <w:p w14:paraId="7AE447F5" w14:textId="77777777" w:rsidR="004175A3" w:rsidRDefault="004175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4E7B" w14:textId="77777777" w:rsidR="004175A3" w:rsidRDefault="0041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F638D" w14:textId="77777777" w:rsidR="00BF28F3" w:rsidRDefault="00BF28F3" w:rsidP="003A5A48">
      <w:r>
        <w:separator/>
      </w:r>
    </w:p>
  </w:footnote>
  <w:footnote w:type="continuationSeparator" w:id="0">
    <w:p w14:paraId="690112F1" w14:textId="77777777" w:rsidR="00BF28F3" w:rsidRDefault="00BF28F3" w:rsidP="003A5A48">
      <w:r>
        <w:continuationSeparator/>
      </w:r>
    </w:p>
  </w:footnote>
  <w:footnote w:type="continuationNotice" w:id="1">
    <w:p w14:paraId="6D823600" w14:textId="77777777" w:rsidR="00BF28F3" w:rsidRDefault="00BF28F3"/>
  </w:footnote>
  <w:footnote w:id="2">
    <w:p w14:paraId="13FD303B" w14:textId="5E3997AF" w:rsidR="004B4813" w:rsidRPr="00CB3148" w:rsidRDefault="004B4813">
      <w:pPr>
        <w:pStyle w:val="FootnoteText"/>
      </w:pPr>
      <w:r>
        <w:rPr>
          <w:rStyle w:val="FootnoteReference"/>
        </w:rPr>
        <w:footnoteRef/>
      </w:r>
      <w:r>
        <w:t xml:space="preserve"> </w:t>
      </w:r>
      <w:r>
        <w:tab/>
      </w:r>
      <w:r>
        <w:rPr>
          <w:sz w:val="16"/>
        </w:rPr>
        <w:t>Verordnung (EU) 2018/825 des Europäischen Parlaments und des Rates vom 30. Mai 2018 zur Änderung der Verordnung (EU) 2016/1036 über den Schutz gegen gedumpte Einfuhren aus nicht zur Europäischen Union gehörenden Ländern und der Verordnung (EU) 2016/1037 des Europäischen Parlaments und des Rates über den Schutz gegen subventionierte Einfuhren aus nicht zur Europäischen Union gehörenden Ländern (ABl. L 143 vom 7.6.2018, S. 1).</w:t>
      </w:r>
    </w:p>
  </w:footnote>
  <w:footnote w:id="3">
    <w:p w14:paraId="13FD303C" w14:textId="77777777" w:rsidR="004B4813" w:rsidRPr="00CB3148" w:rsidRDefault="004B4813">
      <w:pPr>
        <w:pStyle w:val="FootnoteText"/>
      </w:pPr>
      <w:r>
        <w:rPr>
          <w:rStyle w:val="FootnoteReference"/>
        </w:rPr>
        <w:footnoteRef/>
      </w:r>
      <w:r>
        <w:t xml:space="preserve"> </w:t>
      </w:r>
      <w:r>
        <w:tab/>
      </w:r>
      <w:r>
        <w:rPr>
          <w:sz w:val="16"/>
        </w:rPr>
        <w:t>Verordnung (EU) 2016/1036 des Europäischen Parlaments und des Rates über den Schutz gegen subventionierte Einfuhren aus nicht zur Europäischen Union gehörenden Ländern (kodifizierte Fassung) (ABl. L 176 vom 30.6.2016, S. 21).</w:t>
      </w:r>
    </w:p>
  </w:footnote>
  <w:footnote w:id="4">
    <w:p w14:paraId="13FD303D" w14:textId="627D0C02" w:rsidR="004B4813" w:rsidRPr="00CB3148" w:rsidRDefault="004B4813">
      <w:pPr>
        <w:pStyle w:val="FootnoteText"/>
      </w:pPr>
      <w:r>
        <w:rPr>
          <w:rStyle w:val="FootnoteReference"/>
        </w:rPr>
        <w:footnoteRef/>
      </w:r>
      <w:r>
        <w:t xml:space="preserve"> </w:t>
      </w:r>
      <w:r>
        <w:tab/>
      </w:r>
      <w:r>
        <w:rPr>
          <w:sz w:val="16"/>
        </w:rPr>
        <w:t>Verordnung (EU) 2016/1037 des Europäischen Parlaments und des Rates über den Schutz gegen subventionierte Einfuhren aus nicht zur Europäischen Union gehörenden Ländern (kodifizierte Fassung) (ABl. L 176 vom 30.6.2016, S. 55).</w:t>
      </w:r>
    </w:p>
  </w:footnote>
  <w:footnote w:id="5">
    <w:p w14:paraId="1B5DD708" w14:textId="77777777" w:rsidR="004B4813" w:rsidRDefault="004B4813" w:rsidP="003A5A48">
      <w:pPr>
        <w:pStyle w:val="FootnoteText"/>
        <w:rPr>
          <w:sz w:val="16"/>
          <w:szCs w:val="16"/>
        </w:rPr>
      </w:pPr>
      <w:r>
        <w:rPr>
          <w:rStyle w:val="FootnoteReference"/>
        </w:rPr>
        <w:footnoteRef/>
      </w:r>
      <w:r>
        <w:t xml:space="preserve"> Mit Ausnahme eines Unternehmens, Daching Group, wurde die endgültige Dumpingspanne gemindert, um sicherzustellen, dass die endgültige Höhe der Maßnahmen die festgestellte Dumpingspanne nicht überstieg.</w:t>
      </w:r>
    </w:p>
    <w:p w14:paraId="13FD303F" w14:textId="7650F898" w:rsidR="004B4813" w:rsidRDefault="004B4813" w:rsidP="003A5A48">
      <w:pPr>
        <w:pStyle w:val="FootnoteText"/>
      </w:pPr>
      <w:r>
        <w:t xml:space="preserve"> </w:t>
      </w:r>
    </w:p>
  </w:footnote>
  <w:footnote w:id="6">
    <w:p w14:paraId="0D2CE14C" w14:textId="72429718" w:rsidR="004B4813" w:rsidRDefault="004B4813" w:rsidP="006F6803">
      <w:pPr>
        <w:pStyle w:val="FootnoteText"/>
        <w:rPr>
          <w:sz w:val="16"/>
          <w:szCs w:val="16"/>
        </w:rPr>
      </w:pPr>
      <w:r>
        <w:rPr>
          <w:rStyle w:val="FootnoteReference"/>
        </w:rPr>
        <w:footnoteRef/>
      </w:r>
      <w:r>
        <w:t xml:space="preserve"> </w:t>
      </w:r>
      <w:r>
        <w:tab/>
        <w:t>Delegierte Verordnung (EU) 2020/1173 der Kommission vom 4. Juni 2020 zur Änderung der Verordnung (EU) 2016/1036 über den Schutz gegen gedumpte Einfuhren aus nicht zur Europäischen Union gehörenden Ländern und der Verordnung (EU) 2016/1037 über den Schutz gegen subventionierte Einfuhren aus nicht zur Europäischen Union gehörenden Ländern hinsichtlich der Dauer des Vorunterrichtungszeitraums.</w:t>
      </w:r>
    </w:p>
  </w:footnote>
  <w:footnote w:id="7">
    <w:p w14:paraId="36FC9893" w14:textId="4BEA8B02" w:rsidR="004B4813" w:rsidRPr="003F6C7B" w:rsidRDefault="004B4813">
      <w:pPr>
        <w:pStyle w:val="FootnoteText"/>
      </w:pPr>
      <w:r>
        <w:rPr>
          <w:rStyle w:val="FootnoteReference"/>
        </w:rPr>
        <w:footnoteRef/>
      </w:r>
      <w:r>
        <w:t xml:space="preserve"> </w:t>
      </w:r>
      <w:r>
        <w:tab/>
        <w:t>Diese Informationen werden auf der Website der GD Handel zur Verfügung gestellt.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95B2" w14:textId="77777777" w:rsidR="00AB679B" w:rsidRPr="00AB679B" w:rsidRDefault="00AB679B" w:rsidP="00AB67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90F0" w14:textId="77777777" w:rsidR="004175A3" w:rsidRDefault="004175A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0AE4" w14:textId="77777777" w:rsidR="004175A3" w:rsidRDefault="004175A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4335" w14:textId="77777777" w:rsidR="004175A3" w:rsidRDefault="0041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2D6E9" w14:textId="77777777" w:rsidR="00AB679B" w:rsidRPr="00AB679B" w:rsidRDefault="00AB679B" w:rsidP="00AB679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F706" w14:textId="77777777" w:rsidR="00AB679B" w:rsidRPr="00AB679B" w:rsidRDefault="00AB679B" w:rsidP="00AB679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5" w14:textId="77777777" w:rsidR="004B4813" w:rsidRDefault="004B48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6" w14:textId="77777777" w:rsidR="004B4813" w:rsidRDefault="004B48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9" w14:textId="77777777" w:rsidR="004B4813" w:rsidRDefault="004B48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69A8" w14:textId="77777777" w:rsidR="004175A3" w:rsidRDefault="004175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BF5E" w14:textId="77777777" w:rsidR="004175A3" w:rsidRDefault="004175A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BD9C" w14:textId="77777777" w:rsidR="004175A3" w:rsidRDefault="0041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EF9"/>
    <w:multiLevelType w:val="hybridMultilevel"/>
    <w:tmpl w:val="A6CC659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69623CB4"/>
    <w:lvl w:ilvl="0">
      <w:start w:val="1"/>
      <w:numFmt w:val="decimal"/>
      <w:pStyle w:val="Heading1"/>
      <w:lvlText w:val="%1."/>
      <w:lvlJc w:val="left"/>
      <w:pPr>
        <w:tabs>
          <w:tab w:val="num" w:pos="960"/>
        </w:tabs>
        <w:ind w:left="960" w:hanging="480"/>
      </w:pPr>
      <w:rPr>
        <w:rFonts w:cs="Times New Roman" w:hint="default"/>
      </w:rPr>
    </w:lvl>
    <w:lvl w:ilvl="1">
      <w:start w:val="2"/>
      <w:numFmt w:val="decimal"/>
      <w:pStyle w:val="Heading2"/>
      <w:lvlText w:val="%1.%2."/>
      <w:lvlJc w:val="left"/>
      <w:pPr>
        <w:tabs>
          <w:tab w:val="num" w:pos="1429"/>
        </w:tabs>
        <w:ind w:left="1429" w:hanging="720"/>
      </w:pPr>
      <w:rPr>
        <w:rFonts w:cs="Times New Roman" w:hint="default"/>
      </w:rPr>
    </w:lvl>
    <w:lvl w:ilvl="2">
      <w:start w:val="1"/>
      <w:numFmt w:val="decimal"/>
      <w:pStyle w:val="Heading3"/>
      <w:lvlText w:val="%1.%2.%3."/>
      <w:lvlJc w:val="left"/>
      <w:pPr>
        <w:tabs>
          <w:tab w:val="num" w:pos="2400"/>
        </w:tabs>
        <w:ind w:left="2400" w:hanging="720"/>
      </w:pPr>
      <w:rPr>
        <w:rFonts w:cs="Times New Roman" w:hint="default"/>
      </w:rPr>
    </w:lvl>
    <w:lvl w:ilvl="3">
      <w:start w:val="1"/>
      <w:numFmt w:val="decimal"/>
      <w:pStyle w:val="Heading4"/>
      <w:lvlText w:val="%1.%2.%3.%4."/>
      <w:lvlJc w:val="left"/>
      <w:pPr>
        <w:tabs>
          <w:tab w:val="num" w:pos="2400"/>
        </w:tabs>
        <w:ind w:left="2400" w:hanging="72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2" w15:restartNumberingAfterBreak="0">
    <w:nsid w:val="23104662"/>
    <w:multiLevelType w:val="hybridMultilevel"/>
    <w:tmpl w:val="EB62AD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D9112DA"/>
    <w:multiLevelType w:val="multilevel"/>
    <w:tmpl w:val="CC2C3B42"/>
    <w:lvl w:ilvl="0">
      <w:start w:val="1"/>
      <w:numFmt w:val="decimal"/>
      <w:lvlText w:val="%1."/>
      <w:lvlJc w:val="left"/>
      <w:pPr>
        <w:tabs>
          <w:tab w:val="num" w:pos="960"/>
        </w:tabs>
        <w:ind w:left="960" w:hanging="480"/>
      </w:pPr>
      <w:rPr>
        <w:rFonts w:hint="default"/>
      </w:rPr>
    </w:lvl>
    <w:lvl w:ilvl="1">
      <w:start w:val="1"/>
      <w:numFmt w:val="decimal"/>
      <w:lvlText w:val="%1.%2."/>
      <w:lvlJc w:val="left"/>
      <w:pPr>
        <w:tabs>
          <w:tab w:val="num" w:pos="1626"/>
        </w:tabs>
        <w:ind w:left="1626" w:hanging="720"/>
      </w:pPr>
      <w:rPr>
        <w:rFonts w:cs="Times New Roman"/>
      </w:rPr>
    </w:lvl>
    <w:lvl w:ilvl="2">
      <w:start w:val="1"/>
      <w:numFmt w:val="decimal"/>
      <w:lvlText w:val="%1.%2.%3."/>
      <w:lvlJc w:val="left"/>
      <w:pPr>
        <w:tabs>
          <w:tab w:val="num" w:pos="2400"/>
        </w:tabs>
        <w:ind w:left="2400" w:hanging="720"/>
      </w:pPr>
      <w:rPr>
        <w:rFonts w:cs="Times New Roman"/>
      </w:rPr>
    </w:lvl>
    <w:lvl w:ilvl="3">
      <w:start w:val="1"/>
      <w:numFmt w:val="decimal"/>
      <w:lvlText w:val="%1.%2.%3.%4."/>
      <w:lvlJc w:val="left"/>
      <w:pPr>
        <w:tabs>
          <w:tab w:val="num" w:pos="2400"/>
        </w:tabs>
        <w:ind w:left="2400" w:hanging="720"/>
      </w:pPr>
      <w:rPr>
        <w:rFonts w:cs="Times New Roman"/>
      </w:rPr>
    </w:lvl>
    <w:lvl w:ilvl="4">
      <w:start w:val="1"/>
      <w:numFmt w:val="lowerLetter"/>
      <w:lvlText w:val="(%5)"/>
      <w:lvlJc w:val="left"/>
      <w:pPr>
        <w:tabs>
          <w:tab w:val="num" w:pos="2280"/>
        </w:tabs>
        <w:ind w:left="2280" w:hanging="360"/>
      </w:pPr>
      <w:rPr>
        <w:rFonts w:cs="Times New Roman"/>
      </w:rPr>
    </w:lvl>
    <w:lvl w:ilvl="5">
      <w:start w:val="1"/>
      <w:numFmt w:val="lowerRoman"/>
      <w:lvlText w:val="(%6)"/>
      <w:lvlJc w:val="left"/>
      <w:pPr>
        <w:tabs>
          <w:tab w:val="num" w:pos="2640"/>
        </w:tabs>
        <w:ind w:left="2640" w:hanging="360"/>
      </w:pPr>
      <w:rPr>
        <w:rFonts w:cs="Times New Roman"/>
      </w:rPr>
    </w:lvl>
    <w:lvl w:ilvl="6">
      <w:start w:val="1"/>
      <w:numFmt w:val="decimal"/>
      <w:lvlText w:val="%7."/>
      <w:lvlJc w:val="left"/>
      <w:pPr>
        <w:tabs>
          <w:tab w:val="num" w:pos="3000"/>
        </w:tabs>
        <w:ind w:left="3000" w:hanging="360"/>
      </w:pPr>
      <w:rPr>
        <w:rFonts w:cs="Times New Roman"/>
      </w:rPr>
    </w:lvl>
    <w:lvl w:ilvl="7">
      <w:start w:val="1"/>
      <w:numFmt w:val="lowerLetter"/>
      <w:lvlText w:val="%8."/>
      <w:lvlJc w:val="left"/>
      <w:pPr>
        <w:tabs>
          <w:tab w:val="num" w:pos="3360"/>
        </w:tabs>
        <w:ind w:left="3360" w:hanging="360"/>
      </w:pPr>
      <w:rPr>
        <w:rFonts w:cs="Times New Roman"/>
      </w:rPr>
    </w:lvl>
    <w:lvl w:ilvl="8">
      <w:start w:val="1"/>
      <w:numFmt w:val="lowerRoman"/>
      <w:lvlText w:val="%9."/>
      <w:lvlJc w:val="left"/>
      <w:pPr>
        <w:tabs>
          <w:tab w:val="num" w:pos="3720"/>
        </w:tabs>
        <w:ind w:left="3720" w:hanging="360"/>
      </w:pPr>
      <w:rPr>
        <w:rFonts w:cs="Times New Roman"/>
      </w:rPr>
    </w:lvl>
  </w:abstractNum>
  <w:abstractNum w:abstractNumId="4" w15:restartNumberingAfterBreak="0">
    <w:nsid w:val="42020BE2"/>
    <w:multiLevelType w:val="multilevel"/>
    <w:tmpl w:val="CC2C3B42"/>
    <w:lvl w:ilvl="0">
      <w:start w:val="1"/>
      <w:numFmt w:val="decimal"/>
      <w:lvlText w:val="%1."/>
      <w:lvlJc w:val="left"/>
      <w:pPr>
        <w:tabs>
          <w:tab w:val="num" w:pos="960"/>
        </w:tabs>
        <w:ind w:left="960" w:hanging="480"/>
      </w:pPr>
      <w:rPr>
        <w:rFonts w:hint="default"/>
      </w:rPr>
    </w:lvl>
    <w:lvl w:ilvl="1">
      <w:start w:val="1"/>
      <w:numFmt w:val="decimal"/>
      <w:lvlText w:val="%1.%2."/>
      <w:lvlJc w:val="left"/>
      <w:pPr>
        <w:tabs>
          <w:tab w:val="num" w:pos="1626"/>
        </w:tabs>
        <w:ind w:left="1626" w:hanging="720"/>
      </w:pPr>
      <w:rPr>
        <w:rFonts w:cs="Times New Roman"/>
      </w:rPr>
    </w:lvl>
    <w:lvl w:ilvl="2">
      <w:start w:val="1"/>
      <w:numFmt w:val="decimal"/>
      <w:lvlText w:val="%1.%2.%3."/>
      <w:lvlJc w:val="left"/>
      <w:pPr>
        <w:tabs>
          <w:tab w:val="num" w:pos="2400"/>
        </w:tabs>
        <w:ind w:left="2400" w:hanging="720"/>
      </w:pPr>
      <w:rPr>
        <w:rFonts w:cs="Times New Roman"/>
      </w:rPr>
    </w:lvl>
    <w:lvl w:ilvl="3">
      <w:start w:val="1"/>
      <w:numFmt w:val="decimal"/>
      <w:lvlText w:val="%1.%2.%3.%4."/>
      <w:lvlJc w:val="left"/>
      <w:pPr>
        <w:tabs>
          <w:tab w:val="num" w:pos="2400"/>
        </w:tabs>
        <w:ind w:left="2400" w:hanging="720"/>
      </w:pPr>
      <w:rPr>
        <w:rFonts w:cs="Times New Roman"/>
      </w:rPr>
    </w:lvl>
    <w:lvl w:ilvl="4">
      <w:start w:val="1"/>
      <w:numFmt w:val="lowerLetter"/>
      <w:lvlText w:val="(%5)"/>
      <w:lvlJc w:val="left"/>
      <w:pPr>
        <w:tabs>
          <w:tab w:val="num" w:pos="2280"/>
        </w:tabs>
        <w:ind w:left="2280" w:hanging="360"/>
      </w:pPr>
      <w:rPr>
        <w:rFonts w:cs="Times New Roman"/>
      </w:rPr>
    </w:lvl>
    <w:lvl w:ilvl="5">
      <w:start w:val="1"/>
      <w:numFmt w:val="lowerRoman"/>
      <w:lvlText w:val="(%6)"/>
      <w:lvlJc w:val="left"/>
      <w:pPr>
        <w:tabs>
          <w:tab w:val="num" w:pos="2640"/>
        </w:tabs>
        <w:ind w:left="2640" w:hanging="360"/>
      </w:pPr>
      <w:rPr>
        <w:rFonts w:cs="Times New Roman"/>
      </w:rPr>
    </w:lvl>
    <w:lvl w:ilvl="6">
      <w:start w:val="1"/>
      <w:numFmt w:val="decimal"/>
      <w:lvlText w:val="%7."/>
      <w:lvlJc w:val="left"/>
      <w:pPr>
        <w:tabs>
          <w:tab w:val="num" w:pos="3000"/>
        </w:tabs>
        <w:ind w:left="3000" w:hanging="360"/>
      </w:pPr>
      <w:rPr>
        <w:rFonts w:cs="Times New Roman"/>
      </w:rPr>
    </w:lvl>
    <w:lvl w:ilvl="7">
      <w:start w:val="1"/>
      <w:numFmt w:val="lowerLetter"/>
      <w:lvlText w:val="%8."/>
      <w:lvlJc w:val="left"/>
      <w:pPr>
        <w:tabs>
          <w:tab w:val="num" w:pos="3360"/>
        </w:tabs>
        <w:ind w:left="3360" w:hanging="360"/>
      </w:pPr>
      <w:rPr>
        <w:rFonts w:cs="Times New Roman"/>
      </w:rPr>
    </w:lvl>
    <w:lvl w:ilvl="8">
      <w:start w:val="1"/>
      <w:numFmt w:val="lowerRoman"/>
      <w:lvlText w:val="%9."/>
      <w:lvlJc w:val="left"/>
      <w:pPr>
        <w:tabs>
          <w:tab w:val="num" w:pos="3720"/>
        </w:tabs>
        <w:ind w:left="3720" w:hanging="360"/>
      </w:pPr>
      <w:rPr>
        <w:rFonts w:cs="Times New Roman"/>
      </w:rPr>
    </w:lvl>
  </w:abstractNum>
  <w:abstractNum w:abstractNumId="5" w15:restartNumberingAfterBreak="0">
    <w:nsid w:val="4B3446CC"/>
    <w:multiLevelType w:val="hybridMultilevel"/>
    <w:tmpl w:val="7232532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1947054"/>
    <w:multiLevelType w:val="multilevel"/>
    <w:tmpl w:val="1CD8FCDA"/>
    <w:lvl w:ilvl="0">
      <w:start w:val="2"/>
      <w:numFmt w:val="decimal"/>
      <w:lvlText w:val="%1"/>
      <w:lvlJc w:val="left"/>
      <w:pPr>
        <w:ind w:left="360" w:hanging="360"/>
      </w:pPr>
      <w:rPr>
        <w:rFonts w:hint="default"/>
      </w:rPr>
    </w:lvl>
    <w:lvl w:ilvl="1">
      <w:start w:val="1"/>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7" w15:restartNumberingAfterBreak="0">
    <w:nsid w:val="5D8E648F"/>
    <w:multiLevelType w:val="hybridMultilevel"/>
    <w:tmpl w:val="FC68A7AE"/>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8" w15:restartNumberingAfterBreak="0">
    <w:nsid w:val="66B87364"/>
    <w:multiLevelType w:val="multilevel"/>
    <w:tmpl w:val="CC2C3B42"/>
    <w:lvl w:ilvl="0">
      <w:start w:val="1"/>
      <w:numFmt w:val="decimal"/>
      <w:lvlText w:val="%1."/>
      <w:lvlJc w:val="left"/>
      <w:pPr>
        <w:tabs>
          <w:tab w:val="num" w:pos="960"/>
        </w:tabs>
        <w:ind w:left="960" w:hanging="480"/>
      </w:pPr>
      <w:rPr>
        <w:rFonts w:hint="default"/>
      </w:rPr>
    </w:lvl>
    <w:lvl w:ilvl="1">
      <w:start w:val="1"/>
      <w:numFmt w:val="decimal"/>
      <w:lvlText w:val="%1.%2."/>
      <w:lvlJc w:val="left"/>
      <w:pPr>
        <w:tabs>
          <w:tab w:val="num" w:pos="1626"/>
        </w:tabs>
        <w:ind w:left="1626" w:hanging="720"/>
      </w:pPr>
      <w:rPr>
        <w:rFonts w:cs="Times New Roman"/>
      </w:rPr>
    </w:lvl>
    <w:lvl w:ilvl="2">
      <w:start w:val="1"/>
      <w:numFmt w:val="decimal"/>
      <w:lvlText w:val="%1.%2.%3."/>
      <w:lvlJc w:val="left"/>
      <w:pPr>
        <w:tabs>
          <w:tab w:val="num" w:pos="2400"/>
        </w:tabs>
        <w:ind w:left="2400" w:hanging="720"/>
      </w:pPr>
      <w:rPr>
        <w:rFonts w:cs="Times New Roman"/>
      </w:rPr>
    </w:lvl>
    <w:lvl w:ilvl="3">
      <w:start w:val="1"/>
      <w:numFmt w:val="decimal"/>
      <w:lvlText w:val="%1.%2.%3.%4."/>
      <w:lvlJc w:val="left"/>
      <w:pPr>
        <w:tabs>
          <w:tab w:val="num" w:pos="2400"/>
        </w:tabs>
        <w:ind w:left="2400" w:hanging="720"/>
      </w:pPr>
      <w:rPr>
        <w:rFonts w:cs="Times New Roman"/>
      </w:rPr>
    </w:lvl>
    <w:lvl w:ilvl="4">
      <w:start w:val="1"/>
      <w:numFmt w:val="lowerLetter"/>
      <w:lvlText w:val="(%5)"/>
      <w:lvlJc w:val="left"/>
      <w:pPr>
        <w:tabs>
          <w:tab w:val="num" w:pos="2280"/>
        </w:tabs>
        <w:ind w:left="2280" w:hanging="360"/>
      </w:pPr>
      <w:rPr>
        <w:rFonts w:cs="Times New Roman"/>
      </w:rPr>
    </w:lvl>
    <w:lvl w:ilvl="5">
      <w:start w:val="1"/>
      <w:numFmt w:val="lowerRoman"/>
      <w:lvlText w:val="(%6)"/>
      <w:lvlJc w:val="left"/>
      <w:pPr>
        <w:tabs>
          <w:tab w:val="num" w:pos="2640"/>
        </w:tabs>
        <w:ind w:left="2640" w:hanging="360"/>
      </w:pPr>
      <w:rPr>
        <w:rFonts w:cs="Times New Roman"/>
      </w:rPr>
    </w:lvl>
    <w:lvl w:ilvl="6">
      <w:start w:val="1"/>
      <w:numFmt w:val="decimal"/>
      <w:lvlText w:val="%7."/>
      <w:lvlJc w:val="left"/>
      <w:pPr>
        <w:tabs>
          <w:tab w:val="num" w:pos="3000"/>
        </w:tabs>
        <w:ind w:left="3000" w:hanging="360"/>
      </w:pPr>
      <w:rPr>
        <w:rFonts w:cs="Times New Roman"/>
      </w:rPr>
    </w:lvl>
    <w:lvl w:ilvl="7">
      <w:start w:val="1"/>
      <w:numFmt w:val="lowerLetter"/>
      <w:lvlText w:val="%8."/>
      <w:lvlJc w:val="left"/>
      <w:pPr>
        <w:tabs>
          <w:tab w:val="num" w:pos="3360"/>
        </w:tabs>
        <w:ind w:left="3360" w:hanging="360"/>
      </w:pPr>
      <w:rPr>
        <w:rFonts w:cs="Times New Roman"/>
      </w:rPr>
    </w:lvl>
    <w:lvl w:ilvl="8">
      <w:start w:val="1"/>
      <w:numFmt w:val="lowerRoman"/>
      <w:lvlText w:val="%9."/>
      <w:lvlJc w:val="left"/>
      <w:pPr>
        <w:tabs>
          <w:tab w:val="num" w:pos="3720"/>
        </w:tabs>
        <w:ind w:left="3720" w:hanging="360"/>
      </w:pPr>
      <w:rPr>
        <w:rFonts w:cs="Times New Roman"/>
      </w:rPr>
    </w:lvl>
  </w:abstractNum>
  <w:abstractNum w:abstractNumId="9" w15:restartNumberingAfterBreak="0">
    <w:nsid w:val="674F7F40"/>
    <w:multiLevelType w:val="hybridMultilevel"/>
    <w:tmpl w:val="C1DE1E30"/>
    <w:lvl w:ilvl="0" w:tplc="4CCA70C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
  </w:num>
  <w:num w:numId="15">
    <w:abstractNumId w:val="1"/>
  </w:num>
  <w:num w:numId="16">
    <w:abstractNumId w:val="1"/>
  </w:num>
  <w:num w:numId="17">
    <w:abstractNumId w:val="1"/>
  </w:num>
  <w:num w:numId="18">
    <w:abstractNumId w:val="1"/>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5E67B8A-C909-4FB3-B29F-8301D5FCC68D"/>
    <w:docVar w:name="LW_COVERPAGE_TYPE" w:val="1"/>
    <w:docVar w:name="LW_CROSSREFERENCE" w:val="&lt;UNUSED&gt;"/>
    <w:docVar w:name="LW_DocType" w:val="NORMAL"/>
    <w:docVar w:name="LW_EMISSION" w:val="7.6.2023"/>
    <w:docVar w:name="LW_EMISSION_ISODATE" w:val="2023-06-07"/>
    <w:docVar w:name="LW_EMISSION_LOCATION" w:val="BRX"/>
    <w:docVar w:name="LW_EMISSION_PREFIX" w:val="Brüssel, den "/>
    <w:docVar w:name="LW_EMISSION_SUFFIX" w:val=" "/>
    <w:docVar w:name="LW_ID_DOCTYPE_NONLW" w:val="CP-012"/>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2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Eine Überprüfung und Bewertung der Anwendung von Artikel 7 Absatz 2a, Artikel 8 Absatz 1 und Artikel 9 Absatz 4 der VERORDNUNG (EU) 2016/1036 DES EUROPÄISCHEN PARLAMENTS UND DES RATES vom 8. Juni 2016 sowie von Artikel 12 Absatz 1 Unterabsätze 3 und 4, Artikel 13 Absatz 1 Unterabsätze 3 und 4 und Artikel 15 Absatz 1 Unterabsätze 3 und 4 der VERORDNUNG (EU) 2016/1037 DES EUROPÄISCHEN PARLAMENTS UND DES RATES vom 8. Juni 2016&lt;/FMT&gt;_x000d__x000d__x000d__x000d__x000d__x000d__x000b_"/>
    <w:docVar w:name="LW_TYPE.DOC.CP" w:val="MITTEILUNG DER KOMMISSION AN DAS EUROPÄISCHE PARLAMENT UND DEN RAT"/>
    <w:docVar w:name="LW_TYPE.DOC.CP.USERTEXT" w:val="ÜBER DIE ÜBERARBEITETE REGEL DES NIEDRIGEREN ZOLLS IN ANTIDUMPING- UND ANTISUBVENTIONSUNTERSUCHUNGEN IN DER EU"/>
    <w:docVar w:name="LwApiVersions" w:val="LW4CoDe 1.23.2.0; LW 8.0, Build 20211117"/>
  </w:docVars>
  <w:rsids>
    <w:rsidRoot w:val="003A5A48"/>
    <w:rsid w:val="00000E4E"/>
    <w:rsid w:val="00011529"/>
    <w:rsid w:val="00036656"/>
    <w:rsid w:val="0005491B"/>
    <w:rsid w:val="0005653D"/>
    <w:rsid w:val="00062963"/>
    <w:rsid w:val="00065A22"/>
    <w:rsid w:val="000667F6"/>
    <w:rsid w:val="00075E7D"/>
    <w:rsid w:val="000915D3"/>
    <w:rsid w:val="0009226B"/>
    <w:rsid w:val="000A54CA"/>
    <w:rsid w:val="000A65DF"/>
    <w:rsid w:val="000A6A52"/>
    <w:rsid w:val="000A74E2"/>
    <w:rsid w:val="000B01AA"/>
    <w:rsid w:val="000B4681"/>
    <w:rsid w:val="000B6262"/>
    <w:rsid w:val="000B6A1F"/>
    <w:rsid w:val="000D1AE3"/>
    <w:rsid w:val="000D4319"/>
    <w:rsid w:val="000D49B7"/>
    <w:rsid w:val="000E2374"/>
    <w:rsid w:val="000E5D24"/>
    <w:rsid w:val="000F2369"/>
    <w:rsid w:val="000F3228"/>
    <w:rsid w:val="00102322"/>
    <w:rsid w:val="00102E4B"/>
    <w:rsid w:val="00110E7B"/>
    <w:rsid w:val="00111942"/>
    <w:rsid w:val="00117F0D"/>
    <w:rsid w:val="00130995"/>
    <w:rsid w:val="00130F23"/>
    <w:rsid w:val="00143BBA"/>
    <w:rsid w:val="00151876"/>
    <w:rsid w:val="0015566F"/>
    <w:rsid w:val="00163045"/>
    <w:rsid w:val="00167F4C"/>
    <w:rsid w:val="0017517F"/>
    <w:rsid w:val="0017757B"/>
    <w:rsid w:val="00181B1C"/>
    <w:rsid w:val="0018606D"/>
    <w:rsid w:val="00197D5B"/>
    <w:rsid w:val="001A2D8A"/>
    <w:rsid w:val="001A567F"/>
    <w:rsid w:val="001B11FB"/>
    <w:rsid w:val="001B1611"/>
    <w:rsid w:val="001B6B91"/>
    <w:rsid w:val="001C6CAA"/>
    <w:rsid w:val="001D4124"/>
    <w:rsid w:val="001D66D2"/>
    <w:rsid w:val="001D7078"/>
    <w:rsid w:val="001E1279"/>
    <w:rsid w:val="001E30A6"/>
    <w:rsid w:val="001E4CC5"/>
    <w:rsid w:val="001F744C"/>
    <w:rsid w:val="001F7B47"/>
    <w:rsid w:val="0020231F"/>
    <w:rsid w:val="002062EA"/>
    <w:rsid w:val="002120B0"/>
    <w:rsid w:val="002212E6"/>
    <w:rsid w:val="002312F2"/>
    <w:rsid w:val="00245831"/>
    <w:rsid w:val="002530EE"/>
    <w:rsid w:val="002571B5"/>
    <w:rsid w:val="00260E58"/>
    <w:rsid w:val="002752D4"/>
    <w:rsid w:val="002760C4"/>
    <w:rsid w:val="0028114E"/>
    <w:rsid w:val="00281F84"/>
    <w:rsid w:val="002842B3"/>
    <w:rsid w:val="00284403"/>
    <w:rsid w:val="0028768D"/>
    <w:rsid w:val="002902AD"/>
    <w:rsid w:val="00291148"/>
    <w:rsid w:val="00295D86"/>
    <w:rsid w:val="00296810"/>
    <w:rsid w:val="002A0307"/>
    <w:rsid w:val="002A2BB7"/>
    <w:rsid w:val="002A6493"/>
    <w:rsid w:val="002B0EE7"/>
    <w:rsid w:val="002B2A14"/>
    <w:rsid w:val="002C320C"/>
    <w:rsid w:val="002D1E60"/>
    <w:rsid w:val="002D415B"/>
    <w:rsid w:val="002F1FCD"/>
    <w:rsid w:val="002F265F"/>
    <w:rsid w:val="002F39D0"/>
    <w:rsid w:val="002F4F7F"/>
    <w:rsid w:val="00314CE6"/>
    <w:rsid w:val="0032061B"/>
    <w:rsid w:val="00321C67"/>
    <w:rsid w:val="003312C5"/>
    <w:rsid w:val="00331792"/>
    <w:rsid w:val="0033288A"/>
    <w:rsid w:val="00333B82"/>
    <w:rsid w:val="003363B3"/>
    <w:rsid w:val="00354BA6"/>
    <w:rsid w:val="00357483"/>
    <w:rsid w:val="00362193"/>
    <w:rsid w:val="00372F95"/>
    <w:rsid w:val="00374930"/>
    <w:rsid w:val="00377531"/>
    <w:rsid w:val="00385F4C"/>
    <w:rsid w:val="0039422D"/>
    <w:rsid w:val="003957BC"/>
    <w:rsid w:val="003975BB"/>
    <w:rsid w:val="003A213F"/>
    <w:rsid w:val="003A5A48"/>
    <w:rsid w:val="003B2FF4"/>
    <w:rsid w:val="003B74E9"/>
    <w:rsid w:val="003C0447"/>
    <w:rsid w:val="003C5AD1"/>
    <w:rsid w:val="003D49EA"/>
    <w:rsid w:val="003D4D9B"/>
    <w:rsid w:val="003D5E8F"/>
    <w:rsid w:val="003E3EC0"/>
    <w:rsid w:val="003F3A47"/>
    <w:rsid w:val="003F6681"/>
    <w:rsid w:val="003F6C7B"/>
    <w:rsid w:val="003F77C1"/>
    <w:rsid w:val="0040004E"/>
    <w:rsid w:val="00402037"/>
    <w:rsid w:val="00406EA1"/>
    <w:rsid w:val="00417272"/>
    <w:rsid w:val="004175A3"/>
    <w:rsid w:val="00427FE6"/>
    <w:rsid w:val="00444D4C"/>
    <w:rsid w:val="00474428"/>
    <w:rsid w:val="00476B15"/>
    <w:rsid w:val="00485E0E"/>
    <w:rsid w:val="00496D87"/>
    <w:rsid w:val="00497130"/>
    <w:rsid w:val="004B4813"/>
    <w:rsid w:val="004C249C"/>
    <w:rsid w:val="004C7E4C"/>
    <w:rsid w:val="004D6848"/>
    <w:rsid w:val="004F2670"/>
    <w:rsid w:val="00501BA2"/>
    <w:rsid w:val="0051279D"/>
    <w:rsid w:val="00520F17"/>
    <w:rsid w:val="0053126E"/>
    <w:rsid w:val="00532858"/>
    <w:rsid w:val="00534F7E"/>
    <w:rsid w:val="00535F2D"/>
    <w:rsid w:val="00536513"/>
    <w:rsid w:val="00541BCD"/>
    <w:rsid w:val="0054247E"/>
    <w:rsid w:val="00557C87"/>
    <w:rsid w:val="00565D01"/>
    <w:rsid w:val="005676DE"/>
    <w:rsid w:val="00571245"/>
    <w:rsid w:val="0059307A"/>
    <w:rsid w:val="005970F1"/>
    <w:rsid w:val="00597D69"/>
    <w:rsid w:val="005A159B"/>
    <w:rsid w:val="005B1D57"/>
    <w:rsid w:val="005B444C"/>
    <w:rsid w:val="005D6524"/>
    <w:rsid w:val="005D65E0"/>
    <w:rsid w:val="00600674"/>
    <w:rsid w:val="0061710A"/>
    <w:rsid w:val="0062348C"/>
    <w:rsid w:val="00630710"/>
    <w:rsid w:val="006453BD"/>
    <w:rsid w:val="006508BD"/>
    <w:rsid w:val="006509DB"/>
    <w:rsid w:val="00653EEF"/>
    <w:rsid w:val="0066606D"/>
    <w:rsid w:val="00666789"/>
    <w:rsid w:val="006753E0"/>
    <w:rsid w:val="0068792B"/>
    <w:rsid w:val="00687F5C"/>
    <w:rsid w:val="00693C83"/>
    <w:rsid w:val="006A060C"/>
    <w:rsid w:val="006A4C01"/>
    <w:rsid w:val="006B152C"/>
    <w:rsid w:val="006D22FF"/>
    <w:rsid w:val="006D3803"/>
    <w:rsid w:val="006D5F08"/>
    <w:rsid w:val="006D63FC"/>
    <w:rsid w:val="006D7F51"/>
    <w:rsid w:val="006E358C"/>
    <w:rsid w:val="006F14E3"/>
    <w:rsid w:val="006F4697"/>
    <w:rsid w:val="006F490A"/>
    <w:rsid w:val="006F6803"/>
    <w:rsid w:val="0070033B"/>
    <w:rsid w:val="0071382E"/>
    <w:rsid w:val="00717540"/>
    <w:rsid w:val="007177A4"/>
    <w:rsid w:val="00721175"/>
    <w:rsid w:val="007230F1"/>
    <w:rsid w:val="007304CB"/>
    <w:rsid w:val="0073333C"/>
    <w:rsid w:val="0073386A"/>
    <w:rsid w:val="0073623A"/>
    <w:rsid w:val="00741535"/>
    <w:rsid w:val="00741FA2"/>
    <w:rsid w:val="007501E5"/>
    <w:rsid w:val="0075280F"/>
    <w:rsid w:val="0075561A"/>
    <w:rsid w:val="00755645"/>
    <w:rsid w:val="007630EB"/>
    <w:rsid w:val="00764C8F"/>
    <w:rsid w:val="00770178"/>
    <w:rsid w:val="007713F7"/>
    <w:rsid w:val="00777F87"/>
    <w:rsid w:val="00783DA4"/>
    <w:rsid w:val="007929A3"/>
    <w:rsid w:val="007A4177"/>
    <w:rsid w:val="007B2A9F"/>
    <w:rsid w:val="007B2F00"/>
    <w:rsid w:val="007C6C26"/>
    <w:rsid w:val="007F6A7C"/>
    <w:rsid w:val="00801B22"/>
    <w:rsid w:val="00801CB8"/>
    <w:rsid w:val="0080228D"/>
    <w:rsid w:val="00802C19"/>
    <w:rsid w:val="00802EB4"/>
    <w:rsid w:val="008057AE"/>
    <w:rsid w:val="008415F2"/>
    <w:rsid w:val="00845B8B"/>
    <w:rsid w:val="00845F67"/>
    <w:rsid w:val="00850DAD"/>
    <w:rsid w:val="00854F04"/>
    <w:rsid w:val="00856AF8"/>
    <w:rsid w:val="0085758C"/>
    <w:rsid w:val="00860A71"/>
    <w:rsid w:val="00865F31"/>
    <w:rsid w:val="00866709"/>
    <w:rsid w:val="0087369D"/>
    <w:rsid w:val="00884572"/>
    <w:rsid w:val="00884F82"/>
    <w:rsid w:val="00891724"/>
    <w:rsid w:val="008B1C35"/>
    <w:rsid w:val="008B571E"/>
    <w:rsid w:val="008D17B6"/>
    <w:rsid w:val="008D259B"/>
    <w:rsid w:val="008E50ED"/>
    <w:rsid w:val="008E5980"/>
    <w:rsid w:val="008F08CE"/>
    <w:rsid w:val="008F7BF4"/>
    <w:rsid w:val="008F7FFD"/>
    <w:rsid w:val="009121E6"/>
    <w:rsid w:val="0091545A"/>
    <w:rsid w:val="009210F8"/>
    <w:rsid w:val="00922917"/>
    <w:rsid w:val="009561B3"/>
    <w:rsid w:val="00966FC9"/>
    <w:rsid w:val="0096763E"/>
    <w:rsid w:val="00970F0C"/>
    <w:rsid w:val="0097280F"/>
    <w:rsid w:val="009732CB"/>
    <w:rsid w:val="00975624"/>
    <w:rsid w:val="0098465F"/>
    <w:rsid w:val="00985010"/>
    <w:rsid w:val="00987ED7"/>
    <w:rsid w:val="0099190C"/>
    <w:rsid w:val="00993D29"/>
    <w:rsid w:val="0099465B"/>
    <w:rsid w:val="009A041F"/>
    <w:rsid w:val="009A4BEB"/>
    <w:rsid w:val="009A6897"/>
    <w:rsid w:val="009A7E8E"/>
    <w:rsid w:val="009B014B"/>
    <w:rsid w:val="009C3063"/>
    <w:rsid w:val="009C4E12"/>
    <w:rsid w:val="009C6367"/>
    <w:rsid w:val="009C656F"/>
    <w:rsid w:val="009D3F9C"/>
    <w:rsid w:val="00A1247B"/>
    <w:rsid w:val="00A13CB7"/>
    <w:rsid w:val="00A21378"/>
    <w:rsid w:val="00A23E7D"/>
    <w:rsid w:val="00A30BB1"/>
    <w:rsid w:val="00A374A2"/>
    <w:rsid w:val="00A46CFD"/>
    <w:rsid w:val="00A563A5"/>
    <w:rsid w:val="00A625C0"/>
    <w:rsid w:val="00A6424A"/>
    <w:rsid w:val="00A7250D"/>
    <w:rsid w:val="00A75C78"/>
    <w:rsid w:val="00A8235D"/>
    <w:rsid w:val="00A82AB0"/>
    <w:rsid w:val="00A87ACC"/>
    <w:rsid w:val="00A9171F"/>
    <w:rsid w:val="00A93361"/>
    <w:rsid w:val="00A93B9E"/>
    <w:rsid w:val="00A940B7"/>
    <w:rsid w:val="00AA3A85"/>
    <w:rsid w:val="00AB679B"/>
    <w:rsid w:val="00AD5019"/>
    <w:rsid w:val="00AE1958"/>
    <w:rsid w:val="00AE27E5"/>
    <w:rsid w:val="00AF7040"/>
    <w:rsid w:val="00B011D0"/>
    <w:rsid w:val="00B0214F"/>
    <w:rsid w:val="00B23F85"/>
    <w:rsid w:val="00B27725"/>
    <w:rsid w:val="00B40B40"/>
    <w:rsid w:val="00B76955"/>
    <w:rsid w:val="00B901D8"/>
    <w:rsid w:val="00B96F17"/>
    <w:rsid w:val="00BA4373"/>
    <w:rsid w:val="00BA6B15"/>
    <w:rsid w:val="00BB0ED8"/>
    <w:rsid w:val="00BB5646"/>
    <w:rsid w:val="00BC1FD4"/>
    <w:rsid w:val="00BC5387"/>
    <w:rsid w:val="00BD1B91"/>
    <w:rsid w:val="00BD476B"/>
    <w:rsid w:val="00BD66D3"/>
    <w:rsid w:val="00BD781C"/>
    <w:rsid w:val="00BF1C2B"/>
    <w:rsid w:val="00BF28F3"/>
    <w:rsid w:val="00BF42C2"/>
    <w:rsid w:val="00BF6756"/>
    <w:rsid w:val="00C0068C"/>
    <w:rsid w:val="00C050C6"/>
    <w:rsid w:val="00C05EF9"/>
    <w:rsid w:val="00C07CBC"/>
    <w:rsid w:val="00C126D5"/>
    <w:rsid w:val="00C12D39"/>
    <w:rsid w:val="00C13C16"/>
    <w:rsid w:val="00C15E48"/>
    <w:rsid w:val="00C21D4C"/>
    <w:rsid w:val="00C30833"/>
    <w:rsid w:val="00C3126B"/>
    <w:rsid w:val="00C37006"/>
    <w:rsid w:val="00C41E2A"/>
    <w:rsid w:val="00C43CF4"/>
    <w:rsid w:val="00C45C1B"/>
    <w:rsid w:val="00C75661"/>
    <w:rsid w:val="00C84DED"/>
    <w:rsid w:val="00CA2D5E"/>
    <w:rsid w:val="00CA35D2"/>
    <w:rsid w:val="00CA3620"/>
    <w:rsid w:val="00CA58F8"/>
    <w:rsid w:val="00CA5D91"/>
    <w:rsid w:val="00CB3148"/>
    <w:rsid w:val="00CB72EE"/>
    <w:rsid w:val="00CC0077"/>
    <w:rsid w:val="00CC2D8B"/>
    <w:rsid w:val="00CC5B59"/>
    <w:rsid w:val="00CD28B4"/>
    <w:rsid w:val="00CD6D66"/>
    <w:rsid w:val="00CE1E86"/>
    <w:rsid w:val="00CE49CE"/>
    <w:rsid w:val="00CE565B"/>
    <w:rsid w:val="00CF7BF0"/>
    <w:rsid w:val="00D10156"/>
    <w:rsid w:val="00D10792"/>
    <w:rsid w:val="00D1464A"/>
    <w:rsid w:val="00D15C1D"/>
    <w:rsid w:val="00D32D50"/>
    <w:rsid w:val="00D34C98"/>
    <w:rsid w:val="00D447F7"/>
    <w:rsid w:val="00D6512A"/>
    <w:rsid w:val="00D80723"/>
    <w:rsid w:val="00D80BCA"/>
    <w:rsid w:val="00D94CE3"/>
    <w:rsid w:val="00DA4089"/>
    <w:rsid w:val="00DA7DAC"/>
    <w:rsid w:val="00DD06A4"/>
    <w:rsid w:val="00DE6857"/>
    <w:rsid w:val="00DE77AE"/>
    <w:rsid w:val="00DF725E"/>
    <w:rsid w:val="00E2016B"/>
    <w:rsid w:val="00E24511"/>
    <w:rsid w:val="00E43B54"/>
    <w:rsid w:val="00E5613F"/>
    <w:rsid w:val="00E616FD"/>
    <w:rsid w:val="00E6343A"/>
    <w:rsid w:val="00E73BFC"/>
    <w:rsid w:val="00E82F4B"/>
    <w:rsid w:val="00E84C50"/>
    <w:rsid w:val="00E960F5"/>
    <w:rsid w:val="00E9655E"/>
    <w:rsid w:val="00E972D9"/>
    <w:rsid w:val="00EB7308"/>
    <w:rsid w:val="00EB7E7E"/>
    <w:rsid w:val="00EC014B"/>
    <w:rsid w:val="00EC50DB"/>
    <w:rsid w:val="00ED18DE"/>
    <w:rsid w:val="00EE0DAA"/>
    <w:rsid w:val="00EE521C"/>
    <w:rsid w:val="00EE5A05"/>
    <w:rsid w:val="00EE5BD3"/>
    <w:rsid w:val="00EF0102"/>
    <w:rsid w:val="00EF5F6D"/>
    <w:rsid w:val="00F0036A"/>
    <w:rsid w:val="00F02BF0"/>
    <w:rsid w:val="00F02DD6"/>
    <w:rsid w:val="00F04EA1"/>
    <w:rsid w:val="00F066CB"/>
    <w:rsid w:val="00F11E01"/>
    <w:rsid w:val="00F13779"/>
    <w:rsid w:val="00F21D53"/>
    <w:rsid w:val="00F3425D"/>
    <w:rsid w:val="00F37835"/>
    <w:rsid w:val="00F45A53"/>
    <w:rsid w:val="00F45F9F"/>
    <w:rsid w:val="00F5381B"/>
    <w:rsid w:val="00F6384F"/>
    <w:rsid w:val="00F71609"/>
    <w:rsid w:val="00F876F5"/>
    <w:rsid w:val="00F8798F"/>
    <w:rsid w:val="00F96291"/>
    <w:rsid w:val="00FB1AE9"/>
    <w:rsid w:val="00FB31E2"/>
    <w:rsid w:val="00FB5528"/>
    <w:rsid w:val="00FC3A7D"/>
    <w:rsid w:val="00FC6B9C"/>
    <w:rsid w:val="00FC7B79"/>
    <w:rsid w:val="00FD2759"/>
    <w:rsid w:val="00FE1B65"/>
    <w:rsid w:val="00FE33C2"/>
    <w:rsid w:val="00FF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FD2DF3"/>
  <w15:chartTrackingRefBased/>
  <w15:docId w15:val="{80B35491-EBE1-4355-A1A4-13212FF9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48"/>
    <w:pPr>
      <w:spacing w:after="0" w:line="240" w:lineRule="auto"/>
    </w:pPr>
    <w:rPr>
      <w:rFonts w:ascii="Times New Roman" w:eastAsia="Times New Roman" w:hAnsi="Times New Roman" w:cs="Times New Roman"/>
      <w:sz w:val="24"/>
      <w:szCs w:val="24"/>
      <w:lang w:eastAsia="ko-KR"/>
    </w:rPr>
  </w:style>
  <w:style w:type="paragraph" w:styleId="Heading1">
    <w:name w:val="heading 1"/>
    <w:basedOn w:val="Normal"/>
    <w:next w:val="Normal"/>
    <w:link w:val="Heading1Char"/>
    <w:uiPriority w:val="9"/>
    <w:qFormat/>
    <w:rsid w:val="003A5A48"/>
    <w:pPr>
      <w:keepNext/>
      <w:numPr>
        <w:numId w:val="1"/>
      </w:numPr>
      <w:spacing w:before="240" w:after="240"/>
      <w:jc w:val="both"/>
      <w:outlineLvl w:val="0"/>
    </w:pPr>
    <w:rPr>
      <w:b/>
      <w:smallCaps/>
      <w:szCs w:val="20"/>
      <w:lang w:eastAsia="en-US"/>
    </w:rPr>
  </w:style>
  <w:style w:type="paragraph" w:styleId="Heading2">
    <w:name w:val="heading 2"/>
    <w:basedOn w:val="Normal"/>
    <w:next w:val="Normal"/>
    <w:link w:val="Heading2Char"/>
    <w:uiPriority w:val="9"/>
    <w:unhideWhenUsed/>
    <w:qFormat/>
    <w:rsid w:val="00A563A5"/>
    <w:pPr>
      <w:keepNext/>
      <w:numPr>
        <w:ilvl w:val="1"/>
        <w:numId w:val="1"/>
      </w:numPr>
      <w:tabs>
        <w:tab w:val="clear" w:pos="1429"/>
        <w:tab w:val="num" w:pos="1626"/>
      </w:tabs>
      <w:spacing w:after="240"/>
      <w:ind w:left="1626"/>
      <w:jc w:val="both"/>
      <w:outlineLvl w:val="1"/>
    </w:pPr>
    <w:rPr>
      <w:b/>
      <w:szCs w:val="20"/>
      <w:lang w:eastAsia="en-US"/>
    </w:rPr>
  </w:style>
  <w:style w:type="paragraph" w:styleId="Heading3">
    <w:name w:val="heading 3"/>
    <w:basedOn w:val="Normal"/>
    <w:next w:val="Normal"/>
    <w:link w:val="Heading3Char"/>
    <w:uiPriority w:val="9"/>
    <w:unhideWhenUsed/>
    <w:qFormat/>
    <w:rsid w:val="003A5A48"/>
    <w:pPr>
      <w:keepNext/>
      <w:numPr>
        <w:ilvl w:val="2"/>
        <w:numId w:val="1"/>
      </w:numPr>
      <w:spacing w:after="240"/>
      <w:jc w:val="both"/>
      <w:outlineLvl w:val="2"/>
    </w:pPr>
    <w:rPr>
      <w:i/>
      <w:szCs w:val="20"/>
      <w:lang w:eastAsia="en-US"/>
    </w:rPr>
  </w:style>
  <w:style w:type="paragraph" w:styleId="Heading4">
    <w:name w:val="heading 4"/>
    <w:basedOn w:val="Normal"/>
    <w:next w:val="Normal"/>
    <w:link w:val="Heading4Char"/>
    <w:uiPriority w:val="9"/>
    <w:semiHidden/>
    <w:unhideWhenUsed/>
    <w:qFormat/>
    <w:rsid w:val="003A5A48"/>
    <w:pPr>
      <w:keepNext/>
      <w:numPr>
        <w:ilvl w:val="3"/>
        <w:numId w:val="1"/>
      </w:numPr>
      <w:tabs>
        <w:tab w:val="num" w:pos="2880"/>
      </w:tabs>
      <w:spacing w:after="24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A48"/>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sid w:val="003A5A48"/>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3A5A48"/>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semiHidden/>
    <w:rsid w:val="003A5A48"/>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A563A5"/>
    <w:pPr>
      <w:ind w:left="720" w:hanging="720"/>
      <w:jc w:val="both"/>
    </w:pPr>
    <w:rPr>
      <w:sz w:val="20"/>
      <w:szCs w:val="20"/>
      <w:lang w:eastAsia="de-DE"/>
    </w:rPr>
  </w:style>
  <w:style w:type="character" w:customStyle="1" w:styleId="FootnoteTextChar">
    <w:name w:val="Footnote Text Char"/>
    <w:basedOn w:val="DefaultParagraphFont"/>
    <w:link w:val="FootnoteText"/>
    <w:uiPriority w:val="99"/>
    <w:rsid w:val="003A5A48"/>
    <w:rPr>
      <w:rFonts w:ascii="Times New Roman" w:eastAsia="Times New Roman" w:hAnsi="Times New Roman" w:cs="Times New Roman"/>
      <w:sz w:val="20"/>
      <w:szCs w:val="20"/>
      <w:lang w:eastAsia="de-DE"/>
    </w:rPr>
  </w:style>
  <w:style w:type="paragraph" w:styleId="CommentText">
    <w:name w:val="annotation text"/>
    <w:basedOn w:val="Normal"/>
    <w:link w:val="CommentTextChar"/>
    <w:uiPriority w:val="99"/>
    <w:unhideWhenUsed/>
    <w:rsid w:val="003A5A48"/>
    <w:rPr>
      <w:sz w:val="20"/>
      <w:szCs w:val="20"/>
    </w:rPr>
  </w:style>
  <w:style w:type="character" w:customStyle="1" w:styleId="CommentTextChar">
    <w:name w:val="Comment Text Char"/>
    <w:basedOn w:val="DefaultParagraphFont"/>
    <w:link w:val="CommentText"/>
    <w:uiPriority w:val="99"/>
    <w:rsid w:val="003A5A48"/>
    <w:rPr>
      <w:rFonts w:ascii="Times New Roman" w:eastAsia="Times New Roman" w:hAnsi="Times New Roman" w:cs="Times New Roman"/>
      <w:sz w:val="20"/>
      <w:szCs w:val="20"/>
      <w:lang w:eastAsia="ko-KR"/>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3A5A48"/>
    <w:rPr>
      <w:sz w:val="24"/>
      <w:szCs w:val="24"/>
      <w:lang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L"/>
    <w:basedOn w:val="Normal"/>
    <w:link w:val="ListParagraphChar"/>
    <w:uiPriority w:val="34"/>
    <w:qFormat/>
    <w:rsid w:val="003A5A48"/>
    <w:pPr>
      <w:ind w:left="720"/>
    </w:pPr>
    <w:rPr>
      <w:rFonts w:asciiTheme="minorHAnsi" w:eastAsiaTheme="minorHAnsi" w:hAnsiTheme="minorHAnsi" w:cstheme="minorBidi"/>
      <w:lang w:eastAsia="en-GB"/>
    </w:rPr>
  </w:style>
  <w:style w:type="character" w:styleId="FootnoteReference">
    <w:name w:val="footnote reference"/>
    <w:basedOn w:val="DefaultParagraphFont"/>
    <w:uiPriority w:val="5"/>
    <w:semiHidden/>
    <w:unhideWhenUsed/>
    <w:rsid w:val="003A5A48"/>
    <w:rPr>
      <w:vertAlign w:val="superscript"/>
    </w:rPr>
  </w:style>
  <w:style w:type="character" w:styleId="CommentReference">
    <w:name w:val="annotation reference"/>
    <w:basedOn w:val="DefaultParagraphFont"/>
    <w:uiPriority w:val="99"/>
    <w:semiHidden/>
    <w:unhideWhenUsed/>
    <w:rsid w:val="003A5A48"/>
    <w:rPr>
      <w:sz w:val="16"/>
    </w:rPr>
  </w:style>
  <w:style w:type="paragraph" w:styleId="Revision">
    <w:name w:val="Revision"/>
    <w:hidden/>
    <w:uiPriority w:val="99"/>
    <w:semiHidden/>
    <w:rsid w:val="002D415B"/>
    <w:pPr>
      <w:spacing w:after="0" w:line="240" w:lineRule="auto"/>
    </w:pPr>
    <w:rPr>
      <w:rFonts w:ascii="Times New Roman" w:eastAsia="Times New Roman" w:hAnsi="Times New Roman" w:cs="Times New Roman"/>
      <w:sz w:val="24"/>
      <w:szCs w:val="24"/>
      <w:lang w:eastAsia="ko-KR"/>
    </w:rPr>
  </w:style>
  <w:style w:type="paragraph" w:styleId="CommentSubject">
    <w:name w:val="annotation subject"/>
    <w:basedOn w:val="CommentText"/>
    <w:next w:val="CommentText"/>
    <w:link w:val="CommentSubjectChar"/>
    <w:uiPriority w:val="99"/>
    <w:semiHidden/>
    <w:unhideWhenUsed/>
    <w:rsid w:val="002D415B"/>
    <w:rPr>
      <w:b/>
      <w:bCs/>
    </w:rPr>
  </w:style>
  <w:style w:type="character" w:customStyle="1" w:styleId="CommentSubjectChar">
    <w:name w:val="Comment Subject Char"/>
    <w:basedOn w:val="CommentTextChar"/>
    <w:link w:val="CommentSubject"/>
    <w:uiPriority w:val="99"/>
    <w:semiHidden/>
    <w:rsid w:val="002D415B"/>
    <w:rPr>
      <w:rFonts w:ascii="Times New Roman" w:eastAsia="Times New Roman" w:hAnsi="Times New Roman" w:cs="Times New Roman"/>
      <w:b/>
      <w:bCs/>
      <w:sz w:val="20"/>
      <w:szCs w:val="20"/>
      <w:lang w:eastAsia="ko-KR"/>
    </w:rPr>
  </w:style>
  <w:style w:type="paragraph" w:styleId="BalloonText">
    <w:name w:val="Balloon Text"/>
    <w:basedOn w:val="Normal"/>
    <w:link w:val="BalloonTextChar"/>
    <w:uiPriority w:val="99"/>
    <w:semiHidden/>
    <w:unhideWhenUsed/>
    <w:rsid w:val="00650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BD"/>
    <w:rPr>
      <w:rFonts w:ascii="Segoe UI" w:eastAsia="Times New Roman" w:hAnsi="Segoe UI" w:cs="Segoe UI"/>
      <w:sz w:val="18"/>
      <w:szCs w:val="18"/>
      <w:lang w:eastAsia="ko-KR"/>
    </w:rPr>
  </w:style>
  <w:style w:type="paragraph" w:customStyle="1" w:styleId="Text1">
    <w:name w:val="Text 1"/>
    <w:basedOn w:val="Normal"/>
    <w:link w:val="Text1Char"/>
    <w:uiPriority w:val="99"/>
    <w:qFormat/>
    <w:rsid w:val="005D65E0"/>
    <w:pPr>
      <w:spacing w:after="240"/>
      <w:ind w:left="482"/>
      <w:jc w:val="both"/>
    </w:pPr>
    <w:rPr>
      <w:szCs w:val="20"/>
      <w:lang w:eastAsia="en-GB"/>
    </w:rPr>
  </w:style>
  <w:style w:type="character" w:customStyle="1" w:styleId="Text1Char">
    <w:name w:val="Text 1 Char"/>
    <w:link w:val="Text1"/>
    <w:uiPriority w:val="99"/>
    <w:rsid w:val="005D65E0"/>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54247E"/>
    <w:pPr>
      <w:tabs>
        <w:tab w:val="center" w:pos="4513"/>
        <w:tab w:val="right" w:pos="9026"/>
      </w:tabs>
    </w:pPr>
  </w:style>
  <w:style w:type="character" w:customStyle="1" w:styleId="HeaderChar">
    <w:name w:val="Header Char"/>
    <w:basedOn w:val="DefaultParagraphFont"/>
    <w:link w:val="Header"/>
    <w:uiPriority w:val="99"/>
    <w:rsid w:val="0054247E"/>
    <w:rPr>
      <w:rFonts w:ascii="Times New Roman" w:eastAsia="Times New Roman" w:hAnsi="Times New Roman" w:cs="Times New Roman"/>
      <w:sz w:val="24"/>
      <w:szCs w:val="24"/>
      <w:lang w:eastAsia="ko-KR"/>
    </w:rPr>
  </w:style>
  <w:style w:type="paragraph" w:styleId="Footer">
    <w:name w:val="footer"/>
    <w:basedOn w:val="Normal"/>
    <w:link w:val="FooterChar"/>
    <w:uiPriority w:val="99"/>
    <w:unhideWhenUsed/>
    <w:rsid w:val="0054247E"/>
    <w:pPr>
      <w:tabs>
        <w:tab w:val="center" w:pos="4513"/>
        <w:tab w:val="right" w:pos="9026"/>
      </w:tabs>
    </w:pPr>
  </w:style>
  <w:style w:type="character" w:customStyle="1" w:styleId="FooterChar">
    <w:name w:val="Footer Char"/>
    <w:basedOn w:val="DefaultParagraphFont"/>
    <w:link w:val="Footer"/>
    <w:uiPriority w:val="99"/>
    <w:rsid w:val="0054247E"/>
    <w:rPr>
      <w:rFonts w:ascii="Times New Roman" w:eastAsia="Times New Roman" w:hAnsi="Times New Roman" w:cs="Times New Roman"/>
      <w:sz w:val="24"/>
      <w:szCs w:val="24"/>
      <w:lang w:eastAsia="ko-KR"/>
    </w:rPr>
  </w:style>
  <w:style w:type="table" w:styleId="TableGrid">
    <w:name w:val="Table Grid"/>
    <w:basedOn w:val="TableNormal"/>
    <w:uiPriority w:val="59"/>
    <w:rsid w:val="00A12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47B"/>
    <w:rPr>
      <w:color w:val="0563C1" w:themeColor="hyperlink"/>
      <w:u w:val="single"/>
    </w:rPr>
  </w:style>
  <w:style w:type="character" w:styleId="FollowedHyperlink">
    <w:name w:val="FollowedHyperlink"/>
    <w:basedOn w:val="DefaultParagraphFont"/>
    <w:uiPriority w:val="99"/>
    <w:semiHidden/>
    <w:unhideWhenUsed/>
    <w:rsid w:val="00A1247B"/>
    <w:rPr>
      <w:color w:val="954F72" w:themeColor="followedHyperlink"/>
      <w:u w:val="single"/>
    </w:rPr>
  </w:style>
  <w:style w:type="character" w:customStyle="1" w:styleId="Marker">
    <w:name w:val="Marker"/>
    <w:basedOn w:val="DefaultParagraphFont"/>
    <w:rsid w:val="003E3EC0"/>
    <w:rPr>
      <w:color w:val="0000FF"/>
      <w:shd w:val="clear" w:color="auto" w:fill="auto"/>
    </w:rPr>
  </w:style>
  <w:style w:type="paragraph" w:customStyle="1" w:styleId="Pagedecouverture">
    <w:name w:val="Page de couverture"/>
    <w:basedOn w:val="Normal"/>
    <w:next w:val="Normal"/>
    <w:rsid w:val="003E3EC0"/>
    <w:pPr>
      <w:jc w:val="both"/>
    </w:pPr>
    <w:rPr>
      <w:rFonts w:eastAsiaTheme="minorHAnsi"/>
      <w:szCs w:val="22"/>
      <w:lang w:eastAsia="en-US"/>
    </w:rPr>
  </w:style>
  <w:style w:type="paragraph" w:customStyle="1" w:styleId="FooterCoverPage">
    <w:name w:val="Footer Cover Page"/>
    <w:basedOn w:val="Normal"/>
    <w:link w:val="FooterCoverPageChar"/>
    <w:rsid w:val="003E3EC0"/>
    <w:pPr>
      <w:tabs>
        <w:tab w:val="center" w:pos="4535"/>
        <w:tab w:val="right" w:pos="9071"/>
        <w:tab w:val="right" w:pos="9921"/>
      </w:tabs>
      <w:spacing w:before="360"/>
      <w:ind w:left="-850" w:right="-850"/>
    </w:pPr>
  </w:style>
  <w:style w:type="character" w:customStyle="1" w:styleId="FooterCoverPageChar">
    <w:name w:val="Footer Cover Page Char"/>
    <w:basedOn w:val="Heading1Char"/>
    <w:link w:val="FooterCoverPage"/>
    <w:rsid w:val="003E3EC0"/>
    <w:rPr>
      <w:rFonts w:ascii="Times New Roman" w:eastAsia="Times New Roman" w:hAnsi="Times New Roman" w:cs="Times New Roman"/>
      <w:b w:val="0"/>
      <w:smallCaps w:val="0"/>
      <w:sz w:val="24"/>
      <w:szCs w:val="24"/>
      <w:lang w:eastAsia="ko-KR"/>
    </w:rPr>
  </w:style>
  <w:style w:type="paragraph" w:customStyle="1" w:styleId="FooterSensitivity">
    <w:name w:val="Footer Sensitivity"/>
    <w:basedOn w:val="Normal"/>
    <w:link w:val="FooterSensitivityChar"/>
    <w:rsid w:val="003E3EC0"/>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sid w:val="003E3EC0"/>
    <w:rPr>
      <w:rFonts w:ascii="Times New Roman" w:eastAsia="Times New Roman" w:hAnsi="Times New Roman" w:cs="Times New Roman"/>
      <w:b/>
      <w:smallCaps w:val="0"/>
      <w:sz w:val="32"/>
      <w:szCs w:val="24"/>
      <w:lang w:eastAsia="ko-KR"/>
    </w:rPr>
  </w:style>
  <w:style w:type="paragraph" w:customStyle="1" w:styleId="HeaderCoverPage">
    <w:name w:val="Header Cover Page"/>
    <w:basedOn w:val="Normal"/>
    <w:link w:val="HeaderCoverPageChar"/>
    <w:rsid w:val="003E3EC0"/>
    <w:pPr>
      <w:tabs>
        <w:tab w:val="center" w:pos="4535"/>
        <w:tab w:val="right" w:pos="9071"/>
      </w:tabs>
      <w:spacing w:after="120"/>
      <w:jc w:val="both"/>
    </w:pPr>
  </w:style>
  <w:style w:type="character" w:customStyle="1" w:styleId="HeaderCoverPageChar">
    <w:name w:val="Header Cover Page Char"/>
    <w:basedOn w:val="Heading1Char"/>
    <w:link w:val="HeaderCoverPage"/>
    <w:rsid w:val="003E3EC0"/>
    <w:rPr>
      <w:rFonts w:ascii="Times New Roman" w:eastAsia="Times New Roman" w:hAnsi="Times New Roman" w:cs="Times New Roman"/>
      <w:b w:val="0"/>
      <w:smallCaps w:val="0"/>
      <w:sz w:val="24"/>
      <w:szCs w:val="24"/>
      <w:lang w:eastAsia="ko-KR"/>
    </w:rPr>
  </w:style>
  <w:style w:type="paragraph" w:customStyle="1" w:styleId="HeaderSensitivity">
    <w:name w:val="Header Sensitivity"/>
    <w:basedOn w:val="Normal"/>
    <w:link w:val="HeaderSensitivityChar"/>
    <w:rsid w:val="003E3EC0"/>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sid w:val="003E3EC0"/>
    <w:rPr>
      <w:rFonts w:ascii="Times New Roman" w:eastAsia="Times New Roman" w:hAnsi="Times New Roman" w:cs="Times New Roman"/>
      <w:b/>
      <w:smallCaps w:val="0"/>
      <w:sz w:val="32"/>
      <w:szCs w:val="24"/>
      <w:lang w:eastAsia="ko-KR"/>
    </w:rPr>
  </w:style>
  <w:style w:type="paragraph" w:customStyle="1" w:styleId="HeaderSensitivityRight">
    <w:name w:val="Header Sensitivity Right"/>
    <w:basedOn w:val="Normal"/>
    <w:link w:val="HeaderSensitivityRightChar"/>
    <w:rsid w:val="003E3EC0"/>
    <w:pPr>
      <w:spacing w:after="120"/>
      <w:jc w:val="right"/>
    </w:pPr>
    <w:rPr>
      <w:sz w:val="28"/>
    </w:rPr>
  </w:style>
  <w:style w:type="character" w:customStyle="1" w:styleId="HeaderSensitivityRightChar">
    <w:name w:val="Header Sensitivity Right Char"/>
    <w:basedOn w:val="Heading1Char"/>
    <w:link w:val="HeaderSensitivityRight"/>
    <w:rsid w:val="003E3EC0"/>
    <w:rPr>
      <w:rFonts w:ascii="Times New Roman" w:eastAsia="Times New Roman" w:hAnsi="Times New Roman" w:cs="Times New Roman"/>
      <w:b w:val="0"/>
      <w:smallCaps w:val="0"/>
      <w:sz w:val="28"/>
      <w:szCs w:val="24"/>
      <w:lang w:eastAsia="ko-KR"/>
    </w:rPr>
  </w:style>
  <w:style w:type="table" w:customStyle="1" w:styleId="TableLetterhead">
    <w:name w:val="Table Letterhead"/>
    <w:basedOn w:val="TableNormal"/>
    <w:semiHidden/>
    <w:rsid w:val="00CB72EE"/>
    <w:pPr>
      <w:spacing w:after="0" w:line="240" w:lineRule="auto"/>
    </w:pPr>
    <w:rPr>
      <w:rFonts w:ascii="Times New Roman" w:eastAsia="Times New Roman" w:hAnsi="Times New Roman" w:cs="Times New Roman"/>
      <w:sz w:val="24"/>
      <w:szCs w:val="20"/>
      <w:lang w:eastAsia="en-I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8498">
      <w:bodyDiv w:val="1"/>
      <w:marLeft w:val="0"/>
      <w:marRight w:val="0"/>
      <w:marTop w:val="0"/>
      <w:marBottom w:val="0"/>
      <w:divBdr>
        <w:top w:val="none" w:sz="0" w:space="0" w:color="auto"/>
        <w:left w:val="none" w:sz="0" w:space="0" w:color="auto"/>
        <w:bottom w:val="none" w:sz="0" w:space="0" w:color="auto"/>
        <w:right w:val="none" w:sz="0" w:space="0" w:color="auto"/>
      </w:divBdr>
    </w:div>
    <w:div w:id="203297648">
      <w:bodyDiv w:val="1"/>
      <w:marLeft w:val="0"/>
      <w:marRight w:val="0"/>
      <w:marTop w:val="0"/>
      <w:marBottom w:val="0"/>
      <w:divBdr>
        <w:top w:val="none" w:sz="0" w:space="0" w:color="auto"/>
        <w:left w:val="none" w:sz="0" w:space="0" w:color="auto"/>
        <w:bottom w:val="none" w:sz="0" w:space="0" w:color="auto"/>
        <w:right w:val="none" w:sz="0" w:space="0" w:color="auto"/>
      </w:divBdr>
    </w:div>
    <w:div w:id="237328998">
      <w:bodyDiv w:val="1"/>
      <w:marLeft w:val="0"/>
      <w:marRight w:val="0"/>
      <w:marTop w:val="0"/>
      <w:marBottom w:val="0"/>
      <w:divBdr>
        <w:top w:val="none" w:sz="0" w:space="0" w:color="auto"/>
        <w:left w:val="none" w:sz="0" w:space="0" w:color="auto"/>
        <w:bottom w:val="none" w:sz="0" w:space="0" w:color="auto"/>
        <w:right w:val="none" w:sz="0" w:space="0" w:color="auto"/>
      </w:divBdr>
    </w:div>
    <w:div w:id="11004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r-lex.europa.eu/legal-content/DE/TXT/PDF/?uri=CELEX:32019R1688" TargetMode="External"/><Relationship Id="rId39" Type="http://schemas.openxmlformats.org/officeDocument/2006/relationships/hyperlink" Target="https://eur-lex.europa.eu/legal-content/DE/TXT/PDF/?uri=CELEX:32021R1784&amp;from=EN" TargetMode="External"/><Relationship Id="rId21" Type="http://schemas.openxmlformats.org/officeDocument/2006/relationships/footer" Target="footer4.xml"/><Relationship Id="rId34" Type="http://schemas.openxmlformats.org/officeDocument/2006/relationships/hyperlink" Target="https://eur-lex.europa.eu/legal-content/DE/TXT/PDF/?uri=CELEX:32020R1428&amp;from=DE" TargetMode="External"/><Relationship Id="rId42" Type="http://schemas.openxmlformats.org/officeDocument/2006/relationships/hyperlink" Target="https://eur-lex.europa.eu/legal-content/DE/TXT/PDF/?uri=CELEX:32021R2012" TargetMode="External"/><Relationship Id="rId47" Type="http://schemas.openxmlformats.org/officeDocument/2006/relationships/hyperlink" Target="https://eur-lex.europa.eu/legal-content/DE/TXT/PDF/?uri=CELEX:32021R0983&amp;from=DE" TargetMode="External"/><Relationship Id="rId50" Type="http://schemas.openxmlformats.org/officeDocument/2006/relationships/hyperlink" Target="https://eur-lex.europa.eu/legal-content/DE/TXT/PDF/?uri=CELEX:32022R0191" TargetMode="External"/><Relationship Id="rId55" Type="http://schemas.openxmlformats.org/officeDocument/2006/relationships/hyperlink" Target="https://eur-lex.europa.eu/legal-content/DE/TXT/PDF/?uri=CELEX:32022R0547" TargetMode="External"/><Relationship Id="rId63" Type="http://schemas.openxmlformats.org/officeDocument/2006/relationships/header" Target="header7.xml"/><Relationship Id="rId68" Type="http://schemas.openxmlformats.org/officeDocument/2006/relationships/footer" Target="footer9.xml"/><Relationship Id="rId76" Type="http://schemas.openxmlformats.org/officeDocument/2006/relationships/hyperlink" Target="https://eur-lex.europa.eu/legal-content/DE/TXT/PDF/?uri=CELEX:32022R0433"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eur-lex.europa.eu/legal-content/DE/TXT/PDF/?uri=CELEX:32020R0776&amp;from=EN"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ur-lex.europa.eu/legal-content/DE/TXT/PDF/?uri=CELEX:32020R0492&amp;from=PL" TargetMode="Externa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eur-lex.europa.eu/legal-content/DE/TXT/PDF/?uri=CELEX:32020R0705&amp;from=EN" TargetMode="External"/><Relationship Id="rId37" Type="http://schemas.openxmlformats.org/officeDocument/2006/relationships/hyperlink" Target="https://eur-lex.europa.eu/legal-content/DE/TXT/PDF/?uri=CELEX:32021R1100&amp;from=LV" TargetMode="External"/><Relationship Id="rId40" Type="http://schemas.openxmlformats.org/officeDocument/2006/relationships/hyperlink" Target="https://eur-lex.europa.eu/legal-content/DE/TXT/PDF/?uri=CELEX:32021R2011" TargetMode="External"/><Relationship Id="rId45" Type="http://schemas.openxmlformats.org/officeDocument/2006/relationships/hyperlink" Target="https://eur-lex.europa.eu/legal-content/DE/TXT/PDF/?uri=CELEX:32021R0940" TargetMode="External"/><Relationship Id="rId53" Type="http://schemas.openxmlformats.org/officeDocument/2006/relationships/hyperlink" Target="https://eur-lex.europa.eu/legal-content/DE/TXT/PDF/?uri=CELEX:32021R1812&amp;from=EN" TargetMode="External"/><Relationship Id="rId58" Type="http://schemas.openxmlformats.org/officeDocument/2006/relationships/hyperlink" Target="https://eur-lex.europa.eu/legal-content/DE/TXT/PDF/?uri=CELEX:32022R2247&amp;from=EN" TargetMode="External"/><Relationship Id="rId66" Type="http://schemas.openxmlformats.org/officeDocument/2006/relationships/footer" Target="footer8.xml"/><Relationship Id="rId74" Type="http://schemas.openxmlformats.org/officeDocument/2006/relationships/hyperlink" Target="https://eur-lex.europa.eu/legal-content/DE/TXT/PDF/?uri=CELEX:32021R2287" TargetMode="External"/><Relationship Id="rId79" Type="http://schemas.openxmlformats.org/officeDocument/2006/relationships/footer" Target="footer10.xml"/><Relationship Id="rId5" Type="http://schemas.openxmlformats.org/officeDocument/2006/relationships/customXml" Target="../customXml/item5.xml"/><Relationship Id="rId61" Type="http://schemas.openxmlformats.org/officeDocument/2006/relationships/hyperlink" Target="https://eur-lex.europa.eu/legal-content/DE/TXT/PDF/?uri=CELEX:32023R0099" TargetMode="External"/><Relationship Id="rId82"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eur-lex.europa.eu/legal-content/DE/TXT/PDF/?uri=CELEX:32020R1408&amp;from=EN" TargetMode="External"/><Relationship Id="rId44" Type="http://schemas.openxmlformats.org/officeDocument/2006/relationships/hyperlink" Target="https://eur-lex.europa.eu/legal-content/DE/TXT/PDF/?uri=CELEX:32021R1976" TargetMode="External"/><Relationship Id="rId52" Type="http://schemas.openxmlformats.org/officeDocument/2006/relationships/hyperlink" Target="https://eur-lex.europa.eu/legal-content/DE/TXT/PDF/?uri=CELEX:32022R0468" TargetMode="External"/><Relationship Id="rId60" Type="http://schemas.openxmlformats.org/officeDocument/2006/relationships/hyperlink" Target="hhttps://eur-lex.europa.eu/legal-content/DE/TXT/PDF/?uri=CELEX:32022R1221&amp;from=EN" TargetMode="External"/><Relationship Id="rId65" Type="http://schemas.openxmlformats.org/officeDocument/2006/relationships/footer" Target="footer7.xml"/><Relationship Id="rId73" Type="http://schemas.openxmlformats.org/officeDocument/2006/relationships/hyperlink" Target="https://eur-lex.europa.eu/legal-content/DE/TXT/PDF/?uri=CELEX:32020R0870&amp;from=EN" TargetMode="External"/><Relationship Id="rId78" Type="http://schemas.openxmlformats.org/officeDocument/2006/relationships/header" Target="header11.xml"/><Relationship Id="rId8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ur-lex.europa.eu/legal-content/DE/TXT/PDF/?uri=CELEX:32019R1693&amp;rid=11" TargetMode="External"/><Relationship Id="rId30" Type="http://schemas.openxmlformats.org/officeDocument/2006/relationships/hyperlink" Target="https://eur-lex.europa.eu/legal-content/DE/TXT/PDF/?uri=CELEX:32020R0508&amp;rid=12" TargetMode="External"/><Relationship Id="rId35" Type="http://schemas.openxmlformats.org/officeDocument/2006/relationships/hyperlink" Target="https://eur-lex.europa.eu/legal-content/DE/TXT/PDF/?uri=CELEX:32021R0546&amp;from=EN" TargetMode="External"/><Relationship Id="rId43" Type="http://schemas.openxmlformats.org/officeDocument/2006/relationships/hyperlink" Target="https://eur-lex.europa.eu/legal-content/DE/TXT/PDF/?uri=CELEX:32021R0939&amp;from=DE" TargetMode="External"/><Relationship Id="rId48" Type="http://schemas.openxmlformats.org/officeDocument/2006/relationships/hyperlink" Target="https://eur-lex.europa.eu/legal-content/DE/TXT/PDF/?uri=CELEX:02021R2170-20211223&amp;qid=1649946650372&amp;from=en" TargetMode="External"/><Relationship Id="rId56" Type="http://schemas.openxmlformats.org/officeDocument/2006/relationships/hyperlink" Target="https://eur-lex.europa.eu/legal-content/DE/TXT/PDF/?uri=CELEX:32022R1395" TargetMode="External"/><Relationship Id="rId64" Type="http://schemas.openxmlformats.org/officeDocument/2006/relationships/header" Target="header8.xml"/><Relationship Id="rId69" Type="http://schemas.openxmlformats.org/officeDocument/2006/relationships/hyperlink" Target="https://eur-lex.europa.eu/legal-content/DE/TXT/PDF/?uri=CELEX:32019R1344&amp;from=EN" TargetMode="External"/><Relationship Id="rId77" Type="http://schemas.openxmlformats.org/officeDocument/2006/relationships/header" Target="header10.xml"/><Relationship Id="rId8" Type="http://schemas.openxmlformats.org/officeDocument/2006/relationships/settings" Target="settings.xml"/><Relationship Id="rId51" Type="http://schemas.openxmlformats.org/officeDocument/2006/relationships/hyperlink" Target="https://eur-lex.europa.eu/legal-content/DE/TXT/PDF/?uri=CELEX:32021R1811&amp;from=EN" TargetMode="External"/><Relationship Id="rId72" Type="http://schemas.openxmlformats.org/officeDocument/2006/relationships/hyperlink" Target="https://eur-lex.europa.eu/legal-content/DE/TXT/PDF/?uri=CELEX:32020R0379&amp;from=EN" TargetMode="External"/><Relationship Id="rId80"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ur-lex.europa.eu/legal-content/DE/TXT/PDF/?uri=CELEX:32019R0576&amp;from=PL" TargetMode="External"/><Relationship Id="rId33" Type="http://schemas.openxmlformats.org/officeDocument/2006/relationships/hyperlink" Target="https://eur-lex.europa.eu/legal-content/DE/TXT/PDF/?uri=CELEX:32020R1524&amp;from=DA" TargetMode="External"/><Relationship Id="rId38" Type="http://schemas.openxmlformats.org/officeDocument/2006/relationships/hyperlink" Target="https://eur-lex.europa.eu/legal-content/DE/TXT/PDF/?uri=CELEX:32021R0582&amp;from=EN" TargetMode="External"/><Relationship Id="rId46" Type="http://schemas.openxmlformats.org/officeDocument/2006/relationships/hyperlink" Target="https://eur-lex.europa.eu/legal-content/DE/TXT/PDF/?uri=CELEX:32021R1930&amp;from=DE" TargetMode="External"/><Relationship Id="rId59" Type="http://schemas.openxmlformats.org/officeDocument/2006/relationships/hyperlink" Target="https://eur-lex.europa.eu/legal-content/DE/TXT/PDF/?uri=CELEX:32023R0265&amp;from=EN" TargetMode="External"/><Relationship Id="rId67" Type="http://schemas.openxmlformats.org/officeDocument/2006/relationships/header" Target="header9.xml"/><Relationship Id="rId20" Type="http://schemas.openxmlformats.org/officeDocument/2006/relationships/header" Target="header5.xml"/><Relationship Id="rId41" Type="http://schemas.openxmlformats.org/officeDocument/2006/relationships/hyperlink" Target="https://eur-lex.europa.eu/legal-content/DE/TXT/PDF/?uri=CELEX:32021R0854&amp;from=DE" TargetMode="External"/><Relationship Id="rId54" Type="http://schemas.openxmlformats.org/officeDocument/2006/relationships/hyperlink" Target="https://eur-lex.europa.eu/legal-content/DE/TXT/PDF/?uri=CELEX:32022R0558" TargetMode="External"/><Relationship Id="rId62" Type="http://schemas.openxmlformats.org/officeDocument/2006/relationships/hyperlink" Target="https://eur-lex.europa.eu/legal-content/DE/TXT/PDF/?uri=OJ:L:2023:111:FULL" TargetMode="External"/><Relationship Id="rId70" Type="http://schemas.openxmlformats.org/officeDocument/2006/relationships/hyperlink" Target="https://eur-lex.europa.eu/legal-content/DE/TXT/PDF/?uri=CELEX:32019R2092&amp;from=LV" TargetMode="External"/><Relationship Id="rId75" Type="http://schemas.openxmlformats.org/officeDocument/2006/relationships/hyperlink" Target="https://eur-lex.europa.eu/legal-content/DE/TXT/PDF/?uri=CELEX:32022R0072"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eur-lex.europa.eu/legal-content/DE/TXT/PDF/?uri=CELEX:32020R0353&amp;from=EN" TargetMode="External"/><Relationship Id="rId36" Type="http://schemas.openxmlformats.org/officeDocument/2006/relationships/hyperlink" Target="https://eur-lex.europa.eu/legal-content/DE/TXT/PDF/?uri=CELEX:02021R1100-20210706&amp;from=EN" TargetMode="External"/><Relationship Id="rId49" Type="http://schemas.openxmlformats.org/officeDocument/2006/relationships/hyperlink" Target="https://eur-lex.europa.eu/legal-content/DE/TXT/PDF/?uri=CELEX:32021R2239" TargetMode="External"/><Relationship Id="rId57" Type="http://schemas.openxmlformats.org/officeDocument/2006/relationships/hyperlink" Target="https://eur-lex.europa.eu/legal-content/DE/TXT/PDF/?uri=CELEX:32022R0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4F5999BDAEF46BEF822F85D8A1667" ma:contentTypeVersion="1" ma:contentTypeDescription="Create a new document." ma:contentTypeScope="" ma:versionID="bfe2d57786f5250c5a957067e11c268f">
  <xsd:schema xmlns:xsd="http://www.w3.org/2001/XMLSchema" xmlns:xs="http://www.w3.org/2001/XMLSchema" xmlns:p="http://schemas.microsoft.com/office/2006/metadata/properties" xmlns:ns2="92ef4216-f0ec-4b98-ab56-e7c7a877235f" targetNamespace="http://schemas.microsoft.com/office/2006/metadata/properties" ma:root="true" ma:fieldsID="75aa4a52248516d29bc7256a8ab774c8" ns2:_="">
    <xsd:import namespace="92ef4216-f0ec-4b98-ab56-e7c7a87723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f4216-f0ec-4b98-ab56-e7c7a87723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6381D2D157734CBFA527EF8CAAC886" ma:contentTypeVersion="2" ma:contentTypeDescription="Create a new document." ma:contentTypeScope="" ma:versionID="2e8ec9d09716d6674ef6f5e9e8507b53">
  <xsd:schema xmlns:xsd="http://www.w3.org/2001/XMLSchema" xmlns:xs="http://www.w3.org/2001/XMLSchema" xmlns:p="http://schemas.microsoft.com/office/2006/metadata/properties" xmlns:ns2="788e74fc-f0c5-4b41-90cc-6c83f6640caa" targetNamespace="http://schemas.microsoft.com/office/2006/metadata/properties" ma:root="true" ma:fieldsID="759a41bf5fd9bf9aa95d38fc30f077d7" ns2:_="">
    <xsd:import namespace="788e74fc-f0c5-4b41-90cc-6c83f6640ca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74fc-f0c5-4b41-90cc-6c83f6640c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41F5-2965-4D94-BABB-2C7AABC76C2F}">
  <ds:schemaRefs>
    <ds:schemaRef ds:uri="http://schemas.microsoft.com/sharepoint/v3/contenttype/forms"/>
  </ds:schemaRefs>
</ds:datastoreItem>
</file>

<file path=customXml/itemProps2.xml><?xml version="1.0" encoding="utf-8"?>
<ds:datastoreItem xmlns:ds="http://schemas.openxmlformats.org/officeDocument/2006/customXml" ds:itemID="{9DEB7FFA-5E5B-4F29-B56E-8B948FC8B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f4216-f0ec-4b98-ab56-e7c7a8772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480EC-E023-4F48-AE50-C481109D5B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53AD7-9740-4FC3-814E-90519687F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74fc-f0c5-4b41-90cc-6c83f6640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E49C8A-DAA7-4F34-894E-C702C220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5556</Words>
  <Characters>37950</Characters>
  <Application>Microsoft Office Word</Application>
  <DocSecurity>0</DocSecurity>
  <Lines>1265</Lines>
  <Paragraphs>494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2023-04-21T12:52:00Z</cp:lastPrinted>
  <dcterms:created xsi:type="dcterms:W3CDTF">2023-05-26T10:11:00Z</dcterms:created>
  <dcterms:modified xsi:type="dcterms:W3CDTF">2023-05-31T07:22:00Z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2023-03-24T06:56:01Z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6c661e6e-0ca0-4788-8072-be8c0505aa26</vt:lpwstr>
  </property>
  <property fmtid="{D5CDD505-2E9C-101B-9397-08002B2CF9AE}" pid="8" name="MSIP_Label_6bd9ddd1-4d20-43f6-abfa-fc3c07406f94_ContentBits">
    <vt:lpwstr>0</vt:lpwstr>
  </property>
  <property fmtid="{D5CDD505-2E9C-101B-9397-08002B2CF9AE}" pid="9" name="ContentTypeId">
    <vt:lpwstr>0x0101004264F5999BDAEF46BEF822F85D8A1667</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CP-012</vt:lpwstr>
  </property>
  <property fmtid="{D5CDD505-2E9C-101B-9397-08002B2CF9AE}" pid="15" name="Last edited using">
    <vt:lpwstr>LW 9.0, Build 20230317</vt:lpwstr>
  </property>
  <property fmtid="{D5CDD505-2E9C-101B-9397-08002B2CF9AE}" pid="16" name="Created using">
    <vt:lpwstr>LW 8.1, Build 20230124</vt:lpwstr>
  </property>
</Properties>
</file>