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BEA28" w14:textId="2CE92BE4" w:rsidR="00AC0378" w:rsidRPr="003C0701" w:rsidRDefault="00C80A7B" w:rsidP="00C80A7B">
      <w:pPr>
        <w:pStyle w:val="Pagedecouverture"/>
        <w:rPr>
          <w:noProof/>
        </w:rPr>
      </w:pPr>
      <w:bookmarkStart w:id="0" w:name="LW_BM_COVERPAGE"/>
      <w:r>
        <w:rPr>
          <w:noProof/>
        </w:rPr>
        <w:pict w14:anchorId="0F9E8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DFC04FA-6D97-4796-857B-9D3275B4C0C0" style="width:455.25pt;height:324pt">
            <v:imagedata r:id="rId8" o:title=""/>
          </v:shape>
        </w:pict>
      </w:r>
    </w:p>
    <w:bookmarkEnd w:id="0"/>
    <w:p w14:paraId="4CE3005C" w14:textId="77777777" w:rsidR="00AC0378" w:rsidRPr="003C0701" w:rsidRDefault="00AC0378">
      <w:pPr>
        <w:rPr>
          <w:noProof/>
        </w:rPr>
        <w:sectPr w:rsidR="00AC0378" w:rsidRPr="003C0701" w:rsidSect="00C80A7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20C6FB91" w14:textId="39E2C565" w:rsidR="00686E9B" w:rsidRPr="00686E9B" w:rsidRDefault="00686E9B" w:rsidP="00686E9B">
      <w:pPr>
        <w:pStyle w:val="Typedudocument"/>
        <w:rPr>
          <w:noProof/>
        </w:rPr>
      </w:pPr>
      <w:bookmarkStart w:id="1" w:name="_GoBack"/>
      <w:bookmarkEnd w:id="1"/>
      <w:r w:rsidRPr="00686E9B">
        <w:rPr>
          <w:noProof/>
        </w:rPr>
        <w:lastRenderedPageBreak/>
        <w:t>СЪОБЩЕНИЕ НА КОМИСИЯТА ДО ЕВРОПЕЙСКИЯ ПАРЛАМЕНТ И СЪВЕТА</w:t>
      </w:r>
    </w:p>
    <w:p w14:paraId="3B409D42" w14:textId="50E5AD46" w:rsidR="00686E9B" w:rsidRPr="00686E9B" w:rsidRDefault="00686E9B" w:rsidP="00686E9B">
      <w:pPr>
        <w:pStyle w:val="Titreobjet"/>
        <w:rPr>
          <w:noProof/>
        </w:rPr>
      </w:pPr>
      <w:r w:rsidRPr="00686E9B">
        <w:rPr>
          <w:noProof/>
        </w:rPr>
        <w:t>Устойчив риболов в ЕС: актуално състояние и насоки за 2024 г.</w:t>
      </w:r>
    </w:p>
    <w:p w14:paraId="35E7F7BE" w14:textId="5DF280B6" w:rsidR="00AC0378" w:rsidRPr="003C0701" w:rsidRDefault="001D6309">
      <w:pPr>
        <w:pStyle w:val="Heading1"/>
        <w:rPr>
          <w:noProof/>
        </w:rPr>
      </w:pPr>
      <w:r>
        <w:rPr>
          <w:noProof/>
        </w:rPr>
        <w:t>Въведение</w:t>
      </w:r>
    </w:p>
    <w:p w14:paraId="1F181342" w14:textId="2953CC3F" w:rsidR="00AC0378" w:rsidRPr="0003019D" w:rsidRDefault="001D6309" w:rsidP="0003019D">
      <w:pPr>
        <w:jc w:val="both"/>
        <w:rPr>
          <w:rFonts w:ascii="Times New Roman" w:hAnsi="Times New Roman" w:cs="Times New Roman"/>
          <w:noProof/>
          <w:sz w:val="24"/>
          <w:szCs w:val="24"/>
        </w:rPr>
      </w:pPr>
      <w:r>
        <w:rPr>
          <w:rFonts w:ascii="Times New Roman" w:hAnsi="Times New Roman"/>
          <w:noProof/>
          <w:sz w:val="24"/>
        </w:rPr>
        <w:t>В настоящото съобщение се предоставя допълнителна информация относно състоянието на европейското рибарство, наблюдавано през 2022 г. В него също така се представят предложенията на Комисията и консултациите с трети държави относно възможностите за риболов за 2024 г. Целта е да се подобри устойчивостта на рибарството, да се ускори възстановяването на запасите, за да се постигне целта за максималния устойчив улов (МУУ), и да се поддържат запасите в добро състояние на равнището на МУУ.</w:t>
      </w:r>
    </w:p>
    <w:p w14:paraId="79A79FA4" w14:textId="0A3D2B9A" w:rsidR="00A12484" w:rsidRPr="0003019D" w:rsidRDefault="00C70F89" w:rsidP="0003019D">
      <w:pPr>
        <w:jc w:val="both"/>
        <w:rPr>
          <w:rFonts w:ascii="Times New Roman" w:hAnsi="Times New Roman" w:cs="Times New Roman"/>
          <w:noProof/>
          <w:sz w:val="24"/>
          <w:szCs w:val="24"/>
        </w:rPr>
      </w:pPr>
      <w:r>
        <w:rPr>
          <w:rFonts w:ascii="Times New Roman" w:hAnsi="Times New Roman"/>
          <w:b/>
          <w:noProof/>
          <w:sz w:val="24"/>
        </w:rPr>
        <w:t>Вече много по-малко рибни запаси са подложени на прекомерен улов и рибарите имат социално-икономически ползи от някои запаси, които от известно време се управляват на по-стабилни равнища.</w:t>
      </w:r>
      <w:r>
        <w:rPr>
          <w:rFonts w:ascii="Times New Roman" w:hAnsi="Times New Roman"/>
          <w:noProof/>
          <w:sz w:val="24"/>
        </w:rPr>
        <w:t xml:space="preserve"> Високите цени на горивата обаче намаляват тези ползи, което показа необходимостта от изграждане на устойчивост, която да прави риболовния флот на ЕС по-малко зависим от изкопаеми горива и да опазва рибните запаси. За да се справи с основните предизвикателства и да подобри устойчивостта на рибарството в ЕС, Комисията започна всеобхватен и конструктивен процес на сътрудничество в рамките на </w:t>
      </w:r>
      <w:r>
        <w:rPr>
          <w:rFonts w:ascii="Times New Roman" w:hAnsi="Times New Roman"/>
          <w:b/>
          <w:noProof/>
          <w:sz w:val="24"/>
        </w:rPr>
        <w:t>пакета от мерки за рибарството и океаните</w:t>
      </w:r>
      <w:r>
        <w:rPr>
          <w:rFonts w:ascii="Times New Roman" w:hAnsi="Times New Roman" w:cs="Times New Roman"/>
          <w:noProof/>
          <w:sz w:val="24"/>
          <w:szCs w:val="24"/>
          <w:vertAlign w:val="superscript"/>
        </w:rPr>
        <w:footnoteReference w:id="2"/>
      </w:r>
      <w:r>
        <w:rPr>
          <w:rFonts w:ascii="Times New Roman" w:hAnsi="Times New Roman"/>
          <w:noProof/>
          <w:sz w:val="24"/>
        </w:rPr>
        <w:t>. Изключително важно е този ангажимент и диалог да продължат.</w:t>
      </w:r>
    </w:p>
    <w:p w14:paraId="1333789C" w14:textId="0E697A6C" w:rsidR="00183614" w:rsidRPr="00796D46" w:rsidRDefault="007A15CD" w:rsidP="0003019D">
      <w:pPr>
        <w:jc w:val="both"/>
        <w:rPr>
          <w:rFonts w:ascii="Times New Roman" w:hAnsi="Times New Roman"/>
          <w:noProof/>
          <w:sz w:val="24"/>
        </w:rPr>
      </w:pPr>
      <w:bookmarkStart w:id="2" w:name="_Hlk132741266"/>
      <w:r>
        <w:rPr>
          <w:rFonts w:ascii="Times New Roman" w:hAnsi="Times New Roman"/>
          <w:noProof/>
          <w:sz w:val="24"/>
        </w:rPr>
        <w:t>Започналата през февруари 2022 военна агресия на Русия срещу Украйна засегна по различни начини рибарството в ЕС — най-вече това в Черно море. Това доведе до продължаващи смущения в риболовните дейности и търговските потоци, оказа въздействие върху научните становища, както и върху някои преговори на международно равнище.</w:t>
      </w:r>
      <w:r>
        <w:rPr>
          <w:noProof/>
        </w:rPr>
        <w:t xml:space="preserve"> </w:t>
      </w:r>
      <w:r>
        <w:rPr>
          <w:rFonts w:ascii="Times New Roman" w:hAnsi="Times New Roman"/>
          <w:noProof/>
          <w:sz w:val="24"/>
        </w:rPr>
        <w:t>Това показва колко е важно да се повиши устойчивостта, за да се гарантира продоволствената сигурност в Европа, да се постигнат целите на Зеления пакт</w:t>
      </w:r>
      <w:r>
        <w:rPr>
          <w:rStyle w:val="FootnoteReference"/>
          <w:rFonts w:ascii="Times New Roman" w:hAnsi="Times New Roman"/>
          <w:noProof/>
          <w:sz w:val="24"/>
        </w:rPr>
        <w:footnoteReference w:id="3"/>
      </w:r>
      <w:r>
        <w:rPr>
          <w:rFonts w:ascii="Times New Roman" w:hAnsi="Times New Roman"/>
          <w:noProof/>
          <w:sz w:val="24"/>
        </w:rPr>
        <w:t xml:space="preserve"> и да се предприемат допълнителни мерки в областта на иновациите и енергийния преход, както се подчертава в пакета от м</w:t>
      </w:r>
      <w:r w:rsidR="00686E9B">
        <w:rPr>
          <w:rFonts w:ascii="Times New Roman" w:hAnsi="Times New Roman"/>
          <w:noProof/>
          <w:sz w:val="24"/>
        </w:rPr>
        <w:t>ерки за рибарството и океаните.</w:t>
      </w:r>
    </w:p>
    <w:bookmarkEnd w:id="2"/>
    <w:p w14:paraId="7317B796" w14:textId="77777777" w:rsidR="00616704" w:rsidRPr="003C0701" w:rsidRDefault="001D6309" w:rsidP="00616704">
      <w:pPr>
        <w:pStyle w:val="Heading1"/>
        <w:rPr>
          <w:noProof/>
        </w:rPr>
      </w:pPr>
      <w:r>
        <w:rPr>
          <w:noProof/>
        </w:rPr>
        <w:t>Напредък при постигането на устойчив риболов в ЕС</w:t>
      </w:r>
    </w:p>
    <w:p w14:paraId="6FEAFD8F" w14:textId="3F273A84" w:rsidR="009E6411" w:rsidRPr="003C0701" w:rsidRDefault="00183614">
      <w:pPr>
        <w:pStyle w:val="Text2"/>
        <w:ind w:left="0"/>
        <w:rPr>
          <w:noProof/>
          <w:color w:val="000000"/>
          <w:szCs w:val="24"/>
        </w:rPr>
      </w:pPr>
      <w:r>
        <w:rPr>
          <w:noProof/>
          <w:color w:val="000000"/>
        </w:rPr>
        <w:t>Устойчив риболов означава уловът да не превишава количеството риба, което запасите са в състояние да възпроизвеждат всяка година. Запасите се експлоатират устойчиво при МУУ, когато съотношението между действителната смъртност от риболов (F) и смъртността от риболов в съответствие с МУУ (F</w:t>
      </w:r>
      <w:r>
        <w:rPr>
          <w:noProof/>
          <w:color w:val="000000"/>
          <w:vertAlign w:val="subscript"/>
        </w:rPr>
        <w:t>MSY</w:t>
      </w:r>
      <w:r>
        <w:rPr>
          <w:noProof/>
          <w:color w:val="000000"/>
        </w:rPr>
        <w:t>) е равно на 1 или по-малко</w:t>
      </w:r>
      <w:r>
        <w:rPr>
          <w:rStyle w:val="FootnoteReference"/>
          <w:noProof/>
          <w:color w:val="000000"/>
          <w:szCs w:val="24"/>
        </w:rPr>
        <w:footnoteReference w:id="4"/>
      </w:r>
      <w:r w:rsidR="00686E9B">
        <w:rPr>
          <w:noProof/>
          <w:color w:val="000000"/>
        </w:rPr>
        <w:t>.</w:t>
      </w:r>
    </w:p>
    <w:p w14:paraId="250E51C2" w14:textId="7FA70080" w:rsidR="00B26833" w:rsidRPr="003C0701" w:rsidRDefault="00B26833">
      <w:pPr>
        <w:pStyle w:val="Text2"/>
        <w:ind w:left="0"/>
        <w:rPr>
          <w:noProof/>
        </w:rPr>
      </w:pPr>
      <w:r>
        <w:rPr>
          <w:noProof/>
        </w:rPr>
        <w:t>Благодарение на инвестициите, направени от рибарите и националните администрации, и на ангажимента на Европейския парламент, Съвета и Комисията за отговорно управление на рибарството, риболовът стана по-устойчив и вече много по-малко запаси са под</w:t>
      </w:r>
      <w:r w:rsidR="00686E9B">
        <w:rPr>
          <w:noProof/>
        </w:rPr>
        <w:t>ложени на прекомерен улов в ЕС.</w:t>
      </w:r>
    </w:p>
    <w:p w14:paraId="6D8042A7" w14:textId="46334D82" w:rsidR="00047D5C" w:rsidRPr="003C0701" w:rsidRDefault="001D6309">
      <w:pPr>
        <w:pStyle w:val="Text2"/>
        <w:ind w:left="0"/>
        <w:rPr>
          <w:noProof/>
        </w:rPr>
      </w:pPr>
      <w:r>
        <w:rPr>
          <w:noProof/>
        </w:rPr>
        <w:t xml:space="preserve">През 2003 г. повечето запаси, които представляват интерес за ЕС, са били подложени на прекомерен улов, а средната смъртност от риболов в </w:t>
      </w:r>
      <w:r>
        <w:rPr>
          <w:b/>
          <w:noProof/>
        </w:rPr>
        <w:t>Североизточния Атлантически океан</w:t>
      </w:r>
      <w:r>
        <w:rPr>
          <w:noProof/>
        </w:rPr>
        <w:t xml:space="preserve"> е била 1.68 F</w:t>
      </w:r>
      <w:r>
        <w:rPr>
          <w:noProof/>
          <w:vertAlign w:val="subscript"/>
        </w:rPr>
        <w:t>MSY</w:t>
      </w:r>
      <w:r>
        <w:rPr>
          <w:noProof/>
        </w:rPr>
        <w:t>.</w:t>
      </w:r>
      <w:r>
        <w:rPr>
          <w:noProof/>
          <w:vertAlign w:val="subscript"/>
        </w:rPr>
        <w:t xml:space="preserve"> </w:t>
      </w:r>
      <w:r>
        <w:rPr>
          <w:noProof/>
        </w:rPr>
        <w:t>Оттогава този процент е спаднал, като през 2021 г. е достигнал най-ниската стойност — 0,76.</w:t>
      </w:r>
      <w:r>
        <w:rPr>
          <w:noProof/>
          <w:vertAlign w:val="subscript"/>
        </w:rPr>
        <w:t xml:space="preserve"> </w:t>
      </w:r>
      <w:r>
        <w:rPr>
          <w:noProof/>
        </w:rPr>
        <w:t xml:space="preserve">В </w:t>
      </w:r>
      <w:r>
        <w:rPr>
          <w:b/>
          <w:noProof/>
        </w:rPr>
        <w:t>Средиземно море и Черно море</w:t>
      </w:r>
      <w:r>
        <w:rPr>
          <w:noProof/>
        </w:rPr>
        <w:t xml:space="preserve"> средният процент на смъртност е спаднал от 2,06 F</w:t>
      </w:r>
      <w:r>
        <w:rPr>
          <w:noProof/>
          <w:vertAlign w:val="subscript"/>
        </w:rPr>
        <w:t>MSY</w:t>
      </w:r>
      <w:r>
        <w:rPr>
          <w:noProof/>
        </w:rPr>
        <w:t xml:space="preserve"> през 2003 г. на 1,7 през 2020 г.</w:t>
      </w:r>
      <w:r>
        <w:rPr>
          <w:rStyle w:val="FootnoteReference"/>
          <w:noProof/>
        </w:rPr>
        <w:footnoteReference w:id="5"/>
      </w:r>
      <w:r>
        <w:rPr>
          <w:noProof/>
        </w:rPr>
        <w:t>, и в сравнение с предходната година сега са налични повече оценки на запасите, което е подобрило ситуацията. Смъртността от риболов е намаляла най-много в източната част на Средиземно море, следвана от Черно море и западната част на Средиземно море. В централната част на Средиземно море с</w:t>
      </w:r>
      <w:r w:rsidR="00686E9B">
        <w:rPr>
          <w:noProof/>
        </w:rPr>
        <w:t>е наблюдава само малка промяна.</w:t>
      </w:r>
    </w:p>
    <w:p w14:paraId="0DF49ED0" w14:textId="752DCD8A" w:rsidR="008B5A0D" w:rsidRPr="003C0701" w:rsidRDefault="008B5A0D" w:rsidP="008B5A0D">
      <w:pPr>
        <w:jc w:val="both"/>
        <w:rPr>
          <w:rFonts w:ascii="Times New Roman" w:hAnsi="Times New Roman" w:cs="Times New Roman"/>
          <w:noProof/>
          <w:sz w:val="24"/>
          <w:szCs w:val="24"/>
        </w:rPr>
      </w:pPr>
      <w:r>
        <w:rPr>
          <w:rFonts w:ascii="Times New Roman" w:hAnsi="Times New Roman"/>
          <w:noProof/>
          <w:sz w:val="24"/>
        </w:rPr>
        <w:t>Когато процентът на смъртност от риболов е намалял, биомасата на рибните запаси се увеличава</w:t>
      </w:r>
      <w:r>
        <w:rPr>
          <w:rStyle w:val="FootnoteReference"/>
          <w:rFonts w:ascii="Times New Roman" w:hAnsi="Times New Roman" w:cs="Times New Roman"/>
          <w:noProof/>
          <w:sz w:val="24"/>
          <w:szCs w:val="24"/>
        </w:rPr>
        <w:footnoteReference w:id="6"/>
      </w:r>
      <w:r>
        <w:rPr>
          <w:rFonts w:ascii="Times New Roman" w:hAnsi="Times New Roman"/>
          <w:noProof/>
          <w:sz w:val="24"/>
        </w:rPr>
        <w:t>. Това спомага за подобряване на улова и рентабилността на рибарството и увеличава въглеродната ефективност (изразени в kg уловена риба на килограм въглеродни емисии). За илюстрация на стойността на доброто управление може да послужи фактът, че през 2021 г. в Бискайския залив за първи път в рамките на общата политика в областта на рибарството</w:t>
      </w:r>
      <w:r>
        <w:rPr>
          <w:rStyle w:val="FootnoteReference"/>
          <w:rFonts w:ascii="Times New Roman" w:hAnsi="Times New Roman" w:cs="Times New Roman"/>
          <w:noProof/>
          <w:sz w:val="24"/>
          <w:szCs w:val="24"/>
        </w:rPr>
        <w:footnoteReference w:id="7"/>
      </w:r>
      <w:r>
        <w:rPr>
          <w:rFonts w:ascii="Times New Roman" w:hAnsi="Times New Roman"/>
          <w:noProof/>
          <w:sz w:val="24"/>
        </w:rPr>
        <w:t xml:space="preserve"> (ОПОР) нито един запас не е бил подложен на прекомерен улов. Растежът на рибните популации в този район е забележителен, като равнището на концентрацията е повече от три пъти по-високо от регистрираното през 2003 г.</w:t>
      </w:r>
    </w:p>
    <w:p w14:paraId="01034E38" w14:textId="517F821E" w:rsidR="005670EA" w:rsidRPr="003C0701" w:rsidRDefault="007E1D5F" w:rsidP="005670EA">
      <w:pPr>
        <w:pBdr>
          <w:top w:val="nil"/>
          <w:left w:val="nil"/>
          <w:bottom w:val="nil"/>
          <w:right w:val="nil"/>
          <w:between w:val="nil"/>
        </w:pBdr>
        <w:spacing w:before="200"/>
        <w:jc w:val="both"/>
        <w:rPr>
          <w:rFonts w:ascii="Times New Roman" w:hAnsi="Times New Roman"/>
          <w:noProof/>
          <w:color w:val="000000" w:themeColor="text1"/>
          <w:sz w:val="24"/>
          <w:szCs w:val="24"/>
        </w:rPr>
      </w:pPr>
      <w:r>
        <w:rPr>
          <w:rFonts w:ascii="Times New Roman" w:hAnsi="Times New Roman"/>
          <w:noProof/>
          <w:color w:val="000000" w:themeColor="text1"/>
          <w:sz w:val="24"/>
        </w:rPr>
        <w:t>От съществено значение за наблюдението на усвояването на квотите и за докладването на обобщените данни за улова са декларациите за разтоварв</w:t>
      </w:r>
      <w:r w:rsidR="00686E9B">
        <w:rPr>
          <w:rFonts w:ascii="Times New Roman" w:hAnsi="Times New Roman"/>
          <w:noProof/>
          <w:color w:val="000000" w:themeColor="text1"/>
          <w:sz w:val="24"/>
        </w:rPr>
        <w:t xml:space="preserve">ане и документите за продажба. </w:t>
      </w:r>
      <w:r>
        <w:rPr>
          <w:rFonts w:ascii="Times New Roman" w:hAnsi="Times New Roman"/>
          <w:noProof/>
          <w:color w:val="000000" w:themeColor="text1"/>
          <w:sz w:val="24"/>
        </w:rPr>
        <w:t>Точното докладване е изключително важно, тъй като то е основата за устойчив риболов и надеждни научни данни. Въпреки това все още не е осигурено, че целият улов се регистрира правилно и се приспада от квотите, тъй като има недостатъци в начина, по който държавите членки претеглят всички разтоварени продукти от риболов и ги вписват в документите за регистрация на улова. Това е повтаряща се констатация в оценките, извършвани от Комисията за няколко морски басейна през предходните години. Комисията проследи случаите на неспазване, като през 2022 г. започна нов цикъл на оценка и производства за установяване на нарушение, с които от държавите членки се изисква да приемат мерки за</w:t>
      </w:r>
      <w:r w:rsidR="00686E9B">
        <w:rPr>
          <w:rFonts w:ascii="Times New Roman" w:hAnsi="Times New Roman"/>
          <w:noProof/>
          <w:color w:val="000000" w:themeColor="text1"/>
          <w:sz w:val="24"/>
        </w:rPr>
        <w:t xml:space="preserve"> точно докладване на своя улов.</w:t>
      </w:r>
    </w:p>
    <w:p w14:paraId="76DC72E9" w14:textId="06169CD2" w:rsidR="00AC0378" w:rsidRPr="003C0701" w:rsidRDefault="001D6309" w:rsidP="008E21AB">
      <w:pPr>
        <w:jc w:val="both"/>
        <w:rPr>
          <w:rFonts w:ascii="Times New Roman" w:hAnsi="Times New Roman" w:cs="Times New Roman"/>
          <w:noProof/>
          <w:sz w:val="24"/>
          <w:szCs w:val="24"/>
        </w:rPr>
      </w:pPr>
      <w:r>
        <w:rPr>
          <w:rFonts w:ascii="Times New Roman" w:hAnsi="Times New Roman"/>
          <w:noProof/>
          <w:sz w:val="24"/>
        </w:rPr>
        <w:t>Средно запасите в Североизточния Атлантически океан вече са в диапазона, който съответства на целите на ОПОР по отношение на процента на смъртност от риболов. Въпреки че през 2022 г. бе постигнат добър напредък по отношение на целите, определени в рамките на ОПОР, трябва да се постигне повече, особено в Средиземно море и Черно море.</w:t>
      </w:r>
    </w:p>
    <w:p w14:paraId="3A5CFCDD" w14:textId="3C9EFA43" w:rsidR="00AC0378" w:rsidRPr="003C0701" w:rsidRDefault="00616704" w:rsidP="00616704">
      <w:pPr>
        <w:pStyle w:val="Heading2"/>
        <w:rPr>
          <w:noProof/>
        </w:rPr>
      </w:pPr>
      <w:r>
        <w:rPr>
          <w:noProof/>
        </w:rPr>
        <w:t>2.1 Възможности за риболов през 2023 г.</w:t>
      </w:r>
    </w:p>
    <w:p w14:paraId="1C5D6A94" w14:textId="6085FC01" w:rsidR="00AC0378" w:rsidRPr="003C0701" w:rsidRDefault="001D6309">
      <w:pPr>
        <w:spacing w:after="120"/>
        <w:jc w:val="both"/>
        <w:rPr>
          <w:rFonts w:ascii="Times New Roman" w:hAnsi="Times New Roman"/>
          <w:noProof/>
          <w:color w:val="000000" w:themeColor="text1"/>
          <w:sz w:val="24"/>
          <w:szCs w:val="24"/>
        </w:rPr>
      </w:pPr>
      <w:r>
        <w:rPr>
          <w:rFonts w:ascii="Times New Roman" w:hAnsi="Times New Roman"/>
          <w:noProof/>
          <w:sz w:val="24"/>
        </w:rPr>
        <w:t xml:space="preserve">Възможностите за риболов са </w:t>
      </w:r>
      <w:r>
        <w:rPr>
          <w:rFonts w:ascii="Times New Roman" w:hAnsi="Times New Roman"/>
          <w:noProof/>
          <w:color w:val="000000" w:themeColor="text1"/>
          <w:sz w:val="24"/>
        </w:rPr>
        <w:t>важна стъпка по отношение на устойчивото управление на рибарството</w:t>
      </w:r>
      <w:r>
        <w:rPr>
          <w:rFonts w:ascii="Times New Roman" w:hAnsi="Times New Roman"/>
          <w:noProof/>
          <w:sz w:val="24"/>
        </w:rPr>
        <w:t>.</w:t>
      </w:r>
      <w:r>
        <w:rPr>
          <w:noProof/>
        </w:rPr>
        <w:t xml:space="preserve"> </w:t>
      </w:r>
      <w:r>
        <w:rPr>
          <w:rFonts w:ascii="Times New Roman" w:hAnsi="Times New Roman"/>
          <w:noProof/>
          <w:color w:val="000000" w:themeColor="text1"/>
          <w:sz w:val="24"/>
        </w:rPr>
        <w:t>В Атлантическия океан, Балтийско море и Скагерак/Категат възможностите за риболов се определят главно като ограничения на улова (известни като общ допустим улов (ОДУ).</w:t>
      </w:r>
    </w:p>
    <w:p w14:paraId="46CE7466" w14:textId="6BCD56F9" w:rsidR="00AC0378" w:rsidRPr="003C0701" w:rsidRDefault="0091430F" w:rsidP="00616704">
      <w:pPr>
        <w:spacing w:after="120"/>
        <w:jc w:val="both"/>
        <w:rPr>
          <w:rFonts w:ascii="Times New Roman" w:eastAsia="Times New Roman" w:hAnsi="Times New Roman" w:cs="Times New Roman"/>
          <w:noProof/>
          <w:sz w:val="24"/>
          <w:szCs w:val="24"/>
        </w:rPr>
      </w:pPr>
      <w:r>
        <w:rPr>
          <w:rFonts w:ascii="Times New Roman" w:hAnsi="Times New Roman"/>
          <w:b/>
          <w:noProof/>
          <w:sz w:val="24"/>
        </w:rPr>
        <w:t>Коренно различното състояние на околната среда</w:t>
      </w:r>
      <w:r>
        <w:rPr>
          <w:rFonts w:ascii="Times New Roman" w:hAnsi="Times New Roman"/>
          <w:noProof/>
          <w:sz w:val="24"/>
        </w:rPr>
        <w:t xml:space="preserve"> в </w:t>
      </w:r>
      <w:r>
        <w:rPr>
          <w:rFonts w:ascii="Times New Roman" w:hAnsi="Times New Roman"/>
          <w:b/>
          <w:noProof/>
          <w:sz w:val="24"/>
        </w:rPr>
        <w:t>Балтийско море и свързаните с него реки</w:t>
      </w:r>
      <w:r>
        <w:rPr>
          <w:rFonts w:ascii="Times New Roman" w:hAnsi="Times New Roman"/>
          <w:noProof/>
          <w:sz w:val="24"/>
        </w:rPr>
        <w:t xml:space="preserve"> продължава да оказва влияние върху рибните запаси и тяхното развитие. Понастоящем в </w:t>
      </w:r>
      <w:r>
        <w:rPr>
          <w:rFonts w:ascii="Times New Roman" w:hAnsi="Times New Roman"/>
          <w:b/>
          <w:noProof/>
          <w:sz w:val="24"/>
        </w:rPr>
        <w:t>Балтийско море</w:t>
      </w:r>
      <w:r>
        <w:rPr>
          <w:rFonts w:ascii="Times New Roman" w:hAnsi="Times New Roman"/>
          <w:noProof/>
          <w:sz w:val="24"/>
        </w:rPr>
        <w:t xml:space="preserve"> има различни видове натиск, които доведоха до влошаване на биологичното разнообразие. Тези видове натиск включват в момента високо замърсяване с хранителни вещества и трайно високи количества на замърсители. Това отчасти се дължи на неприлагането на законодателството на ЕС</w:t>
      </w:r>
      <w:r>
        <w:rPr>
          <w:rStyle w:val="FootnoteReference"/>
          <w:rFonts w:ascii="Times New Roman" w:eastAsia="Times New Roman" w:hAnsi="Times New Roman" w:cs="Times New Roman"/>
          <w:bCs/>
          <w:noProof/>
          <w:sz w:val="24"/>
          <w:szCs w:val="24"/>
        </w:rPr>
        <w:footnoteReference w:id="8"/>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Четири от десет вида риболов (херинга в западната част, двата запаса от атлантическа треска и сьомга в основния басейн) вече не са целеви и уловената риба може да бъде разтоварвана само като прилов. Останалите видове целеви риболов са тези на другите пелагични видове (цаца и херинга в централната част на Балтийско море, Ботническия залив и Рижкия залив) и на писия, като ограниченията на улова са определени в съответствие с МУУ, и сьомга в Ботническия залив и във Финския залив, като ограниченията на улова са определени в съответствие с подхода на предпазливост. В многогодишния план за Балтийско море</w:t>
      </w:r>
      <w:r>
        <w:rPr>
          <w:rStyle w:val="FootnoteReference"/>
          <w:rFonts w:ascii="Times New Roman" w:eastAsia="Times New Roman" w:hAnsi="Times New Roman" w:cs="Times New Roman"/>
          <w:noProof/>
          <w:sz w:val="24"/>
          <w:szCs w:val="24"/>
        </w:rPr>
        <w:footnoteReference w:id="9"/>
      </w:r>
      <w:r>
        <w:rPr>
          <w:rFonts w:ascii="Times New Roman" w:hAnsi="Times New Roman"/>
          <w:noProof/>
          <w:sz w:val="24"/>
        </w:rPr>
        <w:t xml:space="preserve"> се използват всички инструменти — т.е. преустановяване на целевия риболов, определяне на ОДУ под препоръчаните максимални равнища, забрани на риболова по време на размножаването и ограничаване на любителския риболов, за да се подпомогне възстановяването на рибните запаси с влошено състояние. </w:t>
      </w:r>
      <w:bookmarkStart w:id="4" w:name="_Hlk136090368"/>
      <w:r>
        <w:rPr>
          <w:rFonts w:ascii="Times New Roman" w:hAnsi="Times New Roman"/>
          <w:noProof/>
          <w:sz w:val="24"/>
        </w:rPr>
        <w:t>Но ако държавите членки не прилагат изцяло законодателството на ЕС и не го изпълнят</w:t>
      </w:r>
      <w:bookmarkEnd w:id="4"/>
      <w:r>
        <w:rPr>
          <w:rFonts w:ascii="Times New Roman" w:hAnsi="Times New Roman"/>
          <w:noProof/>
          <w:sz w:val="24"/>
        </w:rPr>
        <w:t>, тези инструменти няма да бъдат достатъчни, за да може да се възстановят всички рибни запаси. В Декларацията на министрите от конференцията „Нашата Прибалтика“ беше поет ангажимент за пълно прилагане на правото на ЕС; Това пълно прилагане е от съществено значение</w:t>
      </w:r>
      <w:r>
        <w:rPr>
          <w:rStyle w:val="FootnoteReference"/>
          <w:rFonts w:ascii="Times New Roman" w:eastAsia="Times New Roman" w:hAnsi="Times New Roman" w:cs="Times New Roman"/>
          <w:noProof/>
          <w:sz w:val="24"/>
          <w:szCs w:val="24"/>
        </w:rPr>
        <w:footnoteReference w:id="10"/>
      </w:r>
      <w:r w:rsidR="00686E9B">
        <w:rPr>
          <w:rFonts w:ascii="Times New Roman" w:hAnsi="Times New Roman"/>
          <w:noProof/>
          <w:sz w:val="24"/>
        </w:rPr>
        <w:t>.</w:t>
      </w:r>
    </w:p>
    <w:p w14:paraId="25CEF99B" w14:textId="1ABF9870" w:rsidR="00F80B85" w:rsidRPr="003C0701" w:rsidRDefault="00F80B85" w:rsidP="00616704">
      <w:pPr>
        <w:spacing w:after="120"/>
        <w:jc w:val="both"/>
        <w:rPr>
          <w:rFonts w:ascii="Times New Roman" w:hAnsi="Times New Roman" w:cs="Times New Roman"/>
          <w:noProof/>
          <w:sz w:val="24"/>
          <w:szCs w:val="24"/>
        </w:rPr>
      </w:pPr>
      <w:r>
        <w:rPr>
          <w:rFonts w:ascii="Times New Roman" w:hAnsi="Times New Roman"/>
          <w:noProof/>
          <w:sz w:val="24"/>
        </w:rPr>
        <w:t>Действията за преодоляване на предизвикателствата, свързани с натиска от замърсяването, еутрофикацията и изменението на климата върху морските екосистеми, рибарството и аквакултурата, започват с данните, получени от научната общност. Науката дава възможност на политиците да вземат информирани решения и да прилагат изцяло екосистемния подход спрямо управлението на рибарството и аквакултурата — един от ключовите принципи на общата политика в областта на рибарството.</w:t>
      </w:r>
    </w:p>
    <w:p w14:paraId="79545594" w14:textId="0929A237" w:rsidR="00AC0378" w:rsidRPr="003C0701" w:rsidRDefault="001D6309">
      <w:pPr>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Във водите на </w:t>
      </w:r>
      <w:r>
        <w:rPr>
          <w:rFonts w:ascii="Times New Roman" w:hAnsi="Times New Roman"/>
          <w:b/>
          <w:noProof/>
          <w:sz w:val="24"/>
        </w:rPr>
        <w:t>Скагерак/Атлантическия океан</w:t>
      </w:r>
      <w:r>
        <w:rPr>
          <w:rFonts w:ascii="Times New Roman" w:hAnsi="Times New Roman"/>
          <w:noProof/>
          <w:sz w:val="24"/>
        </w:rPr>
        <w:t xml:space="preserve"> натискът върху рибните запаси е по-нисък и условията на околната среда са различни. В тези морски басейни устойчивото управление на 29 запаса е довело до положителни резултати, като през 2023 г. при ключови видове търговски риболов</w:t>
      </w:r>
      <w:r w:rsidR="00686E9B">
        <w:rPr>
          <w:rFonts w:ascii="Times New Roman" w:hAnsi="Times New Roman"/>
          <w:noProof/>
          <w:sz w:val="24"/>
        </w:rPr>
        <w:t xml:space="preserve"> равнищата на ОДУ са увеличени.</w:t>
      </w:r>
    </w:p>
    <w:p w14:paraId="3363F784" w14:textId="76EA9376" w:rsidR="00AC0378" w:rsidRPr="003C0701" w:rsidRDefault="001D6309">
      <w:pPr>
        <w:spacing w:after="120"/>
        <w:jc w:val="both"/>
        <w:rPr>
          <w:rFonts w:ascii="Times New Roman" w:hAnsi="Times New Roman"/>
          <w:noProof/>
          <w:sz w:val="24"/>
          <w:szCs w:val="24"/>
        </w:rPr>
      </w:pPr>
      <w:r>
        <w:rPr>
          <w:rFonts w:ascii="Times New Roman" w:hAnsi="Times New Roman"/>
          <w:b/>
          <w:noProof/>
          <w:sz w:val="24"/>
        </w:rPr>
        <w:t>По отношение на общите за ЕС и Обединеното кралство запаси</w:t>
      </w:r>
      <w:r>
        <w:rPr>
          <w:rFonts w:ascii="Times New Roman" w:hAnsi="Times New Roman"/>
          <w:noProof/>
          <w:sz w:val="24"/>
        </w:rPr>
        <w:t xml:space="preserve"> двете страни се споразумяха за ОДУ в рамките на крайния срок, посочен в Споразумението за търговия и сътрудничество</w:t>
      </w:r>
      <w:r>
        <w:rPr>
          <w:rStyle w:val="FootnoteReference"/>
          <w:rFonts w:ascii="Times New Roman" w:hAnsi="Times New Roman"/>
          <w:noProof/>
          <w:sz w:val="24"/>
          <w:szCs w:val="24"/>
        </w:rPr>
        <w:footnoteReference w:id="11"/>
      </w:r>
      <w:r>
        <w:rPr>
          <w:rFonts w:ascii="Times New Roman" w:hAnsi="Times New Roman"/>
          <w:noProof/>
          <w:sz w:val="24"/>
        </w:rPr>
        <w:t>, и в съответствие с МУУ за повечето запаси, за които е налично становище. Във връзка със седем запаса (за които в становищата се препоръчва нулев улов) страните се споразумяха да определят ограничение на улова на ниско равнище за шест запаса, обхващащо само прилова, за да се предотврати блокирането на смесения риболов в съответствие с Регламента за ОПОР</w:t>
      </w:r>
      <w:r>
        <w:rPr>
          <w:rStyle w:val="FootnoteReference"/>
          <w:rFonts w:ascii="Times New Roman" w:hAnsi="Times New Roman"/>
          <w:noProof/>
          <w:sz w:val="24"/>
          <w:szCs w:val="24"/>
        </w:rPr>
        <w:footnoteReference w:id="12"/>
      </w:r>
      <w:r>
        <w:rPr>
          <w:rFonts w:ascii="Times New Roman" w:hAnsi="Times New Roman"/>
          <w:noProof/>
          <w:sz w:val="24"/>
        </w:rPr>
        <w:t>. За един запас страните се споразумяха да наблюдават ОДУ съгласно становището на Международния съвет за изследване на морето (ICES) относно равнището на ОДУ</w:t>
      </w:r>
      <w:r>
        <w:rPr>
          <w:rStyle w:val="FootnoteReference"/>
          <w:rFonts w:ascii="Times New Roman" w:hAnsi="Times New Roman"/>
          <w:noProof/>
          <w:sz w:val="24"/>
          <w:szCs w:val="24"/>
        </w:rPr>
        <w:footnoteReference w:id="13"/>
      </w:r>
      <w:r>
        <w:rPr>
          <w:rFonts w:ascii="Times New Roman" w:hAnsi="Times New Roman"/>
          <w:noProof/>
          <w:sz w:val="24"/>
        </w:rPr>
        <w:t>. Обсъжданията, проведени между двете страни в рамките на Специализирания комитет по рибарство, допринесоха за рационализиране на годишните консултации и за бързо постигане на задоволително споразумение</w:t>
      </w:r>
      <w:r>
        <w:rPr>
          <w:rStyle w:val="FootnoteReference"/>
          <w:rFonts w:ascii="Times New Roman" w:hAnsi="Times New Roman"/>
          <w:noProof/>
          <w:sz w:val="24"/>
          <w:szCs w:val="24"/>
        </w:rPr>
        <w:footnoteReference w:id="14"/>
      </w:r>
      <w:r>
        <w:rPr>
          <w:rFonts w:ascii="Times New Roman" w:hAnsi="Times New Roman"/>
          <w:noProof/>
          <w:sz w:val="24"/>
        </w:rPr>
        <w:t>.</w:t>
      </w:r>
    </w:p>
    <w:p w14:paraId="1D1B5A66" w14:textId="61B6EE59" w:rsidR="00AC0378" w:rsidRPr="003C0701" w:rsidRDefault="001D6309">
      <w:pPr>
        <w:spacing w:after="120"/>
        <w:jc w:val="both"/>
        <w:rPr>
          <w:rFonts w:ascii="Times New Roman" w:hAnsi="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общите за ЕС, Норвегия и Обединеното кралство запаси</w:t>
      </w:r>
      <w:r>
        <w:rPr>
          <w:rFonts w:ascii="Times New Roman" w:hAnsi="Times New Roman"/>
          <w:noProof/>
          <w:sz w:val="24"/>
        </w:rPr>
        <w:t>, трите страни се споразумяха да определят ОДУ в съответствие със становищата за МУУ. С цел по-нататъшно възстановяване на запасите от треска в Северно море, страните решиха да продължат да прилагат коригиращите мерки и да определят ОДУ за два запаса под посочените в научните становища равнища поради взаимодействието им с треската при смесения риболов. Равнищата на ОДУ за херинга в Северно море бяха определени в съответствие с научните становища и страните се споразумяха да продължат ограниченията на улова, за да смекчат въздействието върху изчерпания запас от херинга в западната част на Балтийско море. Страните се споразумяха да преразгледат през 2023 г. настоящия модел на управление и подхода за определяне на ОДУ за херинга в Северно море</w:t>
      </w:r>
      <w:r>
        <w:rPr>
          <w:rStyle w:val="FootnoteReference"/>
          <w:rFonts w:ascii="Times New Roman" w:hAnsi="Times New Roman"/>
          <w:noProof/>
          <w:sz w:val="24"/>
          <w:szCs w:val="24"/>
        </w:rPr>
        <w:footnoteReference w:id="15"/>
      </w:r>
      <w:r>
        <w:rPr>
          <w:rFonts w:ascii="Times New Roman" w:hAnsi="Times New Roman"/>
          <w:noProof/>
          <w:sz w:val="24"/>
        </w:rPr>
        <w:t xml:space="preserve">. Единственият оценен </w:t>
      </w:r>
      <w:r>
        <w:rPr>
          <w:rFonts w:ascii="Times New Roman" w:hAnsi="Times New Roman"/>
          <w:b/>
          <w:noProof/>
          <w:sz w:val="24"/>
        </w:rPr>
        <w:t>общ запас, управляван двустранно с Норвегия</w:t>
      </w:r>
      <w:r>
        <w:rPr>
          <w:rFonts w:ascii="Times New Roman" w:hAnsi="Times New Roman"/>
          <w:noProof/>
          <w:sz w:val="24"/>
        </w:rPr>
        <w:t>, беше определен на равнището на МУУ</w:t>
      </w:r>
      <w:r>
        <w:rPr>
          <w:rStyle w:val="FootnoteReference"/>
          <w:rFonts w:ascii="Times New Roman" w:hAnsi="Times New Roman"/>
          <w:noProof/>
          <w:sz w:val="24"/>
          <w:szCs w:val="24"/>
        </w:rPr>
        <w:footnoteReference w:id="16"/>
      </w:r>
      <w:r>
        <w:rPr>
          <w:rFonts w:ascii="Times New Roman" w:hAnsi="Times New Roman"/>
          <w:noProof/>
          <w:sz w:val="24"/>
        </w:rPr>
        <w:t>. В този контекст отклоняването от действащите споразуменията за разпределяне на съвместно управляваните запаси би могло да има отрицателно въздействие върху тяхното състояние и да застраши целта за определяне на ОДУ на равнищата на МУУ.</w:t>
      </w:r>
    </w:p>
    <w:p w14:paraId="3D67AD8F" w14:textId="4DA77612" w:rsidR="00AC0378" w:rsidRPr="003C0701" w:rsidRDefault="00EF18A3">
      <w:pPr>
        <w:spacing w:after="120"/>
        <w:jc w:val="both"/>
        <w:rPr>
          <w:rFonts w:ascii="Times New Roman" w:hAnsi="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широко разпространените запаси</w:t>
      </w:r>
      <w:r>
        <w:rPr>
          <w:rStyle w:val="FootnoteReference"/>
          <w:rFonts w:ascii="Times New Roman" w:hAnsi="Times New Roman"/>
          <w:b/>
          <w:bCs/>
          <w:noProof/>
          <w:sz w:val="24"/>
          <w:szCs w:val="24"/>
        </w:rPr>
        <w:footnoteReference w:id="17"/>
      </w:r>
      <w:r>
        <w:rPr>
          <w:rFonts w:ascii="Times New Roman" w:hAnsi="Times New Roman"/>
          <w:noProof/>
          <w:sz w:val="24"/>
        </w:rPr>
        <w:t xml:space="preserve"> от скумрия, син меджид и атлантическо-скандинавска херинга крайбрежните държави</w:t>
      </w:r>
      <w:r>
        <w:rPr>
          <w:rStyle w:val="FootnoteReference"/>
          <w:rFonts w:ascii="Times New Roman" w:hAnsi="Times New Roman"/>
          <w:noProof/>
          <w:sz w:val="24"/>
          <w:szCs w:val="24"/>
        </w:rPr>
        <w:footnoteReference w:id="18"/>
      </w:r>
      <w:r>
        <w:rPr>
          <w:rFonts w:ascii="Times New Roman" w:hAnsi="Times New Roman"/>
          <w:noProof/>
          <w:sz w:val="24"/>
        </w:rPr>
        <w:t xml:space="preserve"> се споразумяха да определят общите равнища на ОДУ на равнището на МУУ.</w:t>
      </w:r>
      <w:r>
        <w:rPr>
          <w:noProof/>
        </w:rPr>
        <w:t xml:space="preserve"> </w:t>
      </w:r>
      <w:r>
        <w:rPr>
          <w:rFonts w:ascii="Times New Roman" w:hAnsi="Times New Roman"/>
          <w:noProof/>
          <w:sz w:val="24"/>
        </w:rPr>
        <w:t xml:space="preserve">Тъй като обаче няма споразумения за разпределяне, сумата на квотите на крайбрежните държави продължава да надвишава договореното цяло количество на ОДУ. </w:t>
      </w:r>
      <w:bookmarkStart w:id="5" w:name="_Hlk135661612"/>
      <w:r>
        <w:rPr>
          <w:rFonts w:ascii="Times New Roman" w:hAnsi="Times New Roman"/>
          <w:noProof/>
          <w:sz w:val="24"/>
        </w:rPr>
        <w:t xml:space="preserve">ЕС възприе отговорен подход да не увеличава едностранно улова над последните договорени дялове, но не всички крайбрежни държави се съгласиха с него. </w:t>
      </w:r>
      <w:bookmarkEnd w:id="5"/>
      <w:r>
        <w:rPr>
          <w:rFonts w:ascii="Times New Roman" w:hAnsi="Times New Roman"/>
          <w:noProof/>
          <w:sz w:val="24"/>
        </w:rPr>
        <w:t>Това положение само по себе си оказва натиск върху устойчивостта на тези запаси. Комисията води оживени дискусии с други крайбрежни държави с цел сключване на нови споразумения за разпределяне във връзка с устойчивото управление на запасите.</w:t>
      </w:r>
    </w:p>
    <w:p w14:paraId="4D7A0AC2" w14:textId="042CA639" w:rsidR="00AC0378" w:rsidRPr="003C0701" w:rsidRDefault="00240F02">
      <w:pPr>
        <w:spacing w:after="120"/>
        <w:jc w:val="both"/>
        <w:rPr>
          <w:rFonts w:ascii="Times New Roman" w:hAnsi="Times New Roman"/>
          <w:noProof/>
          <w:sz w:val="24"/>
          <w:szCs w:val="24"/>
        </w:rPr>
      </w:pPr>
      <w:r>
        <w:rPr>
          <w:rFonts w:ascii="Times New Roman" w:hAnsi="Times New Roman"/>
          <w:noProof/>
          <w:sz w:val="24"/>
        </w:rPr>
        <w:t xml:space="preserve">В </w:t>
      </w:r>
      <w:r>
        <w:rPr>
          <w:rFonts w:ascii="Times New Roman" w:hAnsi="Times New Roman"/>
          <w:b/>
          <w:noProof/>
          <w:sz w:val="24"/>
        </w:rPr>
        <w:t>Средиземно море и Черно море</w:t>
      </w:r>
      <w:r>
        <w:rPr>
          <w:rFonts w:ascii="Times New Roman" w:hAnsi="Times New Roman"/>
          <w:noProof/>
          <w:sz w:val="24"/>
        </w:rPr>
        <w:t xml:space="preserve"> се извършва смесен риболов, като много от запасите са общи с трети държави. За някои запаси процентът на смъртност от риболов се доближи до устойчивите равнища, като през 2020 г. седем от тях достигнаха F</w:t>
      </w:r>
      <w:r>
        <w:rPr>
          <w:rFonts w:ascii="Times New Roman" w:hAnsi="Times New Roman"/>
          <w:noProof/>
          <w:sz w:val="24"/>
          <w:vertAlign w:val="subscript"/>
        </w:rPr>
        <w:t>MSY</w:t>
      </w:r>
      <w:r>
        <w:rPr>
          <w:rFonts w:ascii="Times New Roman" w:hAnsi="Times New Roman"/>
          <w:noProof/>
          <w:sz w:val="24"/>
        </w:rPr>
        <w:t xml:space="preserve">, но много запаси все още се експлоатират над устойчивите равнища. </w:t>
      </w:r>
      <w:bookmarkStart w:id="6" w:name="_Hlk132739563"/>
      <w:bookmarkStart w:id="7" w:name="_Hlk135596938"/>
      <w:r>
        <w:rPr>
          <w:rFonts w:ascii="Times New Roman" w:hAnsi="Times New Roman"/>
          <w:noProof/>
          <w:sz w:val="24"/>
        </w:rPr>
        <w:t>Трябва да се предприемат по-нататъшни мерки за намаляване на риболовното усилие</w:t>
      </w:r>
      <w:bookmarkEnd w:id="6"/>
      <w:r>
        <w:rPr>
          <w:rFonts w:ascii="Times New Roman" w:hAnsi="Times New Roman"/>
          <w:noProof/>
          <w:sz w:val="24"/>
        </w:rPr>
        <w:t xml:space="preserve"> и постигане на целта за МУУ, по-специално като се прилага многогодишният план за западната част на Средиземно море</w:t>
      </w:r>
      <w:r>
        <w:rPr>
          <w:rStyle w:val="FootnoteReference"/>
          <w:rFonts w:ascii="Times New Roman" w:hAnsi="Times New Roman"/>
          <w:noProof/>
          <w:sz w:val="24"/>
          <w:szCs w:val="24"/>
        </w:rPr>
        <w:footnoteReference w:id="19"/>
      </w:r>
      <w:r>
        <w:rPr>
          <w:rFonts w:ascii="Times New Roman" w:hAnsi="Times New Roman"/>
          <w:noProof/>
          <w:sz w:val="24"/>
        </w:rPr>
        <w:t xml:space="preserve"> (West Med) и стратегията на Генералната комисия по рибарство за Средиземно море (GFCM) до 2030 г.</w:t>
      </w:r>
      <w:r>
        <w:rPr>
          <w:rStyle w:val="FootnoteReference"/>
          <w:rFonts w:ascii="Times New Roman" w:hAnsi="Times New Roman"/>
          <w:noProof/>
          <w:sz w:val="24"/>
          <w:szCs w:val="24"/>
        </w:rPr>
        <w:footnoteReference w:id="20"/>
      </w:r>
      <w:r>
        <w:rPr>
          <w:rFonts w:ascii="Times New Roman" w:hAnsi="Times New Roman"/>
          <w:noProof/>
          <w:sz w:val="24"/>
        </w:rPr>
        <w:t xml:space="preserve">. </w:t>
      </w:r>
      <w:bookmarkEnd w:id="7"/>
      <w:r>
        <w:rPr>
          <w:rFonts w:ascii="Times New Roman" w:hAnsi="Times New Roman"/>
          <w:noProof/>
          <w:sz w:val="24"/>
        </w:rPr>
        <w:t>Възможностите за риболов за 2023 г. са в съответствие с множество мерки, приети през 2022 г.</w:t>
      </w:r>
    </w:p>
    <w:p w14:paraId="5DFB9D13" w14:textId="1AA5D763" w:rsidR="00AC0378" w:rsidRPr="003C0701" w:rsidRDefault="00D05CEC">
      <w:pPr>
        <w:spacing w:after="120"/>
        <w:jc w:val="both"/>
        <w:rPr>
          <w:rFonts w:ascii="Times New Roman" w:hAnsi="Times New Roman"/>
          <w:noProof/>
          <w:sz w:val="24"/>
          <w:szCs w:val="24"/>
        </w:rPr>
      </w:pPr>
      <w:r>
        <w:rPr>
          <w:rFonts w:ascii="Times New Roman" w:hAnsi="Times New Roman"/>
          <w:noProof/>
          <w:sz w:val="24"/>
        </w:rPr>
        <w:t xml:space="preserve">За да се постигне целта за МУУ до 2025 г. в рамките на многогодишния план </w:t>
      </w:r>
      <w:r>
        <w:rPr>
          <w:rFonts w:ascii="Times New Roman" w:hAnsi="Times New Roman"/>
          <w:b/>
          <w:noProof/>
          <w:sz w:val="24"/>
        </w:rPr>
        <w:t>West Med</w:t>
      </w:r>
      <w:r>
        <w:rPr>
          <w:rFonts w:ascii="Times New Roman" w:hAnsi="Times New Roman"/>
          <w:noProof/>
          <w:sz w:val="24"/>
        </w:rPr>
        <w:t>, с възможностите за риболов</w:t>
      </w:r>
      <w:r>
        <w:rPr>
          <w:rStyle w:val="FootnoteReference"/>
          <w:rFonts w:ascii="Times New Roman" w:hAnsi="Times New Roman"/>
          <w:noProof/>
          <w:sz w:val="24"/>
          <w:szCs w:val="24"/>
        </w:rPr>
        <w:footnoteReference w:id="21"/>
      </w:r>
      <w:r>
        <w:rPr>
          <w:rFonts w:ascii="Times New Roman" w:hAnsi="Times New Roman"/>
          <w:noProof/>
          <w:sz w:val="24"/>
        </w:rPr>
        <w:t xml:space="preserve"> се следва интегриран подход, който се основава на инструменти за управление и разработва механизма за компенсация, който насърчава използването на по-селективни риболовни уреди и зони със забрана за риболов. Държавите членки се насърчават да продължат да предприемат мерки в рамките на този механизъм. Освен това Съветът определи максимални ограничения на улова за повечето океански скариди, които са обект на прекомерен улов, и остави в сила таваните за риболовното усилие по отношение на корабите с парагади.</w:t>
      </w:r>
    </w:p>
    <w:p w14:paraId="18C5D1A0" w14:textId="2BEA6C3F" w:rsidR="00AC0378" w:rsidRPr="003C0701" w:rsidRDefault="001D6309">
      <w:pPr>
        <w:spacing w:after="120"/>
        <w:jc w:val="both"/>
        <w:rPr>
          <w:rFonts w:ascii="Times New Roman" w:hAnsi="Times New Roman"/>
          <w:noProof/>
          <w:sz w:val="24"/>
          <w:szCs w:val="24"/>
        </w:rPr>
      </w:pPr>
      <w:r>
        <w:rPr>
          <w:rFonts w:ascii="Times New Roman" w:hAnsi="Times New Roman"/>
          <w:noProof/>
          <w:sz w:val="24"/>
        </w:rPr>
        <w:t xml:space="preserve">Интензивната работа в рамките на </w:t>
      </w:r>
      <w:r>
        <w:rPr>
          <w:rFonts w:ascii="Times New Roman" w:hAnsi="Times New Roman"/>
          <w:b/>
          <w:noProof/>
          <w:sz w:val="24"/>
        </w:rPr>
        <w:t>GFCM</w:t>
      </w:r>
      <w:r>
        <w:rPr>
          <w:rFonts w:ascii="Times New Roman" w:hAnsi="Times New Roman"/>
          <w:noProof/>
          <w:sz w:val="24"/>
        </w:rPr>
        <w:t>, подкрепяна от последователната позиция на ЕС в регионалните организации за управление на рибарството (RFMO), доведе до приемането на важни решения. Преди всичко бяха изготвени пет многогодишни плана за управление, основани на принципите на общата политика в областта на рибарството. Това доведе до приемането на максимални ограничения за улова на океански скариди в Йонийско море, Левантийско море и Сицилианския проток (включително договорености за мерлуза) и максимално равнище на улова на червенопер пагел в Алборанско море. Беше договорен дългосрочен план на GFCM за управление на запасите от дребни пелагични видове в Адриатическо море, който е насочен към осигуряването на високи добиви в дългосрочен план в съответствие с МУУ, като ограниченията на улова на хамсия и сардина за 2023 г. бяха понижени и капацитетът на пелагичните траулери и корабите с мрежи гъргър беше замразен. GFCM също така продължи да прилага многогодишния план за дънните запаси в Адриатическо море, с който се определя ограничение на максималното риболовно усилие както за дънните траулери, така и за бим траулерите, за да бъде постигната през 2026 г. целта за МУУ за всички основни запаси. Тя прие ограничения върху събирането на червени корали и таван на риболовното усилие за голяма корифена в международните води на Средиземно море. Що се отнася да Черно море, беше определен ОДУ за калкан съгласно плана на GFCM, както и автономна квота на Съюза за цаца.</w:t>
      </w:r>
    </w:p>
    <w:p w14:paraId="1E50E8E2" w14:textId="18985652" w:rsidR="00DF660B" w:rsidRPr="004078AC" w:rsidRDefault="00DF660B">
      <w:pPr>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ЕС постигна съгласие и относно амбициозни мерки за </w:t>
      </w:r>
      <w:r>
        <w:rPr>
          <w:rFonts w:ascii="Times New Roman" w:hAnsi="Times New Roman"/>
          <w:b/>
          <w:noProof/>
          <w:sz w:val="24"/>
        </w:rPr>
        <w:t>морския</w:t>
      </w:r>
      <w:r>
        <w:rPr>
          <w:rFonts w:ascii="Times New Roman" w:hAnsi="Times New Roman"/>
          <w:noProof/>
          <w:sz w:val="24"/>
        </w:rPr>
        <w:t xml:space="preserve"> </w:t>
      </w:r>
      <w:r>
        <w:rPr>
          <w:rFonts w:ascii="Times New Roman" w:hAnsi="Times New Roman"/>
          <w:b/>
          <w:noProof/>
          <w:sz w:val="24"/>
        </w:rPr>
        <w:t>риболов</w:t>
      </w:r>
      <w:r>
        <w:rPr>
          <w:rFonts w:ascii="Times New Roman" w:hAnsi="Times New Roman"/>
          <w:noProof/>
          <w:sz w:val="24"/>
        </w:rPr>
        <w:t xml:space="preserve"> </w:t>
      </w:r>
      <w:r>
        <w:rPr>
          <w:rFonts w:ascii="Times New Roman" w:hAnsi="Times New Roman"/>
          <w:b/>
          <w:noProof/>
          <w:sz w:val="24"/>
        </w:rPr>
        <w:t>на</w:t>
      </w:r>
      <w:r>
        <w:rPr>
          <w:rFonts w:ascii="Times New Roman" w:hAnsi="Times New Roman"/>
          <w:noProof/>
          <w:sz w:val="24"/>
        </w:rPr>
        <w:t xml:space="preserve"> </w:t>
      </w:r>
      <w:r>
        <w:rPr>
          <w:rFonts w:ascii="Times New Roman" w:hAnsi="Times New Roman"/>
          <w:b/>
          <w:noProof/>
          <w:sz w:val="24"/>
        </w:rPr>
        <w:t>европейска</w:t>
      </w:r>
      <w:r>
        <w:rPr>
          <w:rFonts w:ascii="Times New Roman" w:hAnsi="Times New Roman"/>
          <w:noProof/>
          <w:sz w:val="24"/>
        </w:rPr>
        <w:t xml:space="preserve"> </w:t>
      </w:r>
      <w:r>
        <w:rPr>
          <w:rFonts w:ascii="Times New Roman" w:hAnsi="Times New Roman"/>
          <w:b/>
          <w:noProof/>
          <w:sz w:val="24"/>
        </w:rPr>
        <w:t>змиорка</w:t>
      </w:r>
      <w:r>
        <w:rPr>
          <w:rStyle w:val="FootnoteReference"/>
          <w:rFonts w:ascii="Times New Roman" w:eastAsia="Times New Roman" w:hAnsi="Times New Roman" w:cs="Times New Roman"/>
          <w:b/>
          <w:bCs/>
          <w:noProof/>
          <w:sz w:val="24"/>
          <w:szCs w:val="24"/>
        </w:rPr>
        <w:footnoteReference w:id="22"/>
      </w:r>
      <w:r>
        <w:rPr>
          <w:rFonts w:ascii="Times New Roman" w:hAnsi="Times New Roman"/>
          <w:noProof/>
          <w:sz w:val="24"/>
        </w:rPr>
        <w:t>, сред тях удължаване на забраната за риболов в морето от три на шест месеца, така че тя да съвпадне с миграцията на младите змиорки и на зрелите екземпляри, които плават между морето и реките. През 2023 г. прилагането на тези мерки ще подлежи на засилен мониторинг. Комисията ще следи отблизо напредъка в прилагането на мерките от съвместната декларация относно укрепването на възстановяването на запасите от европейска змиорка, подписана от Ко</w:t>
      </w:r>
      <w:r w:rsidR="00686E9B">
        <w:rPr>
          <w:rFonts w:ascii="Times New Roman" w:hAnsi="Times New Roman"/>
          <w:noProof/>
          <w:sz w:val="24"/>
        </w:rPr>
        <w:t>мисията и някои държави членки.</w:t>
      </w:r>
    </w:p>
    <w:p w14:paraId="55C30320" w14:textId="77777777" w:rsidR="00AC0378" w:rsidRPr="003C0701" w:rsidRDefault="001D6309">
      <w:pPr>
        <w:pStyle w:val="Heading1"/>
        <w:rPr>
          <w:noProof/>
        </w:rPr>
      </w:pPr>
      <w:r>
        <w:rPr>
          <w:noProof/>
        </w:rPr>
        <w:t>Състояние на флота на ЕС</w:t>
      </w:r>
    </w:p>
    <w:p w14:paraId="355BD198" w14:textId="45EBB568" w:rsidR="00AC0378" w:rsidRPr="003C0701" w:rsidRDefault="001D6309">
      <w:pPr>
        <w:jc w:val="both"/>
        <w:rPr>
          <w:rFonts w:ascii="Times New Roman" w:hAnsi="Times New Roman"/>
          <w:noProof/>
          <w:sz w:val="24"/>
          <w:szCs w:val="24"/>
        </w:rPr>
      </w:pPr>
      <w:r>
        <w:rPr>
          <w:rFonts w:ascii="Times New Roman" w:hAnsi="Times New Roman"/>
          <w:noProof/>
          <w:sz w:val="24"/>
        </w:rPr>
        <w:t>Държавите членки трябва да поддържат флотове под националните тавани, определени за капацитета (бруто тонаж) и мощността на двигателя (kW) на корабите. Те трябва да намалят капацитета на флотовете, които не са в баланс, като докладват ежегодно за биологичната и икономическата устойчивост на флотовете. Когато съществува доказателство за дисбаланс, те трябва да представят планове за действие, с които да компенсират този дисбаланс в рамките на ясно определен срок. Капацитет, изтеглен с публична помощ, не може да се заменя.</w:t>
      </w:r>
    </w:p>
    <w:p w14:paraId="1E848E6F" w14:textId="40C56CBA" w:rsidR="00AC0378" w:rsidRPr="003C0701" w:rsidRDefault="006351D7">
      <w:pPr>
        <w:jc w:val="both"/>
        <w:rPr>
          <w:rFonts w:ascii="Times New Roman" w:hAnsi="Times New Roman"/>
          <w:noProof/>
          <w:sz w:val="24"/>
          <w:szCs w:val="24"/>
        </w:rPr>
      </w:pPr>
      <w:r>
        <w:rPr>
          <w:rFonts w:ascii="Times New Roman" w:hAnsi="Times New Roman"/>
          <w:noProof/>
          <w:sz w:val="24"/>
        </w:rPr>
        <w:t>От 2022 г. насам има намаление на броя, бруто тонажа и мощността на двигателите на корабите — съответно с 0,3 %, 0,7 % и 0,5 %. Вследствие на това през декември 2022 г. регистрираният флот на ЕС</w:t>
      </w:r>
      <w:r>
        <w:rPr>
          <w:rStyle w:val="FootnoteReference"/>
          <w:rFonts w:ascii="Times New Roman" w:hAnsi="Times New Roman"/>
          <w:noProof/>
          <w:sz w:val="24"/>
          <w:szCs w:val="24"/>
        </w:rPr>
        <w:footnoteReference w:id="23"/>
      </w:r>
      <w:r>
        <w:rPr>
          <w:rFonts w:ascii="Times New Roman" w:hAnsi="Times New Roman"/>
          <w:noProof/>
          <w:sz w:val="24"/>
        </w:rPr>
        <w:t xml:space="preserve"> включваше 72 472 кораба с общ капацитет 1 321 454 GT и 5 264 658 kW.</w:t>
      </w:r>
    </w:p>
    <w:p w14:paraId="52AA3BEC" w14:textId="4D0FF7B3" w:rsidR="00030A2D" w:rsidRPr="003C0701" w:rsidRDefault="001D6309">
      <w:pPr>
        <w:jc w:val="both"/>
        <w:rPr>
          <w:rFonts w:ascii="Times New Roman" w:hAnsi="Times New Roman"/>
          <w:noProof/>
          <w:sz w:val="24"/>
          <w:szCs w:val="24"/>
        </w:rPr>
      </w:pPr>
      <w:r>
        <w:rPr>
          <w:rFonts w:ascii="Times New Roman" w:hAnsi="Times New Roman"/>
          <w:noProof/>
          <w:sz w:val="24"/>
        </w:rPr>
        <w:t>В докладите си за 2022 г. държавите членки посочват, че техните флотове са под таваните и отговарят на изискванията по член 22 от Регламента за ОПОР. Все още обаче има опасения относно точността и надеждността на данните, на които се основават националните доклади, както и относно наличието или точността на плановете за действие на държавите членки. В съобщението относно ОПОР</w:t>
      </w:r>
      <w:r>
        <w:rPr>
          <w:rStyle w:val="FootnoteReference"/>
          <w:rFonts w:ascii="Times New Roman" w:hAnsi="Times New Roman"/>
          <w:noProof/>
          <w:sz w:val="24"/>
          <w:szCs w:val="24"/>
        </w:rPr>
        <w:footnoteReference w:id="24"/>
      </w:r>
      <w:r>
        <w:rPr>
          <w:rFonts w:ascii="Times New Roman" w:hAnsi="Times New Roman"/>
          <w:noProof/>
          <w:sz w:val="24"/>
        </w:rPr>
        <w:t xml:space="preserve"> Комисията призовава държавите членки да повишат прозрачността и гъвкавостта на управлението на риболовния капацитет и да улеснят евентуалното преразпределяне на неизползвания капацитет за </w:t>
      </w:r>
      <w:r w:rsidR="00686E9B">
        <w:rPr>
          <w:rFonts w:ascii="Times New Roman" w:hAnsi="Times New Roman"/>
          <w:noProof/>
          <w:sz w:val="24"/>
        </w:rPr>
        <w:t>структурни инвестиции на борда.</w:t>
      </w:r>
    </w:p>
    <w:p w14:paraId="185A3B1B" w14:textId="77777777" w:rsidR="00AC0378" w:rsidRPr="003C0701" w:rsidRDefault="001D6309">
      <w:pPr>
        <w:pStyle w:val="Heading1"/>
        <w:rPr>
          <w:noProof/>
        </w:rPr>
      </w:pPr>
      <w:r>
        <w:rPr>
          <w:noProof/>
        </w:rPr>
        <w:t>Социално-икономически показатели</w:t>
      </w:r>
    </w:p>
    <w:p w14:paraId="589A4AE8" w14:textId="4D302593" w:rsidR="00AC0378" w:rsidRPr="003C0701" w:rsidRDefault="001D6309">
      <w:pPr>
        <w:jc w:val="both"/>
        <w:rPr>
          <w:rFonts w:ascii="Times New Roman" w:hAnsi="Times New Roman"/>
          <w:bCs/>
          <w:noProof/>
          <w:sz w:val="24"/>
        </w:rPr>
      </w:pPr>
      <w:bookmarkStart w:id="8" w:name="_Hlk135663424"/>
      <w:r>
        <w:rPr>
          <w:rFonts w:ascii="Times New Roman" w:hAnsi="Times New Roman"/>
          <w:noProof/>
          <w:sz w:val="24"/>
        </w:rPr>
        <w:t>Енергията е едно от основните разходни пера на риболовния флот на ЕС. Върховите цени на горивата</w:t>
      </w:r>
      <w:r>
        <w:rPr>
          <w:rStyle w:val="FootnoteReference"/>
          <w:rFonts w:ascii="Times New Roman" w:hAnsi="Times New Roman"/>
          <w:bCs/>
          <w:noProof/>
          <w:sz w:val="24"/>
        </w:rPr>
        <w:footnoteReference w:id="25"/>
      </w:r>
      <w:r>
        <w:rPr>
          <w:rFonts w:ascii="Times New Roman" w:hAnsi="Times New Roman"/>
          <w:noProof/>
          <w:sz w:val="24"/>
        </w:rPr>
        <w:t xml:space="preserve"> оказаха силно въздействие върху социално-икономическите резултати на риболовния флот на ЕС през 2022 г. Това въздействие следва по-ранното прекъсване на положителните тенденции при икономическите резултати, дължащо се на избухването на COVID-19 през 2020 г. и смущенията на пазара, причинени от военната агресия на Русия срещу Украйна. Счита се, че увеличението на цената на горивото с 10 евроцента намалява годишната брутна печалба на целия риболовен флот на ЕС със 185 милиона евро (или 16 % от годишната брутна печалба за 2020 г.). </w:t>
      </w:r>
      <w:bookmarkEnd w:id="8"/>
      <w:r>
        <w:rPr>
          <w:rFonts w:ascii="Times New Roman" w:hAnsi="Times New Roman"/>
          <w:noProof/>
          <w:sz w:val="24"/>
        </w:rPr>
        <w:t>В няколко сегмента на флота, които използват уреди с високо потребление на гориво, разходите за енергия може да представляват до половината от общата стойност на разтоварванията.</w:t>
      </w:r>
    </w:p>
    <w:p w14:paraId="061F1371" w14:textId="71E6E069" w:rsidR="00A9525E" w:rsidRPr="003C0701" w:rsidRDefault="00A9525E">
      <w:pPr>
        <w:jc w:val="both"/>
        <w:rPr>
          <w:rFonts w:ascii="Times New Roman" w:hAnsi="Times New Roman" w:cs="Times New Roman"/>
          <w:bCs/>
          <w:noProof/>
          <w:sz w:val="24"/>
          <w:szCs w:val="24"/>
        </w:rPr>
      </w:pPr>
      <w:r>
        <w:rPr>
          <w:rFonts w:ascii="Times New Roman" w:hAnsi="Times New Roman"/>
          <w:noProof/>
          <w:sz w:val="24"/>
        </w:rPr>
        <w:t>В резултат на това за първи път от 2008 г. насам риболовният флот на ЕС претърпя обща загуба. Все пак, след като през лятото на 2022 г. цените на горивата бяха достигнали най-високото си равнище от 1,2 EUR на литър, те постепенно спаднаха до 0,8—0,9 EUR на литър</w:t>
      </w:r>
      <w:r>
        <w:rPr>
          <w:rStyle w:val="FootnoteReference"/>
          <w:rFonts w:ascii="Times New Roman" w:hAnsi="Times New Roman"/>
          <w:noProof/>
          <w:sz w:val="24"/>
        </w:rPr>
        <w:t xml:space="preserve"> </w:t>
      </w:r>
      <w:r>
        <w:rPr>
          <w:rFonts w:ascii="Times New Roman" w:hAnsi="Times New Roman"/>
          <w:noProof/>
          <w:sz w:val="24"/>
        </w:rPr>
        <w:t>през първото тримесечие на 2023 г. Очаква се, че при сегашните цени на горивата риболовният флот на ЕС през 2023 г. може да генерира брутна добавена стойност от около 2,5 милиарда евро и брутна печалба от близо 300 милиона евро, да покрие оперативните си разходи и да запази работните места и заплатите на 125 000 рибари. Това е значително подобрение в сравнение с 2022 г., когато повечето риболовни флотове на ЕС не са били в състояние да покрият оперативните си разходи. Текущите цени на горивата, които остават с 70 % по-високи от цените от 2021 г., средно през 2023 г. обаче ще позволят само много малка до нулева нетна печалба.</w:t>
      </w:r>
    </w:p>
    <w:p w14:paraId="3D97CB6D" w14:textId="78A8C724" w:rsidR="00AC0378" w:rsidRPr="003C0701" w:rsidRDefault="00491714">
      <w:pPr>
        <w:jc w:val="both"/>
        <w:rPr>
          <w:rFonts w:ascii="Times New Roman" w:hAnsi="Times New Roman" w:cs="Times New Roman"/>
          <w:noProof/>
          <w:color w:val="000000"/>
          <w:sz w:val="24"/>
          <w:szCs w:val="24"/>
        </w:rPr>
      </w:pPr>
      <w:r>
        <w:rPr>
          <w:rFonts w:ascii="Times New Roman" w:hAnsi="Times New Roman"/>
          <w:noProof/>
          <w:color w:val="000000"/>
          <w:sz w:val="24"/>
        </w:rPr>
        <w:t>Въздействието на тези показатели не е еднакво във всички сегменти на флота. Най-общо казано, сегментите на флота, които</w:t>
      </w:r>
      <w:r>
        <w:rPr>
          <w:noProof/>
        </w:rPr>
        <w:t xml:space="preserve"> </w:t>
      </w:r>
      <w:bookmarkStart w:id="9" w:name="_Hlk135825387"/>
      <w:r>
        <w:rPr>
          <w:rFonts w:ascii="Times New Roman" w:hAnsi="Times New Roman"/>
          <w:noProof/>
          <w:color w:val="000000"/>
          <w:sz w:val="24"/>
        </w:rPr>
        <w:t>зависят от устойчиво експлоатирани запаси и които са повишили енергийната си ефективност (или са намалили горивоемкостта се), като цяло постигат по-добри резултати и генерират по-високи заплати за своите екипажи въпреки настоящите неблагоприятни икономически условия</w:t>
      </w:r>
      <w:bookmarkEnd w:id="9"/>
      <w:r>
        <w:rPr>
          <w:rFonts w:ascii="Times New Roman" w:hAnsi="Times New Roman"/>
          <w:noProof/>
          <w:color w:val="000000"/>
          <w:sz w:val="24"/>
        </w:rPr>
        <w:t xml:space="preserve">. Това показва, че </w:t>
      </w:r>
      <w:r>
        <w:rPr>
          <w:rFonts w:ascii="Times New Roman" w:hAnsi="Times New Roman"/>
          <w:b/>
          <w:noProof/>
          <w:color w:val="000000"/>
          <w:sz w:val="24"/>
        </w:rPr>
        <w:t>опазването на запасите и енергийната ефективност, постигнати от риболовните флотове на ЕС, имат значителни социално-икономически ползи</w:t>
      </w:r>
      <w:r w:rsidR="00686E9B">
        <w:rPr>
          <w:rFonts w:ascii="Times New Roman" w:hAnsi="Times New Roman"/>
          <w:noProof/>
          <w:color w:val="000000"/>
          <w:sz w:val="24"/>
        </w:rPr>
        <w:t>.</w:t>
      </w:r>
    </w:p>
    <w:p w14:paraId="0363D87D" w14:textId="0DC514DE" w:rsidR="00AC0378" w:rsidRPr="003C0701" w:rsidRDefault="00E7278C">
      <w:pPr>
        <w:jc w:val="both"/>
        <w:rPr>
          <w:rFonts w:ascii="Times New Roman" w:hAnsi="Times New Roman" w:cs="Times New Roman"/>
          <w:noProof/>
          <w:color w:val="000000"/>
          <w:sz w:val="24"/>
          <w:szCs w:val="24"/>
        </w:rPr>
      </w:pPr>
      <w:r>
        <w:rPr>
          <w:rFonts w:ascii="Times New Roman" w:hAnsi="Times New Roman"/>
          <w:noProof/>
          <w:sz w:val="24"/>
        </w:rPr>
        <w:t xml:space="preserve">Очаква се риболовният флот на ЕС през 2023 г. да покрие оперативните си разходи и да поддържа равнището на заетост, но той ще продължи да бъде финансово уязвим. </w:t>
      </w:r>
      <w:r>
        <w:rPr>
          <w:rFonts w:ascii="Times New Roman" w:hAnsi="Times New Roman"/>
          <w:noProof/>
          <w:color w:val="000000"/>
          <w:sz w:val="24"/>
        </w:rPr>
        <w:t>Тази уязвимост е резултат от високата енергоемкост и зависимостта от изкопаеми горива. Инициативата за енергиен преход</w:t>
      </w:r>
      <w:r>
        <w:rPr>
          <w:rStyle w:val="FootnoteReference"/>
          <w:rFonts w:ascii="Times New Roman" w:hAnsi="Times New Roman" w:cs="Times New Roman"/>
          <w:noProof/>
          <w:color w:val="000000"/>
          <w:sz w:val="24"/>
          <w:szCs w:val="24"/>
        </w:rPr>
        <w:footnoteReference w:id="26"/>
      </w:r>
      <w:r>
        <w:rPr>
          <w:rFonts w:ascii="Times New Roman" w:hAnsi="Times New Roman"/>
          <w:noProof/>
          <w:color w:val="000000"/>
          <w:sz w:val="24"/>
        </w:rPr>
        <w:t xml:space="preserve"> предлага няколко мерки, с които да се помогне на сектора да ускори своя енергиен преход и да постигне целта за неутралност по отношение на климата до 2050 г. Тя включва мерки, които държавите членки насочват към най-добрите начини за използване на наличното финансиране по линия на Европейския фонд за морско дело, рибарство и аквакултури</w:t>
      </w:r>
      <w:r>
        <w:rPr>
          <w:rStyle w:val="FootnoteReference"/>
          <w:rFonts w:ascii="Times New Roman" w:hAnsi="Times New Roman" w:cs="Times New Roman"/>
          <w:noProof/>
          <w:color w:val="000000"/>
          <w:sz w:val="24"/>
          <w:szCs w:val="24"/>
        </w:rPr>
        <w:footnoteReference w:id="27"/>
      </w:r>
      <w:r>
        <w:rPr>
          <w:rFonts w:ascii="Times New Roman" w:hAnsi="Times New Roman"/>
          <w:noProof/>
          <w:color w:val="000000"/>
          <w:sz w:val="24"/>
        </w:rPr>
        <w:t xml:space="preserve"> (ЕФМДРА) в подкрепа на осъществяването на енергийния преход.</w:t>
      </w:r>
    </w:p>
    <w:p w14:paraId="281CA952" w14:textId="03EF1AC7" w:rsidR="00744522" w:rsidRPr="003C0701" w:rsidRDefault="00981FD5">
      <w:pPr>
        <w:jc w:val="both"/>
        <w:rPr>
          <w:rFonts w:ascii="Times New Roman" w:hAnsi="Times New Roman" w:cs="Times New Roman"/>
          <w:noProof/>
          <w:sz w:val="24"/>
          <w:szCs w:val="24"/>
        </w:rPr>
      </w:pPr>
      <w:bookmarkStart w:id="10" w:name="_Hlk132740797"/>
      <w:r>
        <w:rPr>
          <w:rFonts w:ascii="Times New Roman" w:hAnsi="Times New Roman"/>
          <w:noProof/>
          <w:sz w:val="24"/>
        </w:rPr>
        <w:t>За да смекчи непосредствените последици за ЕС през 2022 г., произтичащи от военната агресия на Русия срещу Украйна, през 2022 г. Комисията предприе бързи мерки за задействане на Европейския фонд за морско дело и рибарство</w:t>
      </w:r>
      <w:r>
        <w:rPr>
          <w:rStyle w:val="FootnoteReference"/>
          <w:rFonts w:ascii="Times New Roman" w:hAnsi="Times New Roman" w:cs="Times New Roman"/>
          <w:noProof/>
          <w:sz w:val="24"/>
          <w:szCs w:val="24"/>
        </w:rPr>
        <w:footnoteReference w:id="28"/>
      </w:r>
      <w:r>
        <w:rPr>
          <w:rFonts w:ascii="Times New Roman" w:hAnsi="Times New Roman"/>
          <w:noProof/>
          <w:sz w:val="24"/>
        </w:rPr>
        <w:t xml:space="preserve"> (ЕФМДР) и ЕФМДРА за осъществяване на мерки за подкрепа при кризи</w:t>
      </w:r>
      <w:r>
        <w:rPr>
          <w:rStyle w:val="FootnoteReference"/>
          <w:rFonts w:ascii="Times New Roman" w:hAnsi="Times New Roman" w:cs="Times New Roman"/>
          <w:noProof/>
          <w:sz w:val="24"/>
          <w:szCs w:val="24"/>
        </w:rPr>
        <w:footnoteReference w:id="29"/>
      </w:r>
      <w:r>
        <w:rPr>
          <w:rFonts w:ascii="Times New Roman" w:hAnsi="Times New Roman"/>
          <w:noProof/>
          <w:sz w:val="24"/>
        </w:rPr>
        <w:t>. По отношение на ЕФМДР 14 държави членки направиха изменения на своите оперативни програми, за да се възползват от тази подкрепа</w:t>
      </w:r>
      <w:bookmarkEnd w:id="10"/>
      <w:r>
        <w:rPr>
          <w:rFonts w:ascii="Times New Roman" w:hAnsi="Times New Roman"/>
          <w:noProof/>
          <w:sz w:val="24"/>
        </w:rPr>
        <w:t>. Подкрепата може да се комбинира с други кризисни пакети, по-специално с временната рамка за мерки за държавна помощ при кризи</w:t>
      </w:r>
      <w:r>
        <w:rPr>
          <w:rStyle w:val="FootnoteReference"/>
          <w:rFonts w:ascii="Times New Roman" w:hAnsi="Times New Roman" w:cs="Times New Roman"/>
          <w:noProof/>
          <w:sz w:val="24"/>
          <w:szCs w:val="24"/>
        </w:rPr>
        <w:footnoteReference w:id="30"/>
      </w:r>
      <w:r>
        <w:rPr>
          <w:rFonts w:ascii="Times New Roman" w:hAnsi="Times New Roman"/>
          <w:noProof/>
          <w:sz w:val="24"/>
        </w:rPr>
        <w:t xml:space="preserve">, като до края на 2023 г. за предприятията в сектора на рибарството и аквакултурата са </w:t>
      </w:r>
      <w:r w:rsidR="00686E9B">
        <w:rPr>
          <w:rFonts w:ascii="Times New Roman" w:hAnsi="Times New Roman"/>
          <w:noProof/>
          <w:sz w:val="24"/>
        </w:rPr>
        <w:t>на разположение до 300 000 EUR.</w:t>
      </w:r>
    </w:p>
    <w:p w14:paraId="254C40D9" w14:textId="77777777" w:rsidR="00AC0378" w:rsidRPr="003C0701" w:rsidRDefault="001D6309">
      <w:pPr>
        <w:pStyle w:val="Heading1"/>
        <w:rPr>
          <w:noProof/>
        </w:rPr>
      </w:pPr>
      <w:r>
        <w:rPr>
          <w:noProof/>
        </w:rPr>
        <w:t>Задължение за разтоварване</w:t>
      </w:r>
    </w:p>
    <w:p w14:paraId="79609860" w14:textId="0AE059D0" w:rsidR="00AC0378" w:rsidRPr="003C0701" w:rsidRDefault="003551F5">
      <w:pPr>
        <w:pBdr>
          <w:top w:val="nil"/>
          <w:left w:val="nil"/>
          <w:bottom w:val="nil"/>
          <w:right w:val="nil"/>
          <w:between w:val="nil"/>
        </w:pBdr>
        <w:spacing w:before="200"/>
        <w:jc w:val="both"/>
        <w:rPr>
          <w:rFonts w:ascii="Times New Roman" w:eastAsia="Calibri" w:hAnsi="Times New Roman" w:cs="Times New Roman"/>
          <w:noProof/>
          <w:sz w:val="24"/>
          <w:szCs w:val="24"/>
        </w:rPr>
      </w:pPr>
      <w:r>
        <w:rPr>
          <w:rFonts w:ascii="Times New Roman" w:hAnsi="Times New Roman"/>
          <w:noProof/>
          <w:sz w:val="24"/>
        </w:rPr>
        <w:t xml:space="preserve">Благодарение на научноизследователски проекти и сътрудничеството между всички заинтересовани страни бяха направени полезни изводи относно управлението на изхвърлянето на улов в контекста на правилата за задължението за разтоварване, както и относно сътрудничеството със заинтересованите страни. С тях бяха повишени познанията за инструментите (за смекчаване на последиците), за състоянието на улова при различните видове риболов и в различните морски басейни и за начините за избягване на нежелан улов чрез по-селективни риболовни уреди или техники, като се предприемат специфични за зоната или периода мерки, или чрез забрани за </w:t>
      </w:r>
      <w:r w:rsidR="00686E9B">
        <w:rPr>
          <w:rFonts w:ascii="Times New Roman" w:hAnsi="Times New Roman"/>
          <w:noProof/>
          <w:sz w:val="24"/>
        </w:rPr>
        <w:t>риболов с незабавно приложение.</w:t>
      </w:r>
    </w:p>
    <w:p w14:paraId="09C28906" w14:textId="60348E14" w:rsidR="00AC0378" w:rsidRPr="003C0701" w:rsidRDefault="001D6309" w:rsidP="00C32043">
      <w:pPr>
        <w:pBdr>
          <w:top w:val="nil"/>
          <w:left w:val="nil"/>
          <w:bottom w:val="nil"/>
          <w:right w:val="nil"/>
          <w:between w:val="nil"/>
        </w:pBdr>
        <w:spacing w:before="200"/>
        <w:jc w:val="both"/>
        <w:rPr>
          <w:rFonts w:ascii="Times New Roman" w:hAnsi="Times New Roman"/>
          <w:noProof/>
          <w:color w:val="000000"/>
          <w:sz w:val="24"/>
          <w:szCs w:val="24"/>
        </w:rPr>
      </w:pPr>
      <w:bookmarkStart w:id="12" w:name="_Hlk135643723"/>
      <w:r>
        <w:rPr>
          <w:rFonts w:ascii="Times New Roman" w:hAnsi="Times New Roman"/>
          <w:noProof/>
          <w:color w:val="000000"/>
          <w:sz w:val="24"/>
        </w:rPr>
        <w:t xml:space="preserve">Изпълнението на задължението за разтоварване се подпомага от </w:t>
      </w:r>
      <w:r>
        <w:rPr>
          <w:rFonts w:ascii="Times New Roman" w:hAnsi="Times New Roman"/>
          <w:b/>
          <w:noProof/>
          <w:color w:val="000000"/>
          <w:sz w:val="24"/>
        </w:rPr>
        <w:t>ЕФМДР и ЕФМДРА</w:t>
      </w:r>
      <w:r>
        <w:rPr>
          <w:rFonts w:ascii="Times New Roman" w:hAnsi="Times New Roman"/>
          <w:noProof/>
          <w:color w:val="000000"/>
          <w:sz w:val="24"/>
        </w:rPr>
        <w:t xml:space="preserve"> с висок процент публична помощ. До края на 2022 г.</w:t>
      </w:r>
      <w:r>
        <w:rPr>
          <w:rStyle w:val="FootnoteReference"/>
          <w:rFonts w:ascii="Times New Roman" w:hAnsi="Times New Roman"/>
          <w:noProof/>
          <w:color w:val="000000"/>
          <w:sz w:val="24"/>
          <w:szCs w:val="24"/>
        </w:rPr>
        <w:footnoteReference w:id="31"/>
      </w:r>
      <w:r>
        <w:rPr>
          <w:rFonts w:ascii="Times New Roman" w:hAnsi="Times New Roman"/>
          <w:noProof/>
          <w:color w:val="000000"/>
          <w:sz w:val="24"/>
        </w:rPr>
        <w:t xml:space="preserve"> държавите членки бяха избрали 5 160 операции, които да се финансират с общо 180,7 милиона евро по линия на ЕФМДР за целите на изпълнение на задължението за разтоварване (в сравнение с 4 762 операции и 169,2 милиона евро през миналата година). </w:t>
      </w:r>
      <w:bookmarkEnd w:id="12"/>
      <w:r>
        <w:rPr>
          <w:rFonts w:ascii="Times New Roman" w:hAnsi="Times New Roman"/>
          <w:noProof/>
          <w:color w:val="000000"/>
          <w:sz w:val="24"/>
        </w:rPr>
        <w:t>Повечето операции имаха за цел да увеличат добавената стойност или качеството на нежелания улов</w:t>
      </w:r>
      <w:r>
        <w:rPr>
          <w:rStyle w:val="FootnoteReference"/>
          <w:rFonts w:ascii="Times New Roman" w:hAnsi="Times New Roman"/>
          <w:noProof/>
          <w:color w:val="000000"/>
          <w:sz w:val="24"/>
          <w:szCs w:val="24"/>
        </w:rPr>
        <w:footnoteReference w:id="32"/>
      </w:r>
      <w:r>
        <w:rPr>
          <w:rFonts w:ascii="Times New Roman" w:hAnsi="Times New Roman"/>
          <w:noProof/>
          <w:color w:val="000000"/>
          <w:sz w:val="24"/>
        </w:rPr>
        <w:t>, да намалят въздействието на риболова върху морската среда и да премахнат изхвърлянето на улов</w:t>
      </w:r>
      <w:r>
        <w:rPr>
          <w:rStyle w:val="FootnoteReference"/>
          <w:rFonts w:ascii="Times New Roman" w:hAnsi="Times New Roman"/>
          <w:noProof/>
          <w:color w:val="000000"/>
          <w:sz w:val="24"/>
          <w:szCs w:val="24"/>
        </w:rPr>
        <w:footnoteReference w:id="33"/>
      </w:r>
      <w:r w:rsidR="00686E9B">
        <w:rPr>
          <w:rFonts w:ascii="Times New Roman" w:hAnsi="Times New Roman"/>
          <w:noProof/>
          <w:color w:val="000000"/>
          <w:sz w:val="24"/>
        </w:rPr>
        <w:t>.</w:t>
      </w:r>
    </w:p>
    <w:p w14:paraId="070F5F42" w14:textId="5118F6AF" w:rsidR="00AC0378" w:rsidRPr="003C0701" w:rsidRDefault="00981FD5" w:rsidP="008E21AB">
      <w:pPr>
        <w:spacing w:after="0"/>
        <w:jc w:val="both"/>
        <w:rPr>
          <w:noProof/>
        </w:rPr>
      </w:pPr>
      <w:r>
        <w:rPr>
          <w:rFonts w:ascii="Times New Roman" w:hAnsi="Times New Roman"/>
          <w:b/>
          <w:noProof/>
          <w:sz w:val="24"/>
        </w:rPr>
        <w:t xml:space="preserve">Въпреки това действията на държавите членки за наблюдение на изпълнението и правоприлагане на задължението за разтоварване продължават да бъдат недостатъчни. </w:t>
      </w:r>
      <w:r>
        <w:rPr>
          <w:rFonts w:ascii="Times New Roman" w:hAnsi="Times New Roman"/>
          <w:noProof/>
          <w:sz w:val="24"/>
        </w:rPr>
        <w:t>Основните рискове, свързани със задължението за разтоварване, като например незаконно и недокументирано изхвърляне на улов по време на риболов в морето, не биват ограничени в достатъчна степен. Наблюдението и правоприлагането трябва да предотвратят и възпрат настоящите стимули за неспазване на правилата</w:t>
      </w:r>
      <w:r>
        <w:rPr>
          <w:rFonts w:ascii="Times New Roman" w:hAnsi="Times New Roman" w:cs="Times New Roman"/>
          <w:noProof/>
          <w:sz w:val="24"/>
          <w:szCs w:val="24"/>
          <w:vertAlign w:val="superscript"/>
        </w:rPr>
        <w:footnoteReference w:id="34"/>
      </w:r>
      <w:r>
        <w:rPr>
          <w:rFonts w:ascii="Times New Roman" w:hAnsi="Times New Roman"/>
          <w:noProof/>
          <w:sz w:val="24"/>
        </w:rPr>
        <w:t>. В Регламента за ОПОР се признават трудностите при изпълнението на задължението за разтоварване в смесения риболов, при който присъства повече от един вид, има вероятност в рамките на една риболовна операция да бъдат уловени няколко вида и са налице инструменти като размяна на квоти.</w:t>
      </w:r>
    </w:p>
    <w:p w14:paraId="73C623AA" w14:textId="25182D42" w:rsidR="00AC0378" w:rsidRPr="003C0701" w:rsidRDefault="007E4F92" w:rsidP="003974B3">
      <w:pPr>
        <w:pBdr>
          <w:top w:val="nil"/>
          <w:left w:val="nil"/>
          <w:bottom w:val="nil"/>
          <w:right w:val="nil"/>
          <w:between w:val="nil"/>
        </w:pBdr>
        <w:spacing w:before="200"/>
        <w:jc w:val="both"/>
        <w:rPr>
          <w:rFonts w:ascii="Times New Roman" w:hAnsi="Times New Roman"/>
          <w:noProof/>
          <w:sz w:val="24"/>
          <w:szCs w:val="24"/>
        </w:rPr>
      </w:pPr>
      <w:r>
        <w:rPr>
          <w:rFonts w:ascii="Times New Roman" w:hAnsi="Times New Roman"/>
          <w:noProof/>
          <w:sz w:val="24"/>
        </w:rPr>
        <w:t>Понастоящем държавите членки използват предимно традиционни техники за наблюдение</w:t>
      </w:r>
      <w:r>
        <w:rPr>
          <w:rStyle w:val="FootnoteReference"/>
          <w:rFonts w:ascii="Times New Roman" w:hAnsi="Times New Roman" w:cs="Times New Roman"/>
          <w:noProof/>
          <w:sz w:val="24"/>
          <w:szCs w:val="24"/>
        </w:rPr>
        <w:footnoteReference w:id="35"/>
      </w:r>
      <w:r>
        <w:rPr>
          <w:rFonts w:ascii="Times New Roman" w:hAnsi="Times New Roman"/>
          <w:noProof/>
          <w:sz w:val="24"/>
        </w:rPr>
        <w:t>, които са недостатъчни</w:t>
      </w:r>
      <w:r>
        <w:rPr>
          <w:rFonts w:ascii="Times New Roman" w:hAnsi="Times New Roman" w:cs="Times New Roman"/>
          <w:noProof/>
          <w:sz w:val="24"/>
          <w:szCs w:val="24"/>
          <w:vertAlign w:val="superscript"/>
        </w:rPr>
        <w:footnoteReference w:id="36"/>
      </w:r>
      <w:r>
        <w:rPr>
          <w:rFonts w:ascii="Times New Roman" w:hAnsi="Times New Roman"/>
          <w:noProof/>
          <w:sz w:val="24"/>
        </w:rPr>
        <w:t>. Парламентът и Съветът наскоро постигнаха съгласие по преработена система за контрол на рибарството въз основа на предложение на Комисията, по-специално за задължителното използване на електронни инструменти за наблюдение от разстояние (REM). Европейската агенция за контрол на рибарството съдейства на държавите членки при изготвянето на оперативни планове с REM за пилотни проекти на регионално и национално равнище и при определянето на най-добрите възможни стратегии за контрола на спазването.</w:t>
      </w:r>
    </w:p>
    <w:p w14:paraId="135335E9" w14:textId="1D5F4DD0" w:rsidR="00C32043" w:rsidRDefault="00D262CC" w:rsidP="00C32043">
      <w:pPr>
        <w:pBdr>
          <w:top w:val="nil"/>
          <w:left w:val="nil"/>
          <w:bottom w:val="nil"/>
          <w:right w:val="nil"/>
          <w:between w:val="nil"/>
        </w:pBdr>
        <w:spacing w:before="200"/>
        <w:jc w:val="both"/>
        <w:rPr>
          <w:rFonts w:ascii="Times New Roman" w:hAnsi="Times New Roman"/>
          <w:noProof/>
          <w:color w:val="000000"/>
          <w:sz w:val="24"/>
          <w:szCs w:val="24"/>
        </w:rPr>
      </w:pPr>
      <w:r>
        <w:rPr>
          <w:rFonts w:ascii="Times New Roman" w:hAnsi="Times New Roman"/>
          <w:noProof/>
          <w:color w:val="000000"/>
          <w:sz w:val="24"/>
        </w:rPr>
        <w:t>Слабото спазване на изискванията, недокументираното изхвърляне на улов и невярното деклариране на улова подкопават точността на данните (разтоварвани количества, нежелан улов и изхвърлен улов) и докладването за улова, които осигуряват качеството на научните становища. През 2023 г. държавите членки и Комисията си сътрудничат с Научния, технически и икономически комитет по рибарство (НТИКР) при преразглеждане на изключенията от задължението за разтоварване с цел подобряване на данните. Освен това Комисията проведе проучване чрез CINEA</w:t>
      </w:r>
      <w:r>
        <w:rPr>
          <w:rStyle w:val="FootnoteReference"/>
          <w:rFonts w:ascii="Times New Roman" w:hAnsi="Times New Roman"/>
          <w:noProof/>
          <w:color w:val="000000"/>
          <w:sz w:val="24"/>
          <w:szCs w:val="24"/>
        </w:rPr>
        <w:footnoteReference w:id="37"/>
      </w:r>
      <w:r>
        <w:rPr>
          <w:rFonts w:ascii="Times New Roman" w:hAnsi="Times New Roman"/>
          <w:noProof/>
          <w:color w:val="000000"/>
          <w:sz w:val="24"/>
        </w:rPr>
        <w:t xml:space="preserve"> за наблюдение на изпълнението на задължението за разтоварване при видовете риболов на държавите членки в Балтийско море, Северно море и западните води на Атлантическия океан. От съществено значение е наблюдението и правоприлагането да се подобрят, за да се гарантира, че данните за улова са точни, тъй като учените използват данните, докладвани в риболовните дневници и събрани в съответствие с рамката за събиране на данни</w:t>
      </w:r>
      <w:r>
        <w:rPr>
          <w:rStyle w:val="FootnoteReference"/>
          <w:rFonts w:ascii="Times New Roman" w:hAnsi="Times New Roman"/>
          <w:noProof/>
          <w:color w:val="000000"/>
          <w:sz w:val="24"/>
          <w:szCs w:val="24"/>
        </w:rPr>
        <w:footnoteReference w:id="38"/>
      </w:r>
      <w:r>
        <w:rPr>
          <w:rFonts w:ascii="Times New Roman" w:hAnsi="Times New Roman"/>
          <w:noProof/>
          <w:color w:val="000000"/>
          <w:sz w:val="24"/>
        </w:rPr>
        <w:t>, за да подкрепят научните становища. Както се подчертава в съобщението относно ОПОР</w:t>
      </w:r>
      <w:r>
        <w:rPr>
          <w:rStyle w:val="FootnoteReference"/>
          <w:rFonts w:ascii="Times New Roman" w:hAnsi="Times New Roman"/>
          <w:noProof/>
          <w:color w:val="000000"/>
          <w:sz w:val="24"/>
          <w:szCs w:val="24"/>
        </w:rPr>
        <w:footnoteReference w:id="39"/>
      </w:r>
      <w:r>
        <w:rPr>
          <w:rFonts w:ascii="Times New Roman" w:hAnsi="Times New Roman"/>
          <w:noProof/>
          <w:color w:val="000000"/>
          <w:sz w:val="24"/>
        </w:rPr>
        <w:t>, точността на данните е от съществено значение за оценките, които помагат на Комисията да реши дали мерките на ЕС следва да б</w:t>
      </w:r>
      <w:r w:rsidR="00686E9B">
        <w:rPr>
          <w:rFonts w:ascii="Times New Roman" w:hAnsi="Times New Roman"/>
          <w:noProof/>
          <w:color w:val="000000"/>
          <w:sz w:val="24"/>
        </w:rPr>
        <w:t>ъдат продължени или коригирани.</w:t>
      </w:r>
    </w:p>
    <w:p w14:paraId="7A47D693" w14:textId="517E3AA3" w:rsidR="00AC0378" w:rsidRPr="003C0701" w:rsidRDefault="001D6309">
      <w:pPr>
        <w:pStyle w:val="Heading1"/>
        <w:rPr>
          <w:noProof/>
        </w:rPr>
      </w:pPr>
      <w:r>
        <w:rPr>
          <w:noProof/>
        </w:rPr>
        <w:t>Основни послания и насоки във връзка с предложенията относно възможностите за риболов за 2024 г.</w:t>
      </w:r>
    </w:p>
    <w:p w14:paraId="30FFC8AE" w14:textId="72CFBF44" w:rsidR="00AC0378" w:rsidRPr="003C0701" w:rsidRDefault="001D6309">
      <w:pPr>
        <w:pStyle w:val="Heading2"/>
        <w:spacing w:after="120"/>
        <w:ind w:left="360"/>
        <w:rPr>
          <w:noProof/>
        </w:rPr>
      </w:pPr>
      <w:r>
        <w:rPr>
          <w:noProof/>
        </w:rPr>
        <w:t>6.1. Основни етапи към определяне на следващите възможности за риболов</w:t>
      </w:r>
    </w:p>
    <w:p w14:paraId="5FC277AD" w14:textId="45AA5CE4" w:rsidR="00AC0378" w:rsidRPr="003C0701" w:rsidRDefault="00F7261E" w:rsidP="003974B3">
      <w:pPr>
        <w:jc w:val="both"/>
        <w:rPr>
          <w:rFonts w:ascii="Times New Roman" w:hAnsi="Times New Roman"/>
          <w:noProof/>
          <w:sz w:val="24"/>
          <w:szCs w:val="24"/>
        </w:rPr>
      </w:pPr>
      <w:r>
        <w:rPr>
          <w:rFonts w:ascii="Times New Roman" w:hAnsi="Times New Roman"/>
          <w:noProof/>
          <w:sz w:val="24"/>
        </w:rPr>
        <w:t>Предложенията на Комисията за възможностите за риболов през 2024 г. ще се основават на научните становища на ICES и НТИКР, включително свързаните с екосистемите съображения, на решенията, взети в рамките на международните преговори с трети държави, на решенията, взети от РОУР през 2023 г., и на социално-икономически анализ.</w:t>
      </w:r>
    </w:p>
    <w:p w14:paraId="42761817" w14:textId="6EC88B6E" w:rsidR="00AC0378" w:rsidRPr="003C0701" w:rsidRDefault="001D6309" w:rsidP="003974B3">
      <w:pPr>
        <w:jc w:val="both"/>
        <w:rPr>
          <w:rFonts w:ascii="Times New Roman" w:hAnsi="Times New Roman"/>
          <w:noProof/>
          <w:sz w:val="24"/>
          <w:szCs w:val="24"/>
        </w:rPr>
      </w:pPr>
      <w:bookmarkStart w:id="13" w:name="_Hlk135826214"/>
      <w:r>
        <w:rPr>
          <w:rFonts w:ascii="Times New Roman" w:hAnsi="Times New Roman"/>
          <w:noProof/>
          <w:sz w:val="24"/>
        </w:rPr>
        <w:t>Още в първоначалните си предложения Комисията ще обхване възможно най-голям брой запаси, като ще вземе предвид необходимото навременно предоставяне на научните становища.</w:t>
      </w:r>
    </w:p>
    <w:bookmarkEnd w:id="13"/>
    <w:p w14:paraId="478707F1" w14:textId="287E1481" w:rsidR="00AC0378" w:rsidRPr="003C0701" w:rsidRDefault="001D6309" w:rsidP="003974B3">
      <w:pPr>
        <w:jc w:val="both"/>
        <w:rPr>
          <w:rFonts w:ascii="Times New Roman" w:hAnsi="Times New Roman"/>
          <w:noProof/>
          <w:sz w:val="24"/>
          <w:szCs w:val="24"/>
        </w:rPr>
      </w:pPr>
      <w:r>
        <w:rPr>
          <w:rFonts w:ascii="Times New Roman" w:hAnsi="Times New Roman"/>
          <w:noProof/>
          <w:sz w:val="24"/>
        </w:rPr>
        <w:t>Комисията приканва държавите членки и заинтересованите страни да оценят научните становища веднага след тяхното публикуване. Заинтересованите страни могат също така да отправят препоръки чрез консултативните съвети, наци</w:t>
      </w:r>
      <w:r w:rsidR="00686E9B">
        <w:rPr>
          <w:rFonts w:ascii="Times New Roman" w:hAnsi="Times New Roman"/>
          <w:noProof/>
          <w:sz w:val="24"/>
        </w:rPr>
        <w:t>оналните органи и индивидуално.</w:t>
      </w:r>
    </w:p>
    <w:p w14:paraId="22487D5F" w14:textId="5EA57858" w:rsidR="00AC0378" w:rsidRPr="003C0701" w:rsidRDefault="001D6309" w:rsidP="003974B3">
      <w:pPr>
        <w:jc w:val="both"/>
        <w:rPr>
          <w:rFonts w:ascii="Times New Roman" w:hAnsi="Times New Roman"/>
          <w:noProof/>
          <w:sz w:val="24"/>
          <w:szCs w:val="24"/>
        </w:rPr>
      </w:pPr>
      <w:r>
        <w:rPr>
          <w:rFonts w:ascii="Times New Roman" w:hAnsi="Times New Roman"/>
          <w:noProof/>
          <w:sz w:val="24"/>
        </w:rPr>
        <w:t>От октомври нататък Комисията ще проведе различни консултации с Обединеното кралство, Норвегия и другите крайбрежни държави, за да приключи навреме обработката на резултатите в рамките на засед</w:t>
      </w:r>
      <w:r w:rsidR="00686E9B">
        <w:rPr>
          <w:rFonts w:ascii="Times New Roman" w:hAnsi="Times New Roman"/>
          <w:noProof/>
          <w:sz w:val="24"/>
        </w:rPr>
        <w:t>анието на Съвета през декември.</w:t>
      </w:r>
    </w:p>
    <w:p w14:paraId="730A937D" w14:textId="5F8FD093" w:rsidR="004820AD" w:rsidRPr="003C0701" w:rsidRDefault="001D6309" w:rsidP="003974B3">
      <w:pPr>
        <w:jc w:val="both"/>
        <w:rPr>
          <w:rFonts w:ascii="Times New Roman" w:hAnsi="Times New Roman"/>
          <w:noProof/>
          <w:sz w:val="24"/>
          <w:szCs w:val="24"/>
        </w:rPr>
      </w:pPr>
      <w:r>
        <w:rPr>
          <w:rFonts w:ascii="Times New Roman" w:hAnsi="Times New Roman"/>
          <w:noProof/>
          <w:sz w:val="24"/>
        </w:rPr>
        <w:t>Наред с определянето</w:t>
      </w:r>
      <w:r>
        <w:rPr>
          <w:noProof/>
        </w:rPr>
        <w:t xml:space="preserve"> </w:t>
      </w:r>
      <w:r>
        <w:rPr>
          <w:rFonts w:ascii="Times New Roman" w:hAnsi="Times New Roman"/>
          <w:noProof/>
          <w:sz w:val="24"/>
        </w:rPr>
        <w:t>на възможностите за риболов, Комисията ще работи през цялата година за постигане на напредък по споразуменията за разпределяне във връзка с широко разпространените запаси — и именно с третите държави, с които такива споразумения още не са сключени, за да се гарантира, че общите запаси се експлоатират по устойчив начин.</w:t>
      </w:r>
    </w:p>
    <w:p w14:paraId="29350AB7" w14:textId="7055F9FE" w:rsidR="00AC0378" w:rsidRPr="003C0701" w:rsidRDefault="001D6309">
      <w:pPr>
        <w:pStyle w:val="Heading2"/>
        <w:spacing w:after="120"/>
        <w:ind w:left="360"/>
        <w:rPr>
          <w:noProof/>
        </w:rPr>
      </w:pPr>
      <w:r>
        <w:rPr>
          <w:noProof/>
        </w:rPr>
        <w:t>6.2. Определяне на възможности за риболов за различни морски басейни</w:t>
      </w:r>
    </w:p>
    <w:p w14:paraId="4361E70D" w14:textId="266813E6" w:rsidR="0011434B" w:rsidRDefault="001D6309">
      <w:pPr>
        <w:jc w:val="both"/>
        <w:rPr>
          <w:rFonts w:ascii="Times New Roman" w:hAnsi="Times New Roman"/>
          <w:noProof/>
          <w:sz w:val="24"/>
          <w:szCs w:val="24"/>
        </w:rPr>
      </w:pPr>
      <w:r>
        <w:rPr>
          <w:rFonts w:ascii="Times New Roman" w:hAnsi="Times New Roman"/>
          <w:noProof/>
          <w:sz w:val="24"/>
        </w:rPr>
        <w:t xml:space="preserve">По отношение на запасите в </w:t>
      </w:r>
      <w:r>
        <w:rPr>
          <w:rFonts w:ascii="Times New Roman" w:hAnsi="Times New Roman"/>
          <w:b/>
          <w:noProof/>
          <w:sz w:val="24"/>
        </w:rPr>
        <w:t>Балтийско море, Скагерак/Категат и Атлантическия океан</w:t>
      </w:r>
      <w:r>
        <w:rPr>
          <w:rFonts w:ascii="Times New Roman" w:hAnsi="Times New Roman"/>
          <w:noProof/>
          <w:sz w:val="24"/>
        </w:rPr>
        <w:t>, управлявани само от ЕС, Комисията ще предложи квоти в съответствие с равнището на МУУ, когато е налице съответното становище. Когато плановете за управление осигуряват по-голяма гъвкавост при определяне на ограниченията на улова, Комисията може да предложи за запасите в добро състояние да се използва горният диапазон на стойностите на МУУ, при условие че съгласно научните становища това е необходимо за постигане на целите на многогодишните планове, преди всичко за смесения риболов. За запасите, по отношение на които в научните становища се препоръчва прилагането на нулев улов или при които биомасата е намаляла толкова много, че са под безопасната граница, Комисията ще предложи коригиращи мерки</w:t>
      </w:r>
      <w:r>
        <w:rPr>
          <w:noProof/>
        </w:rPr>
        <w:t xml:space="preserve"> </w:t>
      </w:r>
      <w:bookmarkStart w:id="14" w:name="_Hlk135726625"/>
      <w:r>
        <w:rPr>
          <w:rFonts w:ascii="Times New Roman" w:hAnsi="Times New Roman"/>
          <w:noProof/>
          <w:sz w:val="24"/>
        </w:rPr>
        <w:t>съгласно съответния многогодишен план</w:t>
      </w:r>
      <w:bookmarkEnd w:id="14"/>
      <w:r>
        <w:rPr>
          <w:noProof/>
        </w:rPr>
        <w:t xml:space="preserve"> </w:t>
      </w:r>
      <w:r>
        <w:rPr>
          <w:rFonts w:ascii="Times New Roman" w:hAnsi="Times New Roman"/>
          <w:noProof/>
          <w:sz w:val="24"/>
        </w:rPr>
        <w:t>с цел възстановяване на запасите. Тя ще съсредоточи действията си върху това възможно най-скоро да получи цялостна научна оценка на МУУ за другите основн</w:t>
      </w:r>
      <w:r w:rsidR="00686E9B">
        <w:rPr>
          <w:rFonts w:ascii="Times New Roman" w:hAnsi="Times New Roman"/>
          <w:noProof/>
          <w:sz w:val="24"/>
        </w:rPr>
        <w:t>и запаси.</w:t>
      </w:r>
    </w:p>
    <w:p w14:paraId="72E8E9F7" w14:textId="49FE0A42" w:rsidR="00AC0378" w:rsidRPr="003C0701" w:rsidRDefault="003F735F">
      <w:pPr>
        <w:jc w:val="both"/>
        <w:rPr>
          <w:rFonts w:ascii="Times New Roman" w:hAnsi="Times New Roman"/>
          <w:noProof/>
          <w:sz w:val="24"/>
          <w:szCs w:val="24"/>
        </w:rPr>
      </w:pPr>
      <w:r>
        <w:rPr>
          <w:rFonts w:ascii="Times New Roman" w:hAnsi="Times New Roman"/>
          <w:noProof/>
          <w:sz w:val="24"/>
        </w:rPr>
        <w:t>Що се отнася до задължението за разтоварване, при целесъобразност тя ще приспадне от становището на ICES минималните изключения или изключенията въз основа на висока способност за оцеляване. Освен това Комисията ще направи оценка на напредъка на държавите членки при изпълнението на сегашните мерки за намаляване на прилова</w:t>
      </w:r>
      <w:r>
        <w:rPr>
          <w:noProof/>
        </w:rPr>
        <w:t xml:space="preserve">, </w:t>
      </w:r>
      <w:bookmarkStart w:id="15" w:name="_Hlk135726678"/>
      <w:r>
        <w:rPr>
          <w:rFonts w:ascii="Times New Roman" w:hAnsi="Times New Roman"/>
          <w:noProof/>
          <w:sz w:val="24"/>
        </w:rPr>
        <w:t>които съпътстват равнищата на ОДУ само за неизбежен прилов, приети с цел да се противодейства на потенциални случаи на блокиращи риболова видове.</w:t>
      </w:r>
      <w:bookmarkEnd w:id="15"/>
    </w:p>
    <w:p w14:paraId="6C64A09D" w14:textId="25EAA646" w:rsidR="00D07FD0" w:rsidRPr="003C0701" w:rsidRDefault="00211EC8">
      <w:pPr>
        <w:jc w:val="both"/>
        <w:rPr>
          <w:rFonts w:ascii="Times New Roman" w:hAnsi="Times New Roman"/>
          <w:noProof/>
          <w:sz w:val="24"/>
          <w:szCs w:val="24"/>
        </w:rPr>
      </w:pPr>
      <w:r>
        <w:rPr>
          <w:rFonts w:ascii="Times New Roman" w:hAnsi="Times New Roman"/>
          <w:noProof/>
          <w:sz w:val="24"/>
        </w:rPr>
        <w:t>Когато е възможно, Комисията планира да премине към система от многогодишни равнища на ОДУ за запасите, управлявани само от ЕС. Това ще повиши ефективността и предвидимостта за риболовните предприятия на ЕС по отношение на запасите, които се подбират в тясно сътрудничество с държавите членки, заинтересованите страни и ICES. Държавите членки се приканват да изготвят списъци с приоритетните запаси, за които препоръчват 2-годишен ОДУ. След извършване на съответна оценка Комисията ще отправи искане към ICES да направи оценка на установените</w:t>
      </w:r>
      <w:r w:rsidR="00686E9B">
        <w:rPr>
          <w:rFonts w:ascii="Times New Roman" w:hAnsi="Times New Roman"/>
          <w:noProof/>
          <w:sz w:val="24"/>
        </w:rPr>
        <w:t xml:space="preserve"> запаси:</w:t>
      </w:r>
    </w:p>
    <w:p w14:paraId="6B7298D9" w14:textId="78F14B4D" w:rsidR="00D07FD0" w:rsidRPr="003C0701" w:rsidRDefault="00E1074E" w:rsidP="00D07FD0">
      <w:pPr>
        <w:pStyle w:val="ListParagraph"/>
        <w:numPr>
          <w:ilvl w:val="5"/>
          <w:numId w:val="22"/>
        </w:numPr>
        <w:tabs>
          <w:tab w:val="clear" w:pos="2160"/>
        </w:tabs>
        <w:ind w:left="993"/>
        <w:jc w:val="both"/>
        <w:rPr>
          <w:rFonts w:ascii="Times New Roman" w:hAnsi="Times New Roman"/>
          <w:noProof/>
          <w:sz w:val="24"/>
          <w:szCs w:val="24"/>
        </w:rPr>
      </w:pPr>
      <w:r>
        <w:rPr>
          <w:rFonts w:ascii="Times New Roman" w:hAnsi="Times New Roman"/>
          <w:noProof/>
          <w:sz w:val="24"/>
        </w:rPr>
        <w:t>спрямо критериите на мн</w:t>
      </w:r>
      <w:r w:rsidR="00686E9B">
        <w:rPr>
          <w:rFonts w:ascii="Times New Roman" w:hAnsi="Times New Roman"/>
          <w:noProof/>
          <w:sz w:val="24"/>
        </w:rPr>
        <w:t>огогодишните становища на ICES,</w:t>
      </w:r>
    </w:p>
    <w:p w14:paraId="265EB9BD" w14:textId="4434A489" w:rsidR="00D07FD0" w:rsidRPr="003C0701" w:rsidRDefault="001D6309" w:rsidP="00D07FD0">
      <w:pPr>
        <w:pStyle w:val="ListParagraph"/>
        <w:numPr>
          <w:ilvl w:val="5"/>
          <w:numId w:val="22"/>
        </w:numPr>
        <w:tabs>
          <w:tab w:val="clear" w:pos="2160"/>
        </w:tabs>
        <w:ind w:left="993"/>
        <w:jc w:val="both"/>
        <w:rPr>
          <w:rFonts w:ascii="Times New Roman" w:hAnsi="Times New Roman"/>
          <w:noProof/>
          <w:sz w:val="24"/>
          <w:szCs w:val="24"/>
        </w:rPr>
      </w:pPr>
      <w:r>
        <w:rPr>
          <w:rFonts w:ascii="Times New Roman" w:hAnsi="Times New Roman"/>
          <w:noProof/>
          <w:sz w:val="24"/>
        </w:rPr>
        <w:t>по отношение на осъществимос</w:t>
      </w:r>
      <w:r w:rsidR="00686E9B">
        <w:rPr>
          <w:rFonts w:ascii="Times New Roman" w:hAnsi="Times New Roman"/>
          <w:noProof/>
          <w:sz w:val="24"/>
        </w:rPr>
        <w:t>тта на многогодишните становища и</w:t>
      </w:r>
    </w:p>
    <w:p w14:paraId="1B0859B6" w14:textId="0BD18CBA" w:rsidR="00AC0378" w:rsidRPr="003C0701" w:rsidRDefault="001D6309" w:rsidP="00D07FD0">
      <w:pPr>
        <w:pStyle w:val="ListParagraph"/>
        <w:numPr>
          <w:ilvl w:val="5"/>
          <w:numId w:val="22"/>
        </w:numPr>
        <w:tabs>
          <w:tab w:val="clear" w:pos="2160"/>
        </w:tabs>
        <w:ind w:left="993"/>
        <w:jc w:val="both"/>
        <w:rPr>
          <w:rFonts w:ascii="Times New Roman" w:hAnsi="Times New Roman"/>
          <w:noProof/>
          <w:sz w:val="24"/>
          <w:szCs w:val="24"/>
        </w:rPr>
      </w:pPr>
      <w:r>
        <w:rPr>
          <w:rFonts w:ascii="Times New Roman" w:hAnsi="Times New Roman"/>
          <w:noProof/>
          <w:sz w:val="24"/>
        </w:rPr>
        <w:t xml:space="preserve"> по отношение на възможните последици от такива многогодишни становища.</w:t>
      </w:r>
    </w:p>
    <w:p w14:paraId="2A664AA0" w14:textId="77777777" w:rsidR="00D07FD0" w:rsidRPr="003C0701" w:rsidRDefault="00D07FD0" w:rsidP="00D07FD0">
      <w:pPr>
        <w:pStyle w:val="ListParagraph"/>
        <w:ind w:left="2160"/>
        <w:jc w:val="both"/>
        <w:rPr>
          <w:rFonts w:ascii="Times New Roman" w:hAnsi="Times New Roman"/>
          <w:noProof/>
          <w:sz w:val="24"/>
          <w:szCs w:val="24"/>
        </w:rPr>
      </w:pPr>
    </w:p>
    <w:p w14:paraId="6F028E03" w14:textId="6D3DE8E6" w:rsidR="00AC0378" w:rsidRPr="003C0701" w:rsidRDefault="001D6309">
      <w:pPr>
        <w:jc w:val="both"/>
        <w:rPr>
          <w:rFonts w:ascii="Times New Roman" w:hAnsi="Times New Roman"/>
          <w:noProof/>
          <w:sz w:val="24"/>
          <w:szCs w:val="24"/>
        </w:rPr>
      </w:pPr>
      <w:r>
        <w:rPr>
          <w:rFonts w:ascii="Times New Roman" w:hAnsi="Times New Roman"/>
          <w:noProof/>
          <w:sz w:val="24"/>
        </w:rPr>
        <w:t xml:space="preserve">Що се отнася до общите запаси, управлявани с </w:t>
      </w:r>
      <w:r>
        <w:rPr>
          <w:rFonts w:ascii="Times New Roman" w:hAnsi="Times New Roman"/>
          <w:b/>
          <w:noProof/>
          <w:sz w:val="24"/>
        </w:rPr>
        <w:t>Обединеното кралство, Норвегия и други крайбрежни държави</w:t>
      </w:r>
      <w:r>
        <w:rPr>
          <w:rFonts w:ascii="Times New Roman" w:hAnsi="Times New Roman"/>
          <w:noProof/>
          <w:sz w:val="24"/>
        </w:rPr>
        <w:t>, позицията на ЕС ще продължи да се основава на най-добрите налични научни становища, като се цели възможностите за риболов да се определят в съответствие с МУУ. ЕС ще предприеме последващи действия във връзка със съвместните ангажименти на ЕС и Обединеното кралство, поети в рамките на Специализирания комитет по рибарство, с цел постигане на устойчив риболов и устойчиво управление на общите запаси. Той също така ще предприеме последващи действия във връзка с подобни ангажименти, поети в тристранната рамка (ЕС, Обединеното кралство, Норвегия), и във връзка с търсенето на устойчиви и всеобхватни споразумения за разпределяне на запасите на крайбрежните държави. Тази дейност е част от външното измерение на общата политика в областта на рибарството и обхваща около 70 % от всички ОДУ, определени в Североизточния Атлантически океан. Комисията ще се стреми да подобри сътрудничеството и бизнес климата на тези консултации.</w:t>
      </w:r>
    </w:p>
    <w:p w14:paraId="500EE9D2" w14:textId="71450CB7" w:rsidR="00AC0378" w:rsidRPr="003C0701" w:rsidRDefault="001D6309">
      <w:pPr>
        <w:jc w:val="both"/>
        <w:rPr>
          <w:rFonts w:ascii="Times New Roman" w:hAnsi="Times New Roman"/>
          <w:noProof/>
          <w:sz w:val="24"/>
          <w:szCs w:val="24"/>
        </w:rPr>
      </w:pPr>
      <w:r>
        <w:rPr>
          <w:rFonts w:ascii="Times New Roman" w:hAnsi="Times New Roman"/>
          <w:noProof/>
          <w:sz w:val="24"/>
        </w:rPr>
        <w:t xml:space="preserve">За </w:t>
      </w:r>
      <w:r>
        <w:rPr>
          <w:rFonts w:ascii="Times New Roman" w:hAnsi="Times New Roman"/>
          <w:b/>
          <w:noProof/>
          <w:sz w:val="24"/>
        </w:rPr>
        <w:t>Средиземно море и Черно море</w:t>
      </w:r>
      <w:r>
        <w:rPr>
          <w:rFonts w:ascii="Times New Roman" w:hAnsi="Times New Roman"/>
          <w:noProof/>
          <w:sz w:val="24"/>
        </w:rPr>
        <w:t xml:space="preserve"> е много важно държавите членки да продължат да преследват целите на многогодишния план West Med и на Стратегия на GFCM до 2030 г. Комисията насърчава държавите членки да прилагат съпътстващи мерки в рамките на програмите по ЕФМДРА. Тъй като това е последната година от предвидения в многогодишния план преходен период, предложението за възможностите за риболов ще има за цел пълното прилагане на плана въз основа на цялостен подход, за да се постигне МУУ най-късно до 1 януари 2025 г. за всички запаси. По-специално следва да се съдържат наличните инструменти за управление и механизмът за компенсация за подобряване на селективността на риболовните уреди и забрани за риболов в определени зони. НТИКР оценява изпълнението на многогодишния план всяко година. Освен това Комисията започна работа по всеки аспект на устойчивостта с оглед през юли 2024 г. да докладва за резултатите и въздействието на плана върху съответните запаси и риболовни дейности.</w:t>
      </w:r>
    </w:p>
    <w:p w14:paraId="672D0A4F" w14:textId="50719902" w:rsidR="00AC0378" w:rsidRPr="003C0701" w:rsidRDefault="00036EF1">
      <w:pPr>
        <w:jc w:val="both"/>
        <w:rPr>
          <w:rFonts w:ascii="Times New Roman" w:hAnsi="Times New Roman"/>
          <w:noProof/>
          <w:sz w:val="24"/>
          <w:szCs w:val="24"/>
        </w:rPr>
      </w:pPr>
      <w:r>
        <w:rPr>
          <w:rFonts w:ascii="Times New Roman" w:hAnsi="Times New Roman"/>
          <w:noProof/>
          <w:sz w:val="24"/>
        </w:rPr>
        <w:t>Управлението на общите запаси е необходимо също така, за да се гарантира устойчивост в международните води и да се осигурят еднакви условия на конкуренция в Средиземно море и Черно море. За тази цел предложението за възможностите за риболов за 2024 г. ще обхваща мерки, произтичащи от вече действащи мерки на GFCM, и допълнителни мерки, които ще бъдат приети на годишното заседание на GFCM през ноември. За черноморските видове Комисията ще предложи ОДУ и квоти за калкан в съответствие с мерките, които ще бъдат приети на годишн</w:t>
      </w:r>
      <w:r w:rsidR="00686E9B">
        <w:rPr>
          <w:rFonts w:ascii="Times New Roman" w:hAnsi="Times New Roman"/>
          <w:noProof/>
          <w:sz w:val="24"/>
        </w:rPr>
        <w:t>ото заседания, както и за цаца.</w:t>
      </w:r>
    </w:p>
    <w:p w14:paraId="24F38A11" w14:textId="212B6D77" w:rsidR="009E6D96" w:rsidRPr="003C0701" w:rsidRDefault="009E6D96">
      <w:pPr>
        <w:jc w:val="both"/>
        <w:rPr>
          <w:rFonts w:ascii="Times New Roman" w:hAnsi="Times New Roman"/>
          <w:noProof/>
          <w:sz w:val="24"/>
          <w:szCs w:val="24"/>
        </w:rPr>
      </w:pPr>
      <w:r>
        <w:rPr>
          <w:rFonts w:ascii="Times New Roman" w:hAnsi="Times New Roman"/>
          <w:noProof/>
          <w:sz w:val="24"/>
        </w:rPr>
        <w:t>Напредъкът, постигнат за Средиземно море и Черно море, трябва да продължи и да се ускори на конференцията на високо равнище на GFCM, която ще се състои на 3—4 октомври 2023 г. в Малта. Всички държави членки трябва да продължат да действат за постигане на устойчивост на запасите, тъй като това е основата за стабилен сектор на рибарството и за опазване на екосистемите в тези морски басейни.</w:t>
      </w:r>
    </w:p>
    <w:p w14:paraId="39DC44B4" w14:textId="52FB22BF" w:rsidR="00C76199" w:rsidRPr="00993885" w:rsidRDefault="00C17E92">
      <w:pPr>
        <w:spacing w:after="120"/>
        <w:jc w:val="both"/>
        <w:rPr>
          <w:rFonts w:ascii="Times New Roman" w:hAnsi="Times New Roman"/>
          <w:b/>
          <w:noProof/>
          <w:sz w:val="24"/>
          <w:szCs w:val="24"/>
        </w:rPr>
      </w:pPr>
      <w:r>
        <w:rPr>
          <w:rFonts w:ascii="Times New Roman" w:hAnsi="Times New Roman"/>
          <w:noProof/>
          <w:sz w:val="24"/>
        </w:rPr>
        <w:t xml:space="preserve">Предвид необходимостта от подобряване на защитата на </w:t>
      </w:r>
      <w:r>
        <w:rPr>
          <w:rFonts w:ascii="Times New Roman" w:hAnsi="Times New Roman"/>
          <w:b/>
          <w:noProof/>
          <w:sz w:val="24"/>
        </w:rPr>
        <w:t>европейската змиорка</w:t>
      </w:r>
      <w:r>
        <w:rPr>
          <w:rFonts w:ascii="Times New Roman" w:hAnsi="Times New Roman"/>
          <w:noProof/>
          <w:sz w:val="24"/>
        </w:rPr>
        <w:t xml:space="preserve"> наред с внимателното наблюдение на изпълнението на възможностите за риболов през 2023 г. и оценката на мерките за 2024 г. за морските води, Комисията призовава държавите членки да подобрят своите планове за управление на запасите от змиорка съгласно Регламента относно запасите от змиорка в съответствие със своите задължения в областта на околната среда</w:t>
      </w:r>
      <w:r>
        <w:rPr>
          <w:rStyle w:val="FootnoteReference"/>
          <w:rFonts w:ascii="Times New Roman" w:eastAsia="Times New Roman" w:hAnsi="Times New Roman" w:cs="Times New Roman"/>
          <w:noProof/>
          <w:sz w:val="24"/>
          <w:szCs w:val="24"/>
        </w:rPr>
        <w:footnoteReference w:id="40"/>
      </w:r>
      <w:r>
        <w:rPr>
          <w:rFonts w:ascii="Times New Roman" w:hAnsi="Times New Roman"/>
          <w:noProof/>
          <w:sz w:val="24"/>
        </w:rPr>
        <w:t>. Важно е да се засилят мерките във вътрешните води, за да се създадат еднакви условия на конкуренция, тъй като процентът на смъртност при змиорките във вътрешните води е много висок и има нужда от спешни коригиращи мерки. Понастоящем GFCM работи по бъдещи дългосрочни планове за управление, по-специално по отношение на</w:t>
      </w:r>
      <w:r>
        <w:rPr>
          <w:noProof/>
        </w:rPr>
        <w:t xml:space="preserve"> </w:t>
      </w:r>
      <w:r>
        <w:rPr>
          <w:rFonts w:ascii="Times New Roman" w:hAnsi="Times New Roman"/>
          <w:noProof/>
          <w:sz w:val="24"/>
        </w:rPr>
        <w:t>европейската змиорка и голямата корифена</w:t>
      </w:r>
      <w:r>
        <w:rPr>
          <w:noProof/>
        </w:rPr>
        <w:t xml:space="preserve">, </w:t>
      </w:r>
      <w:bookmarkStart w:id="16" w:name="_Hlk135827375"/>
      <w:r>
        <w:rPr>
          <w:rFonts w:ascii="Times New Roman" w:hAnsi="Times New Roman"/>
          <w:noProof/>
          <w:sz w:val="24"/>
        </w:rPr>
        <w:t>за които действащите в момента мерки са със срок, изтичващ през 2023 г.</w:t>
      </w:r>
      <w:bookmarkEnd w:id="16"/>
    </w:p>
    <w:p w14:paraId="579ED6CB" w14:textId="77777777" w:rsidR="00AC0378" w:rsidRPr="003C0701" w:rsidRDefault="001D6309">
      <w:pPr>
        <w:pStyle w:val="Heading1"/>
        <w:rPr>
          <w:noProof/>
        </w:rPr>
      </w:pPr>
      <w:r>
        <w:rPr>
          <w:noProof/>
        </w:rPr>
        <w:t>Заключение</w:t>
      </w:r>
    </w:p>
    <w:p w14:paraId="34A83049" w14:textId="518FCF96" w:rsidR="00BC1D89" w:rsidRDefault="00817478">
      <w:pPr>
        <w:spacing w:after="120"/>
        <w:jc w:val="both"/>
        <w:rPr>
          <w:rFonts w:ascii="Times New Roman" w:hAnsi="Times New Roman"/>
          <w:noProof/>
          <w:sz w:val="24"/>
          <w:szCs w:val="24"/>
        </w:rPr>
      </w:pPr>
      <w:r>
        <w:rPr>
          <w:rFonts w:ascii="Times New Roman" w:hAnsi="Times New Roman"/>
          <w:noProof/>
          <w:sz w:val="24"/>
        </w:rPr>
        <w:t xml:space="preserve">През 2022 г. устойчивостта на рибарството в ЕС се подобри. Ситуацията в Балтийско море обаче продължава да е проблематична, тъй като там някои по-рано значителни рибни запаси със стопанско значение намаляват поради различни видове натиск. </w:t>
      </w:r>
      <w:bookmarkStart w:id="17" w:name="_Hlk135727121"/>
      <w:r>
        <w:rPr>
          <w:rFonts w:ascii="Times New Roman" w:hAnsi="Times New Roman"/>
          <w:noProof/>
          <w:sz w:val="24"/>
        </w:rPr>
        <w:t xml:space="preserve">Изменението на климата влияе на човешките дейности, интензивността на натиска и някои аспекти на състоянието, както и на връзките между тях. </w:t>
      </w:r>
      <w:bookmarkEnd w:id="17"/>
      <w:r>
        <w:rPr>
          <w:rFonts w:ascii="Times New Roman" w:hAnsi="Times New Roman"/>
          <w:noProof/>
          <w:sz w:val="24"/>
        </w:rPr>
        <w:t xml:space="preserve">Необходими са повече действия и по-голяма ангажираност за справяне със ситуацията </w:t>
      </w:r>
      <w:r w:rsidR="00686E9B">
        <w:rPr>
          <w:rFonts w:ascii="Times New Roman" w:hAnsi="Times New Roman"/>
          <w:noProof/>
          <w:sz w:val="24"/>
        </w:rPr>
        <w:t>в Средиземно море и Черно море.</w:t>
      </w:r>
    </w:p>
    <w:p w14:paraId="3B95F46C" w14:textId="043F8C68" w:rsidR="00792531" w:rsidRPr="003C0701" w:rsidRDefault="00C8377B">
      <w:pPr>
        <w:spacing w:after="120"/>
        <w:jc w:val="both"/>
        <w:rPr>
          <w:rFonts w:ascii="Times New Roman" w:hAnsi="Times New Roman"/>
          <w:noProof/>
          <w:sz w:val="24"/>
          <w:szCs w:val="24"/>
        </w:rPr>
      </w:pPr>
      <w:r>
        <w:rPr>
          <w:rFonts w:ascii="Times New Roman" w:hAnsi="Times New Roman"/>
          <w:noProof/>
          <w:sz w:val="24"/>
        </w:rPr>
        <w:t>Предложенията на Комисията за възможностите за риболов за 2024 г. ще имат за цел да се създадат условията за възстановяване на запасите и за консолидиране на тези рибни запаси, които вече са достигнали устойчиви равнища. Това ще повиши стабилността на рибарите. Важно е държавите членки да продължат да прилагат законодателството на ЕС, както и Комисията да продължи усилията си за мерки, с които да се преодолеят другите видове натиск върху рибните запаси.</w:t>
      </w:r>
      <w:r>
        <w:rPr>
          <w:noProof/>
        </w:rPr>
        <w:t xml:space="preserve"> </w:t>
      </w:r>
      <w:bookmarkStart w:id="18" w:name="_Hlk135727195"/>
      <w:r>
        <w:rPr>
          <w:rFonts w:ascii="Times New Roman" w:hAnsi="Times New Roman"/>
          <w:noProof/>
          <w:sz w:val="24"/>
        </w:rPr>
        <w:t>ЕС се бори със замърсяването на морската среда чрез редица законодателни и политически инициативи в по-широката рамка на плана за действие за нулево замърсяване</w:t>
      </w:r>
      <w:r>
        <w:rPr>
          <w:rStyle w:val="FootnoteReference"/>
          <w:rFonts w:ascii="Times New Roman" w:hAnsi="Times New Roman"/>
          <w:noProof/>
          <w:sz w:val="24"/>
          <w:szCs w:val="24"/>
        </w:rPr>
        <w:footnoteReference w:id="41"/>
      </w:r>
      <w:r>
        <w:rPr>
          <w:rFonts w:ascii="Times New Roman" w:hAnsi="Times New Roman"/>
          <w:noProof/>
          <w:sz w:val="24"/>
        </w:rPr>
        <w:t>.</w:t>
      </w:r>
      <w:bookmarkEnd w:id="18"/>
    </w:p>
    <w:p w14:paraId="03A30B28" w14:textId="635BC479" w:rsidR="00AC0378" w:rsidRPr="003C0701" w:rsidRDefault="008A38F5">
      <w:pPr>
        <w:spacing w:after="120"/>
        <w:jc w:val="both"/>
        <w:rPr>
          <w:rFonts w:ascii="Times New Roman" w:hAnsi="Times New Roman"/>
          <w:noProof/>
          <w:sz w:val="24"/>
          <w:szCs w:val="24"/>
        </w:rPr>
      </w:pPr>
      <w:bookmarkStart w:id="20" w:name="_Hlk133352959"/>
      <w:r>
        <w:rPr>
          <w:rFonts w:ascii="Times New Roman" w:hAnsi="Times New Roman"/>
          <w:noProof/>
          <w:sz w:val="24"/>
        </w:rPr>
        <w:t>Както е посочено в пакета от мерки за рибарството и океаните, сега е нужна по-голяма ангажираност, за да подготвим нашите морски зони и европейското рибарство за бъдещето. Процъфтяващ сектор на рибарството е от ключово значение за запазването на европейските крайбрежни общности и за управлението на прехода към по-устойчиви продоволствени системи.</w:t>
      </w:r>
    </w:p>
    <w:bookmarkEnd w:id="20"/>
    <w:p w14:paraId="20EFB61B" w14:textId="08BBA3C5" w:rsidR="00AC0378" w:rsidRPr="003C0701" w:rsidRDefault="001D6309">
      <w:pPr>
        <w:spacing w:after="120"/>
        <w:jc w:val="both"/>
        <w:rPr>
          <w:rFonts w:ascii="Times New Roman" w:hAnsi="Times New Roman"/>
          <w:noProof/>
          <w:sz w:val="24"/>
          <w:szCs w:val="24"/>
        </w:rPr>
      </w:pPr>
      <w:r>
        <w:rPr>
          <w:rFonts w:ascii="Times New Roman" w:hAnsi="Times New Roman"/>
          <w:noProof/>
          <w:sz w:val="24"/>
        </w:rPr>
        <w:t>Комисията приканва държавите членки, консултативните съвети, заинтересованите страни и обществеността да споделят мнението си по настоящото съобщение до 31 август 2023 г.</w:t>
      </w:r>
    </w:p>
    <w:p w14:paraId="2729E29B" w14:textId="77777777" w:rsidR="00AC0378" w:rsidRPr="003C0701" w:rsidRDefault="001D6309">
      <w:pPr>
        <w:spacing w:after="120"/>
        <w:jc w:val="both"/>
        <w:rPr>
          <w:rFonts w:ascii="Times New Roman" w:hAnsi="Times New Roman"/>
          <w:noProof/>
          <w:sz w:val="24"/>
        </w:rPr>
      </w:pPr>
      <w:r>
        <w:rPr>
          <w:noProof/>
        </w:rPr>
        <w:br w:type="page"/>
      </w:r>
    </w:p>
    <w:p w14:paraId="0CE72203" w14:textId="61EACD76" w:rsidR="00AC0378" w:rsidRPr="003C0701" w:rsidRDefault="001D6309">
      <w:pPr>
        <w:keepNext/>
        <w:tabs>
          <w:tab w:val="num" w:pos="850"/>
        </w:tabs>
        <w:spacing w:before="240" w:after="120"/>
        <w:ind w:left="851" w:hanging="851"/>
        <w:jc w:val="both"/>
        <w:outlineLvl w:val="0"/>
        <w:rPr>
          <w:rFonts w:ascii="Times New Roman" w:hAnsi="Times New Roman"/>
          <w:noProof/>
          <w:sz w:val="24"/>
          <w:szCs w:val="24"/>
        </w:rPr>
      </w:pPr>
      <w:r>
        <w:rPr>
          <w:rFonts w:ascii="Times New Roman" w:hAnsi="Times New Roman"/>
          <w:b/>
          <w:smallCaps/>
          <w:noProof/>
          <w:sz w:val="24"/>
        </w:rPr>
        <w:t>Предварителен график на работата</w:t>
      </w:r>
      <w:r>
        <w:rPr>
          <w:rStyle w:val="FootnoteReference"/>
          <w:rFonts w:ascii="Times New Roman" w:hAnsi="Times New Roman"/>
          <w:noProof/>
          <w:sz w:val="24"/>
          <w:szCs w:val="24"/>
        </w:rPr>
        <w:footnoteReference w:id="4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001"/>
      </w:tblGrid>
      <w:tr w:rsidR="00AC0378" w:rsidRPr="003C0701" w14:paraId="6DC6117E" w14:textId="77777777">
        <w:tc>
          <w:tcPr>
            <w:tcW w:w="2436" w:type="dxa"/>
            <w:shd w:val="clear" w:color="auto" w:fill="auto"/>
          </w:tcPr>
          <w:p w14:paraId="1A108E6E" w14:textId="77777777" w:rsidR="00AC0378" w:rsidRPr="003C0701" w:rsidRDefault="001D6309">
            <w:pPr>
              <w:spacing w:before="120" w:after="60"/>
              <w:jc w:val="both"/>
              <w:rPr>
                <w:rFonts w:ascii="Times New Roman" w:hAnsi="Times New Roman"/>
                <w:b/>
                <w:bCs/>
                <w:noProof/>
                <w:sz w:val="24"/>
                <w:szCs w:val="24"/>
              </w:rPr>
            </w:pPr>
            <w:r>
              <w:rPr>
                <w:rFonts w:ascii="Times New Roman" w:hAnsi="Times New Roman"/>
                <w:b/>
                <w:noProof/>
                <w:sz w:val="24"/>
              </w:rPr>
              <w:t>Кога</w:t>
            </w:r>
          </w:p>
        </w:tc>
        <w:tc>
          <w:tcPr>
            <w:tcW w:w="6744" w:type="dxa"/>
            <w:shd w:val="clear" w:color="auto" w:fill="auto"/>
          </w:tcPr>
          <w:p w14:paraId="0834D46D" w14:textId="77777777" w:rsidR="00AC0378" w:rsidRPr="003C0701" w:rsidRDefault="001D6309">
            <w:pPr>
              <w:spacing w:before="120" w:after="60"/>
              <w:jc w:val="both"/>
              <w:rPr>
                <w:rFonts w:ascii="Times New Roman" w:hAnsi="Times New Roman"/>
                <w:b/>
                <w:bCs/>
                <w:noProof/>
                <w:sz w:val="24"/>
                <w:szCs w:val="24"/>
              </w:rPr>
            </w:pPr>
            <w:r>
              <w:rPr>
                <w:rFonts w:ascii="Times New Roman" w:hAnsi="Times New Roman"/>
                <w:b/>
                <w:noProof/>
                <w:sz w:val="24"/>
              </w:rPr>
              <w:t>Какво</w:t>
            </w:r>
          </w:p>
        </w:tc>
      </w:tr>
      <w:tr w:rsidR="00AC0378" w:rsidRPr="003C0701" w14:paraId="2284B0CF" w14:textId="77777777">
        <w:tc>
          <w:tcPr>
            <w:tcW w:w="0" w:type="auto"/>
            <w:shd w:val="clear" w:color="auto" w:fill="auto"/>
          </w:tcPr>
          <w:p w14:paraId="6299FBF1"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Май — ноември 2023 г.</w:t>
            </w:r>
          </w:p>
        </w:tc>
        <w:tc>
          <w:tcPr>
            <w:tcW w:w="0" w:type="auto"/>
            <w:shd w:val="clear" w:color="auto" w:fill="auto"/>
          </w:tcPr>
          <w:p w14:paraId="48633F6A"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Научни становища на ICES</w:t>
            </w:r>
          </w:p>
        </w:tc>
      </w:tr>
      <w:tr w:rsidR="00AC0378" w:rsidRPr="003C0701" w14:paraId="2211DF96" w14:textId="77777777">
        <w:tc>
          <w:tcPr>
            <w:tcW w:w="0" w:type="auto"/>
            <w:shd w:val="clear" w:color="auto" w:fill="auto"/>
          </w:tcPr>
          <w:p w14:paraId="577FACDF"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Юни — края на август 2023 г.</w:t>
            </w:r>
          </w:p>
        </w:tc>
        <w:tc>
          <w:tcPr>
            <w:tcW w:w="0" w:type="auto"/>
            <w:shd w:val="clear" w:color="auto" w:fill="auto"/>
          </w:tcPr>
          <w:p w14:paraId="5817BF47"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Обществена консултация относно съобщението</w:t>
            </w:r>
          </w:p>
        </w:tc>
      </w:tr>
      <w:tr w:rsidR="00AC0378" w:rsidRPr="003C0701" w14:paraId="075ECBEE" w14:textId="77777777">
        <w:tc>
          <w:tcPr>
            <w:tcW w:w="0" w:type="auto"/>
            <w:shd w:val="clear" w:color="auto" w:fill="auto"/>
          </w:tcPr>
          <w:p w14:paraId="22BB3A56"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Края на август 2023 г.</w:t>
            </w:r>
          </w:p>
        </w:tc>
        <w:tc>
          <w:tcPr>
            <w:tcW w:w="0" w:type="auto"/>
            <w:shd w:val="clear" w:color="auto" w:fill="auto"/>
          </w:tcPr>
          <w:p w14:paraId="03B9BB9B" w14:textId="55A247C5"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Комисията приема предложението за възможностите за риболов в Балтийско море</w:t>
            </w:r>
          </w:p>
        </w:tc>
      </w:tr>
      <w:tr w:rsidR="00AC0378" w:rsidRPr="003C0701" w14:paraId="171D15E8" w14:textId="77777777">
        <w:tc>
          <w:tcPr>
            <w:tcW w:w="0" w:type="auto"/>
            <w:shd w:val="clear" w:color="auto" w:fill="auto"/>
          </w:tcPr>
          <w:p w14:paraId="5AC219CA" w14:textId="04C37735" w:rsidR="00AC0378" w:rsidRPr="003C0701" w:rsidRDefault="0011434B">
            <w:pPr>
              <w:spacing w:before="120" w:after="60"/>
              <w:jc w:val="both"/>
              <w:rPr>
                <w:rFonts w:ascii="Times New Roman" w:hAnsi="Times New Roman"/>
                <w:noProof/>
                <w:sz w:val="24"/>
                <w:szCs w:val="24"/>
              </w:rPr>
            </w:pPr>
            <w:r>
              <w:rPr>
                <w:rFonts w:ascii="Times New Roman" w:hAnsi="Times New Roman"/>
                <w:noProof/>
                <w:sz w:val="24"/>
              </w:rPr>
              <w:t>Октомври — декември 2023 г.</w:t>
            </w:r>
          </w:p>
        </w:tc>
        <w:tc>
          <w:tcPr>
            <w:tcW w:w="0" w:type="auto"/>
            <w:shd w:val="clear" w:color="auto" w:fill="auto"/>
          </w:tcPr>
          <w:p w14:paraId="63643A4A" w14:textId="494CD3FC"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Годишни консултации за възможностите за риболов с Обединеното кралство, с Обединеното кралство и Норвегия и с Норвегия</w:t>
            </w:r>
          </w:p>
        </w:tc>
      </w:tr>
      <w:tr w:rsidR="00AC0378" w:rsidRPr="003C0701" w14:paraId="2AAA0520" w14:textId="77777777">
        <w:tc>
          <w:tcPr>
            <w:tcW w:w="0" w:type="auto"/>
            <w:shd w:val="clear" w:color="auto" w:fill="auto"/>
          </w:tcPr>
          <w:p w14:paraId="51DE23C5"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Средата на септември 2023 г.</w:t>
            </w:r>
          </w:p>
        </w:tc>
        <w:tc>
          <w:tcPr>
            <w:tcW w:w="0" w:type="auto"/>
            <w:shd w:val="clear" w:color="auto" w:fill="auto"/>
          </w:tcPr>
          <w:p w14:paraId="520F2923" w14:textId="32CB514B"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Комисията приема предложението за възможностите за риболов в Средиземно море и Черно море</w:t>
            </w:r>
          </w:p>
        </w:tc>
      </w:tr>
      <w:tr w:rsidR="00AC0378" w:rsidRPr="003C0701" w14:paraId="405569E5" w14:textId="77777777">
        <w:tc>
          <w:tcPr>
            <w:tcW w:w="0" w:type="auto"/>
            <w:shd w:val="clear" w:color="auto" w:fill="auto"/>
          </w:tcPr>
          <w:p w14:paraId="57935532"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Октомври 2023 г.</w:t>
            </w:r>
          </w:p>
        </w:tc>
        <w:tc>
          <w:tcPr>
            <w:tcW w:w="0" w:type="auto"/>
            <w:shd w:val="clear" w:color="auto" w:fill="auto"/>
          </w:tcPr>
          <w:p w14:paraId="4A383E53" w14:textId="6E2EF9C1"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Заседание на Съвета за възможностите за риболов в Балтийско море</w:t>
            </w:r>
          </w:p>
          <w:p w14:paraId="6ABBC3DA" w14:textId="46078D72"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Консултации на крайбрежните държави за широко разпространените запаси в Североизточния Атлантически океан</w:t>
            </w:r>
          </w:p>
        </w:tc>
      </w:tr>
      <w:tr w:rsidR="00AC0378" w:rsidRPr="003C0701" w14:paraId="71500549" w14:textId="77777777">
        <w:tc>
          <w:tcPr>
            <w:tcW w:w="0" w:type="auto"/>
            <w:shd w:val="clear" w:color="auto" w:fill="auto"/>
          </w:tcPr>
          <w:p w14:paraId="27CC5F05"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Края на октомври 2023 г.</w:t>
            </w:r>
          </w:p>
        </w:tc>
        <w:tc>
          <w:tcPr>
            <w:tcW w:w="0" w:type="auto"/>
            <w:shd w:val="clear" w:color="auto" w:fill="auto"/>
          </w:tcPr>
          <w:p w14:paraId="6665FAB6" w14:textId="599532D9"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Комисията приема предложението</w:t>
            </w:r>
            <w:r>
              <w:rPr>
                <w:noProof/>
              </w:rPr>
              <w:t xml:space="preserve"> </w:t>
            </w:r>
            <w:r>
              <w:rPr>
                <w:rFonts w:ascii="Times New Roman" w:hAnsi="Times New Roman"/>
                <w:noProof/>
                <w:sz w:val="24"/>
              </w:rPr>
              <w:t>за възможностите за риболов в А</w:t>
            </w:r>
            <w:r w:rsidR="00686E9B">
              <w:rPr>
                <w:rFonts w:ascii="Times New Roman" w:hAnsi="Times New Roman"/>
                <w:noProof/>
                <w:sz w:val="24"/>
              </w:rPr>
              <w:t>тлантическия океан/Северно море</w:t>
            </w:r>
          </w:p>
        </w:tc>
      </w:tr>
      <w:tr w:rsidR="00AC0378" w:rsidRPr="003C0701" w14:paraId="3D9C31B3" w14:textId="77777777">
        <w:tc>
          <w:tcPr>
            <w:tcW w:w="0" w:type="auto"/>
            <w:shd w:val="clear" w:color="auto" w:fill="auto"/>
          </w:tcPr>
          <w:p w14:paraId="25E7B450" w14:textId="61061AB4"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7—11 ноември 2022 г.</w:t>
            </w:r>
          </w:p>
        </w:tc>
        <w:tc>
          <w:tcPr>
            <w:tcW w:w="0" w:type="auto"/>
            <w:shd w:val="clear" w:color="auto" w:fill="auto"/>
          </w:tcPr>
          <w:p w14:paraId="44FD1F07" w14:textId="14BC55F6" w:rsidR="00AC0378" w:rsidRPr="003C0701" w:rsidRDefault="00686E9B">
            <w:pPr>
              <w:spacing w:before="120" w:after="60"/>
              <w:jc w:val="both"/>
              <w:rPr>
                <w:rFonts w:ascii="Times New Roman" w:hAnsi="Times New Roman"/>
                <w:noProof/>
                <w:sz w:val="24"/>
                <w:szCs w:val="24"/>
              </w:rPr>
            </w:pPr>
            <w:r>
              <w:rPr>
                <w:rFonts w:ascii="Times New Roman" w:hAnsi="Times New Roman"/>
                <w:noProof/>
                <w:sz w:val="24"/>
              </w:rPr>
              <w:t>Годишно заседание на GFCM</w:t>
            </w:r>
          </w:p>
        </w:tc>
      </w:tr>
      <w:tr w:rsidR="00AC0378" w:rsidRPr="003C0701" w14:paraId="2C6B6106" w14:textId="77777777">
        <w:tc>
          <w:tcPr>
            <w:tcW w:w="0" w:type="auto"/>
            <w:shd w:val="clear" w:color="auto" w:fill="auto"/>
          </w:tcPr>
          <w:p w14:paraId="2C2B77EB" w14:textId="26536AB2"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1 декември 2023 г.</w:t>
            </w:r>
          </w:p>
        </w:tc>
        <w:tc>
          <w:tcPr>
            <w:tcW w:w="0" w:type="auto"/>
            <w:shd w:val="clear" w:color="auto" w:fill="auto"/>
          </w:tcPr>
          <w:p w14:paraId="1AA44EAF"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Оценка на запасите и становища за управлението на запасите от страна на НТИКР</w:t>
            </w:r>
          </w:p>
        </w:tc>
      </w:tr>
      <w:tr w:rsidR="00AC0378" w:rsidRPr="003C0701" w14:paraId="0750CAEA" w14:textId="77777777">
        <w:tc>
          <w:tcPr>
            <w:tcW w:w="0" w:type="auto"/>
            <w:shd w:val="clear" w:color="auto" w:fill="auto"/>
          </w:tcPr>
          <w:p w14:paraId="2E75E7AA"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Декември 2023 г.</w:t>
            </w:r>
          </w:p>
        </w:tc>
        <w:tc>
          <w:tcPr>
            <w:tcW w:w="0" w:type="auto"/>
            <w:shd w:val="clear" w:color="auto" w:fill="auto"/>
          </w:tcPr>
          <w:p w14:paraId="7C453F58" w14:textId="69ADCA43"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Заседание на Съвета за възможностите за риболов в Атлантическия океан/Северно море</w:t>
            </w:r>
          </w:p>
          <w:p w14:paraId="079C03F7" w14:textId="5BE53E6B"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Заседание на Съвета за възможностите за риболов в Средиземно море и Черно море</w:t>
            </w:r>
          </w:p>
        </w:tc>
      </w:tr>
    </w:tbl>
    <w:p w14:paraId="41851E9E" w14:textId="77777777" w:rsidR="00AC0378" w:rsidRPr="003C0701" w:rsidRDefault="00AC0378">
      <w:pPr>
        <w:spacing w:after="0"/>
        <w:jc w:val="both"/>
        <w:rPr>
          <w:rFonts w:ascii="Times New Roman" w:hAnsi="Times New Roman"/>
          <w:noProof/>
          <w:sz w:val="24"/>
        </w:rPr>
      </w:pPr>
    </w:p>
    <w:p w14:paraId="2AF4624D" w14:textId="77777777" w:rsidR="00AC0378" w:rsidRPr="003C0701" w:rsidRDefault="00AC0378">
      <w:pPr>
        <w:jc w:val="both"/>
        <w:rPr>
          <w:rFonts w:ascii="Times New Roman" w:hAnsi="Times New Roman"/>
          <w:noProof/>
          <w:sz w:val="24"/>
        </w:rPr>
      </w:pPr>
    </w:p>
    <w:p w14:paraId="7C6BE1B6" w14:textId="77777777" w:rsidR="00AC0378" w:rsidRPr="003C0701" w:rsidRDefault="00AC0378">
      <w:pPr>
        <w:jc w:val="both"/>
        <w:rPr>
          <w:rFonts w:ascii="Times New Roman" w:hAnsi="Times New Roman"/>
          <w:noProof/>
          <w:sz w:val="24"/>
        </w:rPr>
      </w:pPr>
    </w:p>
    <w:p w14:paraId="51BEF6BB" w14:textId="77777777" w:rsidR="00AC0378" w:rsidRPr="003C0701" w:rsidRDefault="00AC0378">
      <w:pPr>
        <w:jc w:val="both"/>
        <w:rPr>
          <w:rFonts w:ascii="Times New Roman" w:hAnsi="Times New Roman" w:cs="Times New Roman"/>
          <w:noProof/>
          <w:sz w:val="24"/>
          <w:szCs w:val="24"/>
        </w:rPr>
      </w:pPr>
    </w:p>
    <w:p w14:paraId="260C4844" w14:textId="77777777" w:rsidR="00AC0378" w:rsidRPr="003C0701" w:rsidRDefault="00AC0378">
      <w:pPr>
        <w:rPr>
          <w:rFonts w:ascii="Times New Roman" w:hAnsi="Times New Roman"/>
          <w:noProof/>
          <w:sz w:val="24"/>
        </w:rPr>
      </w:pPr>
    </w:p>
    <w:sectPr w:rsidR="00AC0378" w:rsidRPr="003C070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9464B" w14:textId="77777777" w:rsidR="00F8247D" w:rsidRPr="003C0701" w:rsidRDefault="00F8247D">
      <w:pPr>
        <w:spacing w:after="0" w:line="240" w:lineRule="auto"/>
      </w:pPr>
      <w:r>
        <w:separator/>
      </w:r>
    </w:p>
  </w:endnote>
  <w:endnote w:type="continuationSeparator" w:id="0">
    <w:p w14:paraId="56231CDF" w14:textId="77777777" w:rsidR="00F8247D" w:rsidRPr="003C0701" w:rsidRDefault="00F8247D">
      <w:pPr>
        <w:spacing w:after="0" w:line="240" w:lineRule="auto"/>
      </w:pPr>
      <w:r>
        <w:continuationSeparator/>
      </w:r>
    </w:p>
  </w:endnote>
  <w:endnote w:type="continuationNotice" w:id="1">
    <w:p w14:paraId="4DF1A318" w14:textId="77777777" w:rsidR="00F8247D" w:rsidRPr="003C0701" w:rsidRDefault="00F82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3AFA" w14:textId="23BC317A" w:rsidR="00686E9B" w:rsidRPr="00C80A7B" w:rsidRDefault="00686E9B" w:rsidP="00C80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929A" w14:textId="70DCC85A" w:rsidR="00686E9B" w:rsidRPr="00C80A7B" w:rsidRDefault="00C80A7B" w:rsidP="00C80A7B">
    <w:pPr>
      <w:pStyle w:val="FooterCoverPage"/>
      <w:rPr>
        <w:rFonts w:ascii="Arial" w:hAnsi="Arial" w:cs="Arial"/>
        <w:b/>
        <w:sz w:val="48"/>
      </w:rPr>
    </w:pPr>
    <w:r w:rsidRPr="00C80A7B">
      <w:rPr>
        <w:rFonts w:ascii="Arial" w:hAnsi="Arial" w:cs="Arial"/>
        <w:b/>
        <w:sz w:val="48"/>
      </w:rPr>
      <w:t>BG</w:t>
    </w:r>
    <w:r w:rsidRPr="00C80A7B">
      <w:rPr>
        <w:rFonts w:ascii="Arial" w:hAnsi="Arial" w:cs="Arial"/>
        <w:b/>
        <w:sz w:val="48"/>
      </w:rPr>
      <w:tab/>
    </w:r>
    <w:r w:rsidRPr="00C80A7B">
      <w:rPr>
        <w:rFonts w:ascii="Arial" w:hAnsi="Arial" w:cs="Arial"/>
        <w:b/>
        <w:sz w:val="48"/>
      </w:rPr>
      <w:tab/>
    </w:r>
    <w:r w:rsidRPr="00C80A7B">
      <w:tab/>
    </w:r>
    <w:r w:rsidRPr="00C80A7B">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FFCF2" w14:textId="77777777" w:rsidR="00C80A7B" w:rsidRPr="00C80A7B" w:rsidRDefault="00C80A7B" w:rsidP="00C80A7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DBAF" w14:textId="77777777" w:rsidR="00AC0378" w:rsidRDefault="00AC03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967334"/>
      <w:docPartObj>
        <w:docPartGallery w:val="Page Numbers (Bottom of Page)"/>
        <w:docPartUnique/>
      </w:docPartObj>
    </w:sdtPr>
    <w:sdtEndPr/>
    <w:sdtContent>
      <w:p w14:paraId="2132775D" w14:textId="52F79D12" w:rsidR="00AC0378" w:rsidRPr="003C0701" w:rsidRDefault="001D6309">
        <w:pPr>
          <w:pStyle w:val="Footer"/>
          <w:jc w:val="center"/>
        </w:pPr>
        <w:r>
          <w:fldChar w:fldCharType="begin"/>
        </w:r>
        <w:r>
          <w:instrText xml:space="preserve"> PAGE   \* MERGEFORMAT </w:instrText>
        </w:r>
        <w:r>
          <w:fldChar w:fldCharType="separate"/>
        </w:r>
        <w:r w:rsidR="00C80A7B">
          <w:rPr>
            <w:noProof/>
          </w:rPr>
          <w:t>1</w:t>
        </w:r>
        <w:r>
          <w:fldChar w:fldCharType="end"/>
        </w:r>
      </w:p>
    </w:sdtContent>
  </w:sdt>
  <w:p w14:paraId="2819F5DD" w14:textId="77777777" w:rsidR="00AC0378" w:rsidRPr="003C0701" w:rsidRDefault="00AC03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B9A2" w14:textId="77777777" w:rsidR="00AC0378" w:rsidRDefault="00AC0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9FD47" w14:textId="77777777" w:rsidR="00F8247D" w:rsidRPr="003C0701" w:rsidRDefault="00F8247D">
      <w:pPr>
        <w:spacing w:after="0" w:line="240" w:lineRule="auto"/>
      </w:pPr>
      <w:r>
        <w:separator/>
      </w:r>
    </w:p>
  </w:footnote>
  <w:footnote w:type="continuationSeparator" w:id="0">
    <w:p w14:paraId="78593C8C" w14:textId="77777777" w:rsidR="00F8247D" w:rsidRPr="003C0701" w:rsidRDefault="00F8247D">
      <w:pPr>
        <w:spacing w:after="0" w:line="240" w:lineRule="auto"/>
      </w:pPr>
      <w:r>
        <w:continuationSeparator/>
      </w:r>
    </w:p>
  </w:footnote>
  <w:footnote w:type="continuationNotice" w:id="1">
    <w:p w14:paraId="2156ACFB" w14:textId="77777777" w:rsidR="00F8247D" w:rsidRPr="003C0701" w:rsidRDefault="00F8247D">
      <w:pPr>
        <w:spacing w:after="0" w:line="240" w:lineRule="auto"/>
      </w:pPr>
    </w:p>
  </w:footnote>
  <w:footnote w:id="2">
    <w:p w14:paraId="586FDCAE" w14:textId="23B11AA7" w:rsidR="005826F5" w:rsidRPr="003C0701" w:rsidRDefault="005826F5" w:rsidP="00663BFF">
      <w:pPr>
        <w:pStyle w:val="FootnoteText"/>
        <w:spacing w:after="0"/>
      </w:pPr>
      <w:r>
        <w:rPr>
          <w:rStyle w:val="FootnoteReference"/>
        </w:rPr>
        <w:footnoteRef/>
      </w:r>
      <w:r>
        <w:tab/>
        <w:t>COM(2023) 100 final; COM(2023) 101 final; COM(2023) 102 final; и COM(2023) 103 final.</w:t>
      </w:r>
    </w:p>
  </w:footnote>
  <w:footnote w:id="3">
    <w:p w14:paraId="54CF1092" w14:textId="4DF88A1F" w:rsidR="00635302" w:rsidRPr="00635302" w:rsidRDefault="00635302" w:rsidP="00663BFF">
      <w:pPr>
        <w:pStyle w:val="FootnoteText"/>
        <w:spacing w:after="0"/>
      </w:pPr>
      <w:r>
        <w:rPr>
          <w:rStyle w:val="FootnoteReference"/>
        </w:rPr>
        <w:footnoteRef/>
      </w:r>
      <w:r>
        <w:tab/>
        <w:t>СОМ/2019/640 final.</w:t>
      </w:r>
    </w:p>
  </w:footnote>
  <w:footnote w:id="4">
    <w:p w14:paraId="5671D6E0" w14:textId="792F981D" w:rsidR="0045793D" w:rsidRPr="003C0701" w:rsidRDefault="0045793D" w:rsidP="00663BFF">
      <w:pPr>
        <w:pStyle w:val="FootnoteText"/>
        <w:spacing w:after="0"/>
      </w:pPr>
      <w:r>
        <w:rPr>
          <w:rStyle w:val="FootnoteReference"/>
        </w:rPr>
        <w:footnoteRef/>
      </w:r>
      <w:r>
        <w:t xml:space="preserve"> </w:t>
      </w:r>
      <w:bookmarkStart w:id="3" w:name="_Hlk132736636"/>
      <w:r>
        <w:tab/>
        <w:t>За подробен анализ на F</w:t>
      </w:r>
      <w:r>
        <w:rPr>
          <w:vertAlign w:val="subscript"/>
        </w:rPr>
        <w:t>MSY</w:t>
      </w:r>
      <w:r>
        <w:t xml:space="preserve"> и състоянието на биомасата на рибните запаси във всички морски басейни вж. раздел 1 от придружаващия работен документ на службите на Комисията</w:t>
      </w:r>
      <w:bookmarkEnd w:id="3"/>
      <w:r>
        <w:t>.</w:t>
      </w:r>
    </w:p>
  </w:footnote>
  <w:footnote w:id="5">
    <w:p w14:paraId="684D3D25" w14:textId="0AA66F92" w:rsidR="00D320AA" w:rsidRPr="003C0701" w:rsidRDefault="00D320AA" w:rsidP="005826F5">
      <w:pPr>
        <w:pStyle w:val="FootnoteText"/>
        <w:spacing w:after="0"/>
      </w:pPr>
      <w:r>
        <w:rPr>
          <w:rStyle w:val="FootnoteReference"/>
        </w:rPr>
        <w:footnoteRef/>
      </w:r>
      <w:r>
        <w:tab/>
        <w:t>Стойността за 2021 г. все още не е налична, тъй като оценките на GFCM са извършени с данни до 2020 г.</w:t>
      </w:r>
    </w:p>
  </w:footnote>
  <w:footnote w:id="6">
    <w:p w14:paraId="7C7D5BD0" w14:textId="77777777" w:rsidR="008B5A0D" w:rsidRPr="003C0701" w:rsidRDefault="008B5A0D" w:rsidP="008B5A0D">
      <w:pPr>
        <w:pStyle w:val="FootnoteText"/>
        <w:spacing w:after="0"/>
      </w:pPr>
      <w:r>
        <w:rPr>
          <w:rStyle w:val="FootnoteReference"/>
        </w:rPr>
        <w:footnoteRef/>
      </w:r>
      <w:r>
        <w:tab/>
        <w:t>(+ 18 % общо, + 39 % в Североизточния Атлантически океан, + 6 % в Средиземно море и Черно море от 2003 г. насам).</w:t>
      </w:r>
    </w:p>
  </w:footnote>
  <w:footnote w:id="7">
    <w:p w14:paraId="4A57B588" w14:textId="25686485" w:rsidR="00651CD1" w:rsidRPr="00651CD1" w:rsidRDefault="00651CD1">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w:t>
      </w:r>
    </w:p>
  </w:footnote>
  <w:footnote w:id="8">
    <w:p w14:paraId="1A0A8AFA" w14:textId="7D6FEF13" w:rsidR="00E8087A" w:rsidRPr="003C0701" w:rsidRDefault="00E8087A" w:rsidP="00166034">
      <w:pPr>
        <w:pStyle w:val="FootnoteText"/>
        <w:spacing w:after="0"/>
      </w:pPr>
      <w:r>
        <w:rPr>
          <w:rStyle w:val="FootnoteReference"/>
        </w:rPr>
        <w:footnoteRef/>
      </w:r>
      <w:r>
        <w:tab/>
        <w:t>По-специално Директивата за нитратите, Директивата за пречистването на градските отпадъчни води, Рамковата директива за морска стратегия, Рамковата директива за водите, Директивата за местообитанията и Директивата за птиците, Рамковата директива за отпадъците, Директивата за морското пространствено планиране, Директивата относно пластмасите за еднократна употреба, Регламента за общата политика в областта на рибарството, интегрираната морска политика и общата селскостопанска политика.</w:t>
      </w:r>
    </w:p>
  </w:footnote>
  <w:footnote w:id="9">
    <w:p w14:paraId="218257B0" w14:textId="0A60D381" w:rsidR="00AC0378" w:rsidRPr="003C0701" w:rsidRDefault="001D6309" w:rsidP="00166034">
      <w:pPr>
        <w:pStyle w:val="FootnoteText"/>
        <w:spacing w:after="0"/>
      </w:pPr>
      <w:r>
        <w:rPr>
          <w:rStyle w:val="FootnoteReference"/>
        </w:rPr>
        <w:footnoteRef/>
      </w:r>
      <w:r>
        <w:tab/>
        <w:t>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w:t>
      </w:r>
    </w:p>
  </w:footnote>
  <w:footnote w:id="10">
    <w:p w14:paraId="5E8E7CB6" w14:textId="4C8ACECF" w:rsidR="000D5CE8" w:rsidRPr="003C0701" w:rsidRDefault="00E8087A" w:rsidP="00166034">
      <w:pPr>
        <w:pStyle w:val="FootnoteText"/>
        <w:spacing w:after="0"/>
      </w:pPr>
      <w:r>
        <w:rPr>
          <w:rStyle w:val="FootnoteReference"/>
        </w:rPr>
        <w:footnoteRef/>
      </w:r>
      <w:r>
        <w:t xml:space="preserve"> </w:t>
      </w:r>
      <w:r>
        <w:tab/>
      </w:r>
      <w:hyperlink r:id="rId1" w:history="1">
        <w:r>
          <w:rPr>
            <w:rStyle w:val="Hyperlink"/>
          </w:rPr>
          <w:t>https://commission.europa.eu/system/files/2020-09/ministerial_declaration_our_baltic_conference.pdf</w:t>
        </w:r>
      </w:hyperlink>
    </w:p>
  </w:footnote>
  <w:footnote w:id="11">
    <w:p w14:paraId="365056D8" w14:textId="2103BA19" w:rsidR="00166034" w:rsidRPr="00166034" w:rsidRDefault="00166034" w:rsidP="00166034">
      <w:pPr>
        <w:pStyle w:val="FootnoteText"/>
        <w:spacing w:after="0"/>
      </w:pPr>
      <w:r>
        <w:rPr>
          <w:rStyle w:val="FootnoteReference"/>
        </w:rPr>
        <w:footnoteRef/>
      </w:r>
      <w:r>
        <w:tab/>
        <w:t>Споразумение за търговия и сътрудничество между Европейския съюз и Европейската общност за атомна енергия, от една страна, и Обединеното кралство Великобритания и Северна Ирландия, от друга страна, ST/5198/2021/INIT (OВ L 149, 30.4.2021 г., стр. 10—2539).</w:t>
      </w:r>
    </w:p>
  </w:footnote>
  <w:footnote w:id="12">
    <w:p w14:paraId="04A7E5C7" w14:textId="03D304B7" w:rsidR="00986854" w:rsidRPr="00986854" w:rsidRDefault="00986854" w:rsidP="00166034">
      <w:pPr>
        <w:pStyle w:val="FootnoteText"/>
        <w:spacing w:after="0"/>
      </w:pPr>
      <w:r>
        <w:rPr>
          <w:rStyle w:val="FootnoteReference"/>
        </w:rPr>
        <w:footnoteRef/>
      </w:r>
      <w:r>
        <w:tab/>
        <w:t>Съображение 51 от Регламент (ЕС) 2023/194 на Съвета от 30 януари 2023 г. за определяне за 2023 г. на възможностите за риболов на определени рибни запаси, приложими във водите на Съюза, и за риболовните кораби на Съюза в някои води извън Съюза, и за определяне за 2023 г. и 2024 г. на съответните възможности за риболов на определени дълбоководни рибни запаси.</w:t>
      </w:r>
    </w:p>
  </w:footnote>
  <w:footnote w:id="13">
    <w:p w14:paraId="7C286344" w14:textId="04F25BFE" w:rsidR="00D9697D" w:rsidRPr="003C0701" w:rsidRDefault="00D9697D" w:rsidP="00A6185B">
      <w:pPr>
        <w:pStyle w:val="FootnoteText"/>
        <w:spacing w:after="0"/>
      </w:pPr>
      <w:r>
        <w:rPr>
          <w:rStyle w:val="FootnoteReference"/>
        </w:rPr>
        <w:footnoteRef/>
      </w:r>
      <w:r>
        <w:tab/>
        <w:t xml:space="preserve">Писмен протокол от консултациите в областта на рибарството между Обединеното кралство и Европейския съюз за 2023 г.: </w:t>
      </w:r>
      <w:hyperlink r:id="rId2" w:history="1">
        <w:r>
          <w:rPr>
            <w:rStyle w:val="Hyperlink"/>
          </w:rPr>
          <w:t>https://oceans-and-fisheries.ec.europa.eu/system/files/2022-12/2023-eu-uk-fisheries-consultations_en.pdf</w:t>
        </w:r>
      </w:hyperlink>
      <w:r>
        <w:rPr>
          <w:rStyle w:val="Hyperlink"/>
          <w:color w:val="auto"/>
          <w:u w:val="none"/>
        </w:rPr>
        <w:t>.</w:t>
      </w:r>
    </w:p>
  </w:footnote>
  <w:footnote w:id="14">
    <w:p w14:paraId="52047C47" w14:textId="506DE3DC" w:rsidR="00D9697D" w:rsidRPr="003C0701" w:rsidRDefault="00D9697D" w:rsidP="00A6185B">
      <w:pPr>
        <w:pStyle w:val="FootnoteText"/>
        <w:spacing w:after="0"/>
      </w:pPr>
      <w:r>
        <w:rPr>
          <w:rStyle w:val="FootnoteReference"/>
        </w:rPr>
        <w:footnoteRef/>
      </w:r>
      <w:r>
        <w:tab/>
        <w:t xml:space="preserve">За протоколите от заседанията на Специализирания комитет по рибарство вж.: </w:t>
      </w:r>
      <w:hyperlink r:id="rId3" w:history="1">
        <w:r>
          <w:rPr>
            <w:rStyle w:val="Hyperlink"/>
          </w:rPr>
          <w:t>https://commission.europa.eu/strategy-and-policy/relations-non-eu-countries/relations-united-kingdom/eu-uk-trade-and-cooperation-agreement/meetings-eu-uk-partnership-council-and-specialised-committees-under-trade-and-cooperation-agreement/specialised-committee-fisheries_en</w:t>
        </w:r>
      </w:hyperlink>
      <w:r>
        <w:t>.</w:t>
      </w:r>
    </w:p>
  </w:footnote>
  <w:footnote w:id="15">
    <w:p w14:paraId="38D69B04" w14:textId="12C5EA77" w:rsidR="00D9697D" w:rsidRPr="003C0701" w:rsidRDefault="00D9697D" w:rsidP="00A6185B">
      <w:pPr>
        <w:pStyle w:val="FootnoteText"/>
        <w:spacing w:after="0"/>
      </w:pPr>
      <w:r>
        <w:rPr>
          <w:rStyle w:val="FootnoteReference"/>
        </w:rPr>
        <w:footnoteRef/>
      </w:r>
      <w:r>
        <w:tab/>
        <w:t xml:space="preserve">Протокол от консултациите в областта на рибарството между Европейския съюз, Норвегия и Обединеното кралство за 2023 г.: </w:t>
      </w:r>
      <w:hyperlink r:id="rId4" w:history="1">
        <w:r>
          <w:rPr>
            <w:rStyle w:val="Hyperlink"/>
          </w:rPr>
          <w:t>https://oceans-and-fisheries.ec.europa.eu/system/files/2022-12/2023-eu-no-uk-fisheries-consultations_en.pdf</w:t>
        </w:r>
      </w:hyperlink>
      <w:r>
        <w:t>.</w:t>
      </w:r>
    </w:p>
  </w:footnote>
  <w:footnote w:id="16">
    <w:p w14:paraId="57120326" w14:textId="1689890E" w:rsidR="00D9697D" w:rsidRPr="003C0701" w:rsidRDefault="00D9697D" w:rsidP="00541AF7">
      <w:pPr>
        <w:pStyle w:val="FootnoteText"/>
        <w:spacing w:after="0"/>
      </w:pPr>
      <w:r>
        <w:rPr>
          <w:rStyle w:val="FootnoteReference"/>
        </w:rPr>
        <w:footnoteRef/>
      </w:r>
      <w:r>
        <w:tab/>
        <w:t xml:space="preserve">Протокол със заключенията от консултациите в областта на рибарството между Норвегия и Европейския съюз относно регулирането на риболовните дейности в Скагерак и Категат за 2023 г.: </w:t>
      </w:r>
      <w:hyperlink r:id="rId5" w:history="1">
        <w:r>
          <w:rPr>
            <w:rStyle w:val="Hyperlink"/>
          </w:rPr>
          <w:t>https://oceans-and-fisheries.ec.europa.eu/system/files/2023-03/2023-eu-norway-skagerrak-fisheries-consultations_en.pdf</w:t>
        </w:r>
      </w:hyperlink>
      <w:r>
        <w:t>.</w:t>
      </w:r>
    </w:p>
  </w:footnote>
  <w:footnote w:id="17">
    <w:p w14:paraId="2C697BFD" w14:textId="3498B76D" w:rsidR="00541AF7" w:rsidRPr="00541AF7" w:rsidRDefault="00541AF7" w:rsidP="00541AF7">
      <w:pPr>
        <w:pStyle w:val="FootnoteText"/>
        <w:spacing w:after="0"/>
      </w:pPr>
      <w:r>
        <w:rPr>
          <w:rStyle w:val="FootnoteReference"/>
        </w:rPr>
        <w:footnoteRef/>
      </w:r>
      <w:r>
        <w:tab/>
        <w:t>https://www.ices.dk/community/groups/pages/wgwide.aspx: Работната група по широко разпространените запаси (WGWIDE) събира и анализира данни за големите запаси от пелагични видове, както и за други широко разпространени и далекомигриращи видове.</w:t>
      </w:r>
    </w:p>
  </w:footnote>
  <w:footnote w:id="18">
    <w:p w14:paraId="34D3BE92" w14:textId="3A88D951" w:rsidR="00370512" w:rsidRPr="00370512" w:rsidRDefault="00370512" w:rsidP="00541AF7">
      <w:pPr>
        <w:pStyle w:val="FootnoteText"/>
        <w:spacing w:after="0"/>
      </w:pPr>
      <w:r>
        <w:rPr>
          <w:rStyle w:val="FootnoteReference"/>
        </w:rPr>
        <w:footnoteRef/>
      </w:r>
      <w:r>
        <w:tab/>
        <w:t>Крайбрежните държави с излаз на Североизточния Атлантически океан за съответните запаси са Европейският съюз, Обединеното кралство, Норвегия, Исландия, Фарьорските острови, Гренландия и Руската федерация.</w:t>
      </w:r>
    </w:p>
  </w:footnote>
  <w:footnote w:id="19">
    <w:p w14:paraId="27670CD5" w14:textId="00115DCE" w:rsidR="009A34D1" w:rsidRPr="003C0701" w:rsidRDefault="009A34D1" w:rsidP="00B42797">
      <w:pPr>
        <w:pStyle w:val="FootnoteText"/>
        <w:spacing w:after="0"/>
      </w:pPr>
      <w:r>
        <w:rPr>
          <w:rStyle w:val="FootnoteReference"/>
        </w:rPr>
        <w:footnoteRef/>
      </w:r>
      <w:r>
        <w:tab/>
        <w:t>Регламент (ЕС) 2019/1022 на Европейския парламент и на Съвета от 20 юни 2019 г. за установяване на многогодишен план за риболова на запаси от дънни видове в западната част на Средиземно море и за изменение на Регламент (ЕС) № 508/2014.</w:t>
      </w:r>
    </w:p>
  </w:footnote>
  <w:footnote w:id="20">
    <w:p w14:paraId="37642125" w14:textId="1E10FD9D" w:rsidR="009A34D1" w:rsidRPr="003C0701" w:rsidRDefault="009A34D1" w:rsidP="00B42797">
      <w:pPr>
        <w:pStyle w:val="FootnoteText"/>
        <w:spacing w:after="0"/>
      </w:pPr>
      <w:r>
        <w:rPr>
          <w:rStyle w:val="FootnoteReference"/>
        </w:rPr>
        <w:footnoteRef/>
      </w:r>
      <w:r>
        <w:t xml:space="preserve"> </w:t>
      </w:r>
      <w:r>
        <w:tab/>
        <w:t xml:space="preserve">GFCM 2030 Strategy for sustainable fisheries and aquaculture in the Mediterranean and the Black Sea (Стратегия на GFCM до 2030 г. за устойчиво рибарство и аквакултура в Средиземно море и Черно море). </w:t>
      </w:r>
      <w:hyperlink r:id="rId6" w:history="1">
        <w:r>
          <w:rPr>
            <w:rStyle w:val="Hyperlink"/>
          </w:rPr>
          <w:t>https://www.fao.org/documents/card/en/c/cb7562en</w:t>
        </w:r>
      </w:hyperlink>
      <w:r>
        <w:rPr>
          <w:rStyle w:val="Hyperlink"/>
        </w:rPr>
        <w:t>.</w:t>
      </w:r>
    </w:p>
  </w:footnote>
  <w:footnote w:id="21">
    <w:p w14:paraId="484D1EE9" w14:textId="328580BF" w:rsidR="00541AF7" w:rsidRPr="00541AF7" w:rsidRDefault="00541AF7" w:rsidP="00166034">
      <w:pPr>
        <w:pStyle w:val="FootnoteText"/>
        <w:spacing w:after="0"/>
      </w:pPr>
      <w:r>
        <w:rPr>
          <w:rStyle w:val="FootnoteReference"/>
        </w:rPr>
        <w:footnoteRef/>
      </w:r>
      <w:r>
        <w:tab/>
        <w:t>Регламент (ЕС) 2023/195 на Съвета от 30 януари 2023 г. за определяне за 2023 година на възможностите за риболов на определени запаси и групи рибни запаси, приложими в Средиземно море и Черно море.</w:t>
      </w:r>
    </w:p>
  </w:footnote>
  <w:footnote w:id="22">
    <w:p w14:paraId="640D97D0" w14:textId="056F5D6B" w:rsidR="00B42797" w:rsidRPr="00B42797" w:rsidRDefault="00B42797" w:rsidP="00166034">
      <w:pPr>
        <w:pStyle w:val="FootnoteText"/>
        <w:spacing w:after="0"/>
      </w:pPr>
      <w:r>
        <w:rPr>
          <w:rStyle w:val="FootnoteReference"/>
        </w:rPr>
        <w:footnoteRef/>
      </w:r>
      <w:r>
        <w:tab/>
        <w:t>Член 13 от Регламент (ЕС) 2023/195.</w:t>
      </w:r>
    </w:p>
  </w:footnote>
  <w:footnote w:id="23">
    <w:p w14:paraId="17585326" w14:textId="72825394" w:rsidR="0043036C" w:rsidRPr="003C0701" w:rsidRDefault="0043036C" w:rsidP="008D1720">
      <w:pPr>
        <w:pStyle w:val="FootnoteText"/>
        <w:spacing w:after="0"/>
      </w:pPr>
      <w:r>
        <w:rPr>
          <w:rStyle w:val="FootnoteReference"/>
        </w:rPr>
        <w:footnoteRef/>
      </w:r>
      <w:r>
        <w:tab/>
        <w:t>Включително флота, извършващ дейност в най-отдалечените региони.</w:t>
      </w:r>
    </w:p>
  </w:footnote>
  <w:footnote w:id="24">
    <w:p w14:paraId="327A8FF4" w14:textId="5F967BEC" w:rsidR="008D1720" w:rsidRPr="003C0701" w:rsidRDefault="008D1720" w:rsidP="008D1720">
      <w:pPr>
        <w:pStyle w:val="FootnoteText"/>
        <w:spacing w:after="0"/>
      </w:pPr>
      <w:r>
        <w:rPr>
          <w:rStyle w:val="FootnoteReference"/>
        </w:rPr>
        <w:footnoteRef/>
      </w:r>
      <w:r>
        <w:tab/>
        <w:t>СОМ/2023/103 final.</w:t>
      </w:r>
    </w:p>
  </w:footnote>
  <w:footnote w:id="25">
    <w:p w14:paraId="22F1517E" w14:textId="479F68EE" w:rsidR="003D4BB7" w:rsidRPr="003C0701" w:rsidRDefault="003D4BB7" w:rsidP="008D1720">
      <w:pPr>
        <w:pStyle w:val="FootnoteText"/>
        <w:spacing w:after="0"/>
      </w:pPr>
      <w:r>
        <w:rPr>
          <w:rStyle w:val="FootnoteReference"/>
        </w:rPr>
        <w:footnoteRef/>
      </w:r>
      <w:r>
        <w:tab/>
        <w:t>Повече от два пъти по-високи през 2022 г. в сравнение със средните цени през 2021 г.</w:t>
      </w:r>
    </w:p>
  </w:footnote>
  <w:footnote w:id="26">
    <w:p w14:paraId="1ED01E0D" w14:textId="38E90B6C" w:rsidR="008F6D92" w:rsidRPr="003C0701" w:rsidRDefault="008F6D92" w:rsidP="0056268A">
      <w:pPr>
        <w:pStyle w:val="FootnoteText"/>
        <w:spacing w:after="0"/>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относно енергийния преход в сектора на рибарството и аквакултурата в ЕС, COM(2023) 100 final.</w:t>
      </w:r>
    </w:p>
  </w:footnote>
  <w:footnote w:id="27">
    <w:p w14:paraId="5B108475" w14:textId="1A64339A" w:rsidR="0056268A" w:rsidRPr="0056268A" w:rsidRDefault="0056268A" w:rsidP="0056268A">
      <w:pPr>
        <w:pStyle w:val="FootnoteText"/>
        <w:spacing w:after="0"/>
      </w:pPr>
      <w:r>
        <w:rPr>
          <w:rStyle w:val="FootnoteReference"/>
        </w:rPr>
        <w:footnoteRef/>
      </w:r>
      <w:r>
        <w:tab/>
        <w:t>Регламент (ЕС) 2021/1139.</w:t>
      </w:r>
    </w:p>
  </w:footnote>
  <w:footnote w:id="28">
    <w:p w14:paraId="1845911F" w14:textId="463151BF" w:rsidR="0056268A" w:rsidRPr="0056268A" w:rsidRDefault="0056268A" w:rsidP="0056268A">
      <w:pPr>
        <w:pStyle w:val="FootnoteText"/>
        <w:spacing w:after="0"/>
      </w:pPr>
      <w:r>
        <w:rPr>
          <w:rStyle w:val="FootnoteReference"/>
        </w:rPr>
        <w:footnoteRef/>
      </w:r>
      <w:r>
        <w:tab/>
        <w:t>Регламент (ЕС) № 508/2014.</w:t>
      </w:r>
    </w:p>
  </w:footnote>
  <w:footnote w:id="29">
    <w:p w14:paraId="311D92F1" w14:textId="4EC945E5" w:rsidR="00503C6C" w:rsidRPr="003C0701" w:rsidRDefault="00503C6C" w:rsidP="0056268A">
      <w:pPr>
        <w:pStyle w:val="FootnoteText"/>
        <w:spacing w:after="0"/>
      </w:pPr>
      <w:r>
        <w:rPr>
          <w:rStyle w:val="FootnoteReference"/>
        </w:rPr>
        <w:footnoteRef/>
      </w:r>
      <w:r>
        <w:tab/>
        <w:t>Регламент (ЕС) 2022/1278 и Решение за изпълнение (ЕС) 2022/500 на Комисията.</w:t>
      </w:r>
    </w:p>
  </w:footnote>
  <w:footnote w:id="30">
    <w:p w14:paraId="569B068F" w14:textId="0F011BD7" w:rsidR="003974B3" w:rsidRPr="003C0701" w:rsidRDefault="003974B3" w:rsidP="0056268A">
      <w:pPr>
        <w:pStyle w:val="FootnoteText"/>
        <w:spacing w:after="0"/>
        <w:rPr>
          <w:highlight w:val="yellow"/>
        </w:rPr>
      </w:pPr>
      <w:r>
        <w:rPr>
          <w:rStyle w:val="FootnoteReference"/>
        </w:rPr>
        <w:footnoteRef/>
      </w:r>
      <w:r>
        <w:t xml:space="preserve"> </w:t>
      </w:r>
      <w:bookmarkStart w:id="11" w:name="_Hlk133393964"/>
      <w:r>
        <w:tab/>
        <w:t>Съобщение на Комисията — Временна рамка за мерки за държавна помощ при кризи в подкрепа на икономиката след агресията на Русия срещу Украйна, 2022/C 131 I/01.</w:t>
      </w:r>
    </w:p>
    <w:bookmarkEnd w:id="11"/>
  </w:footnote>
  <w:footnote w:id="31">
    <w:p w14:paraId="7C2602D8" w14:textId="2E0E418D" w:rsidR="00AC0378" w:rsidRPr="003C0701" w:rsidRDefault="001D6309" w:rsidP="0056268A">
      <w:pPr>
        <w:pStyle w:val="FootnoteText"/>
        <w:spacing w:after="0"/>
      </w:pPr>
      <w:r>
        <w:rPr>
          <w:rStyle w:val="FootnoteReference"/>
        </w:rPr>
        <w:footnoteRef/>
      </w:r>
      <w:r>
        <w:tab/>
        <w:t>Предстои да се публикува докладът за изпълнението на ЕФМДР за 2022 г. от Генералната дирекция „Морско дело и рибарство“.</w:t>
      </w:r>
    </w:p>
  </w:footnote>
  <w:footnote w:id="32">
    <w:p w14:paraId="5948008B" w14:textId="69B6FE10" w:rsidR="00AC0378" w:rsidRPr="003C0701" w:rsidRDefault="001D6309" w:rsidP="008D18AB">
      <w:pPr>
        <w:pStyle w:val="FootnoteText"/>
        <w:spacing w:after="0"/>
      </w:pPr>
      <w:r>
        <w:rPr>
          <w:rStyle w:val="FootnoteReference"/>
        </w:rPr>
        <w:footnoteRef/>
      </w:r>
      <w:r>
        <w:tab/>
        <w:t>Член 42 от Регламента за ЕФМДР.</w:t>
      </w:r>
    </w:p>
  </w:footnote>
  <w:footnote w:id="33">
    <w:p w14:paraId="3A49B9E0" w14:textId="000BD447" w:rsidR="00AC0378" w:rsidRPr="003C0701" w:rsidRDefault="001D6309" w:rsidP="008D18AB">
      <w:pPr>
        <w:pStyle w:val="FootnoteText"/>
        <w:spacing w:after="0"/>
      </w:pPr>
      <w:r>
        <w:rPr>
          <w:rStyle w:val="FootnoteReference"/>
        </w:rPr>
        <w:footnoteRef/>
      </w:r>
      <w:r>
        <w:tab/>
        <w:t>Членове 38 и 39 от Регламента за ЕФМДР.</w:t>
      </w:r>
    </w:p>
  </w:footnote>
  <w:footnote w:id="34">
    <w:p w14:paraId="396C9700" w14:textId="24EF1815" w:rsidR="00AC0378" w:rsidRPr="003C0701" w:rsidRDefault="001D6309" w:rsidP="008D18AB">
      <w:pPr>
        <w:pStyle w:val="FootnoteText"/>
        <w:spacing w:after="0"/>
      </w:pPr>
      <w:r>
        <w:rPr>
          <w:rStyle w:val="FootnoteReference"/>
        </w:rPr>
        <w:footnoteRef/>
      </w:r>
      <w:r>
        <w:tab/>
        <w:t>Сред тях са незаконното и недокументирано изхвърляне на улов, за да се избегне т. нар. „ефект на блокиращите видове“, да се увеличи максимално печалбата (селективно изхвърляне с цел повишаване на качеството на улова) и да се намалят разходите за обработка и съхранение на улов с ниска стойност.</w:t>
      </w:r>
    </w:p>
  </w:footnote>
  <w:footnote w:id="35">
    <w:p w14:paraId="15E99F90" w14:textId="1D151D35" w:rsidR="00FE320A" w:rsidRPr="003C0701" w:rsidRDefault="00FE320A" w:rsidP="00FE320A">
      <w:pPr>
        <w:pStyle w:val="FootnoteText"/>
        <w:spacing w:after="0"/>
      </w:pPr>
      <w:r>
        <w:rPr>
          <w:rStyle w:val="FootnoteReference"/>
        </w:rPr>
        <w:footnoteRef/>
      </w:r>
      <w:r>
        <w:tab/>
        <w:t>Като например инспекции в морето, инспекции при разтоварване, анализ на данни и въздушно наблюдение.</w:t>
      </w:r>
    </w:p>
  </w:footnote>
  <w:footnote w:id="36">
    <w:p w14:paraId="3E9B1282" w14:textId="37B4CBAC" w:rsidR="00AC0378" w:rsidRPr="003C0701" w:rsidRDefault="001D6309" w:rsidP="00FE320A">
      <w:pPr>
        <w:pStyle w:val="FootnoteText"/>
        <w:spacing w:after="0"/>
      </w:pPr>
      <w:r>
        <w:rPr>
          <w:rStyle w:val="FootnoteReference"/>
        </w:rPr>
        <w:footnoteRef/>
      </w:r>
      <w:r>
        <w:tab/>
        <w:t>Няколко държави членки се съгласиха да участват в координиран от Европейската агенция за контрол на рибарството (EFCA) пилотен проект за REM, за да се запознават с най-добрите практики в областта на контрола с REM (един или два кораба на държава членка). Дания използва REM на корабите, които ловят норвежки омар в Категат, а Нидерландия прилага на няколко кораба в Северно море напълно документирана схема за риболов. Нито един от проектите не се използва за целите на контрола и правоприлагането.</w:t>
      </w:r>
    </w:p>
  </w:footnote>
  <w:footnote w:id="37">
    <w:p w14:paraId="0A4919DB" w14:textId="77777777" w:rsidR="00CE6B89" w:rsidRPr="003C0701" w:rsidRDefault="00CE6B89" w:rsidP="00CE6B89">
      <w:pPr>
        <w:pStyle w:val="FootnoteText"/>
        <w:spacing w:after="0"/>
      </w:pPr>
      <w:r>
        <w:rPr>
          <w:rStyle w:val="FootnoteReference"/>
        </w:rPr>
        <w:footnoteRef/>
      </w:r>
      <w:r>
        <w:t xml:space="preserve"> </w:t>
      </w:r>
      <w:r>
        <w:tab/>
      </w:r>
      <w:hyperlink r:id="rId7" w:history="1">
        <w:r>
          <w:rPr>
            <w:rStyle w:val="Hyperlink"/>
          </w:rPr>
          <w:t>https://op.europa.eu/bg/publication-detail/-/publication/89868cc6-015f-11ec-8f47-01aa75ed71a1</w:t>
        </w:r>
      </w:hyperlink>
    </w:p>
  </w:footnote>
  <w:footnote w:id="38">
    <w:p w14:paraId="26EF8A34" w14:textId="5419C477" w:rsidR="00103E7F" w:rsidRPr="00103E7F" w:rsidRDefault="00103E7F" w:rsidP="00103E7F">
      <w:pPr>
        <w:pStyle w:val="FootnoteText"/>
        <w:spacing w:after="0"/>
      </w:pPr>
      <w:r>
        <w:rPr>
          <w:rStyle w:val="FootnoteReference"/>
        </w:rPr>
        <w:footnoteRef/>
      </w:r>
      <w:r>
        <w:tab/>
        <w:t>Регламент (ЕС) 2017/1004.</w:t>
      </w:r>
    </w:p>
  </w:footnote>
  <w:footnote w:id="39">
    <w:p w14:paraId="77360A9E" w14:textId="23B6EF10" w:rsidR="003551F5" w:rsidRPr="003C0701" w:rsidRDefault="003551F5" w:rsidP="002D3619">
      <w:pPr>
        <w:pStyle w:val="FootnoteText"/>
        <w:spacing w:after="0"/>
      </w:pPr>
      <w:r>
        <w:rPr>
          <w:rStyle w:val="FootnoteReference"/>
        </w:rPr>
        <w:footnoteRef/>
      </w:r>
      <w:r>
        <w:tab/>
        <w:t>Съобщение на Комисията до Европейския парламент и Съвета „Общата политика в областта на рибарството днес и утре: пакт за рибарството и океаните за устойчиво, научно обосновано, иновативно и приобщаващо управление на рибарството“, COM/2023/103 final.</w:t>
      </w:r>
    </w:p>
  </w:footnote>
  <w:footnote w:id="40">
    <w:p w14:paraId="55D036C2" w14:textId="785F0756" w:rsidR="00C17E92" w:rsidRPr="003C0701" w:rsidRDefault="00C17E92" w:rsidP="0058417F">
      <w:pPr>
        <w:pStyle w:val="FootnoteText"/>
        <w:spacing w:after="0"/>
      </w:pPr>
      <w:r>
        <w:rPr>
          <w:rStyle w:val="FootnoteReference"/>
        </w:rPr>
        <w:footnoteRef/>
      </w:r>
      <w:r>
        <w:tab/>
        <w:t>COM(2023) 102.</w:t>
      </w:r>
    </w:p>
  </w:footnote>
  <w:footnote w:id="41">
    <w:p w14:paraId="39B59424" w14:textId="0AEFD796" w:rsidR="0058417F" w:rsidRPr="0058417F" w:rsidRDefault="0058417F">
      <w:pPr>
        <w:pStyle w:val="FootnoteText"/>
      </w:pPr>
      <w:r>
        <w:rPr>
          <w:rStyle w:val="FootnoteReference"/>
        </w:rPr>
        <w:footnoteRef/>
      </w:r>
      <w:r>
        <w:t xml:space="preserve"> </w:t>
      </w:r>
      <w:r>
        <w:tab/>
      </w:r>
      <w:bookmarkStart w:id="19" w:name="_Hlk135727235"/>
      <w:r>
        <w:t>Сред тези инициативи са определянето на гранични стойности за морските отпадъци, подводния шум, хранителните вещества и замърсителите съгласно РДМС и прилагането на мерки за тяхното постигане. СОМ/2021/400 final.</w:t>
      </w:r>
      <w:bookmarkEnd w:id="19"/>
    </w:p>
  </w:footnote>
  <w:footnote w:id="42">
    <w:p w14:paraId="6F423560" w14:textId="22F006CE" w:rsidR="00AC0378" w:rsidRPr="003C0701" w:rsidRDefault="001D6309">
      <w:pPr>
        <w:pStyle w:val="FootnoteText"/>
        <w:ind w:left="142" w:hanging="142"/>
      </w:pPr>
      <w:r>
        <w:rPr>
          <w:rStyle w:val="FootnoteReference"/>
        </w:rPr>
        <w:footnoteRef/>
      </w:r>
      <w:r>
        <w:tab/>
      </w:r>
      <w:r w:rsidR="0019551E" w:rsidRPr="0019551E">
        <w:t xml:space="preserve"> </w:t>
      </w:r>
      <w:r>
        <w:t>За управляваните от РОУР запаси във водите на ЕС и в някои води извън ЕС възможностите за риболов се приемат след годишното заседание на съответната РОУР, като се преразглежда регламентът на Съвета за определяне на възможностите за риболов.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9820" w14:textId="77777777" w:rsidR="00C80A7B" w:rsidRPr="00C80A7B" w:rsidRDefault="00C80A7B" w:rsidP="00C80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5BCE" w14:textId="77777777" w:rsidR="00C80A7B" w:rsidRPr="00C80A7B" w:rsidRDefault="00C80A7B" w:rsidP="00C80A7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2D072" w14:textId="77777777" w:rsidR="00C80A7B" w:rsidRPr="00C80A7B" w:rsidRDefault="00C80A7B" w:rsidP="00C80A7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A05CF" w14:textId="77777777" w:rsidR="00AC0378" w:rsidRDefault="00AC03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F900C" w14:textId="77777777" w:rsidR="00AC0378" w:rsidRDefault="00AC03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CD20A" w14:textId="77777777" w:rsidR="00AC0378" w:rsidRDefault="00AC0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097C1B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E97351"/>
    <w:multiLevelType w:val="multilevel"/>
    <w:tmpl w:val="D318EE7C"/>
    <w:lvl w:ilvl="0">
      <w:start w:val="1"/>
      <w:numFmt w:val="decimal"/>
      <w:lvlText w:val="%1."/>
      <w:lvlJc w:val="left"/>
      <w:pPr>
        <w:tabs>
          <w:tab w:val="num" w:pos="480"/>
        </w:tabs>
        <w:ind w:left="480" w:hanging="480"/>
      </w:pPr>
      <w:rPr>
        <w:rFonts w:hint="default"/>
      </w:rPr>
    </w:lvl>
    <w:lvl w:ilvl="1">
      <w:numFmt w:val="decimal"/>
      <w:lvlText w:val="%1.%2."/>
      <w:lvlJc w:val="left"/>
      <w:pPr>
        <w:tabs>
          <w:tab w:val="num" w:pos="1428"/>
        </w:tabs>
        <w:ind w:left="1428" w:hanging="720"/>
      </w:pPr>
      <w:rPr>
        <w:rFonts w:hint="default"/>
        <w:b/>
        <w:i w:val="0"/>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B46CF5"/>
    <w:multiLevelType w:val="hybridMultilevel"/>
    <w:tmpl w:val="94C4D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00CF3"/>
    <w:multiLevelType w:val="hybridMultilevel"/>
    <w:tmpl w:val="167605F4"/>
    <w:lvl w:ilvl="0" w:tplc="361C5CF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87E0D"/>
    <w:multiLevelType w:val="hybridMultilevel"/>
    <w:tmpl w:val="0248E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60341D"/>
    <w:multiLevelType w:val="hybridMultilevel"/>
    <w:tmpl w:val="DAF0A4A4"/>
    <w:lvl w:ilvl="0" w:tplc="D14AA5B0">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CE5E8C"/>
    <w:multiLevelType w:val="hybridMultilevel"/>
    <w:tmpl w:val="CDE8D290"/>
    <w:lvl w:ilvl="0" w:tplc="79D2CE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33137"/>
    <w:multiLevelType w:val="hybridMultilevel"/>
    <w:tmpl w:val="AC46A35E"/>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34306"/>
    <w:multiLevelType w:val="multilevel"/>
    <w:tmpl w:val="40FA0C42"/>
    <w:lvl w:ilvl="0">
      <w:start w:val="1"/>
      <w:numFmt w:val="decimal"/>
      <w:lvlText w:val="%1."/>
      <w:lvlJc w:val="left"/>
      <w:pPr>
        <w:tabs>
          <w:tab w:val="num" w:pos="480"/>
        </w:tabs>
        <w:ind w:left="480" w:hanging="480"/>
      </w:pPr>
      <w:rPr>
        <w:rFonts w:hint="default"/>
      </w:rPr>
    </w:lvl>
    <w:lvl w:ilvl="1">
      <w:numFmt w:val="decimal"/>
      <w:lvlText w:val="%1.%2."/>
      <w:lvlJc w:val="left"/>
      <w:pPr>
        <w:tabs>
          <w:tab w:val="num" w:pos="1428"/>
        </w:tabs>
        <w:ind w:left="1428" w:hanging="720"/>
      </w:pPr>
      <w:rPr>
        <w:rFonts w:hint="default"/>
        <w:b/>
        <w:i w:val="0"/>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6B60E8"/>
    <w:multiLevelType w:val="hybridMultilevel"/>
    <w:tmpl w:val="5FF4895C"/>
    <w:lvl w:ilvl="0" w:tplc="182EFC1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55F4E"/>
    <w:multiLevelType w:val="hybridMultilevel"/>
    <w:tmpl w:val="D6923C78"/>
    <w:lvl w:ilvl="0" w:tplc="1A78CFF6">
      <w:start w:val="1"/>
      <w:numFmt w:val="bullet"/>
      <w:lvlText w:val="·"/>
      <w:lvlJc w:val="left"/>
      <w:pPr>
        <w:ind w:left="720" w:hanging="360"/>
      </w:pPr>
      <w:rPr>
        <w:rFonts w:ascii="Symbol" w:hAnsi="Symbol" w:hint="default"/>
      </w:rPr>
    </w:lvl>
    <w:lvl w:ilvl="1" w:tplc="A860F134">
      <w:start w:val="1"/>
      <w:numFmt w:val="bullet"/>
      <w:lvlText w:val="o"/>
      <w:lvlJc w:val="left"/>
      <w:pPr>
        <w:ind w:left="1440" w:hanging="360"/>
      </w:pPr>
      <w:rPr>
        <w:rFonts w:ascii="Courier New" w:hAnsi="Courier New" w:hint="default"/>
      </w:rPr>
    </w:lvl>
    <w:lvl w:ilvl="2" w:tplc="1E9495C4">
      <w:start w:val="1"/>
      <w:numFmt w:val="bullet"/>
      <w:lvlText w:val=""/>
      <w:lvlJc w:val="left"/>
      <w:pPr>
        <w:ind w:left="2160" w:hanging="360"/>
      </w:pPr>
      <w:rPr>
        <w:rFonts w:ascii="Wingdings" w:hAnsi="Wingdings" w:hint="default"/>
      </w:rPr>
    </w:lvl>
    <w:lvl w:ilvl="3" w:tplc="FC249A0A">
      <w:start w:val="1"/>
      <w:numFmt w:val="bullet"/>
      <w:lvlText w:val=""/>
      <w:lvlJc w:val="left"/>
      <w:pPr>
        <w:ind w:left="2880" w:hanging="360"/>
      </w:pPr>
      <w:rPr>
        <w:rFonts w:ascii="Symbol" w:hAnsi="Symbol" w:hint="default"/>
      </w:rPr>
    </w:lvl>
    <w:lvl w:ilvl="4" w:tplc="196A650C">
      <w:start w:val="1"/>
      <w:numFmt w:val="bullet"/>
      <w:lvlText w:val="o"/>
      <w:lvlJc w:val="left"/>
      <w:pPr>
        <w:ind w:left="3600" w:hanging="360"/>
      </w:pPr>
      <w:rPr>
        <w:rFonts w:ascii="Courier New" w:hAnsi="Courier New" w:hint="default"/>
      </w:rPr>
    </w:lvl>
    <w:lvl w:ilvl="5" w:tplc="0C4AC20E">
      <w:start w:val="1"/>
      <w:numFmt w:val="bullet"/>
      <w:lvlText w:val=""/>
      <w:lvlJc w:val="left"/>
      <w:pPr>
        <w:ind w:left="4320" w:hanging="360"/>
      </w:pPr>
      <w:rPr>
        <w:rFonts w:ascii="Wingdings" w:hAnsi="Wingdings" w:hint="default"/>
      </w:rPr>
    </w:lvl>
    <w:lvl w:ilvl="6" w:tplc="1488F45A">
      <w:start w:val="1"/>
      <w:numFmt w:val="bullet"/>
      <w:lvlText w:val=""/>
      <w:lvlJc w:val="left"/>
      <w:pPr>
        <w:ind w:left="5040" w:hanging="360"/>
      </w:pPr>
      <w:rPr>
        <w:rFonts w:ascii="Symbol" w:hAnsi="Symbol" w:hint="default"/>
      </w:rPr>
    </w:lvl>
    <w:lvl w:ilvl="7" w:tplc="E144A6D0">
      <w:start w:val="1"/>
      <w:numFmt w:val="bullet"/>
      <w:lvlText w:val="o"/>
      <w:lvlJc w:val="left"/>
      <w:pPr>
        <w:ind w:left="5760" w:hanging="360"/>
      </w:pPr>
      <w:rPr>
        <w:rFonts w:ascii="Courier New" w:hAnsi="Courier New" w:hint="default"/>
      </w:rPr>
    </w:lvl>
    <w:lvl w:ilvl="8" w:tplc="05F87A8C">
      <w:start w:val="1"/>
      <w:numFmt w:val="bullet"/>
      <w:lvlText w:val=""/>
      <w:lvlJc w:val="left"/>
      <w:pPr>
        <w:ind w:left="6480" w:hanging="360"/>
      </w:pPr>
      <w:rPr>
        <w:rFonts w:ascii="Wingdings" w:hAnsi="Wingdings" w:hint="default"/>
      </w:rPr>
    </w:lvl>
  </w:abstractNum>
  <w:abstractNum w:abstractNumId="12" w15:restartNumberingAfterBreak="0">
    <w:nsid w:val="34D22C19"/>
    <w:multiLevelType w:val="hybridMultilevel"/>
    <w:tmpl w:val="8A8CACD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7FC"/>
    <w:multiLevelType w:val="hybridMultilevel"/>
    <w:tmpl w:val="FB78BA16"/>
    <w:lvl w:ilvl="0" w:tplc="4C38806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145132"/>
    <w:multiLevelType w:val="hybridMultilevel"/>
    <w:tmpl w:val="BECC2A82"/>
    <w:lvl w:ilvl="0" w:tplc="63423056">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5" w15:restartNumberingAfterBreak="0">
    <w:nsid w:val="437F32D7"/>
    <w:multiLevelType w:val="hybridMultilevel"/>
    <w:tmpl w:val="880466AC"/>
    <w:lvl w:ilvl="0" w:tplc="CAE6655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6FB4B6E"/>
    <w:multiLevelType w:val="hybridMultilevel"/>
    <w:tmpl w:val="B3BE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2F7B2C"/>
    <w:multiLevelType w:val="hybridMultilevel"/>
    <w:tmpl w:val="12A6BFD2"/>
    <w:lvl w:ilvl="0" w:tplc="093817E8">
      <w:numFmt w:val="bullet"/>
      <w:lvlText w:val="-"/>
      <w:lvlJc w:val="left"/>
      <w:pPr>
        <w:ind w:left="357" w:hanging="360"/>
      </w:pPr>
      <w:rPr>
        <w:rFonts w:ascii="Times New Roman" w:eastAsia="Times New Roman" w:hAnsi="Times New Roman" w:cs="Times New Roman"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8" w15:restartNumberingAfterBreak="0">
    <w:nsid w:val="4D5506FC"/>
    <w:multiLevelType w:val="multilevel"/>
    <w:tmpl w:val="3F3C41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384079"/>
    <w:multiLevelType w:val="hybridMultilevel"/>
    <w:tmpl w:val="6D1E7CDA"/>
    <w:lvl w:ilvl="0" w:tplc="14382560">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FD197D"/>
    <w:multiLevelType w:val="hybridMultilevel"/>
    <w:tmpl w:val="32A8C71A"/>
    <w:lvl w:ilvl="0" w:tplc="AE50E0A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AA1FC9"/>
    <w:multiLevelType w:val="hybridMultilevel"/>
    <w:tmpl w:val="4BAC9C52"/>
    <w:lvl w:ilvl="0" w:tplc="366057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A4B7F"/>
    <w:multiLevelType w:val="multilevel"/>
    <w:tmpl w:val="5502B328"/>
    <w:lvl w:ilvl="0">
      <w:start w:val="1"/>
      <w:numFmt w:val="decimal"/>
      <w:pStyle w:val="Heading1"/>
      <w:lvlText w:val="%1."/>
      <w:lvlJc w:val="left"/>
      <w:pPr>
        <w:tabs>
          <w:tab w:val="num" w:pos="480"/>
        </w:tabs>
        <w:ind w:left="480" w:hanging="480"/>
      </w:pPr>
      <w:rPr>
        <w:rFonts w:hint="default"/>
      </w:rPr>
    </w:lvl>
    <w:lvl w:ilvl="1">
      <w:numFmt w:val="decimal"/>
      <w:lvlText w:val="%1.%2."/>
      <w:lvlJc w:val="left"/>
      <w:pPr>
        <w:tabs>
          <w:tab w:val="num" w:pos="1428"/>
        </w:tabs>
        <w:ind w:left="1428" w:hanging="720"/>
      </w:pPr>
      <w:rPr>
        <w:rFonts w:hint="default"/>
        <w:b/>
        <w:i w:val="0"/>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04F5006"/>
    <w:multiLevelType w:val="hybridMultilevel"/>
    <w:tmpl w:val="E56A94B6"/>
    <w:lvl w:ilvl="0" w:tplc="063EBF5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0B0B54"/>
    <w:multiLevelType w:val="multilevel"/>
    <w:tmpl w:val="7EE8253A"/>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num w:numId="1">
    <w:abstractNumId w:val="11"/>
  </w:num>
  <w:num w:numId="2">
    <w:abstractNumId w:val="9"/>
  </w:num>
  <w:num w:numId="3">
    <w:abstractNumId w:val="8"/>
  </w:num>
  <w:num w:numId="4">
    <w:abstractNumId w:val="3"/>
  </w:num>
  <w:num w:numId="5">
    <w:abstractNumId w:val="7"/>
  </w:num>
  <w:num w:numId="6">
    <w:abstractNumId w:val="20"/>
  </w:num>
  <w:num w:numId="7">
    <w:abstractNumId w:val="4"/>
  </w:num>
  <w:num w:numId="8">
    <w:abstractNumId w:val="17"/>
  </w:num>
  <w:num w:numId="9">
    <w:abstractNumId w:val="9"/>
  </w:num>
  <w:num w:numId="10">
    <w:abstractNumId w:val="9"/>
    <w:lvlOverride w:ilvl="0">
      <w:startOverride w:val="3"/>
    </w:lvlOverride>
    <w:lvlOverride w:ilvl="1"/>
  </w:num>
  <w:num w:numId="11">
    <w:abstractNumId w:val="0"/>
  </w:num>
  <w:num w:numId="12">
    <w:abstractNumId w:val="9"/>
  </w:num>
  <w:num w:numId="13">
    <w:abstractNumId w:val="24"/>
  </w:num>
  <w:num w:numId="14">
    <w:abstractNumId w:val="14"/>
  </w:num>
  <w:num w:numId="15">
    <w:abstractNumId w:val="10"/>
  </w:num>
  <w:num w:numId="16">
    <w:abstractNumId w:val="6"/>
  </w:num>
  <w:num w:numId="17">
    <w:abstractNumId w:val="21"/>
  </w:num>
  <w:num w:numId="18">
    <w:abstractNumId w:val="15"/>
  </w:num>
  <w:num w:numId="19">
    <w:abstractNumId w:val="9"/>
  </w:num>
  <w:num w:numId="20">
    <w:abstractNumId w:val="19"/>
  </w:num>
  <w:num w:numId="21">
    <w:abstractNumId w:val="2"/>
  </w:num>
  <w:num w:numId="22">
    <w:abstractNumId w:val="22"/>
  </w:num>
  <w:num w:numId="23">
    <w:abstractNumId w:val="22"/>
    <w:lvlOverride w:ilvl="0">
      <w:startOverride w:val="2"/>
    </w:lvlOverride>
    <w:lvlOverride w:ilvl="1">
      <w:startOverride w:val="1"/>
    </w:lvlOverride>
  </w:num>
  <w:num w:numId="24">
    <w:abstractNumId w:val="22"/>
  </w:num>
  <w:num w:numId="25">
    <w:abstractNumId w:val="22"/>
  </w:num>
  <w:num w:numId="26">
    <w:abstractNumId w:val="22"/>
  </w:num>
  <w:num w:numId="27">
    <w:abstractNumId w:val="18"/>
  </w:num>
  <w:num w:numId="28">
    <w:abstractNumId w:val="13"/>
  </w:num>
  <w:num w:numId="29">
    <w:abstractNumId w:val="1"/>
  </w:num>
  <w:num w:numId="30">
    <w:abstractNumId w:val="16"/>
  </w:num>
  <w:num w:numId="3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2"/>
  </w:num>
  <w:num w:numId="34">
    <w:abstractNumId w:val="5"/>
  </w:num>
  <w:num w:numId="35">
    <w:abstractNumId w:val="23"/>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revisionView w:markup="0"/>
  <w:defaultTabStop w:val="720"/>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DFC04FA-6D97-4796-857B-9D3275B4C0C0"/>
    <w:docVar w:name="LW_COVERPAGE_TYPE" w:val="1"/>
    <w:docVar w:name="LW_CROSSREFERENCE" w:val="{SWD(2023) 172 final}"/>
    <w:docVar w:name="LW_DocType" w:val="NORMAL"/>
    <w:docVar w:name="LW_EMISSION" w:val="14.6.2023"/>
    <w:docVar w:name="LW_EMISSION_ISODATE" w:val="2023-06-14"/>
    <w:docVar w:name="LW_EMISSION_LOCATION" w:val="BRX"/>
    <w:docVar w:name="LW_EMISSION_PREFIX" w:val="\u1041?\u1088?\u1102?\u1082?\u1089?\u1077?\u1083?,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3) 3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Устойчив риболов в ЕС: актуално състояние и насоки за 2024 г."/>
    <w:docVar w:name="LW_TYPE.DOC.CP" w:val="СЪОБЩЕНИЕ НА КОМИСИЯТА ДО ЕВРОПЕЙСКИЯ ПАРЛАМЕНТ И СЪВЕТА"/>
    <w:docVar w:name="LW_TYPE.DOC.CP.USERTEXT" w:val="&lt;EMPTY&gt;"/>
    <w:docVar w:name="LwApiVersions" w:val="LW4CoDe 1.23.2.0; LW 8.0, Build 20211117"/>
  </w:docVars>
  <w:rsids>
    <w:rsidRoot w:val="00AC0378"/>
    <w:rsid w:val="00000D5F"/>
    <w:rsid w:val="00004EFE"/>
    <w:rsid w:val="0002166F"/>
    <w:rsid w:val="0003019D"/>
    <w:rsid w:val="00030A2D"/>
    <w:rsid w:val="00036EF1"/>
    <w:rsid w:val="00040FD7"/>
    <w:rsid w:val="00047D5C"/>
    <w:rsid w:val="00054668"/>
    <w:rsid w:val="000574E8"/>
    <w:rsid w:val="00080490"/>
    <w:rsid w:val="000816D4"/>
    <w:rsid w:val="00086B04"/>
    <w:rsid w:val="00091A73"/>
    <w:rsid w:val="00097B36"/>
    <w:rsid w:val="000A6B4B"/>
    <w:rsid w:val="000D4BD4"/>
    <w:rsid w:val="000D5CE8"/>
    <w:rsid w:val="000D655F"/>
    <w:rsid w:val="000E0794"/>
    <w:rsid w:val="000F0324"/>
    <w:rsid w:val="000F41CA"/>
    <w:rsid w:val="000F6076"/>
    <w:rsid w:val="000F7950"/>
    <w:rsid w:val="00101EFD"/>
    <w:rsid w:val="001039E8"/>
    <w:rsid w:val="00103E7F"/>
    <w:rsid w:val="0011434B"/>
    <w:rsid w:val="00116B53"/>
    <w:rsid w:val="00121040"/>
    <w:rsid w:val="00131028"/>
    <w:rsid w:val="001372F6"/>
    <w:rsid w:val="00147759"/>
    <w:rsid w:val="0015630A"/>
    <w:rsid w:val="00157534"/>
    <w:rsid w:val="00162773"/>
    <w:rsid w:val="001630BC"/>
    <w:rsid w:val="00166034"/>
    <w:rsid w:val="001729EE"/>
    <w:rsid w:val="00183614"/>
    <w:rsid w:val="00186CDB"/>
    <w:rsid w:val="001942DA"/>
    <w:rsid w:val="0019551E"/>
    <w:rsid w:val="00197A75"/>
    <w:rsid w:val="001B1AC1"/>
    <w:rsid w:val="001C3A18"/>
    <w:rsid w:val="001D0EF5"/>
    <w:rsid w:val="001D6309"/>
    <w:rsid w:val="001F4654"/>
    <w:rsid w:val="00211EC8"/>
    <w:rsid w:val="002211ED"/>
    <w:rsid w:val="002227E2"/>
    <w:rsid w:val="00227349"/>
    <w:rsid w:val="00234A14"/>
    <w:rsid w:val="002358EF"/>
    <w:rsid w:val="00240F02"/>
    <w:rsid w:val="00247259"/>
    <w:rsid w:val="00252E1F"/>
    <w:rsid w:val="00260B16"/>
    <w:rsid w:val="00263AF2"/>
    <w:rsid w:val="0027561A"/>
    <w:rsid w:val="00291D25"/>
    <w:rsid w:val="002A6D71"/>
    <w:rsid w:val="002D3619"/>
    <w:rsid w:val="002E1431"/>
    <w:rsid w:val="002E62B3"/>
    <w:rsid w:val="002F2A99"/>
    <w:rsid w:val="00301515"/>
    <w:rsid w:val="00301BAB"/>
    <w:rsid w:val="00316C2B"/>
    <w:rsid w:val="003259F3"/>
    <w:rsid w:val="00336959"/>
    <w:rsid w:val="00341E85"/>
    <w:rsid w:val="0034228F"/>
    <w:rsid w:val="003551F5"/>
    <w:rsid w:val="00370512"/>
    <w:rsid w:val="00387290"/>
    <w:rsid w:val="00393A88"/>
    <w:rsid w:val="00394742"/>
    <w:rsid w:val="003974B3"/>
    <w:rsid w:val="003A0948"/>
    <w:rsid w:val="003A7507"/>
    <w:rsid w:val="003B2D5D"/>
    <w:rsid w:val="003C0701"/>
    <w:rsid w:val="003C75D3"/>
    <w:rsid w:val="003D17B1"/>
    <w:rsid w:val="003D3E9E"/>
    <w:rsid w:val="003D4BB7"/>
    <w:rsid w:val="003F66B8"/>
    <w:rsid w:val="003F735F"/>
    <w:rsid w:val="003F7B78"/>
    <w:rsid w:val="004078AC"/>
    <w:rsid w:val="0043036C"/>
    <w:rsid w:val="004349EC"/>
    <w:rsid w:val="00453216"/>
    <w:rsid w:val="004549B0"/>
    <w:rsid w:val="0045793D"/>
    <w:rsid w:val="004641FA"/>
    <w:rsid w:val="004820AD"/>
    <w:rsid w:val="00484BDE"/>
    <w:rsid w:val="00491714"/>
    <w:rsid w:val="004A32F2"/>
    <w:rsid w:val="004A6DB8"/>
    <w:rsid w:val="004B0D49"/>
    <w:rsid w:val="004B2EC9"/>
    <w:rsid w:val="004C13CF"/>
    <w:rsid w:val="004D7099"/>
    <w:rsid w:val="004E48A3"/>
    <w:rsid w:val="004F08C0"/>
    <w:rsid w:val="00503C6C"/>
    <w:rsid w:val="00521CD3"/>
    <w:rsid w:val="00521CFC"/>
    <w:rsid w:val="005245AE"/>
    <w:rsid w:val="00526EE1"/>
    <w:rsid w:val="00530204"/>
    <w:rsid w:val="00531C20"/>
    <w:rsid w:val="00536E9B"/>
    <w:rsid w:val="00541AF7"/>
    <w:rsid w:val="0056268A"/>
    <w:rsid w:val="00564655"/>
    <w:rsid w:val="00564CCF"/>
    <w:rsid w:val="005670EA"/>
    <w:rsid w:val="005826F5"/>
    <w:rsid w:val="0058417F"/>
    <w:rsid w:val="005902C2"/>
    <w:rsid w:val="005B111C"/>
    <w:rsid w:val="005C5C3A"/>
    <w:rsid w:val="005C64B9"/>
    <w:rsid w:val="005D44CB"/>
    <w:rsid w:val="005D789D"/>
    <w:rsid w:val="005E7D1E"/>
    <w:rsid w:val="005F7928"/>
    <w:rsid w:val="00613A02"/>
    <w:rsid w:val="00616704"/>
    <w:rsid w:val="0063046A"/>
    <w:rsid w:val="00631149"/>
    <w:rsid w:val="006351D7"/>
    <w:rsid w:val="00635302"/>
    <w:rsid w:val="00640B0F"/>
    <w:rsid w:val="00651442"/>
    <w:rsid w:val="00651CD1"/>
    <w:rsid w:val="00656DBB"/>
    <w:rsid w:val="00663BFF"/>
    <w:rsid w:val="00680BD0"/>
    <w:rsid w:val="00680DB2"/>
    <w:rsid w:val="006822DD"/>
    <w:rsid w:val="00686E9B"/>
    <w:rsid w:val="006933EB"/>
    <w:rsid w:val="006A0101"/>
    <w:rsid w:val="006A12D0"/>
    <w:rsid w:val="006A3BF2"/>
    <w:rsid w:val="006B2262"/>
    <w:rsid w:val="006C388F"/>
    <w:rsid w:val="006C5DB6"/>
    <w:rsid w:val="006D5151"/>
    <w:rsid w:val="006F34C5"/>
    <w:rsid w:val="00710C6F"/>
    <w:rsid w:val="00724A75"/>
    <w:rsid w:val="0073005E"/>
    <w:rsid w:val="007352A6"/>
    <w:rsid w:val="007430BE"/>
    <w:rsid w:val="00744522"/>
    <w:rsid w:val="00780B65"/>
    <w:rsid w:val="00792531"/>
    <w:rsid w:val="00796D46"/>
    <w:rsid w:val="007972CD"/>
    <w:rsid w:val="007A0D32"/>
    <w:rsid w:val="007A15CD"/>
    <w:rsid w:val="007A745D"/>
    <w:rsid w:val="007B11B1"/>
    <w:rsid w:val="007B3EC8"/>
    <w:rsid w:val="007B4718"/>
    <w:rsid w:val="007C16C2"/>
    <w:rsid w:val="007D2EB6"/>
    <w:rsid w:val="007E1D5F"/>
    <w:rsid w:val="007E3A84"/>
    <w:rsid w:val="007E4F92"/>
    <w:rsid w:val="00801A0E"/>
    <w:rsid w:val="00802D61"/>
    <w:rsid w:val="008060C8"/>
    <w:rsid w:val="00817478"/>
    <w:rsid w:val="00830503"/>
    <w:rsid w:val="00844C1B"/>
    <w:rsid w:val="00867CD6"/>
    <w:rsid w:val="00871947"/>
    <w:rsid w:val="00874DD8"/>
    <w:rsid w:val="008A322F"/>
    <w:rsid w:val="008A38F5"/>
    <w:rsid w:val="008A3A37"/>
    <w:rsid w:val="008B2BE2"/>
    <w:rsid w:val="008B5A0D"/>
    <w:rsid w:val="008C7C95"/>
    <w:rsid w:val="008C7FA0"/>
    <w:rsid w:val="008D1720"/>
    <w:rsid w:val="008D18AB"/>
    <w:rsid w:val="008D54C6"/>
    <w:rsid w:val="008E21AB"/>
    <w:rsid w:val="008F23B2"/>
    <w:rsid w:val="008F6D92"/>
    <w:rsid w:val="0091430F"/>
    <w:rsid w:val="00947837"/>
    <w:rsid w:val="009530CC"/>
    <w:rsid w:val="009534BF"/>
    <w:rsid w:val="00961660"/>
    <w:rsid w:val="00964B6C"/>
    <w:rsid w:val="00965776"/>
    <w:rsid w:val="00981FD5"/>
    <w:rsid w:val="00982B58"/>
    <w:rsid w:val="00986854"/>
    <w:rsid w:val="0099199E"/>
    <w:rsid w:val="00993885"/>
    <w:rsid w:val="00997801"/>
    <w:rsid w:val="009A34D1"/>
    <w:rsid w:val="009B3716"/>
    <w:rsid w:val="009B57B8"/>
    <w:rsid w:val="009D606F"/>
    <w:rsid w:val="009E6411"/>
    <w:rsid w:val="009E6D96"/>
    <w:rsid w:val="00A01DE7"/>
    <w:rsid w:val="00A03F14"/>
    <w:rsid w:val="00A10BBE"/>
    <w:rsid w:val="00A12484"/>
    <w:rsid w:val="00A14DDD"/>
    <w:rsid w:val="00A23A4C"/>
    <w:rsid w:val="00A23CB6"/>
    <w:rsid w:val="00A30E50"/>
    <w:rsid w:val="00A417D4"/>
    <w:rsid w:val="00A5168C"/>
    <w:rsid w:val="00A529B6"/>
    <w:rsid w:val="00A6185B"/>
    <w:rsid w:val="00A63AAA"/>
    <w:rsid w:val="00A66C91"/>
    <w:rsid w:val="00A72FD1"/>
    <w:rsid w:val="00A9525E"/>
    <w:rsid w:val="00AA7E99"/>
    <w:rsid w:val="00AB7072"/>
    <w:rsid w:val="00AC0378"/>
    <w:rsid w:val="00AD071D"/>
    <w:rsid w:val="00B26833"/>
    <w:rsid w:val="00B42797"/>
    <w:rsid w:val="00B5190C"/>
    <w:rsid w:val="00B57034"/>
    <w:rsid w:val="00B60EFC"/>
    <w:rsid w:val="00B64698"/>
    <w:rsid w:val="00B64A8F"/>
    <w:rsid w:val="00B76278"/>
    <w:rsid w:val="00B958BF"/>
    <w:rsid w:val="00BA1E12"/>
    <w:rsid w:val="00BA26E2"/>
    <w:rsid w:val="00BA36CE"/>
    <w:rsid w:val="00BC0686"/>
    <w:rsid w:val="00BC1D89"/>
    <w:rsid w:val="00BC634E"/>
    <w:rsid w:val="00BD6981"/>
    <w:rsid w:val="00C078F9"/>
    <w:rsid w:val="00C156CC"/>
    <w:rsid w:val="00C17E92"/>
    <w:rsid w:val="00C2103B"/>
    <w:rsid w:val="00C27F16"/>
    <w:rsid w:val="00C303BA"/>
    <w:rsid w:val="00C32043"/>
    <w:rsid w:val="00C377A1"/>
    <w:rsid w:val="00C415D1"/>
    <w:rsid w:val="00C46775"/>
    <w:rsid w:val="00C606BA"/>
    <w:rsid w:val="00C64998"/>
    <w:rsid w:val="00C67A0B"/>
    <w:rsid w:val="00C70351"/>
    <w:rsid w:val="00C70F0B"/>
    <w:rsid w:val="00C70F89"/>
    <w:rsid w:val="00C74F88"/>
    <w:rsid w:val="00C76199"/>
    <w:rsid w:val="00C776F1"/>
    <w:rsid w:val="00C80A7B"/>
    <w:rsid w:val="00C8377B"/>
    <w:rsid w:val="00C83873"/>
    <w:rsid w:val="00CA6E76"/>
    <w:rsid w:val="00CB371A"/>
    <w:rsid w:val="00CB3C6B"/>
    <w:rsid w:val="00CB447A"/>
    <w:rsid w:val="00CD7059"/>
    <w:rsid w:val="00CE2989"/>
    <w:rsid w:val="00CE6B89"/>
    <w:rsid w:val="00CF39BC"/>
    <w:rsid w:val="00D05CEC"/>
    <w:rsid w:val="00D07FD0"/>
    <w:rsid w:val="00D22123"/>
    <w:rsid w:val="00D262CC"/>
    <w:rsid w:val="00D3026E"/>
    <w:rsid w:val="00D320AA"/>
    <w:rsid w:val="00D349A1"/>
    <w:rsid w:val="00D61BDE"/>
    <w:rsid w:val="00D65097"/>
    <w:rsid w:val="00D703B8"/>
    <w:rsid w:val="00D741EB"/>
    <w:rsid w:val="00D81BF9"/>
    <w:rsid w:val="00D9697D"/>
    <w:rsid w:val="00DB0B44"/>
    <w:rsid w:val="00DB1BE6"/>
    <w:rsid w:val="00DB75E2"/>
    <w:rsid w:val="00DD72EA"/>
    <w:rsid w:val="00DF0992"/>
    <w:rsid w:val="00DF3685"/>
    <w:rsid w:val="00DF660B"/>
    <w:rsid w:val="00E0689B"/>
    <w:rsid w:val="00E073BB"/>
    <w:rsid w:val="00E1074E"/>
    <w:rsid w:val="00E17FD6"/>
    <w:rsid w:val="00E27131"/>
    <w:rsid w:val="00E37B1C"/>
    <w:rsid w:val="00E44E97"/>
    <w:rsid w:val="00E467C8"/>
    <w:rsid w:val="00E7039A"/>
    <w:rsid w:val="00E71BAB"/>
    <w:rsid w:val="00E7278C"/>
    <w:rsid w:val="00E74C34"/>
    <w:rsid w:val="00E8087A"/>
    <w:rsid w:val="00E8172C"/>
    <w:rsid w:val="00E83022"/>
    <w:rsid w:val="00E91F86"/>
    <w:rsid w:val="00EA1A70"/>
    <w:rsid w:val="00ED1F56"/>
    <w:rsid w:val="00ED2440"/>
    <w:rsid w:val="00ED6ABC"/>
    <w:rsid w:val="00EE1E3B"/>
    <w:rsid w:val="00EE6A3F"/>
    <w:rsid w:val="00EF0E5D"/>
    <w:rsid w:val="00EF18A3"/>
    <w:rsid w:val="00F0052A"/>
    <w:rsid w:val="00F32E00"/>
    <w:rsid w:val="00F40777"/>
    <w:rsid w:val="00F505A7"/>
    <w:rsid w:val="00F563F1"/>
    <w:rsid w:val="00F66B48"/>
    <w:rsid w:val="00F7261E"/>
    <w:rsid w:val="00F80B85"/>
    <w:rsid w:val="00F8247D"/>
    <w:rsid w:val="00F85BA6"/>
    <w:rsid w:val="00FA408C"/>
    <w:rsid w:val="00FA71B6"/>
    <w:rsid w:val="00FB2CDA"/>
    <w:rsid w:val="00FB2E03"/>
    <w:rsid w:val="00FC01C0"/>
    <w:rsid w:val="00FC2E28"/>
    <w:rsid w:val="00FD3F4A"/>
    <w:rsid w:val="00FE320A"/>
    <w:rsid w:val="00FF5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08ABC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22"/>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22"/>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22"/>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rsid w:val="00040FD7"/>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Footnote text,Char,Char1,Char1 Char,Char2,Char3,Char11,Char1 Char2,Char21,Char4,Char12,Char1 Char3,Char22,Char5,Char13,Char1 Char4,Char23,Char6,Char14,Char1 Char5,Char24,Char7,Char15,Char1 Char6,Char25,Char8,fn,ft, Char, Char1, Char1 Char"/>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qFormat/>
    <w:rPr>
      <w:rFonts w:ascii="Times New Roman" w:eastAsia="Times New Roman" w:hAnsi="Times New Roman" w:cs="Times New Roman"/>
      <w:sz w:val="20"/>
      <w:szCs w:val="20"/>
    </w:rPr>
  </w:style>
  <w:style w:type="character" w:styleId="FootnoteReference">
    <w:name w:val="footnote reference"/>
    <w:aliases w:val="stylish,Appel note de bas de page,16 Point,Superscript 6 Point,Ref,de nota al pie,Footnote Reference Superscript,Footnote symbol,Footnote Reference Number,E FNZ,-E Fußnotenzeichen,Footnote#,Footnote,Times 10 Point,Exposant 3 Point,fr"/>
    <w:link w:val="CharCharChar"/>
    <w:uiPriority w:val="99"/>
    <w:qFormat/>
    <w:rPr>
      <w:shd w:val="clear" w:color="auto" w:fill="auto"/>
      <w:vertAlign w:val="superscript"/>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lp1,L"/>
    <w:basedOn w:val="Normal"/>
    <w:link w:val="ListParagraphChar"/>
    <w:uiPriority w:val="34"/>
    <w:qFormat/>
    <w:pPr>
      <w:spacing w:after="0" w:line="240" w:lineRule="auto"/>
      <w:ind w:left="720"/>
    </w:pPr>
    <w:rPr>
      <w:rFonts w:ascii="Calibri" w:eastAsia="Times New Roman" w:hAnsi="Calibri"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5">
    <w:name w:val="List Bullet 5"/>
    <w:basedOn w:val="Normal"/>
    <w:autoRedefine/>
    <w:pPr>
      <w:numPr>
        <w:numId w:val="11"/>
      </w:numPr>
      <w:spacing w:after="240" w:line="240" w:lineRule="auto"/>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copre">
    <w:name w:val="acopre"/>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style>
  <w:style w:type="paragraph" w:styleId="ListBullet">
    <w:name w:val="List Bullet"/>
    <w:basedOn w:val="Normal"/>
    <w:uiPriority w:val="99"/>
    <w:semiHidden/>
    <w:unhideWhenUsed/>
    <w:pPr>
      <w:numPr>
        <w:numId w:val="29"/>
      </w:numPr>
      <w:contextualSpacing/>
    </w:pPr>
  </w:style>
  <w:style w:type="character" w:customStyle="1" w:styleId="markedcontent">
    <w:name w:val="markedcontent"/>
    <w:basedOn w:val="DefaultParagraphFont"/>
  </w:style>
  <w:style w:type="character" w:customStyle="1" w:styleId="st">
    <w:name w:val="st"/>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Calibri" w:eastAsia="Times New Roman" w:hAnsi="Calibri" w:cs="Times New Roman"/>
    </w:rPr>
  </w:style>
  <w:style w:type="paragraph" w:customStyle="1" w:styleId="CharCharChar">
    <w:name w:val="Char Char Char"/>
    <w:basedOn w:val="Normal"/>
    <w:link w:val="FootnoteReference"/>
    <w:uiPriority w:val="99"/>
    <w:pPr>
      <w:spacing w:after="160" w:line="240" w:lineRule="exact"/>
    </w:pPr>
    <w:rPr>
      <w:vertAlign w:val="superscript"/>
    </w:rPr>
  </w:style>
  <w:style w:type="paragraph" w:styleId="Caption">
    <w:name w:val="caption"/>
    <w:basedOn w:val="Normal"/>
    <w:next w:val="Normal"/>
    <w:qFormat/>
    <w:pPr>
      <w:widowControl w:val="0"/>
      <w:spacing w:before="120" w:after="120" w:line="240" w:lineRule="auto"/>
      <w:jc w:val="center"/>
    </w:pPr>
    <w:rPr>
      <w:rFonts w:ascii="Verdana" w:eastAsia="Times New Roman" w:hAnsi="Verdana" w:cs="Times New Roman"/>
      <w:b/>
      <w:sz w:val="20"/>
      <w:szCs w:val="20"/>
    </w:rPr>
  </w:style>
  <w:style w:type="character" w:styleId="Emphasis">
    <w:name w:val="Emphasis"/>
    <w:basedOn w:val="DefaultParagraphFont"/>
    <w:uiPriority w:val="20"/>
    <w:qFormat/>
    <w:rPr>
      <w:i/>
      <w:iCs/>
    </w:rPr>
  </w:style>
  <w:style w:type="paragraph" w:customStyle="1" w:styleId="Text1">
    <w:name w:val="Text 1"/>
    <w:basedOn w:val="Normal"/>
    <w:uiPriority w:val="1"/>
    <w:pPr>
      <w:spacing w:after="240" w:line="240" w:lineRule="auto"/>
      <w:ind w:left="482"/>
      <w:jc w:val="both"/>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4D7099"/>
    <w:rPr>
      <w:color w:val="605E5C"/>
      <w:shd w:val="clear" w:color="auto" w:fill="E1DFDD"/>
    </w:rPr>
  </w:style>
  <w:style w:type="character" w:customStyle="1" w:styleId="UnresolvedMention">
    <w:name w:val="Unresolved Mention"/>
    <w:basedOn w:val="DefaultParagraphFont"/>
    <w:uiPriority w:val="99"/>
    <w:semiHidden/>
    <w:unhideWhenUsed/>
    <w:rsid w:val="00260B16"/>
    <w:rPr>
      <w:color w:val="605E5C"/>
      <w:shd w:val="clear" w:color="auto" w:fill="E1DFDD"/>
    </w:rPr>
  </w:style>
  <w:style w:type="table" w:styleId="TableGrid">
    <w:name w:val="Table Grid"/>
    <w:basedOn w:val="TableNormal"/>
    <w:uiPriority w:val="39"/>
    <w:rsid w:val="003422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040FD7"/>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040FD7"/>
    <w:pPr>
      <w:spacing w:after="0"/>
      <w:ind w:left="5103"/>
    </w:pPr>
    <w:rPr>
      <w:rFonts w:ascii="Times New Roman" w:hAnsi="Times New Roman" w:cs="Times New Roman"/>
      <w:sz w:val="28"/>
    </w:rPr>
  </w:style>
  <w:style w:type="paragraph" w:customStyle="1" w:styleId="DateMarking">
    <w:name w:val="DateMarking"/>
    <w:basedOn w:val="Normal"/>
    <w:rsid w:val="00040FD7"/>
    <w:pPr>
      <w:spacing w:after="0"/>
      <w:ind w:left="5103"/>
    </w:pPr>
    <w:rPr>
      <w:rFonts w:ascii="Times New Roman" w:hAnsi="Times New Roman" w:cs="Times New Roman"/>
      <w:i/>
      <w:sz w:val="28"/>
    </w:rPr>
  </w:style>
  <w:style w:type="paragraph" w:customStyle="1" w:styleId="ReleasableTo">
    <w:name w:val="ReleasableTo"/>
    <w:basedOn w:val="Normal"/>
    <w:rsid w:val="00040FD7"/>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383">
      <w:bodyDiv w:val="1"/>
      <w:marLeft w:val="0"/>
      <w:marRight w:val="0"/>
      <w:marTop w:val="0"/>
      <w:marBottom w:val="0"/>
      <w:divBdr>
        <w:top w:val="none" w:sz="0" w:space="0" w:color="auto"/>
        <w:left w:val="none" w:sz="0" w:space="0" w:color="auto"/>
        <w:bottom w:val="none" w:sz="0" w:space="0" w:color="auto"/>
        <w:right w:val="none" w:sz="0" w:space="0" w:color="auto"/>
      </w:divBdr>
    </w:div>
    <w:div w:id="122579248">
      <w:bodyDiv w:val="1"/>
      <w:marLeft w:val="0"/>
      <w:marRight w:val="0"/>
      <w:marTop w:val="0"/>
      <w:marBottom w:val="0"/>
      <w:divBdr>
        <w:top w:val="none" w:sz="0" w:space="0" w:color="auto"/>
        <w:left w:val="none" w:sz="0" w:space="0" w:color="auto"/>
        <w:bottom w:val="none" w:sz="0" w:space="0" w:color="auto"/>
        <w:right w:val="none" w:sz="0" w:space="0" w:color="auto"/>
      </w:divBdr>
    </w:div>
    <w:div w:id="251666390">
      <w:bodyDiv w:val="1"/>
      <w:marLeft w:val="0"/>
      <w:marRight w:val="0"/>
      <w:marTop w:val="0"/>
      <w:marBottom w:val="0"/>
      <w:divBdr>
        <w:top w:val="none" w:sz="0" w:space="0" w:color="auto"/>
        <w:left w:val="none" w:sz="0" w:space="0" w:color="auto"/>
        <w:bottom w:val="none" w:sz="0" w:space="0" w:color="auto"/>
        <w:right w:val="none" w:sz="0" w:space="0" w:color="auto"/>
      </w:divBdr>
    </w:div>
    <w:div w:id="261303843">
      <w:bodyDiv w:val="1"/>
      <w:marLeft w:val="0"/>
      <w:marRight w:val="0"/>
      <w:marTop w:val="0"/>
      <w:marBottom w:val="0"/>
      <w:divBdr>
        <w:top w:val="none" w:sz="0" w:space="0" w:color="auto"/>
        <w:left w:val="none" w:sz="0" w:space="0" w:color="auto"/>
        <w:bottom w:val="none" w:sz="0" w:space="0" w:color="auto"/>
        <w:right w:val="none" w:sz="0" w:space="0" w:color="auto"/>
      </w:divBdr>
    </w:div>
    <w:div w:id="270556874">
      <w:bodyDiv w:val="1"/>
      <w:marLeft w:val="0"/>
      <w:marRight w:val="0"/>
      <w:marTop w:val="0"/>
      <w:marBottom w:val="0"/>
      <w:divBdr>
        <w:top w:val="none" w:sz="0" w:space="0" w:color="auto"/>
        <w:left w:val="none" w:sz="0" w:space="0" w:color="auto"/>
        <w:bottom w:val="none" w:sz="0" w:space="0" w:color="auto"/>
        <w:right w:val="none" w:sz="0" w:space="0" w:color="auto"/>
      </w:divBdr>
    </w:div>
    <w:div w:id="322203173">
      <w:bodyDiv w:val="1"/>
      <w:marLeft w:val="0"/>
      <w:marRight w:val="0"/>
      <w:marTop w:val="0"/>
      <w:marBottom w:val="0"/>
      <w:divBdr>
        <w:top w:val="none" w:sz="0" w:space="0" w:color="auto"/>
        <w:left w:val="none" w:sz="0" w:space="0" w:color="auto"/>
        <w:bottom w:val="none" w:sz="0" w:space="0" w:color="auto"/>
        <w:right w:val="none" w:sz="0" w:space="0" w:color="auto"/>
      </w:divBdr>
    </w:div>
    <w:div w:id="323776394">
      <w:bodyDiv w:val="1"/>
      <w:marLeft w:val="0"/>
      <w:marRight w:val="0"/>
      <w:marTop w:val="0"/>
      <w:marBottom w:val="0"/>
      <w:divBdr>
        <w:top w:val="none" w:sz="0" w:space="0" w:color="auto"/>
        <w:left w:val="none" w:sz="0" w:space="0" w:color="auto"/>
        <w:bottom w:val="none" w:sz="0" w:space="0" w:color="auto"/>
        <w:right w:val="none" w:sz="0" w:space="0" w:color="auto"/>
      </w:divBdr>
    </w:div>
    <w:div w:id="451871096">
      <w:bodyDiv w:val="1"/>
      <w:marLeft w:val="0"/>
      <w:marRight w:val="0"/>
      <w:marTop w:val="0"/>
      <w:marBottom w:val="0"/>
      <w:divBdr>
        <w:top w:val="none" w:sz="0" w:space="0" w:color="auto"/>
        <w:left w:val="none" w:sz="0" w:space="0" w:color="auto"/>
        <w:bottom w:val="none" w:sz="0" w:space="0" w:color="auto"/>
        <w:right w:val="none" w:sz="0" w:space="0" w:color="auto"/>
      </w:divBdr>
    </w:div>
    <w:div w:id="477184491">
      <w:bodyDiv w:val="1"/>
      <w:marLeft w:val="0"/>
      <w:marRight w:val="0"/>
      <w:marTop w:val="0"/>
      <w:marBottom w:val="0"/>
      <w:divBdr>
        <w:top w:val="none" w:sz="0" w:space="0" w:color="auto"/>
        <w:left w:val="none" w:sz="0" w:space="0" w:color="auto"/>
        <w:bottom w:val="none" w:sz="0" w:space="0" w:color="auto"/>
        <w:right w:val="none" w:sz="0" w:space="0" w:color="auto"/>
      </w:divBdr>
    </w:div>
    <w:div w:id="616060094">
      <w:bodyDiv w:val="1"/>
      <w:marLeft w:val="0"/>
      <w:marRight w:val="0"/>
      <w:marTop w:val="0"/>
      <w:marBottom w:val="0"/>
      <w:divBdr>
        <w:top w:val="none" w:sz="0" w:space="0" w:color="auto"/>
        <w:left w:val="none" w:sz="0" w:space="0" w:color="auto"/>
        <w:bottom w:val="none" w:sz="0" w:space="0" w:color="auto"/>
        <w:right w:val="none" w:sz="0" w:space="0" w:color="auto"/>
      </w:divBdr>
    </w:div>
    <w:div w:id="883060483">
      <w:bodyDiv w:val="1"/>
      <w:marLeft w:val="0"/>
      <w:marRight w:val="0"/>
      <w:marTop w:val="0"/>
      <w:marBottom w:val="0"/>
      <w:divBdr>
        <w:top w:val="none" w:sz="0" w:space="0" w:color="auto"/>
        <w:left w:val="none" w:sz="0" w:space="0" w:color="auto"/>
        <w:bottom w:val="none" w:sz="0" w:space="0" w:color="auto"/>
        <w:right w:val="none" w:sz="0" w:space="0" w:color="auto"/>
      </w:divBdr>
    </w:div>
    <w:div w:id="904952954">
      <w:bodyDiv w:val="1"/>
      <w:marLeft w:val="0"/>
      <w:marRight w:val="0"/>
      <w:marTop w:val="0"/>
      <w:marBottom w:val="0"/>
      <w:divBdr>
        <w:top w:val="none" w:sz="0" w:space="0" w:color="auto"/>
        <w:left w:val="none" w:sz="0" w:space="0" w:color="auto"/>
        <w:bottom w:val="none" w:sz="0" w:space="0" w:color="auto"/>
        <w:right w:val="none" w:sz="0" w:space="0" w:color="auto"/>
      </w:divBdr>
    </w:div>
    <w:div w:id="992413310">
      <w:bodyDiv w:val="1"/>
      <w:marLeft w:val="0"/>
      <w:marRight w:val="0"/>
      <w:marTop w:val="0"/>
      <w:marBottom w:val="0"/>
      <w:divBdr>
        <w:top w:val="none" w:sz="0" w:space="0" w:color="auto"/>
        <w:left w:val="none" w:sz="0" w:space="0" w:color="auto"/>
        <w:bottom w:val="none" w:sz="0" w:space="0" w:color="auto"/>
        <w:right w:val="none" w:sz="0" w:space="0" w:color="auto"/>
      </w:divBdr>
    </w:div>
    <w:div w:id="1017847862">
      <w:bodyDiv w:val="1"/>
      <w:marLeft w:val="0"/>
      <w:marRight w:val="0"/>
      <w:marTop w:val="0"/>
      <w:marBottom w:val="0"/>
      <w:divBdr>
        <w:top w:val="none" w:sz="0" w:space="0" w:color="auto"/>
        <w:left w:val="none" w:sz="0" w:space="0" w:color="auto"/>
        <w:bottom w:val="none" w:sz="0" w:space="0" w:color="auto"/>
        <w:right w:val="none" w:sz="0" w:space="0" w:color="auto"/>
      </w:divBdr>
    </w:div>
    <w:div w:id="1057974876">
      <w:bodyDiv w:val="1"/>
      <w:marLeft w:val="0"/>
      <w:marRight w:val="0"/>
      <w:marTop w:val="0"/>
      <w:marBottom w:val="0"/>
      <w:divBdr>
        <w:top w:val="none" w:sz="0" w:space="0" w:color="auto"/>
        <w:left w:val="none" w:sz="0" w:space="0" w:color="auto"/>
        <w:bottom w:val="none" w:sz="0" w:space="0" w:color="auto"/>
        <w:right w:val="none" w:sz="0" w:space="0" w:color="auto"/>
      </w:divBdr>
    </w:div>
    <w:div w:id="1103763751">
      <w:bodyDiv w:val="1"/>
      <w:marLeft w:val="0"/>
      <w:marRight w:val="0"/>
      <w:marTop w:val="0"/>
      <w:marBottom w:val="0"/>
      <w:divBdr>
        <w:top w:val="none" w:sz="0" w:space="0" w:color="auto"/>
        <w:left w:val="none" w:sz="0" w:space="0" w:color="auto"/>
        <w:bottom w:val="none" w:sz="0" w:space="0" w:color="auto"/>
        <w:right w:val="none" w:sz="0" w:space="0" w:color="auto"/>
      </w:divBdr>
    </w:div>
    <w:div w:id="1125074455">
      <w:bodyDiv w:val="1"/>
      <w:marLeft w:val="0"/>
      <w:marRight w:val="0"/>
      <w:marTop w:val="0"/>
      <w:marBottom w:val="0"/>
      <w:divBdr>
        <w:top w:val="none" w:sz="0" w:space="0" w:color="auto"/>
        <w:left w:val="none" w:sz="0" w:space="0" w:color="auto"/>
        <w:bottom w:val="none" w:sz="0" w:space="0" w:color="auto"/>
        <w:right w:val="none" w:sz="0" w:space="0" w:color="auto"/>
      </w:divBdr>
    </w:div>
    <w:div w:id="1197081627">
      <w:bodyDiv w:val="1"/>
      <w:marLeft w:val="0"/>
      <w:marRight w:val="0"/>
      <w:marTop w:val="0"/>
      <w:marBottom w:val="0"/>
      <w:divBdr>
        <w:top w:val="none" w:sz="0" w:space="0" w:color="auto"/>
        <w:left w:val="none" w:sz="0" w:space="0" w:color="auto"/>
        <w:bottom w:val="none" w:sz="0" w:space="0" w:color="auto"/>
        <w:right w:val="none" w:sz="0" w:space="0" w:color="auto"/>
      </w:divBdr>
    </w:div>
    <w:div w:id="1283925164">
      <w:bodyDiv w:val="1"/>
      <w:marLeft w:val="0"/>
      <w:marRight w:val="0"/>
      <w:marTop w:val="0"/>
      <w:marBottom w:val="0"/>
      <w:divBdr>
        <w:top w:val="none" w:sz="0" w:space="0" w:color="auto"/>
        <w:left w:val="none" w:sz="0" w:space="0" w:color="auto"/>
        <w:bottom w:val="none" w:sz="0" w:space="0" w:color="auto"/>
        <w:right w:val="none" w:sz="0" w:space="0" w:color="auto"/>
      </w:divBdr>
    </w:div>
    <w:div w:id="1313369724">
      <w:bodyDiv w:val="1"/>
      <w:marLeft w:val="0"/>
      <w:marRight w:val="0"/>
      <w:marTop w:val="0"/>
      <w:marBottom w:val="0"/>
      <w:divBdr>
        <w:top w:val="none" w:sz="0" w:space="0" w:color="auto"/>
        <w:left w:val="none" w:sz="0" w:space="0" w:color="auto"/>
        <w:bottom w:val="none" w:sz="0" w:space="0" w:color="auto"/>
        <w:right w:val="none" w:sz="0" w:space="0" w:color="auto"/>
      </w:divBdr>
    </w:div>
    <w:div w:id="1528906502">
      <w:bodyDiv w:val="1"/>
      <w:marLeft w:val="0"/>
      <w:marRight w:val="0"/>
      <w:marTop w:val="0"/>
      <w:marBottom w:val="0"/>
      <w:divBdr>
        <w:top w:val="none" w:sz="0" w:space="0" w:color="auto"/>
        <w:left w:val="none" w:sz="0" w:space="0" w:color="auto"/>
        <w:bottom w:val="none" w:sz="0" w:space="0" w:color="auto"/>
        <w:right w:val="none" w:sz="0" w:space="0" w:color="auto"/>
      </w:divBdr>
    </w:div>
    <w:div w:id="1548838931">
      <w:bodyDiv w:val="1"/>
      <w:marLeft w:val="0"/>
      <w:marRight w:val="0"/>
      <w:marTop w:val="0"/>
      <w:marBottom w:val="0"/>
      <w:divBdr>
        <w:top w:val="none" w:sz="0" w:space="0" w:color="auto"/>
        <w:left w:val="none" w:sz="0" w:space="0" w:color="auto"/>
        <w:bottom w:val="none" w:sz="0" w:space="0" w:color="auto"/>
        <w:right w:val="none" w:sz="0" w:space="0" w:color="auto"/>
      </w:divBdr>
    </w:div>
    <w:div w:id="1565796316">
      <w:bodyDiv w:val="1"/>
      <w:marLeft w:val="0"/>
      <w:marRight w:val="0"/>
      <w:marTop w:val="0"/>
      <w:marBottom w:val="0"/>
      <w:divBdr>
        <w:top w:val="none" w:sz="0" w:space="0" w:color="auto"/>
        <w:left w:val="none" w:sz="0" w:space="0" w:color="auto"/>
        <w:bottom w:val="none" w:sz="0" w:space="0" w:color="auto"/>
        <w:right w:val="none" w:sz="0" w:space="0" w:color="auto"/>
      </w:divBdr>
    </w:div>
    <w:div w:id="1779791607">
      <w:bodyDiv w:val="1"/>
      <w:marLeft w:val="0"/>
      <w:marRight w:val="0"/>
      <w:marTop w:val="0"/>
      <w:marBottom w:val="0"/>
      <w:divBdr>
        <w:top w:val="none" w:sz="0" w:space="0" w:color="auto"/>
        <w:left w:val="none" w:sz="0" w:space="0" w:color="auto"/>
        <w:bottom w:val="none" w:sz="0" w:space="0" w:color="auto"/>
        <w:right w:val="none" w:sz="0" w:space="0" w:color="auto"/>
      </w:divBdr>
    </w:div>
    <w:div w:id="1864635533">
      <w:bodyDiv w:val="1"/>
      <w:marLeft w:val="0"/>
      <w:marRight w:val="0"/>
      <w:marTop w:val="0"/>
      <w:marBottom w:val="0"/>
      <w:divBdr>
        <w:top w:val="none" w:sz="0" w:space="0" w:color="auto"/>
        <w:left w:val="none" w:sz="0" w:space="0" w:color="auto"/>
        <w:bottom w:val="none" w:sz="0" w:space="0" w:color="auto"/>
        <w:right w:val="none" w:sz="0" w:space="0" w:color="auto"/>
      </w:divBdr>
    </w:div>
    <w:div w:id="1915387771">
      <w:bodyDiv w:val="1"/>
      <w:marLeft w:val="0"/>
      <w:marRight w:val="0"/>
      <w:marTop w:val="0"/>
      <w:marBottom w:val="0"/>
      <w:divBdr>
        <w:top w:val="none" w:sz="0" w:space="0" w:color="auto"/>
        <w:left w:val="none" w:sz="0" w:space="0" w:color="auto"/>
        <w:bottom w:val="none" w:sz="0" w:space="0" w:color="auto"/>
        <w:right w:val="none" w:sz="0" w:space="0" w:color="auto"/>
      </w:divBdr>
    </w:div>
    <w:div w:id="1917784057">
      <w:bodyDiv w:val="1"/>
      <w:marLeft w:val="0"/>
      <w:marRight w:val="0"/>
      <w:marTop w:val="0"/>
      <w:marBottom w:val="0"/>
      <w:divBdr>
        <w:top w:val="none" w:sz="0" w:space="0" w:color="auto"/>
        <w:left w:val="none" w:sz="0" w:space="0" w:color="auto"/>
        <w:bottom w:val="none" w:sz="0" w:space="0" w:color="auto"/>
        <w:right w:val="none" w:sz="0" w:space="0" w:color="auto"/>
      </w:divBdr>
    </w:div>
    <w:div w:id="1932081391">
      <w:bodyDiv w:val="1"/>
      <w:marLeft w:val="0"/>
      <w:marRight w:val="0"/>
      <w:marTop w:val="0"/>
      <w:marBottom w:val="0"/>
      <w:divBdr>
        <w:top w:val="none" w:sz="0" w:space="0" w:color="auto"/>
        <w:left w:val="none" w:sz="0" w:space="0" w:color="auto"/>
        <w:bottom w:val="none" w:sz="0" w:space="0" w:color="auto"/>
        <w:right w:val="none" w:sz="0" w:space="0" w:color="auto"/>
      </w:divBdr>
    </w:div>
    <w:div w:id="2052681612">
      <w:bodyDiv w:val="1"/>
      <w:marLeft w:val="0"/>
      <w:marRight w:val="0"/>
      <w:marTop w:val="0"/>
      <w:marBottom w:val="0"/>
      <w:divBdr>
        <w:top w:val="none" w:sz="0" w:space="0" w:color="auto"/>
        <w:left w:val="none" w:sz="0" w:space="0" w:color="auto"/>
        <w:bottom w:val="none" w:sz="0" w:space="0" w:color="auto"/>
        <w:right w:val="none" w:sz="0" w:space="0" w:color="auto"/>
      </w:divBdr>
    </w:div>
    <w:div w:id="2083676498">
      <w:bodyDiv w:val="1"/>
      <w:marLeft w:val="0"/>
      <w:marRight w:val="0"/>
      <w:marTop w:val="0"/>
      <w:marBottom w:val="0"/>
      <w:divBdr>
        <w:top w:val="none" w:sz="0" w:space="0" w:color="auto"/>
        <w:left w:val="none" w:sz="0" w:space="0" w:color="auto"/>
        <w:bottom w:val="none" w:sz="0" w:space="0" w:color="auto"/>
        <w:right w:val="none" w:sz="0" w:space="0" w:color="auto"/>
      </w:divBdr>
    </w:div>
    <w:div w:id="20938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strategy-and-policy/relations-non-eu-countries/relations-united-kingdom/eu-uk-trade-and-cooperation-agreement/meetings-eu-uk-partnership-council-and-specialised-committees-under-trade-and-cooperation-agreement/specialised-committee-fisheries_en" TargetMode="External"/><Relationship Id="rId7" Type="http://schemas.openxmlformats.org/officeDocument/2006/relationships/hyperlink" Target="https://op.europa.eu/bg/publication-detail/-/publication/89868cc6-015f-11ec-8f47-01aa75ed71a1" TargetMode="External"/><Relationship Id="rId2" Type="http://schemas.openxmlformats.org/officeDocument/2006/relationships/hyperlink" Target="https://oceans-and-fisheries.ec.europa.eu/system/files/2022-12/2023-eu-uk-fisheries-consultations_en.pdf" TargetMode="External"/><Relationship Id="rId1" Type="http://schemas.openxmlformats.org/officeDocument/2006/relationships/hyperlink" Target="https://commission.europa.eu/system/files/2020-09/ministerial_declaration_our_baltic_conference.pdf" TargetMode="External"/><Relationship Id="rId6" Type="http://schemas.openxmlformats.org/officeDocument/2006/relationships/hyperlink" Target="https://www.fao.org/documents/card/en/c/cb7562en" TargetMode="External"/><Relationship Id="rId5" Type="http://schemas.openxmlformats.org/officeDocument/2006/relationships/hyperlink" Target="https://oceans-and-fisheries.ec.europa.eu/system/files/2023-03/2023-eu-norway-skagerrak-fisheries-consultations_en.pdf" TargetMode="External"/><Relationship Id="rId4" Type="http://schemas.openxmlformats.org/officeDocument/2006/relationships/hyperlink" Target="https://oceans-and-fisheries.ec.europa.eu/system/files/2022-12/2023-eu-no-uk-fisheries-consultation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B9326-2287-4923-B014-B7610920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5036</Words>
  <Characters>28357</Characters>
  <Application>Microsoft Office Word</Application>
  <DocSecurity>0</DocSecurity>
  <Lines>488</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2023-06-02T14:57:00Z</dcterms:created>
  <dcterms:modified xsi:type="dcterms:W3CDTF">2023-06-14T06:25:00Z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2023-05-30T11:26:04Z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6df8216d-0247-4534-8c05-91006c7c82d1</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CP-012</vt:lpwstr>
  </property>
</Properties>
</file>