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8F07" w14:textId="3D36C05A" w:rsidR="00977CF6" w:rsidRDefault="00B018F6" w:rsidP="00B018F6">
      <w:pPr>
        <w:pStyle w:val="Pagedecouverture"/>
        <w:rPr>
          <w:noProof/>
        </w:rPr>
      </w:pPr>
      <w:r>
        <w:rPr>
          <w:noProof/>
        </w:rPr>
        <w:pict w14:anchorId="0EDFA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alt="8C1E72B3-78A2-4BAD-8371-F7F6C9C9D325" style="width:455.25pt;height:369.75pt">
            <v:imagedata r:id="rId13" o:title=""/>
          </v:shape>
        </w:pict>
      </w:r>
    </w:p>
    <w:p w14:paraId="7880CDFD" w14:textId="77777777" w:rsidR="00977CF6" w:rsidRDefault="00977CF6" w:rsidP="00977CF6">
      <w:pPr>
        <w:rPr>
          <w:noProof/>
        </w:rPr>
        <w:sectPr w:rsidR="00977CF6" w:rsidSect="00B018F6">
          <w:footerReference w:type="default" r:id="rId14"/>
          <w:pgSz w:w="11907" w:h="16839"/>
          <w:pgMar w:top="1134" w:right="1417" w:bottom="1134" w:left="1417" w:header="709" w:footer="709" w:gutter="0"/>
          <w:pgNumType w:start="0"/>
          <w:cols w:space="720"/>
          <w:docGrid w:linePitch="360"/>
        </w:sectPr>
      </w:pPr>
    </w:p>
    <w:p w14:paraId="006B69EF" w14:textId="77777777" w:rsidR="00977CF6" w:rsidRDefault="00977CF6" w:rsidP="000430BD">
      <w:pPr>
        <w:pStyle w:val="Exposdesmotifstitre"/>
        <w:rPr>
          <w:noProof/>
        </w:rPr>
      </w:pPr>
      <w:bookmarkStart w:id="0" w:name="_GoBack"/>
      <w:bookmarkEnd w:id="0"/>
      <w:r w:rsidRPr="006F770D">
        <w:rPr>
          <w:noProof/>
        </w:rPr>
        <w:lastRenderedPageBreak/>
        <w:t>EXPLANATORY MEMORANDUM</w:t>
      </w:r>
    </w:p>
    <w:p w14:paraId="33CBB597" w14:textId="77777777" w:rsidR="00977CF6" w:rsidRPr="006F770D" w:rsidRDefault="00977CF6" w:rsidP="000430BD">
      <w:pPr>
        <w:pStyle w:val="ManualHeading1"/>
        <w:rPr>
          <w:noProof/>
        </w:rPr>
      </w:pPr>
      <w:r w:rsidRPr="00C567EE">
        <w:rPr>
          <w:noProof/>
        </w:rPr>
        <w:t>1.</w:t>
      </w:r>
      <w:r w:rsidRPr="00C567EE">
        <w:rPr>
          <w:noProof/>
        </w:rPr>
        <w:tab/>
      </w:r>
      <w:r w:rsidRPr="006F770D">
        <w:rPr>
          <w:noProof/>
        </w:rPr>
        <w:t>CONTEXT OF THE PROPOSAL</w:t>
      </w:r>
    </w:p>
    <w:p w14:paraId="29022B70" w14:textId="77777777" w:rsidR="00977CF6" w:rsidRPr="00723390" w:rsidRDefault="00977CF6" w:rsidP="000430BD">
      <w:pPr>
        <w:pStyle w:val="ManualHeading2"/>
        <w:rPr>
          <w:rFonts w:eastAsia="Arial Unicode MS"/>
          <w:noProof/>
        </w:rPr>
      </w:pPr>
      <w:r w:rsidRPr="00723390">
        <w:rPr>
          <w:rFonts w:eastAsia="Arial Unicode MS"/>
          <w:noProof/>
          <w:u w:color="000000"/>
          <w:bdr w:val="nil"/>
          <w:lang w:val="en-US" w:eastAsia="en-GB"/>
        </w:rPr>
        <w:t>•</w:t>
      </w:r>
      <w:r w:rsidRPr="00723390">
        <w:rPr>
          <w:rFonts w:eastAsia="Arial Unicode MS"/>
          <w:noProof/>
          <w:u w:color="000000"/>
          <w:bdr w:val="nil"/>
          <w:lang w:val="en-US" w:eastAsia="en-GB"/>
        </w:rPr>
        <w:tab/>
      </w:r>
      <w:r w:rsidRPr="00723390">
        <w:rPr>
          <w:rFonts w:eastAsia="Arial Unicode MS"/>
          <w:noProof/>
        </w:rPr>
        <w:t>Reasons for and objectives of the proposal</w:t>
      </w:r>
    </w:p>
    <w:p w14:paraId="534934E6" w14:textId="77777777" w:rsidR="00173A86" w:rsidRDefault="00222D8E" w:rsidP="00222D8E">
      <w:pPr>
        <w:pBdr>
          <w:top w:val="nil"/>
          <w:left w:val="nil"/>
          <w:bottom w:val="nil"/>
          <w:right w:val="nil"/>
          <w:between w:val="nil"/>
          <w:bar w:val="nil"/>
        </w:pBdr>
        <w:spacing w:before="0" w:after="240"/>
        <w:rPr>
          <w:noProof/>
        </w:rPr>
      </w:pPr>
      <w:r>
        <w:rPr>
          <w:noProof/>
        </w:rPr>
        <w:t xml:space="preserve">In the EU, investors </w:t>
      </w:r>
      <w:r w:rsidR="00E104B3">
        <w:rPr>
          <w:noProof/>
        </w:rPr>
        <w:t xml:space="preserve">may be </w:t>
      </w:r>
      <w:r>
        <w:rPr>
          <w:noProof/>
        </w:rPr>
        <w:t xml:space="preserve">generally obliged to pay tax </w:t>
      </w:r>
      <w:r w:rsidR="00173A86">
        <w:rPr>
          <w:noProof/>
        </w:rPr>
        <w:t xml:space="preserve">twice </w:t>
      </w:r>
      <w:r>
        <w:rPr>
          <w:noProof/>
        </w:rPr>
        <w:t>on the income they receive from holding securities (namely dividends on holdings of equities and interest on holdings of bonds)</w:t>
      </w:r>
      <w:r w:rsidR="00D162EE">
        <w:rPr>
          <w:noProof/>
        </w:rPr>
        <w:t xml:space="preserve"> in a cross</w:t>
      </w:r>
      <w:r w:rsidR="00F96620">
        <w:rPr>
          <w:noProof/>
        </w:rPr>
        <w:t>-</w:t>
      </w:r>
      <w:r w:rsidR="00D162EE">
        <w:rPr>
          <w:noProof/>
        </w:rPr>
        <w:t>border context</w:t>
      </w:r>
      <w:r>
        <w:rPr>
          <w:noProof/>
        </w:rPr>
        <w:t xml:space="preserve">. </w:t>
      </w:r>
    </w:p>
    <w:p w14:paraId="3A7F4F82" w14:textId="77777777" w:rsidR="00173A86" w:rsidRDefault="00222D8E" w:rsidP="00405676">
      <w:pPr>
        <w:pStyle w:val="Bullet0"/>
        <w:numPr>
          <w:ilvl w:val="0"/>
          <w:numId w:val="21"/>
        </w:numPr>
        <w:rPr>
          <w:noProof/>
        </w:rPr>
      </w:pPr>
      <w:r>
        <w:rPr>
          <w:noProof/>
        </w:rPr>
        <w:t xml:space="preserve">First, taxes </w:t>
      </w:r>
      <w:r w:rsidR="00761286">
        <w:rPr>
          <w:noProof/>
        </w:rPr>
        <w:t>may</w:t>
      </w:r>
      <w:r>
        <w:rPr>
          <w:noProof/>
        </w:rPr>
        <w:t xml:space="preserve"> be </w:t>
      </w:r>
      <w:r w:rsidR="5B7CF298">
        <w:rPr>
          <w:noProof/>
        </w:rPr>
        <w:t xml:space="preserve">levied </w:t>
      </w:r>
      <w:r>
        <w:rPr>
          <w:noProof/>
        </w:rPr>
        <w:t xml:space="preserve">in the country of the issuer of the securities (the </w:t>
      </w:r>
      <w:r w:rsidRPr="00166F1C">
        <w:rPr>
          <w:b/>
          <w:noProof/>
        </w:rPr>
        <w:t>source country</w:t>
      </w:r>
      <w:r>
        <w:rPr>
          <w:noProof/>
        </w:rPr>
        <w:t xml:space="preserve">) in the form of a tax withheld from the gross securities income, </w:t>
      </w:r>
      <w:r w:rsidR="00173A86">
        <w:rPr>
          <w:noProof/>
        </w:rPr>
        <w:t>(</w:t>
      </w:r>
      <w:r w:rsidRPr="00166F1C">
        <w:rPr>
          <w:b/>
          <w:noProof/>
        </w:rPr>
        <w:t>withholding tax</w:t>
      </w:r>
      <w:r>
        <w:rPr>
          <w:noProof/>
        </w:rPr>
        <w:t xml:space="preserve"> (WHT</w:t>
      </w:r>
      <w:r w:rsidR="11648E57">
        <w:rPr>
          <w:noProof/>
        </w:rPr>
        <w:t>)</w:t>
      </w:r>
      <w:r w:rsidR="00173A86">
        <w:rPr>
          <w:noProof/>
        </w:rPr>
        <w:t>)</w:t>
      </w:r>
      <w:r w:rsidR="30B45375">
        <w:rPr>
          <w:noProof/>
        </w:rPr>
        <w:t xml:space="preserve">. </w:t>
      </w:r>
    </w:p>
    <w:p w14:paraId="4119F842" w14:textId="77777777" w:rsidR="00010692" w:rsidRDefault="30B45375" w:rsidP="002C4E11">
      <w:pPr>
        <w:pStyle w:val="Bullet0"/>
        <w:rPr>
          <w:noProof/>
        </w:rPr>
      </w:pPr>
      <w:r>
        <w:rPr>
          <w:noProof/>
        </w:rPr>
        <w:t xml:space="preserve">Secondly, taxes may be levied in </w:t>
      </w:r>
      <w:r w:rsidR="00222D8E">
        <w:rPr>
          <w:noProof/>
        </w:rPr>
        <w:t xml:space="preserve">the </w:t>
      </w:r>
      <w:r w:rsidR="00173A86">
        <w:rPr>
          <w:noProof/>
        </w:rPr>
        <w:t xml:space="preserve">investor’s </w:t>
      </w:r>
      <w:r w:rsidR="00222D8E">
        <w:rPr>
          <w:noProof/>
        </w:rPr>
        <w:t xml:space="preserve">country of residence (the </w:t>
      </w:r>
      <w:r w:rsidR="00222D8E" w:rsidRPr="00166F1C">
        <w:rPr>
          <w:b/>
          <w:noProof/>
        </w:rPr>
        <w:t>residence country</w:t>
      </w:r>
      <w:r w:rsidR="00222D8E">
        <w:rPr>
          <w:noProof/>
        </w:rPr>
        <w:t xml:space="preserve">) in the form of </w:t>
      </w:r>
      <w:r w:rsidR="00222D8E" w:rsidRPr="00166F1C">
        <w:rPr>
          <w:b/>
          <w:noProof/>
        </w:rPr>
        <w:t>income tax</w:t>
      </w:r>
      <w:r w:rsidR="00222D8E">
        <w:rPr>
          <w:noProof/>
        </w:rPr>
        <w:t xml:space="preserve">. </w:t>
      </w:r>
    </w:p>
    <w:p w14:paraId="1C55C123" w14:textId="77777777" w:rsidR="00222D8E" w:rsidRDefault="00222D8E" w:rsidP="00222D8E">
      <w:pPr>
        <w:pBdr>
          <w:top w:val="nil"/>
          <w:left w:val="nil"/>
          <w:bottom w:val="nil"/>
          <w:right w:val="nil"/>
          <w:between w:val="nil"/>
          <w:bar w:val="nil"/>
        </w:pBdr>
        <w:spacing w:before="0" w:after="240"/>
        <w:rPr>
          <w:noProof/>
        </w:rPr>
      </w:pPr>
      <w:r>
        <w:rPr>
          <w:noProof/>
        </w:rPr>
        <w:t>To avoid this double taxation, many countries have agreed to share taxing rights between the source and residence countries by signing double tax treaties (DTTs). Under the terms of these treaties, non-resident investors may be entitled to a lower rate of WHT or to an exemption in the source country. Besides tax treaties</w:t>
      </w:r>
      <w:r w:rsidR="00761286">
        <w:rPr>
          <w:noProof/>
        </w:rPr>
        <w:t>,</w:t>
      </w:r>
      <w:r>
        <w:rPr>
          <w:noProof/>
        </w:rPr>
        <w:t xml:space="preserve"> </w:t>
      </w:r>
      <w:r w:rsidR="006D5DE8">
        <w:rPr>
          <w:noProof/>
        </w:rPr>
        <w:t>some</w:t>
      </w:r>
      <w:r>
        <w:rPr>
          <w:noProof/>
        </w:rPr>
        <w:t xml:space="preserve"> source countr</w:t>
      </w:r>
      <w:r w:rsidR="006D5DE8">
        <w:rPr>
          <w:noProof/>
        </w:rPr>
        <w:t>ies</w:t>
      </w:r>
      <w:r>
        <w:rPr>
          <w:noProof/>
        </w:rPr>
        <w:t xml:space="preserve"> have introduced rules that provide for lower rates or exemptions for specific non-resident taxpayers with specific policy objectives in mind.</w:t>
      </w:r>
    </w:p>
    <w:p w14:paraId="20DF284B" w14:textId="77777777" w:rsidR="00FE4542" w:rsidRDefault="00222D8E" w:rsidP="00010692">
      <w:pPr>
        <w:pBdr>
          <w:top w:val="nil"/>
          <w:left w:val="nil"/>
          <w:bottom w:val="nil"/>
          <w:right w:val="nil"/>
          <w:between w:val="nil"/>
          <w:bar w:val="nil"/>
        </w:pBdr>
        <w:spacing w:before="0" w:after="240"/>
        <w:rPr>
          <w:noProof/>
        </w:rPr>
      </w:pPr>
      <w:r>
        <w:rPr>
          <w:noProof/>
        </w:rPr>
        <w:t>This reduction or exemption of WHT may be granted in two ways. Either the reduced tax rate or exemption is applied directly at the moment the dividend/interest is paid (</w:t>
      </w:r>
      <w:r w:rsidRPr="00166F1C">
        <w:rPr>
          <w:b/>
          <w:noProof/>
        </w:rPr>
        <w:t>relief at source</w:t>
      </w:r>
      <w:r>
        <w:rPr>
          <w:noProof/>
        </w:rPr>
        <w:t>), or the excess tax withheld is refunded on the basis of a reclaim by the investor (</w:t>
      </w:r>
      <w:r w:rsidRPr="00166F1C">
        <w:rPr>
          <w:b/>
          <w:noProof/>
        </w:rPr>
        <w:t>refund procedure</w:t>
      </w:r>
      <w:r>
        <w:rPr>
          <w:noProof/>
        </w:rPr>
        <w:t>).</w:t>
      </w:r>
      <w:r w:rsidR="00761286">
        <w:rPr>
          <w:noProof/>
        </w:rPr>
        <w:t xml:space="preserve"> </w:t>
      </w:r>
    </w:p>
    <w:p w14:paraId="2C199126" w14:textId="77777777" w:rsidR="009E0D0A" w:rsidRPr="008F3348" w:rsidRDefault="00222D8E" w:rsidP="00010692">
      <w:pPr>
        <w:pBdr>
          <w:top w:val="nil"/>
          <w:left w:val="nil"/>
          <w:bottom w:val="nil"/>
          <w:right w:val="nil"/>
          <w:between w:val="nil"/>
          <w:bar w:val="nil"/>
        </w:pBdr>
        <w:spacing w:before="0" w:after="240"/>
        <w:rPr>
          <w:noProof/>
        </w:rPr>
      </w:pPr>
      <w:r>
        <w:rPr>
          <w:noProof/>
        </w:rPr>
        <w:t xml:space="preserve">However, the </w:t>
      </w:r>
      <w:r w:rsidRPr="00166F1C">
        <w:rPr>
          <w:b/>
          <w:noProof/>
        </w:rPr>
        <w:t>WHT procedures</w:t>
      </w:r>
      <w:r>
        <w:rPr>
          <w:noProof/>
        </w:rPr>
        <w:t xml:space="preserve"> that allow non-resident investors to benefit from tax treaty </w:t>
      </w:r>
      <w:r w:rsidR="006D5DE8">
        <w:rPr>
          <w:noProof/>
        </w:rPr>
        <w:t xml:space="preserve">or domestic </w:t>
      </w:r>
      <w:r>
        <w:rPr>
          <w:noProof/>
        </w:rPr>
        <w:t xml:space="preserve">benefits are often </w:t>
      </w:r>
      <w:r w:rsidR="006D5DE8" w:rsidRPr="00166F1C">
        <w:rPr>
          <w:b/>
          <w:bCs/>
          <w:noProof/>
        </w:rPr>
        <w:t>burdensome, costly</w:t>
      </w:r>
      <w:r w:rsidR="00FE4542">
        <w:rPr>
          <w:b/>
          <w:bCs/>
          <w:noProof/>
        </w:rPr>
        <w:t>,</w:t>
      </w:r>
      <w:r w:rsidR="006D5DE8" w:rsidRPr="00166F1C">
        <w:rPr>
          <w:b/>
          <w:bCs/>
          <w:noProof/>
        </w:rPr>
        <w:t xml:space="preserve"> and lengthy</w:t>
      </w:r>
      <w:r w:rsidR="006D5DE8" w:rsidRPr="006D5DE8">
        <w:rPr>
          <w:noProof/>
        </w:rPr>
        <w:t xml:space="preserve"> </w:t>
      </w:r>
      <w:r w:rsidR="006D5DE8">
        <w:rPr>
          <w:noProof/>
        </w:rPr>
        <w:t xml:space="preserve">as they </w:t>
      </w:r>
      <w:r>
        <w:rPr>
          <w:noProof/>
        </w:rPr>
        <w:t xml:space="preserve">vary considerably </w:t>
      </w:r>
      <w:r w:rsidR="006D5DE8">
        <w:rPr>
          <w:noProof/>
        </w:rPr>
        <w:t xml:space="preserve">across </w:t>
      </w:r>
      <w:r>
        <w:rPr>
          <w:noProof/>
        </w:rPr>
        <w:t>Member States</w:t>
      </w:r>
      <w:r w:rsidR="006D5DE8">
        <w:rPr>
          <w:noProof/>
        </w:rPr>
        <w:t xml:space="preserve"> both in terms of document</w:t>
      </w:r>
      <w:r w:rsidR="00FE4542">
        <w:rPr>
          <w:noProof/>
        </w:rPr>
        <w:t xml:space="preserve">ation </w:t>
      </w:r>
      <w:r w:rsidR="006D5DE8">
        <w:rPr>
          <w:noProof/>
        </w:rPr>
        <w:t xml:space="preserve">to be submitted by the taxpayers </w:t>
      </w:r>
      <w:r w:rsidR="00FE4542">
        <w:rPr>
          <w:noProof/>
        </w:rPr>
        <w:t xml:space="preserve">to obtain the relief from WHT </w:t>
      </w:r>
      <w:r w:rsidR="006D5DE8">
        <w:rPr>
          <w:noProof/>
        </w:rPr>
        <w:t>and as regards their level of digitalisation</w:t>
      </w:r>
      <w:r>
        <w:rPr>
          <w:noProof/>
        </w:rPr>
        <w:t>.</w:t>
      </w:r>
      <w:r w:rsidR="00010692" w:rsidRPr="008F3348">
        <w:rPr>
          <w:noProof/>
        </w:rPr>
        <w:t xml:space="preserve"> </w:t>
      </w:r>
      <w:r w:rsidR="006D5DE8" w:rsidRPr="00166F1C">
        <w:rPr>
          <w:b/>
          <w:bCs/>
          <w:noProof/>
        </w:rPr>
        <w:t>WHT procedures</w:t>
      </w:r>
      <w:r w:rsidR="006D5DE8">
        <w:rPr>
          <w:noProof/>
        </w:rPr>
        <w:t xml:space="preserve"> are also </w:t>
      </w:r>
      <w:r w:rsidR="006D5DE8" w:rsidRPr="006D5DE8">
        <w:rPr>
          <w:noProof/>
        </w:rPr>
        <w:t xml:space="preserve">still </w:t>
      </w:r>
      <w:r w:rsidR="006D5DE8" w:rsidRPr="00166F1C">
        <w:rPr>
          <w:b/>
          <w:bCs/>
          <w:noProof/>
        </w:rPr>
        <w:t xml:space="preserve">prone to risk of </w:t>
      </w:r>
      <w:r w:rsidR="007D17F2">
        <w:rPr>
          <w:b/>
          <w:bCs/>
          <w:noProof/>
        </w:rPr>
        <w:t xml:space="preserve">tax </w:t>
      </w:r>
      <w:r w:rsidR="006D5DE8" w:rsidRPr="00166F1C">
        <w:rPr>
          <w:b/>
          <w:bCs/>
          <w:noProof/>
        </w:rPr>
        <w:t xml:space="preserve">fraud </w:t>
      </w:r>
      <w:r w:rsidR="007D17F2">
        <w:rPr>
          <w:b/>
          <w:bCs/>
          <w:noProof/>
        </w:rPr>
        <w:t>and</w:t>
      </w:r>
      <w:r w:rsidR="006D5DE8" w:rsidRPr="00166F1C">
        <w:rPr>
          <w:b/>
          <w:bCs/>
          <w:noProof/>
        </w:rPr>
        <w:t xml:space="preserve"> abuse</w:t>
      </w:r>
      <w:r w:rsidR="00FE4542" w:rsidRPr="00166F1C">
        <w:rPr>
          <w:noProof/>
        </w:rPr>
        <w:t>,</w:t>
      </w:r>
      <w:r w:rsidR="006D5DE8" w:rsidRPr="006D5DE8">
        <w:rPr>
          <w:noProof/>
        </w:rPr>
        <w:t xml:space="preserve"> leading to revenue losses for Member States</w:t>
      </w:r>
      <w:r w:rsidR="00FE4542">
        <w:rPr>
          <w:noProof/>
        </w:rPr>
        <w:t xml:space="preserve">, </w:t>
      </w:r>
      <w:r w:rsidR="00324455">
        <w:rPr>
          <w:noProof/>
        </w:rPr>
        <w:t xml:space="preserve">as shown by a series of tax scandals, notably the so called Cum/Cum and Cum/Ex cases. This is </w:t>
      </w:r>
      <w:r w:rsidR="00FE4542">
        <w:rPr>
          <w:noProof/>
        </w:rPr>
        <w:t xml:space="preserve">due to </w:t>
      </w:r>
      <w:r w:rsidR="00FE4542" w:rsidRPr="00FE4542">
        <w:rPr>
          <w:noProof/>
        </w:rPr>
        <w:t>the lack of accurate information in the hands of tax administrations</w:t>
      </w:r>
      <w:r w:rsidR="00324455">
        <w:rPr>
          <w:noProof/>
        </w:rPr>
        <w:t>, which</w:t>
      </w:r>
      <w:r w:rsidR="00FE4542" w:rsidRPr="00FE4542">
        <w:rPr>
          <w:noProof/>
        </w:rPr>
        <w:t xml:space="preserve"> owes to the low level of transparency within the financial chain and to the lack of information on the presence of financial arrangements linked to the underlying security</w:t>
      </w:r>
    </w:p>
    <w:p w14:paraId="6BE238B7" w14:textId="77777777" w:rsidR="00AD6F6E" w:rsidRDefault="00AD6F6E" w:rsidP="009E0D0A">
      <w:pPr>
        <w:pBdr>
          <w:top w:val="nil"/>
          <w:left w:val="nil"/>
          <w:bottom w:val="nil"/>
          <w:right w:val="nil"/>
          <w:between w:val="nil"/>
          <w:bar w:val="nil"/>
        </w:pBdr>
        <w:spacing w:before="0" w:after="240"/>
        <w:rPr>
          <w:noProof/>
        </w:rPr>
      </w:pPr>
      <w:r>
        <w:rPr>
          <w:noProof/>
        </w:rPr>
        <w:t>The procedures to submit a refund claim usually involve the following steps and requirements</w:t>
      </w:r>
      <w:r w:rsidR="0033100D">
        <w:rPr>
          <w:noProof/>
        </w:rPr>
        <w:t>:</w:t>
      </w:r>
      <w:r>
        <w:rPr>
          <w:noProof/>
        </w:rPr>
        <w:t xml:space="preserve"> the taxpayer</w:t>
      </w:r>
      <w:r w:rsidR="00752B1D">
        <w:rPr>
          <w:noProof/>
        </w:rPr>
        <w:t xml:space="preserve"> </w:t>
      </w:r>
      <w:r w:rsidR="0033100D">
        <w:rPr>
          <w:noProof/>
        </w:rPr>
        <w:t xml:space="preserve">(i.e. </w:t>
      </w:r>
      <w:r w:rsidR="00752B1D">
        <w:rPr>
          <w:noProof/>
        </w:rPr>
        <w:t>the</w:t>
      </w:r>
      <w:r>
        <w:rPr>
          <w:noProof/>
        </w:rPr>
        <w:t xml:space="preserve"> recipient of the payments</w:t>
      </w:r>
      <w:r w:rsidR="0033100D">
        <w:rPr>
          <w:noProof/>
        </w:rPr>
        <w:t>)</w:t>
      </w:r>
      <w:r>
        <w:rPr>
          <w:noProof/>
        </w:rPr>
        <w:t xml:space="preserve"> need</w:t>
      </w:r>
      <w:r w:rsidR="00761286">
        <w:rPr>
          <w:noProof/>
        </w:rPr>
        <w:t>s</w:t>
      </w:r>
      <w:r>
        <w:rPr>
          <w:noProof/>
        </w:rPr>
        <w:t xml:space="preserve"> to pro</w:t>
      </w:r>
      <w:r w:rsidR="0033100D">
        <w:rPr>
          <w:noProof/>
        </w:rPr>
        <w:t>ve</w:t>
      </w:r>
      <w:r>
        <w:rPr>
          <w:noProof/>
        </w:rPr>
        <w:t xml:space="preserve"> that it is a resident of </w:t>
      </w:r>
      <w:r w:rsidR="00752B1D">
        <w:rPr>
          <w:noProof/>
        </w:rPr>
        <w:t xml:space="preserve">the </w:t>
      </w:r>
      <w:r w:rsidR="00026BB8">
        <w:rPr>
          <w:noProof/>
        </w:rPr>
        <w:t>country</w:t>
      </w:r>
      <w:r w:rsidR="00752B1D">
        <w:rPr>
          <w:noProof/>
        </w:rPr>
        <w:t xml:space="preserve"> with which the source M</w:t>
      </w:r>
      <w:r w:rsidR="003E204F">
        <w:rPr>
          <w:noProof/>
        </w:rPr>
        <w:t xml:space="preserve">ember </w:t>
      </w:r>
      <w:r w:rsidR="00752B1D">
        <w:rPr>
          <w:noProof/>
        </w:rPr>
        <w:t>S</w:t>
      </w:r>
      <w:r w:rsidR="003E204F">
        <w:rPr>
          <w:noProof/>
        </w:rPr>
        <w:t>tate</w:t>
      </w:r>
      <w:r w:rsidR="00752B1D">
        <w:rPr>
          <w:noProof/>
        </w:rPr>
        <w:t xml:space="preserve"> has signed a tax treaty. </w:t>
      </w:r>
      <w:r w:rsidR="000E1BA4">
        <w:rPr>
          <w:noProof/>
        </w:rPr>
        <w:t>T</w:t>
      </w:r>
      <w:r w:rsidR="00752B1D">
        <w:rPr>
          <w:noProof/>
        </w:rPr>
        <w:t>o do so</w:t>
      </w:r>
      <w:r w:rsidR="00A13731">
        <w:rPr>
          <w:noProof/>
        </w:rPr>
        <w:t>,</w:t>
      </w:r>
      <w:r w:rsidR="00752B1D">
        <w:rPr>
          <w:noProof/>
        </w:rPr>
        <w:t xml:space="preserve"> the taxpayer will need to request a certificate of residence </w:t>
      </w:r>
      <w:r w:rsidR="000E1BA4">
        <w:rPr>
          <w:noProof/>
        </w:rPr>
        <w:t>from</w:t>
      </w:r>
      <w:r w:rsidR="003E204F">
        <w:rPr>
          <w:noProof/>
        </w:rPr>
        <w:t xml:space="preserve"> </w:t>
      </w:r>
      <w:r w:rsidR="00752B1D">
        <w:rPr>
          <w:noProof/>
        </w:rPr>
        <w:t xml:space="preserve">the tax administration of its state of residence. </w:t>
      </w:r>
      <w:r w:rsidR="003E204F">
        <w:rPr>
          <w:noProof/>
        </w:rPr>
        <w:t xml:space="preserve">In addition, a number of additional forms and documents will have to be provided, depending on the source </w:t>
      </w:r>
      <w:r w:rsidR="29A2B3AE">
        <w:rPr>
          <w:noProof/>
        </w:rPr>
        <w:t>country</w:t>
      </w:r>
      <w:r w:rsidR="003E204F">
        <w:rPr>
          <w:noProof/>
        </w:rPr>
        <w:t>. While typically</w:t>
      </w:r>
      <w:r w:rsidR="0DD4FB3D">
        <w:rPr>
          <w:noProof/>
        </w:rPr>
        <w:t xml:space="preserve">, </w:t>
      </w:r>
      <w:r w:rsidR="20CC6A0C">
        <w:rPr>
          <w:noProof/>
        </w:rPr>
        <w:t>in the EU</w:t>
      </w:r>
      <w:r w:rsidR="003E204F">
        <w:rPr>
          <w:noProof/>
        </w:rPr>
        <w:t xml:space="preserve">, source Member States will require </w:t>
      </w:r>
      <w:r w:rsidR="00752B1D">
        <w:rPr>
          <w:noProof/>
        </w:rPr>
        <w:t xml:space="preserve">proof </w:t>
      </w:r>
      <w:r w:rsidR="003E204F">
        <w:rPr>
          <w:noProof/>
        </w:rPr>
        <w:t xml:space="preserve">that the taxpayer </w:t>
      </w:r>
      <w:r w:rsidR="00752B1D">
        <w:rPr>
          <w:noProof/>
        </w:rPr>
        <w:t xml:space="preserve">is the owner of the security and </w:t>
      </w:r>
      <w:r w:rsidR="003E204F">
        <w:rPr>
          <w:noProof/>
        </w:rPr>
        <w:t xml:space="preserve">beneficiary of the </w:t>
      </w:r>
      <w:r w:rsidR="00752B1D">
        <w:rPr>
          <w:noProof/>
        </w:rPr>
        <w:t>income</w:t>
      </w:r>
      <w:r w:rsidR="003E204F">
        <w:rPr>
          <w:noProof/>
        </w:rPr>
        <w:t>, they may also</w:t>
      </w:r>
      <w:r w:rsidR="00752B1D">
        <w:rPr>
          <w:noProof/>
        </w:rPr>
        <w:t xml:space="preserve"> </w:t>
      </w:r>
      <w:r w:rsidR="003E204F">
        <w:rPr>
          <w:noProof/>
        </w:rPr>
        <w:t>require</w:t>
      </w:r>
      <w:r w:rsidR="00752B1D">
        <w:rPr>
          <w:noProof/>
        </w:rPr>
        <w:t xml:space="preserve"> all kinds of documentation related to the payment chain or specific bank certificates (e.g. dividend voucher) </w:t>
      </w:r>
      <w:r w:rsidR="000E1BA4">
        <w:rPr>
          <w:noProof/>
        </w:rPr>
        <w:t>before</w:t>
      </w:r>
      <w:r w:rsidR="00752B1D">
        <w:rPr>
          <w:noProof/>
        </w:rPr>
        <w:t xml:space="preserve"> </w:t>
      </w:r>
      <w:r w:rsidR="00DD5128">
        <w:rPr>
          <w:noProof/>
        </w:rPr>
        <w:t>refund</w:t>
      </w:r>
      <w:r w:rsidR="000E1BA4">
        <w:rPr>
          <w:noProof/>
        </w:rPr>
        <w:t>ing</w:t>
      </w:r>
      <w:r w:rsidR="00DD5128">
        <w:rPr>
          <w:noProof/>
        </w:rPr>
        <w:t xml:space="preserve"> </w:t>
      </w:r>
      <w:r w:rsidR="00752B1D">
        <w:rPr>
          <w:noProof/>
        </w:rPr>
        <w:t xml:space="preserve">the excess </w:t>
      </w:r>
      <w:r w:rsidR="00DD5128">
        <w:rPr>
          <w:noProof/>
        </w:rPr>
        <w:t xml:space="preserve">taxes </w:t>
      </w:r>
      <w:r w:rsidR="00752B1D">
        <w:rPr>
          <w:noProof/>
        </w:rPr>
        <w:t>withheld.</w:t>
      </w:r>
      <w:r>
        <w:rPr>
          <w:noProof/>
        </w:rPr>
        <w:t xml:space="preserve"> </w:t>
      </w:r>
      <w:r w:rsidR="00752B1D">
        <w:rPr>
          <w:noProof/>
        </w:rPr>
        <w:t>Due to recent</w:t>
      </w:r>
      <w:r w:rsidR="6BA6171E">
        <w:rPr>
          <w:noProof/>
        </w:rPr>
        <w:t xml:space="preserve"> </w:t>
      </w:r>
      <w:r w:rsidR="215771C7">
        <w:rPr>
          <w:noProof/>
        </w:rPr>
        <w:t>and very significant</w:t>
      </w:r>
      <w:r w:rsidR="00752B1D">
        <w:rPr>
          <w:noProof/>
        </w:rPr>
        <w:t xml:space="preserve"> cases of </w:t>
      </w:r>
      <w:r w:rsidR="3DC81CF8">
        <w:rPr>
          <w:noProof/>
        </w:rPr>
        <w:t xml:space="preserve">sophisticated </w:t>
      </w:r>
      <w:r w:rsidR="00752B1D">
        <w:rPr>
          <w:noProof/>
        </w:rPr>
        <w:t>fraud</w:t>
      </w:r>
      <w:r w:rsidR="003E204F">
        <w:rPr>
          <w:noProof/>
        </w:rPr>
        <w:t>,</w:t>
      </w:r>
      <w:r w:rsidR="00752B1D">
        <w:rPr>
          <w:noProof/>
        </w:rPr>
        <w:t xml:space="preserve"> </w:t>
      </w:r>
      <w:r w:rsidR="3DC81CF8">
        <w:rPr>
          <w:noProof/>
        </w:rPr>
        <w:t xml:space="preserve">some </w:t>
      </w:r>
      <w:r w:rsidR="00752B1D">
        <w:rPr>
          <w:noProof/>
        </w:rPr>
        <w:t>M</w:t>
      </w:r>
      <w:r w:rsidR="003E204F">
        <w:rPr>
          <w:noProof/>
        </w:rPr>
        <w:t xml:space="preserve">ember </w:t>
      </w:r>
      <w:r w:rsidR="00752B1D">
        <w:rPr>
          <w:noProof/>
        </w:rPr>
        <w:t>S</w:t>
      </w:r>
      <w:r w:rsidR="003E204F">
        <w:rPr>
          <w:noProof/>
        </w:rPr>
        <w:t>tate</w:t>
      </w:r>
      <w:r w:rsidR="00752B1D">
        <w:rPr>
          <w:noProof/>
        </w:rPr>
        <w:t xml:space="preserve">s have </w:t>
      </w:r>
      <w:r w:rsidR="00854142">
        <w:rPr>
          <w:noProof/>
        </w:rPr>
        <w:t xml:space="preserve">introduced or are about to introduce </w:t>
      </w:r>
      <w:r w:rsidR="000E1BA4">
        <w:rPr>
          <w:noProof/>
        </w:rPr>
        <w:t xml:space="preserve">even </w:t>
      </w:r>
      <w:r w:rsidR="3DC81CF8">
        <w:rPr>
          <w:noProof/>
        </w:rPr>
        <w:t xml:space="preserve">more stringent </w:t>
      </w:r>
      <w:r w:rsidR="00854142">
        <w:rPr>
          <w:noProof/>
        </w:rPr>
        <w:t>documentation requirements as part of the</w:t>
      </w:r>
      <w:r w:rsidR="00983EAD">
        <w:rPr>
          <w:noProof/>
        </w:rPr>
        <w:t>ir</w:t>
      </w:r>
      <w:r w:rsidR="00854142">
        <w:rPr>
          <w:noProof/>
        </w:rPr>
        <w:t xml:space="preserve"> procedures.</w:t>
      </w:r>
    </w:p>
    <w:p w14:paraId="60A6C37B" w14:textId="77777777" w:rsidR="004B5980" w:rsidRDefault="006849EF" w:rsidP="009E0D0A">
      <w:pPr>
        <w:pBdr>
          <w:top w:val="nil"/>
          <w:left w:val="nil"/>
          <w:bottom w:val="nil"/>
          <w:right w:val="nil"/>
          <w:between w:val="nil"/>
          <w:bar w:val="nil"/>
        </w:pBdr>
        <w:spacing w:before="0" w:after="240"/>
        <w:rPr>
          <w:noProof/>
        </w:rPr>
      </w:pPr>
      <w:r>
        <w:rPr>
          <w:noProof/>
        </w:rPr>
        <w:t xml:space="preserve">One of the most obvious forms of </w:t>
      </w:r>
      <w:r w:rsidR="007D17F2">
        <w:rPr>
          <w:noProof/>
        </w:rPr>
        <w:t>tax</w:t>
      </w:r>
      <w:r>
        <w:rPr>
          <w:noProof/>
        </w:rPr>
        <w:t xml:space="preserve"> abuse </w:t>
      </w:r>
      <w:r w:rsidR="4004C8ED">
        <w:rPr>
          <w:noProof/>
        </w:rPr>
        <w:t xml:space="preserve">are </w:t>
      </w:r>
      <w:r w:rsidR="7393BE22">
        <w:rPr>
          <w:noProof/>
        </w:rPr>
        <w:t>situation</w:t>
      </w:r>
      <w:r w:rsidR="4004C8ED">
        <w:rPr>
          <w:noProof/>
        </w:rPr>
        <w:t>s</w:t>
      </w:r>
      <w:r>
        <w:rPr>
          <w:noProof/>
        </w:rPr>
        <w:t xml:space="preserve"> where taxpayers </w:t>
      </w:r>
      <w:r w:rsidR="004B5980">
        <w:rPr>
          <w:noProof/>
        </w:rPr>
        <w:t xml:space="preserve">who </w:t>
      </w:r>
      <w:r>
        <w:rPr>
          <w:noProof/>
        </w:rPr>
        <w:t xml:space="preserve">have no entitlement to a lower </w:t>
      </w:r>
      <w:r w:rsidR="00DD5128">
        <w:rPr>
          <w:noProof/>
        </w:rPr>
        <w:t>WHT</w:t>
      </w:r>
      <w:r>
        <w:rPr>
          <w:noProof/>
        </w:rPr>
        <w:t xml:space="preserve"> rate engage in transactions (</w:t>
      </w:r>
      <w:r w:rsidR="000A6813">
        <w:rPr>
          <w:noProof/>
        </w:rPr>
        <w:t xml:space="preserve">e.g. </w:t>
      </w:r>
      <w:r>
        <w:rPr>
          <w:noProof/>
        </w:rPr>
        <w:t xml:space="preserve">securities lending or sale and buy back) with entities that would be able to </w:t>
      </w:r>
      <w:r w:rsidR="00DD5128">
        <w:rPr>
          <w:noProof/>
        </w:rPr>
        <w:t>benefit from a reduced WHT rate (</w:t>
      </w:r>
      <w:r>
        <w:rPr>
          <w:noProof/>
        </w:rPr>
        <w:t xml:space="preserve">e.g. </w:t>
      </w:r>
      <w:r w:rsidR="00DD5128">
        <w:rPr>
          <w:noProof/>
        </w:rPr>
        <w:t xml:space="preserve">based </w:t>
      </w:r>
      <w:r>
        <w:rPr>
          <w:noProof/>
        </w:rPr>
        <w:t>on the relevant tax treaty or due to their specific status</w:t>
      </w:r>
      <w:r w:rsidR="00DD5128">
        <w:rPr>
          <w:noProof/>
        </w:rPr>
        <w:t>)</w:t>
      </w:r>
      <w:r>
        <w:rPr>
          <w:noProof/>
        </w:rPr>
        <w:t xml:space="preserve"> if they </w:t>
      </w:r>
      <w:r w:rsidR="00DD5128">
        <w:rPr>
          <w:noProof/>
        </w:rPr>
        <w:t xml:space="preserve">were </w:t>
      </w:r>
      <w:r>
        <w:rPr>
          <w:noProof/>
        </w:rPr>
        <w:t>the owner of the security</w:t>
      </w:r>
      <w:r w:rsidR="000A6813">
        <w:rPr>
          <w:noProof/>
        </w:rPr>
        <w:t xml:space="preserve">, </w:t>
      </w:r>
      <w:r w:rsidR="5D195D38">
        <w:rPr>
          <w:noProof/>
        </w:rPr>
        <w:t xml:space="preserve">so as to </w:t>
      </w:r>
      <w:r w:rsidR="000A6813">
        <w:rPr>
          <w:noProof/>
        </w:rPr>
        <w:t>split the savings among themselves</w:t>
      </w:r>
      <w:r>
        <w:rPr>
          <w:noProof/>
        </w:rPr>
        <w:t xml:space="preserve">. </w:t>
      </w:r>
    </w:p>
    <w:p w14:paraId="78A64163" w14:textId="77777777" w:rsidR="006849EF" w:rsidRDefault="00F81CE6" w:rsidP="009E0D0A">
      <w:pPr>
        <w:pBdr>
          <w:top w:val="nil"/>
          <w:left w:val="nil"/>
          <w:bottom w:val="nil"/>
          <w:right w:val="nil"/>
          <w:between w:val="nil"/>
          <w:bar w:val="nil"/>
        </w:pBdr>
        <w:spacing w:before="0" w:after="240"/>
        <w:rPr>
          <w:noProof/>
        </w:rPr>
      </w:pPr>
      <w:r>
        <w:rPr>
          <w:noProof/>
        </w:rPr>
        <w:t xml:space="preserve">This type of abuse is also known as dividend arbitrage or </w:t>
      </w:r>
      <w:r w:rsidR="00F479D3">
        <w:rPr>
          <w:noProof/>
        </w:rPr>
        <w:t>‘</w:t>
      </w:r>
      <w:r>
        <w:rPr>
          <w:noProof/>
        </w:rPr>
        <w:t>Cum/Cum</w:t>
      </w:r>
      <w:r w:rsidR="00F479D3">
        <w:rPr>
          <w:noProof/>
        </w:rPr>
        <w:t>’</w:t>
      </w:r>
      <w:r>
        <w:rPr>
          <w:noProof/>
        </w:rPr>
        <w:t>.</w:t>
      </w:r>
      <w:r w:rsidR="006849EF">
        <w:rPr>
          <w:noProof/>
        </w:rPr>
        <w:t xml:space="preserve"> </w:t>
      </w:r>
      <w:r w:rsidR="00DD5128">
        <w:rPr>
          <w:noProof/>
        </w:rPr>
        <w:t xml:space="preserve">Another form of abuse </w:t>
      </w:r>
      <w:r w:rsidR="001621B7">
        <w:rPr>
          <w:noProof/>
        </w:rPr>
        <w:t>is</w:t>
      </w:r>
      <w:r w:rsidR="00DD5128">
        <w:rPr>
          <w:noProof/>
        </w:rPr>
        <w:t xml:space="preserve"> </w:t>
      </w:r>
      <w:r w:rsidR="00DD5128" w:rsidRPr="00DD5128">
        <w:rPr>
          <w:noProof/>
        </w:rPr>
        <w:t>‘Cum/Ex’ schemes</w:t>
      </w:r>
      <w:r w:rsidR="00DD5128">
        <w:rPr>
          <w:noProof/>
        </w:rPr>
        <w:t>, which</w:t>
      </w:r>
      <w:r w:rsidR="00DD5128" w:rsidRPr="00DD5128">
        <w:rPr>
          <w:noProof/>
        </w:rPr>
        <w:t xml:space="preserve"> work as fraudulent </w:t>
      </w:r>
      <w:r w:rsidR="004B5980" w:rsidRPr="00DD5128">
        <w:rPr>
          <w:noProof/>
        </w:rPr>
        <w:t xml:space="preserve">schemes </w:t>
      </w:r>
      <w:r w:rsidR="004B5980">
        <w:rPr>
          <w:noProof/>
        </w:rPr>
        <w:t xml:space="preserve">for making </w:t>
      </w:r>
      <w:r w:rsidR="00DD5128" w:rsidRPr="00DD5128">
        <w:rPr>
          <w:noProof/>
        </w:rPr>
        <w:t>multiple re</w:t>
      </w:r>
      <w:r w:rsidR="004B5980">
        <w:rPr>
          <w:noProof/>
        </w:rPr>
        <w:t xml:space="preserve">fund </w:t>
      </w:r>
      <w:r w:rsidR="00DD5128" w:rsidRPr="00DD5128">
        <w:rPr>
          <w:noProof/>
        </w:rPr>
        <w:t>claim</w:t>
      </w:r>
      <w:r w:rsidR="004B5980">
        <w:rPr>
          <w:noProof/>
        </w:rPr>
        <w:t>s:</w:t>
      </w:r>
      <w:r w:rsidR="00DD5128" w:rsidRPr="00DD5128">
        <w:rPr>
          <w:noProof/>
        </w:rPr>
        <w:t xml:space="preserve"> </w:t>
      </w:r>
      <w:r w:rsidR="004B5980">
        <w:rPr>
          <w:noProof/>
        </w:rPr>
        <w:t>d</w:t>
      </w:r>
      <w:r w:rsidR="3ECB5E18">
        <w:rPr>
          <w:noProof/>
        </w:rPr>
        <w:t>eliberate s</w:t>
      </w:r>
      <w:r w:rsidR="1FA3D6FC">
        <w:rPr>
          <w:noProof/>
        </w:rPr>
        <w:t>hort</w:t>
      </w:r>
      <w:r w:rsidR="00DD5128" w:rsidRPr="00DD5128">
        <w:rPr>
          <w:noProof/>
        </w:rPr>
        <w:t xml:space="preserve"> selling practice</w:t>
      </w:r>
      <w:r w:rsidR="004B5980">
        <w:rPr>
          <w:noProof/>
        </w:rPr>
        <w:t>s</w:t>
      </w:r>
      <w:r w:rsidR="00DD5128" w:rsidRPr="00DD5128">
        <w:rPr>
          <w:noProof/>
        </w:rPr>
        <w:t xml:space="preserve"> around the distribution day </w:t>
      </w:r>
      <w:r w:rsidR="47D2B229">
        <w:rPr>
          <w:noProof/>
        </w:rPr>
        <w:t xml:space="preserve">seek to create </w:t>
      </w:r>
      <w:r w:rsidR="00DD5128" w:rsidRPr="00DD5128">
        <w:rPr>
          <w:noProof/>
        </w:rPr>
        <w:t>confusion between the economic and legal owner of the securities, which enables both parties to claim tax refunds that exceed the amount that was initially withheld by the WHT agent.</w:t>
      </w:r>
    </w:p>
    <w:p w14:paraId="1D276EE6" w14:textId="18419EAC" w:rsidR="009E0D0A" w:rsidRPr="008F3348" w:rsidRDefault="009E0D0A" w:rsidP="00166F1C">
      <w:pPr>
        <w:pBdr>
          <w:bar w:val="nil"/>
        </w:pBdr>
        <w:spacing w:before="0" w:after="240"/>
        <w:rPr>
          <w:noProof/>
        </w:rPr>
      </w:pPr>
      <w:r w:rsidRPr="008F3348">
        <w:rPr>
          <w:noProof/>
        </w:rPr>
        <w:t xml:space="preserve">The current </w:t>
      </w:r>
      <w:r w:rsidR="003C3B08">
        <w:rPr>
          <w:noProof/>
        </w:rPr>
        <w:t xml:space="preserve">status quo </w:t>
      </w:r>
      <w:r w:rsidRPr="008F3348">
        <w:rPr>
          <w:noProof/>
        </w:rPr>
        <w:t>discourages cross-border investment</w:t>
      </w:r>
      <w:r w:rsidR="00F47082">
        <w:rPr>
          <w:noProof/>
        </w:rPr>
        <w:t>s</w:t>
      </w:r>
      <w:r w:rsidRPr="008F3348">
        <w:rPr>
          <w:noProof/>
        </w:rPr>
        <w:t xml:space="preserve"> within the EU</w:t>
      </w:r>
      <w:r w:rsidR="00F479D3">
        <w:rPr>
          <w:noProof/>
        </w:rPr>
        <w:t>,</w:t>
      </w:r>
      <w:r w:rsidRPr="008F3348">
        <w:rPr>
          <w:noProof/>
        </w:rPr>
        <w:t xml:space="preserve"> </w:t>
      </w:r>
      <w:r w:rsidR="3C832BFB">
        <w:rPr>
          <w:noProof/>
        </w:rPr>
        <w:t xml:space="preserve">especially </w:t>
      </w:r>
      <w:r w:rsidR="00650809">
        <w:rPr>
          <w:noProof/>
        </w:rPr>
        <w:t>for</w:t>
      </w:r>
      <w:r w:rsidR="3C832BFB">
        <w:rPr>
          <w:noProof/>
        </w:rPr>
        <w:t xml:space="preserve"> r</w:t>
      </w:r>
      <w:r w:rsidR="5B9CF12A" w:rsidRPr="205D35BD">
        <w:rPr>
          <w:rFonts w:eastAsia="Times New Roman"/>
          <w:noProof/>
        </w:rPr>
        <w:t>etail investors</w:t>
      </w:r>
      <w:r w:rsidR="0798531F" w:rsidRPr="205D35BD">
        <w:rPr>
          <w:rFonts w:eastAsia="Times New Roman"/>
          <w:noProof/>
        </w:rPr>
        <w:t>: i</w:t>
      </w:r>
      <w:r w:rsidR="5B9CF12A" w:rsidRPr="205D35BD">
        <w:rPr>
          <w:rFonts w:eastAsia="Times New Roman"/>
          <w:noProof/>
        </w:rPr>
        <w:t>n a recent survey</w:t>
      </w:r>
      <w:r w:rsidRPr="205D35BD">
        <w:rPr>
          <w:rStyle w:val="FootnoteReference"/>
          <w:rFonts w:eastAsia="Times New Roman"/>
          <w:noProof/>
        </w:rPr>
        <w:footnoteReference w:id="2"/>
      </w:r>
      <w:r w:rsidR="5B9CF12A" w:rsidRPr="205D35BD">
        <w:rPr>
          <w:rFonts w:eastAsia="Times New Roman"/>
          <w:noProof/>
        </w:rPr>
        <w:t>, close to 70% of retail investors who would be eligible to a reduced WHT rate did not claim it, citing as the main reason</w:t>
      </w:r>
      <w:r w:rsidR="6B292702" w:rsidRPr="205D35BD">
        <w:rPr>
          <w:rFonts w:eastAsia="Times New Roman"/>
          <w:noProof/>
        </w:rPr>
        <w:t>s</w:t>
      </w:r>
      <w:r w:rsidR="5B9CF12A" w:rsidRPr="205D35BD">
        <w:rPr>
          <w:rFonts w:eastAsia="Times New Roman"/>
          <w:noProof/>
        </w:rPr>
        <w:t xml:space="preserve"> </w:t>
      </w:r>
      <w:r w:rsidR="16566E61" w:rsidRPr="205D35BD">
        <w:rPr>
          <w:rFonts w:eastAsia="Times New Roman"/>
          <w:noProof/>
        </w:rPr>
        <w:t>lengthy, costly and t</w:t>
      </w:r>
      <w:r w:rsidR="5B9CF12A" w:rsidRPr="205D35BD">
        <w:rPr>
          <w:rFonts w:eastAsia="Times New Roman"/>
          <w:noProof/>
        </w:rPr>
        <w:t>oo complicated procedures</w:t>
      </w:r>
      <w:r w:rsidR="4D0777C8" w:rsidRPr="205D35BD">
        <w:rPr>
          <w:rFonts w:eastAsia="Times New Roman"/>
          <w:noProof/>
        </w:rPr>
        <w:t>,</w:t>
      </w:r>
      <w:r w:rsidR="5B9CF12A" w:rsidRPr="205D35BD">
        <w:rPr>
          <w:rFonts w:eastAsia="Times New Roman"/>
          <w:noProof/>
        </w:rPr>
        <w:t xml:space="preserve"> </w:t>
      </w:r>
      <w:r w:rsidR="3200790B" w:rsidRPr="205D35BD">
        <w:rPr>
          <w:rFonts w:eastAsia="Times New Roman"/>
          <w:noProof/>
        </w:rPr>
        <w:t xml:space="preserve">which led </w:t>
      </w:r>
      <w:r w:rsidR="00650809">
        <w:rPr>
          <w:rFonts w:eastAsia="Times New Roman"/>
          <w:noProof/>
        </w:rPr>
        <w:t xml:space="preserve">to </w:t>
      </w:r>
      <w:r w:rsidR="3200790B" w:rsidRPr="205D35BD">
        <w:rPr>
          <w:rFonts w:eastAsia="Times New Roman"/>
          <w:noProof/>
        </w:rPr>
        <w:t>31% of them to decide to sell their foreign EU stocks</w:t>
      </w:r>
      <w:r w:rsidR="5B9CF12A" w:rsidRPr="205D35BD">
        <w:rPr>
          <w:rFonts w:eastAsia="Times New Roman"/>
          <w:noProof/>
        </w:rPr>
        <w:t>.</w:t>
      </w:r>
      <w:r w:rsidR="0C42894D">
        <w:rPr>
          <w:noProof/>
        </w:rPr>
        <w:t xml:space="preserve"> Fundamentally, </w:t>
      </w:r>
      <w:r w:rsidR="2532E903">
        <w:rPr>
          <w:noProof/>
        </w:rPr>
        <w:t xml:space="preserve">this </w:t>
      </w:r>
      <w:r w:rsidR="562EC645">
        <w:rPr>
          <w:noProof/>
        </w:rPr>
        <w:t xml:space="preserve">goes against the objectives of </w:t>
      </w:r>
      <w:r w:rsidRPr="008F3348">
        <w:rPr>
          <w:noProof/>
        </w:rPr>
        <w:t>the Capital Markets Union</w:t>
      </w:r>
      <w:r w:rsidR="00962FA6">
        <w:rPr>
          <w:noProof/>
        </w:rPr>
        <w:t xml:space="preserve"> </w:t>
      </w:r>
      <w:r w:rsidR="003855E0">
        <w:rPr>
          <w:noProof/>
        </w:rPr>
        <w:t>(CMU</w:t>
      </w:r>
      <w:r w:rsidR="00C12D5B">
        <w:rPr>
          <w:noProof/>
        </w:rPr>
        <w:t>)</w:t>
      </w:r>
      <w:r w:rsidR="00616FDE">
        <w:rPr>
          <w:noProof/>
        </w:rPr>
        <w:t xml:space="preserve"> and the retail investment package adopted 24 May 2023</w:t>
      </w:r>
      <w:r w:rsidR="00616FDE">
        <w:rPr>
          <w:rStyle w:val="FootnoteReference"/>
          <w:noProof/>
        </w:rPr>
        <w:footnoteReference w:id="3"/>
      </w:r>
      <w:r w:rsidR="00616FDE">
        <w:rPr>
          <w:noProof/>
        </w:rPr>
        <w:t xml:space="preserve">, </w:t>
      </w:r>
      <w:r w:rsidR="00C12D5B">
        <w:rPr>
          <w:noProof/>
        </w:rPr>
        <w:t xml:space="preserve">and </w:t>
      </w:r>
      <w:r w:rsidR="1C75D4E4">
        <w:rPr>
          <w:noProof/>
        </w:rPr>
        <w:t>undermin</w:t>
      </w:r>
      <w:r w:rsidR="246C5B7F">
        <w:rPr>
          <w:noProof/>
        </w:rPr>
        <w:t>es</w:t>
      </w:r>
      <w:r w:rsidR="00C12D5B">
        <w:rPr>
          <w:noProof/>
        </w:rPr>
        <w:t xml:space="preserve"> the competitiveness of the</w:t>
      </w:r>
      <w:r w:rsidRPr="008F3348">
        <w:rPr>
          <w:noProof/>
        </w:rPr>
        <w:t xml:space="preserve"> EU market</w:t>
      </w:r>
      <w:r w:rsidR="00C12D5B">
        <w:rPr>
          <w:noProof/>
        </w:rPr>
        <w:t xml:space="preserve"> as a whole. </w:t>
      </w:r>
      <w:r w:rsidR="4531F361">
        <w:rPr>
          <w:noProof/>
        </w:rPr>
        <w:t xml:space="preserve">Besides taking up significant resources </w:t>
      </w:r>
      <w:r w:rsidR="00650809">
        <w:rPr>
          <w:noProof/>
        </w:rPr>
        <w:t>for</w:t>
      </w:r>
      <w:r w:rsidR="4531F361">
        <w:rPr>
          <w:noProof/>
        </w:rPr>
        <w:t xml:space="preserve"> tax authorities, </w:t>
      </w:r>
      <w:r w:rsidR="2A4C145E">
        <w:rPr>
          <w:noProof/>
        </w:rPr>
        <w:t>t</w:t>
      </w:r>
      <w:r w:rsidR="5C478AFD">
        <w:rPr>
          <w:noProof/>
        </w:rPr>
        <w:t xml:space="preserve">he </w:t>
      </w:r>
      <w:r w:rsidR="463A40F7">
        <w:rPr>
          <w:noProof/>
        </w:rPr>
        <w:t>persistent</w:t>
      </w:r>
      <w:r w:rsidRPr="008F3348">
        <w:rPr>
          <w:noProof/>
        </w:rPr>
        <w:t xml:space="preserve"> risk of </w:t>
      </w:r>
      <w:r w:rsidR="00E41A9B">
        <w:rPr>
          <w:noProof/>
        </w:rPr>
        <w:t>fraud or</w:t>
      </w:r>
      <w:r w:rsidRPr="008F3348">
        <w:rPr>
          <w:noProof/>
        </w:rPr>
        <w:t xml:space="preserve"> abuse also has a negative impact on </w:t>
      </w:r>
      <w:r w:rsidR="00FE4542">
        <w:rPr>
          <w:noProof/>
        </w:rPr>
        <w:t xml:space="preserve">Member States’ </w:t>
      </w:r>
      <w:r w:rsidRPr="008F3348">
        <w:rPr>
          <w:noProof/>
        </w:rPr>
        <w:t>tax revenues and</w:t>
      </w:r>
      <w:r w:rsidR="00FE4542">
        <w:rPr>
          <w:noProof/>
        </w:rPr>
        <w:t>,</w:t>
      </w:r>
      <w:r w:rsidRPr="008F3348">
        <w:rPr>
          <w:noProof/>
        </w:rPr>
        <w:t xml:space="preserve"> </w:t>
      </w:r>
      <w:r w:rsidR="00F479D3" w:rsidRPr="008F3348">
        <w:rPr>
          <w:noProof/>
        </w:rPr>
        <w:t>ultimately</w:t>
      </w:r>
      <w:r w:rsidR="00FE4542">
        <w:rPr>
          <w:noProof/>
        </w:rPr>
        <w:t>,</w:t>
      </w:r>
      <w:r w:rsidR="00F479D3" w:rsidRPr="008F3348">
        <w:rPr>
          <w:noProof/>
        </w:rPr>
        <w:t xml:space="preserve"> </w:t>
      </w:r>
      <w:r w:rsidR="00F479D3">
        <w:rPr>
          <w:noProof/>
        </w:rPr>
        <w:t xml:space="preserve">on </w:t>
      </w:r>
      <w:r w:rsidRPr="008F3348">
        <w:rPr>
          <w:noProof/>
        </w:rPr>
        <w:t>tax fairness</w:t>
      </w:r>
      <w:r w:rsidR="5C478AFD">
        <w:rPr>
          <w:noProof/>
        </w:rPr>
        <w:t>.</w:t>
      </w:r>
    </w:p>
    <w:p w14:paraId="0CD631D1" w14:textId="77777777" w:rsidR="009E0D0A" w:rsidRPr="008F3348" w:rsidRDefault="009E0D0A" w:rsidP="009E0D0A">
      <w:pPr>
        <w:pBdr>
          <w:top w:val="nil"/>
          <w:left w:val="nil"/>
          <w:bottom w:val="nil"/>
          <w:right w:val="nil"/>
          <w:between w:val="nil"/>
          <w:bar w:val="nil"/>
        </w:pBdr>
        <w:spacing w:before="0" w:after="240"/>
        <w:rPr>
          <w:noProof/>
        </w:rPr>
      </w:pPr>
      <w:r w:rsidRPr="008F3348">
        <w:rPr>
          <w:noProof/>
        </w:rPr>
        <w:t xml:space="preserve">The European Commission and international </w:t>
      </w:r>
      <w:r w:rsidR="006225D6" w:rsidRPr="008F3348">
        <w:rPr>
          <w:noProof/>
        </w:rPr>
        <w:t>organi</w:t>
      </w:r>
      <w:r w:rsidR="006225D6">
        <w:rPr>
          <w:noProof/>
        </w:rPr>
        <w:t>s</w:t>
      </w:r>
      <w:r w:rsidR="006225D6" w:rsidRPr="008F3348">
        <w:rPr>
          <w:noProof/>
        </w:rPr>
        <w:t xml:space="preserve">ations </w:t>
      </w:r>
      <w:r w:rsidRPr="008F3348">
        <w:rPr>
          <w:noProof/>
        </w:rPr>
        <w:t xml:space="preserve">have been analysing and trying to </w:t>
      </w:r>
      <w:r w:rsidR="00C12D5B">
        <w:rPr>
          <w:noProof/>
        </w:rPr>
        <w:t>address</w:t>
      </w:r>
      <w:r w:rsidR="00C12D5B" w:rsidRPr="008F3348">
        <w:rPr>
          <w:noProof/>
        </w:rPr>
        <w:t xml:space="preserve"> </w:t>
      </w:r>
      <w:r w:rsidRPr="008F3348">
        <w:rPr>
          <w:noProof/>
        </w:rPr>
        <w:t xml:space="preserve">the inefficiencies and </w:t>
      </w:r>
      <w:r w:rsidR="00F47082">
        <w:rPr>
          <w:noProof/>
        </w:rPr>
        <w:t>the</w:t>
      </w:r>
      <w:r w:rsidRPr="008F3348">
        <w:rPr>
          <w:noProof/>
        </w:rPr>
        <w:t xml:space="preserve"> risk</w:t>
      </w:r>
      <w:r w:rsidR="00F47082">
        <w:rPr>
          <w:noProof/>
        </w:rPr>
        <w:t xml:space="preserve"> of </w:t>
      </w:r>
      <w:r w:rsidR="00E41A9B">
        <w:rPr>
          <w:noProof/>
        </w:rPr>
        <w:t xml:space="preserve">fraud or </w:t>
      </w:r>
      <w:r w:rsidR="00F47082">
        <w:rPr>
          <w:noProof/>
        </w:rPr>
        <w:t>abuse</w:t>
      </w:r>
      <w:r w:rsidRPr="008F3348">
        <w:rPr>
          <w:noProof/>
        </w:rPr>
        <w:t xml:space="preserve"> associated with WHT procedures for decades. In particular, the Commission put forward in 2009 a Recommendation to the Member States on simplif</w:t>
      </w:r>
      <w:r w:rsidR="003514DD">
        <w:rPr>
          <w:noProof/>
        </w:rPr>
        <w:t>ying</w:t>
      </w:r>
      <w:r w:rsidRPr="008F3348">
        <w:rPr>
          <w:noProof/>
        </w:rPr>
        <w:t xml:space="preserve"> WHT procedures</w:t>
      </w:r>
      <w:r w:rsidR="00FE4542">
        <w:rPr>
          <w:rStyle w:val="FootnoteReference"/>
          <w:noProof/>
        </w:rPr>
        <w:footnoteReference w:id="4"/>
      </w:r>
      <w:r w:rsidRPr="008F3348">
        <w:rPr>
          <w:noProof/>
        </w:rPr>
        <w:t xml:space="preserve">. In 2017, the Commission published a Code of Conduct on </w:t>
      </w:r>
      <w:r w:rsidR="003514DD">
        <w:rPr>
          <w:noProof/>
        </w:rPr>
        <w:t>withholding tax</w:t>
      </w:r>
      <w:r w:rsidR="00FE4542">
        <w:rPr>
          <w:rStyle w:val="FootnoteReference"/>
          <w:noProof/>
        </w:rPr>
        <w:footnoteReference w:id="5"/>
      </w:r>
      <w:r w:rsidRPr="008F3348">
        <w:rPr>
          <w:noProof/>
        </w:rPr>
        <w:t xml:space="preserve">, which called for </w:t>
      </w:r>
      <w:r w:rsidR="00A637A4">
        <w:rPr>
          <w:noProof/>
        </w:rPr>
        <w:t xml:space="preserve">a </w:t>
      </w:r>
      <w:r w:rsidRPr="008F3348">
        <w:rPr>
          <w:noProof/>
        </w:rPr>
        <w:t xml:space="preserve">voluntary commitment by Member States. At </w:t>
      </w:r>
      <w:r w:rsidR="00C12D5B">
        <w:rPr>
          <w:noProof/>
        </w:rPr>
        <w:t>the</w:t>
      </w:r>
      <w:r w:rsidR="00A637A4">
        <w:rPr>
          <w:noProof/>
        </w:rPr>
        <w:t xml:space="preserve"> </w:t>
      </w:r>
      <w:r w:rsidRPr="008F3348">
        <w:rPr>
          <w:noProof/>
        </w:rPr>
        <w:t xml:space="preserve">international level, </w:t>
      </w:r>
      <w:r w:rsidR="007325AB">
        <w:rPr>
          <w:noProof/>
        </w:rPr>
        <w:t>in 2013</w:t>
      </w:r>
      <w:r w:rsidRPr="008F3348">
        <w:rPr>
          <w:noProof/>
        </w:rPr>
        <w:t xml:space="preserve">, the </w:t>
      </w:r>
      <w:r w:rsidR="5C478AFD">
        <w:rPr>
          <w:noProof/>
        </w:rPr>
        <w:t>O</w:t>
      </w:r>
      <w:r w:rsidR="633CE968">
        <w:rPr>
          <w:noProof/>
        </w:rPr>
        <w:t xml:space="preserve">rganisation for </w:t>
      </w:r>
      <w:r w:rsidR="5C478AFD">
        <w:rPr>
          <w:noProof/>
        </w:rPr>
        <w:t>E</w:t>
      </w:r>
      <w:r w:rsidR="54F1D997">
        <w:rPr>
          <w:noProof/>
        </w:rPr>
        <w:t xml:space="preserve">conomic </w:t>
      </w:r>
      <w:r w:rsidR="5C478AFD">
        <w:rPr>
          <w:noProof/>
        </w:rPr>
        <w:t>C</w:t>
      </w:r>
      <w:r w:rsidR="2410ECE6">
        <w:rPr>
          <w:noProof/>
        </w:rPr>
        <w:t>ooperation and Development (</w:t>
      </w:r>
      <w:r w:rsidRPr="008F3348">
        <w:rPr>
          <w:noProof/>
        </w:rPr>
        <w:t>OECD</w:t>
      </w:r>
      <w:r w:rsidR="722DDEA8">
        <w:rPr>
          <w:noProof/>
        </w:rPr>
        <w:t>)</w:t>
      </w:r>
      <w:r w:rsidRPr="008F3348">
        <w:rPr>
          <w:noProof/>
        </w:rPr>
        <w:t xml:space="preserve"> </w:t>
      </w:r>
      <w:r w:rsidR="007325AB">
        <w:rPr>
          <w:noProof/>
        </w:rPr>
        <w:t xml:space="preserve">approved the </w:t>
      </w:r>
      <w:r w:rsidRPr="008F3348">
        <w:rPr>
          <w:noProof/>
        </w:rPr>
        <w:t xml:space="preserve">Treaty Relief and Compliance Enhancement (TRACE) </w:t>
      </w:r>
      <w:r w:rsidR="007325AB">
        <w:rPr>
          <w:noProof/>
        </w:rPr>
        <w:t xml:space="preserve">Implementation Package </w:t>
      </w:r>
      <w:r w:rsidRPr="008F3348">
        <w:rPr>
          <w:noProof/>
        </w:rPr>
        <w:t>aimed to address the inefficiency of WHT procedures</w:t>
      </w:r>
      <w:r w:rsidR="00A637A4">
        <w:rPr>
          <w:noProof/>
        </w:rPr>
        <w:t xml:space="preserve"> as well</w:t>
      </w:r>
      <w:r w:rsidR="00FE4542">
        <w:rPr>
          <w:rStyle w:val="FootnoteReference"/>
          <w:noProof/>
        </w:rPr>
        <w:footnoteReference w:id="6"/>
      </w:r>
      <w:r w:rsidRPr="008F3348">
        <w:rPr>
          <w:noProof/>
        </w:rPr>
        <w:t xml:space="preserve">. </w:t>
      </w:r>
    </w:p>
    <w:p w14:paraId="1041E49D" w14:textId="77777777" w:rsidR="009E0D0A" w:rsidRPr="008F3348" w:rsidRDefault="009E0D0A" w:rsidP="009E0D0A">
      <w:pPr>
        <w:pBdr>
          <w:top w:val="nil"/>
          <w:left w:val="nil"/>
          <w:bottom w:val="nil"/>
          <w:right w:val="nil"/>
          <w:between w:val="nil"/>
          <w:bar w:val="nil"/>
        </w:pBdr>
        <w:spacing w:before="0" w:after="240"/>
        <w:rPr>
          <w:noProof/>
        </w:rPr>
      </w:pPr>
      <w:r w:rsidRPr="008F3348">
        <w:rPr>
          <w:noProof/>
        </w:rPr>
        <w:t xml:space="preserve">Even though these actions at EU and international level resulted in some improvement, cumbersome WHT procedures </w:t>
      </w:r>
      <w:r w:rsidR="7BD7ADE7">
        <w:rPr>
          <w:noProof/>
        </w:rPr>
        <w:t xml:space="preserve">still discourage cross-border investment, especially by retail investors, </w:t>
      </w:r>
      <w:r w:rsidRPr="008F3348">
        <w:rPr>
          <w:noProof/>
        </w:rPr>
        <w:t>remain a barrier to a well-functioning EU capital market and are still prone to risk</w:t>
      </w:r>
      <w:r w:rsidR="00A637A4">
        <w:rPr>
          <w:noProof/>
        </w:rPr>
        <w:t xml:space="preserve"> of </w:t>
      </w:r>
      <w:r w:rsidR="00E41A9B">
        <w:rPr>
          <w:noProof/>
        </w:rPr>
        <w:t>fraud or</w:t>
      </w:r>
      <w:r w:rsidR="00A637A4">
        <w:rPr>
          <w:noProof/>
        </w:rPr>
        <w:t xml:space="preserve"> abuse</w:t>
      </w:r>
      <w:r w:rsidRPr="008F3348">
        <w:rPr>
          <w:noProof/>
        </w:rPr>
        <w:t xml:space="preserve">. </w:t>
      </w:r>
      <w:r w:rsidR="00095B62">
        <w:rPr>
          <w:noProof/>
        </w:rPr>
        <w:t>T</w:t>
      </w:r>
      <w:r w:rsidR="002813FA">
        <w:rPr>
          <w:noProof/>
        </w:rPr>
        <w:t>he overall costs of WHT procedures are estimated to be EUR 6.62 billion</w:t>
      </w:r>
      <w:r w:rsidR="00095B62">
        <w:rPr>
          <w:rStyle w:val="FootnoteReference"/>
          <w:noProof/>
        </w:rPr>
        <w:footnoteReference w:id="7"/>
      </w:r>
      <w:r w:rsidR="002813FA">
        <w:rPr>
          <w:noProof/>
        </w:rPr>
        <w:t xml:space="preserve">. </w:t>
      </w:r>
    </w:p>
    <w:p w14:paraId="4AEC0BAA" w14:textId="1EDCC06C" w:rsidR="00FE4542" w:rsidRPr="008F3348" w:rsidRDefault="00FE4542" w:rsidP="009E0D0A">
      <w:pPr>
        <w:pBdr>
          <w:top w:val="nil"/>
          <w:left w:val="nil"/>
          <w:bottom w:val="nil"/>
          <w:right w:val="nil"/>
          <w:between w:val="nil"/>
          <w:bar w:val="nil"/>
        </w:pBdr>
        <w:spacing w:before="0" w:after="240"/>
        <w:rPr>
          <w:noProof/>
        </w:rPr>
      </w:pPr>
      <w:r>
        <w:rPr>
          <w:noProof/>
        </w:rPr>
        <w:t xml:space="preserve">It is for those reasons that, in 2020, in the </w:t>
      </w:r>
      <w:r w:rsidRPr="00FE4542">
        <w:rPr>
          <w:noProof/>
        </w:rPr>
        <w:t>Action Plan for fair and simple taxation supporting the recovery strategy</w:t>
      </w:r>
      <w:r w:rsidR="007D17F2">
        <w:rPr>
          <w:rStyle w:val="FootnoteReference"/>
          <w:noProof/>
        </w:rPr>
        <w:footnoteReference w:id="8"/>
      </w:r>
      <w:r w:rsidRPr="00FE4542">
        <w:rPr>
          <w:noProof/>
        </w:rPr>
        <w:t xml:space="preserve"> and </w:t>
      </w:r>
      <w:r w:rsidR="007D17F2">
        <w:rPr>
          <w:noProof/>
        </w:rPr>
        <w:t xml:space="preserve">in </w:t>
      </w:r>
      <w:r w:rsidRPr="00FE4542">
        <w:rPr>
          <w:noProof/>
        </w:rPr>
        <w:t xml:space="preserve">the Action Plan on a </w:t>
      </w:r>
      <w:r w:rsidR="007D17F2">
        <w:rPr>
          <w:noProof/>
        </w:rPr>
        <w:t>C</w:t>
      </w:r>
      <w:r w:rsidRPr="00FE4542">
        <w:rPr>
          <w:noProof/>
        </w:rPr>
        <w:t xml:space="preserve">apital </w:t>
      </w:r>
      <w:r w:rsidR="007D17F2">
        <w:rPr>
          <w:noProof/>
        </w:rPr>
        <w:t>M</w:t>
      </w:r>
      <w:r w:rsidRPr="00FE4542">
        <w:rPr>
          <w:noProof/>
        </w:rPr>
        <w:t xml:space="preserve">arkets </w:t>
      </w:r>
      <w:r w:rsidR="007D17F2">
        <w:rPr>
          <w:noProof/>
        </w:rPr>
        <w:t>U</w:t>
      </w:r>
      <w:r w:rsidRPr="00FE4542">
        <w:rPr>
          <w:noProof/>
        </w:rPr>
        <w:t>nion for people and businesses</w:t>
      </w:r>
      <w:r w:rsidR="007D17F2">
        <w:rPr>
          <w:rStyle w:val="FootnoteReference"/>
          <w:noProof/>
        </w:rPr>
        <w:footnoteReference w:id="9"/>
      </w:r>
      <w:r w:rsidRPr="00FE4542">
        <w:rPr>
          <w:noProof/>
        </w:rPr>
        <w:t xml:space="preserve">, the Commission </w:t>
      </w:r>
      <w:r w:rsidR="007D17F2">
        <w:rPr>
          <w:noProof/>
        </w:rPr>
        <w:t xml:space="preserve">announced </w:t>
      </w:r>
      <w:r w:rsidRPr="00FE4542">
        <w:rPr>
          <w:noProof/>
        </w:rPr>
        <w:t xml:space="preserve">a </w:t>
      </w:r>
      <w:r w:rsidR="007D17F2">
        <w:rPr>
          <w:noProof/>
        </w:rPr>
        <w:t xml:space="preserve">legislative </w:t>
      </w:r>
      <w:r w:rsidRPr="00FE4542">
        <w:rPr>
          <w:noProof/>
        </w:rPr>
        <w:t>initiative in the area of WHT procedures</w:t>
      </w:r>
      <w:r w:rsidR="007D17F2">
        <w:rPr>
          <w:noProof/>
        </w:rPr>
        <w:t>.</w:t>
      </w:r>
      <w:r w:rsidRPr="00FE4542">
        <w:rPr>
          <w:noProof/>
        </w:rPr>
        <w:t xml:space="preserve"> </w:t>
      </w:r>
      <w:r w:rsidR="000023B2">
        <w:rPr>
          <w:noProof/>
        </w:rPr>
        <w:t xml:space="preserve">In March 2022 the European </w:t>
      </w:r>
      <w:r w:rsidR="00F83529">
        <w:rPr>
          <w:noProof/>
        </w:rPr>
        <w:t xml:space="preserve">Parliament </w:t>
      </w:r>
      <w:r w:rsidR="000023B2">
        <w:rPr>
          <w:noProof/>
        </w:rPr>
        <w:t>welcomed the Action Plan for fair and simple tax</w:t>
      </w:r>
      <w:r w:rsidR="002813FA">
        <w:rPr>
          <w:noProof/>
        </w:rPr>
        <w:t>a</w:t>
      </w:r>
      <w:r w:rsidR="000023B2">
        <w:rPr>
          <w:noProof/>
        </w:rPr>
        <w:t>tion and support</w:t>
      </w:r>
      <w:r w:rsidR="00DA383D">
        <w:rPr>
          <w:noProof/>
        </w:rPr>
        <w:t>ed</w:t>
      </w:r>
      <w:r w:rsidR="000023B2">
        <w:rPr>
          <w:noProof/>
        </w:rPr>
        <w:t xml:space="preserve"> its thorough implementation</w:t>
      </w:r>
      <w:r w:rsidR="000023B2">
        <w:rPr>
          <w:rStyle w:val="FootnoteReference"/>
          <w:noProof/>
        </w:rPr>
        <w:footnoteReference w:id="10"/>
      </w:r>
      <w:r w:rsidR="000023B2">
        <w:rPr>
          <w:noProof/>
        </w:rPr>
        <w:t xml:space="preserve">. </w:t>
      </w:r>
      <w:r w:rsidR="00DA383D">
        <w:rPr>
          <w:noProof/>
        </w:rPr>
        <w:t>Moreover, the European Parliament strongly</w:t>
      </w:r>
      <w:r w:rsidR="00DA383D" w:rsidRPr="00DA383D">
        <w:rPr>
          <w:noProof/>
        </w:rPr>
        <w:t xml:space="preserve"> welcome</w:t>
      </w:r>
      <w:r w:rsidR="00DA383D">
        <w:rPr>
          <w:noProof/>
        </w:rPr>
        <w:t>d</w:t>
      </w:r>
      <w:r w:rsidR="00DA383D" w:rsidRPr="00DA383D">
        <w:rPr>
          <w:noProof/>
        </w:rPr>
        <w:t xml:space="preserve"> the Commission’s intention to put forward a proposal establishing a common and standardised system for withholding taxes, accompanied by a mechanism for the exchange of information and cooperation among tax administrations of Member States</w:t>
      </w:r>
      <w:r w:rsidR="00DA383D">
        <w:rPr>
          <w:rStyle w:val="FootnoteReference"/>
          <w:noProof/>
        </w:rPr>
        <w:footnoteReference w:id="11"/>
      </w:r>
      <w:r w:rsidR="00DA383D">
        <w:rPr>
          <w:noProof/>
        </w:rPr>
        <w:t>.</w:t>
      </w:r>
      <w:r w:rsidR="0097109C" w:rsidRPr="0097109C">
        <w:rPr>
          <w:noProof/>
        </w:rPr>
        <w:t xml:space="preserve"> </w:t>
      </w:r>
      <w:r w:rsidR="0097109C">
        <w:rPr>
          <w:noProof/>
        </w:rPr>
        <w:t xml:space="preserve">In 2020, the European Parliament resolving on the </w:t>
      </w:r>
      <w:r w:rsidR="0097109C" w:rsidRPr="00FE4542">
        <w:rPr>
          <w:noProof/>
        </w:rPr>
        <w:t xml:space="preserve">Action Plan on a </w:t>
      </w:r>
      <w:r w:rsidR="0097109C">
        <w:rPr>
          <w:noProof/>
        </w:rPr>
        <w:t>C</w:t>
      </w:r>
      <w:r w:rsidR="0097109C" w:rsidRPr="00FE4542">
        <w:rPr>
          <w:noProof/>
        </w:rPr>
        <w:t xml:space="preserve">apital </w:t>
      </w:r>
      <w:r w:rsidR="0097109C">
        <w:rPr>
          <w:noProof/>
        </w:rPr>
        <w:t>M</w:t>
      </w:r>
      <w:r w:rsidR="0097109C" w:rsidRPr="00FE4542">
        <w:rPr>
          <w:noProof/>
        </w:rPr>
        <w:t xml:space="preserve">arkets </w:t>
      </w:r>
      <w:r w:rsidR="0097109C">
        <w:rPr>
          <w:noProof/>
        </w:rPr>
        <w:t>U</w:t>
      </w:r>
      <w:r w:rsidR="0097109C" w:rsidRPr="00FE4542">
        <w:rPr>
          <w:noProof/>
        </w:rPr>
        <w:t xml:space="preserve">nion </w:t>
      </w:r>
      <w:r w:rsidR="0097109C">
        <w:rPr>
          <w:noProof/>
        </w:rPr>
        <w:t xml:space="preserve">stressed the need </w:t>
      </w:r>
      <w:r w:rsidR="00C80C89">
        <w:rPr>
          <w:noProof/>
        </w:rPr>
        <w:t xml:space="preserve">to </w:t>
      </w:r>
      <w:r w:rsidR="00C80C89" w:rsidRPr="00C80C89">
        <w:rPr>
          <w:noProof/>
        </w:rPr>
        <w:t>reduce tax obstacles to cross-border investments, including procedures for a cross-border refund to investors, including retail investors</w:t>
      </w:r>
      <w:r w:rsidR="0097109C">
        <w:rPr>
          <w:rStyle w:val="FootnoteReference"/>
          <w:noProof/>
        </w:rPr>
        <w:footnoteReference w:id="12"/>
      </w:r>
      <w:r w:rsidR="0097109C">
        <w:rPr>
          <w:noProof/>
        </w:rPr>
        <w:t>.</w:t>
      </w:r>
    </w:p>
    <w:p w14:paraId="5C884E2D" w14:textId="77777777" w:rsidR="000023B2" w:rsidRDefault="00C12D5B" w:rsidP="009E0D0A">
      <w:pPr>
        <w:pBdr>
          <w:top w:val="nil"/>
          <w:left w:val="nil"/>
          <w:bottom w:val="nil"/>
          <w:right w:val="nil"/>
          <w:between w:val="nil"/>
          <w:bar w:val="nil"/>
        </w:pBdr>
        <w:spacing w:before="0" w:after="240"/>
        <w:rPr>
          <w:noProof/>
        </w:rPr>
      </w:pPr>
      <w:r>
        <w:rPr>
          <w:noProof/>
        </w:rPr>
        <w:t>The</w:t>
      </w:r>
      <w:r w:rsidR="009E0D0A" w:rsidRPr="008F3348">
        <w:rPr>
          <w:noProof/>
        </w:rPr>
        <w:t xml:space="preserve"> </w:t>
      </w:r>
      <w:r w:rsidR="007D17F2">
        <w:rPr>
          <w:noProof/>
        </w:rPr>
        <w:t>objective</w:t>
      </w:r>
      <w:r w:rsidR="009E0D0A" w:rsidRPr="008F3348">
        <w:rPr>
          <w:noProof/>
        </w:rPr>
        <w:t xml:space="preserve"> of th</w:t>
      </w:r>
      <w:r w:rsidR="00A637A4">
        <w:rPr>
          <w:noProof/>
        </w:rPr>
        <w:t>is</w:t>
      </w:r>
      <w:r w:rsidR="009E0D0A" w:rsidRPr="008F3348">
        <w:rPr>
          <w:noProof/>
        </w:rPr>
        <w:t xml:space="preserve"> </w:t>
      </w:r>
      <w:r w:rsidR="00A637A4">
        <w:rPr>
          <w:noProof/>
        </w:rPr>
        <w:t>p</w:t>
      </w:r>
      <w:r w:rsidR="009E0D0A" w:rsidRPr="008F3348">
        <w:rPr>
          <w:noProof/>
        </w:rPr>
        <w:t xml:space="preserve">roposal is twofold: </w:t>
      </w:r>
      <w:r w:rsidR="5C274CCB">
        <w:rPr>
          <w:noProof/>
        </w:rPr>
        <w:t>supporting</w:t>
      </w:r>
      <w:r w:rsidR="523D4CBF">
        <w:rPr>
          <w:noProof/>
        </w:rPr>
        <w:t xml:space="preserve"> </w:t>
      </w:r>
      <w:r w:rsidR="002C1FEB">
        <w:rPr>
          <w:noProof/>
        </w:rPr>
        <w:t xml:space="preserve">the good functioning of </w:t>
      </w:r>
      <w:r w:rsidR="009E0D0A" w:rsidRPr="008F3348">
        <w:rPr>
          <w:noProof/>
        </w:rPr>
        <w:t xml:space="preserve">the </w:t>
      </w:r>
      <w:r w:rsidR="009002EC">
        <w:rPr>
          <w:noProof/>
        </w:rPr>
        <w:t>CMU</w:t>
      </w:r>
      <w:r w:rsidR="003C3B08">
        <w:rPr>
          <w:noProof/>
        </w:rPr>
        <w:t xml:space="preserve"> </w:t>
      </w:r>
      <w:r w:rsidR="009E0D0A" w:rsidRPr="008F3348">
        <w:rPr>
          <w:noProof/>
        </w:rPr>
        <w:t>by</w:t>
      </w:r>
      <w:r w:rsidR="003C3B08">
        <w:rPr>
          <w:noProof/>
        </w:rPr>
        <w:t xml:space="preserve"> </w:t>
      </w:r>
      <w:r w:rsidR="009E0D0A" w:rsidRPr="008F3348">
        <w:rPr>
          <w:noProof/>
        </w:rPr>
        <w:t xml:space="preserve">facilitating cross-border investment and </w:t>
      </w:r>
      <w:r w:rsidR="007D17F2">
        <w:rPr>
          <w:noProof/>
        </w:rPr>
        <w:t xml:space="preserve">ensuring fair taxation by </w:t>
      </w:r>
      <w:r w:rsidR="009E0D0A" w:rsidRPr="008F3348">
        <w:rPr>
          <w:noProof/>
        </w:rPr>
        <w:t xml:space="preserve">preventing tax </w:t>
      </w:r>
      <w:r w:rsidR="00E41A9B">
        <w:rPr>
          <w:noProof/>
        </w:rPr>
        <w:t>fraud and</w:t>
      </w:r>
      <w:r w:rsidR="009E0D0A" w:rsidRPr="008F3348">
        <w:rPr>
          <w:noProof/>
        </w:rPr>
        <w:t xml:space="preserve"> abuse. </w:t>
      </w:r>
    </w:p>
    <w:p w14:paraId="742BF0E2" w14:textId="77777777" w:rsidR="00977CF6" w:rsidRPr="00723390" w:rsidRDefault="000361B5" w:rsidP="009E0D0A">
      <w:pPr>
        <w:pBdr>
          <w:top w:val="nil"/>
          <w:left w:val="nil"/>
          <w:bottom w:val="nil"/>
          <w:right w:val="nil"/>
          <w:between w:val="nil"/>
          <w:bar w:val="nil"/>
        </w:pBdr>
        <w:spacing w:before="0" w:after="240"/>
        <w:rPr>
          <w:rFonts w:eastAsia="Arial Unicode MS"/>
          <w:noProof/>
        </w:rPr>
      </w:pPr>
      <w:r>
        <w:rPr>
          <w:noProof/>
        </w:rPr>
        <w:t xml:space="preserve">To </w:t>
      </w:r>
      <w:r w:rsidR="009E0D0A" w:rsidRPr="008F3348">
        <w:rPr>
          <w:noProof/>
        </w:rPr>
        <w:t>achieve the</w:t>
      </w:r>
      <w:r>
        <w:rPr>
          <w:noProof/>
        </w:rPr>
        <w:t xml:space="preserve"> objectives</w:t>
      </w:r>
      <w:r w:rsidR="009E0D0A" w:rsidRPr="008F3348">
        <w:rPr>
          <w:noProof/>
        </w:rPr>
        <w:t>, th</w:t>
      </w:r>
      <w:r>
        <w:rPr>
          <w:noProof/>
        </w:rPr>
        <w:t xml:space="preserve">is </w:t>
      </w:r>
      <w:r w:rsidR="009E0D0A" w:rsidRPr="008F3348">
        <w:rPr>
          <w:noProof/>
        </w:rPr>
        <w:t xml:space="preserve">proposal </w:t>
      </w:r>
      <w:r w:rsidR="003368E5">
        <w:rPr>
          <w:noProof/>
        </w:rPr>
        <w:t>introduce</w:t>
      </w:r>
      <w:r w:rsidR="000023B2">
        <w:rPr>
          <w:noProof/>
        </w:rPr>
        <w:t>s</w:t>
      </w:r>
      <w:r w:rsidR="003368E5">
        <w:rPr>
          <w:noProof/>
        </w:rPr>
        <w:t xml:space="preserve"> </w:t>
      </w:r>
      <w:r>
        <w:rPr>
          <w:noProof/>
        </w:rPr>
        <w:t xml:space="preserve">more efficient </w:t>
      </w:r>
      <w:r w:rsidR="007D17F2">
        <w:rPr>
          <w:noProof/>
        </w:rPr>
        <w:t xml:space="preserve">WHT </w:t>
      </w:r>
      <w:r>
        <w:rPr>
          <w:noProof/>
        </w:rPr>
        <w:t xml:space="preserve">procedures </w:t>
      </w:r>
      <w:r w:rsidR="003368E5">
        <w:rPr>
          <w:noProof/>
        </w:rPr>
        <w:t>while</w:t>
      </w:r>
      <w:r w:rsidR="009F4E5F">
        <w:rPr>
          <w:noProof/>
        </w:rPr>
        <w:t>, at the same time,</w:t>
      </w:r>
      <w:r>
        <w:rPr>
          <w:noProof/>
        </w:rPr>
        <w:t xml:space="preserve"> </w:t>
      </w:r>
      <w:r w:rsidR="009E0D0A" w:rsidRPr="008F3348">
        <w:rPr>
          <w:noProof/>
        </w:rPr>
        <w:t>provid</w:t>
      </w:r>
      <w:r>
        <w:rPr>
          <w:noProof/>
        </w:rPr>
        <w:t>ing</w:t>
      </w:r>
      <w:r w:rsidR="009E0D0A" w:rsidRPr="008F3348">
        <w:rPr>
          <w:noProof/>
        </w:rPr>
        <w:t xml:space="preserve"> Member States with </w:t>
      </w:r>
      <w:r>
        <w:rPr>
          <w:noProof/>
        </w:rPr>
        <w:t xml:space="preserve">the </w:t>
      </w:r>
      <w:r w:rsidR="007D17F2">
        <w:rPr>
          <w:noProof/>
        </w:rPr>
        <w:t xml:space="preserve">necessary </w:t>
      </w:r>
      <w:r w:rsidR="009E0D0A" w:rsidRPr="008F3348">
        <w:rPr>
          <w:noProof/>
        </w:rPr>
        <w:t>tool</w:t>
      </w:r>
      <w:r w:rsidR="007D17F2">
        <w:rPr>
          <w:noProof/>
        </w:rPr>
        <w:t>s</w:t>
      </w:r>
      <w:r w:rsidR="009E0D0A" w:rsidRPr="008F3348">
        <w:rPr>
          <w:noProof/>
        </w:rPr>
        <w:t xml:space="preserve"> to </w:t>
      </w:r>
      <w:r>
        <w:rPr>
          <w:noProof/>
        </w:rPr>
        <w:t xml:space="preserve">effectively </w:t>
      </w:r>
      <w:r w:rsidR="009E0D0A" w:rsidRPr="008F3348">
        <w:rPr>
          <w:noProof/>
        </w:rPr>
        <w:t xml:space="preserve">fight tax </w:t>
      </w:r>
      <w:r w:rsidR="00E41A9B">
        <w:rPr>
          <w:noProof/>
        </w:rPr>
        <w:t>fraud and</w:t>
      </w:r>
      <w:r w:rsidR="009E0D0A" w:rsidRPr="008F3348">
        <w:rPr>
          <w:noProof/>
        </w:rPr>
        <w:t xml:space="preserve"> abuse. </w:t>
      </w:r>
      <w:r w:rsidR="1EECECFC">
        <w:rPr>
          <w:noProof/>
        </w:rPr>
        <w:t>The proposed changes will also have very practical and useful impacts for investors and lead to very significant costs savings for investors, estimated approximately at EUR 5.17 billion</w:t>
      </w:r>
      <w:r w:rsidR="000A701D">
        <w:rPr>
          <w:noProof/>
        </w:rPr>
        <w:t xml:space="preserve"> per year</w:t>
      </w:r>
      <w:r w:rsidR="00095B62">
        <w:rPr>
          <w:rStyle w:val="FootnoteReference"/>
          <w:noProof/>
        </w:rPr>
        <w:footnoteReference w:id="13"/>
      </w:r>
      <w:r w:rsidR="1EECECFC">
        <w:rPr>
          <w:noProof/>
        </w:rPr>
        <w:t>.</w:t>
      </w:r>
    </w:p>
    <w:p w14:paraId="54C4F474" w14:textId="77777777" w:rsidR="00977CF6" w:rsidRPr="00723390" w:rsidRDefault="00977CF6" w:rsidP="000430BD">
      <w:pPr>
        <w:pStyle w:val="ManualHeading2"/>
        <w:rPr>
          <w:rFonts w:eastAsia="Arial Unicode MS"/>
          <w:noProof/>
          <w:u w:color="000000"/>
          <w:bdr w:val="nil"/>
          <w:lang w:val="en-US" w:eastAsia="en-GB"/>
        </w:rPr>
      </w:pPr>
      <w:r w:rsidRPr="00723390">
        <w:rPr>
          <w:rFonts w:eastAsia="Arial Unicode MS"/>
          <w:noProof/>
          <w:u w:color="000000"/>
          <w:bdr w:val="nil"/>
          <w:lang w:val="en-US" w:eastAsia="en-GB"/>
        </w:rPr>
        <w:t>•</w:t>
      </w:r>
      <w:r w:rsidRPr="00723390">
        <w:rPr>
          <w:rFonts w:eastAsia="Arial Unicode MS"/>
          <w:noProof/>
          <w:u w:color="000000"/>
          <w:bdr w:val="nil"/>
          <w:lang w:val="en-US" w:eastAsia="en-GB"/>
        </w:rPr>
        <w:tab/>
      </w:r>
      <w:r w:rsidRPr="00723390">
        <w:rPr>
          <w:rFonts w:eastAsia="Arial Unicode MS"/>
          <w:noProof/>
        </w:rPr>
        <w:t>Consistency with existing policy provisions in the policy area</w:t>
      </w:r>
    </w:p>
    <w:p w14:paraId="22E2E4C7" w14:textId="77777777" w:rsidR="009E0D0A" w:rsidRPr="008F3348" w:rsidRDefault="003962D4" w:rsidP="009E0D0A">
      <w:pPr>
        <w:pBdr>
          <w:top w:val="nil"/>
          <w:left w:val="nil"/>
          <w:bottom w:val="nil"/>
          <w:right w:val="nil"/>
          <w:between w:val="nil"/>
          <w:bar w:val="nil"/>
        </w:pBdr>
        <w:spacing w:before="0" w:after="240"/>
        <w:rPr>
          <w:noProof/>
        </w:rPr>
      </w:pPr>
      <w:r>
        <w:rPr>
          <w:noProof/>
        </w:rPr>
        <w:t>This initiative is fully consistent with other initiatives taken by the Commission</w:t>
      </w:r>
      <w:r w:rsidRPr="003962D4">
        <w:rPr>
          <w:noProof/>
        </w:rPr>
        <w:t xml:space="preserve"> </w:t>
      </w:r>
      <w:r>
        <w:rPr>
          <w:noProof/>
        </w:rPr>
        <w:t xml:space="preserve">in the last years to achieve the key priority of </w:t>
      </w:r>
      <w:r w:rsidR="00C70CF7">
        <w:rPr>
          <w:noProof/>
        </w:rPr>
        <w:t xml:space="preserve">fighting against </w:t>
      </w:r>
      <w:r w:rsidR="009E0D0A" w:rsidRPr="008F3348">
        <w:rPr>
          <w:noProof/>
        </w:rPr>
        <w:t>tax fraud</w:t>
      </w:r>
      <w:r w:rsidR="008E7C11">
        <w:rPr>
          <w:noProof/>
        </w:rPr>
        <w:t xml:space="preserve"> and abuse</w:t>
      </w:r>
      <w:r w:rsidR="009E0D0A" w:rsidRPr="008F3348">
        <w:rPr>
          <w:noProof/>
        </w:rPr>
        <w:t xml:space="preserve">: </w:t>
      </w:r>
    </w:p>
    <w:p w14:paraId="756F6993" w14:textId="77777777" w:rsidR="00DF63CE" w:rsidRPr="00723390" w:rsidRDefault="009E0D0A" w:rsidP="00405676">
      <w:pPr>
        <w:pStyle w:val="Tiret0"/>
        <w:numPr>
          <w:ilvl w:val="0"/>
          <w:numId w:val="9"/>
        </w:numPr>
        <w:rPr>
          <w:noProof/>
        </w:rPr>
      </w:pPr>
      <w:r w:rsidRPr="00723390">
        <w:rPr>
          <w:noProof/>
        </w:rPr>
        <w:t xml:space="preserve">In 2016, the </w:t>
      </w:r>
      <w:r w:rsidR="00C70CF7">
        <w:rPr>
          <w:noProof/>
        </w:rPr>
        <w:t>Commission adopted that A</w:t>
      </w:r>
      <w:r w:rsidRPr="00723390">
        <w:rPr>
          <w:noProof/>
        </w:rPr>
        <w:t>nti-</w:t>
      </w:r>
      <w:r w:rsidR="00C70CF7">
        <w:rPr>
          <w:noProof/>
        </w:rPr>
        <w:t>T</w:t>
      </w:r>
      <w:r w:rsidRPr="00723390">
        <w:rPr>
          <w:noProof/>
        </w:rPr>
        <w:t xml:space="preserve">ax </w:t>
      </w:r>
      <w:r w:rsidR="00C70CF7">
        <w:rPr>
          <w:noProof/>
        </w:rPr>
        <w:t>A</w:t>
      </w:r>
      <w:r w:rsidRPr="00723390">
        <w:rPr>
          <w:noProof/>
        </w:rPr>
        <w:t xml:space="preserve">voidance </w:t>
      </w:r>
      <w:r w:rsidR="00C70CF7">
        <w:rPr>
          <w:noProof/>
        </w:rPr>
        <w:t>D</w:t>
      </w:r>
      <w:r w:rsidRPr="00723390">
        <w:rPr>
          <w:noProof/>
        </w:rPr>
        <w:t>irective (ATAD)</w:t>
      </w:r>
      <w:r w:rsidRPr="008F3348">
        <w:rPr>
          <w:rStyle w:val="FootnoteReference"/>
          <w:noProof/>
        </w:rPr>
        <w:footnoteReference w:id="14"/>
      </w:r>
      <w:r w:rsidRPr="00723390">
        <w:rPr>
          <w:noProof/>
        </w:rPr>
        <w:t xml:space="preserve"> to ensure </w:t>
      </w:r>
      <w:r w:rsidR="00C70CF7">
        <w:rPr>
          <w:noProof/>
        </w:rPr>
        <w:t xml:space="preserve">a </w:t>
      </w:r>
      <w:r w:rsidRPr="00723390">
        <w:rPr>
          <w:noProof/>
        </w:rPr>
        <w:t xml:space="preserve">coordinated implementation in </w:t>
      </w:r>
      <w:r w:rsidR="00C70CF7">
        <w:rPr>
          <w:noProof/>
        </w:rPr>
        <w:t xml:space="preserve">the </w:t>
      </w:r>
      <w:r w:rsidRPr="00723390">
        <w:rPr>
          <w:noProof/>
        </w:rPr>
        <w:t xml:space="preserve">Member States of key measures against tax avoidance stemming from the international Base Erosion and Profit Shifting actions. </w:t>
      </w:r>
    </w:p>
    <w:p w14:paraId="4E3230F3" w14:textId="77777777" w:rsidR="00DF63CE" w:rsidRPr="00723390" w:rsidRDefault="00A9533A" w:rsidP="00405676">
      <w:pPr>
        <w:pStyle w:val="Tiret0"/>
        <w:numPr>
          <w:ilvl w:val="0"/>
          <w:numId w:val="9"/>
        </w:numPr>
        <w:rPr>
          <w:noProof/>
        </w:rPr>
      </w:pPr>
      <w:r>
        <w:rPr>
          <w:noProof/>
        </w:rPr>
        <w:t>T</w:t>
      </w:r>
      <w:r w:rsidR="009E0D0A" w:rsidRPr="00723390">
        <w:rPr>
          <w:noProof/>
        </w:rPr>
        <w:t xml:space="preserve">he </w:t>
      </w:r>
      <w:r w:rsidR="00C70CF7">
        <w:rPr>
          <w:noProof/>
        </w:rPr>
        <w:t>D</w:t>
      </w:r>
      <w:r w:rsidR="009E0D0A" w:rsidRPr="00723390">
        <w:rPr>
          <w:noProof/>
        </w:rPr>
        <w:t xml:space="preserve">irective on </w:t>
      </w:r>
      <w:r w:rsidR="00C70CF7">
        <w:rPr>
          <w:noProof/>
        </w:rPr>
        <w:t>A</w:t>
      </w:r>
      <w:r w:rsidR="009E0D0A" w:rsidRPr="00723390">
        <w:rPr>
          <w:noProof/>
        </w:rPr>
        <w:t xml:space="preserve">dministrative </w:t>
      </w:r>
      <w:r w:rsidR="00C70CF7">
        <w:rPr>
          <w:noProof/>
        </w:rPr>
        <w:t>C</w:t>
      </w:r>
      <w:r w:rsidR="009E0D0A" w:rsidRPr="00723390">
        <w:rPr>
          <w:noProof/>
        </w:rPr>
        <w:t>ooperation (DAC)</w:t>
      </w:r>
      <w:r w:rsidR="009E0D0A" w:rsidRPr="008F3348">
        <w:rPr>
          <w:rStyle w:val="FootnoteReference"/>
          <w:noProof/>
        </w:rPr>
        <w:footnoteReference w:id="15"/>
      </w:r>
      <w:r w:rsidR="009E0D0A" w:rsidRPr="00723390">
        <w:rPr>
          <w:noProof/>
        </w:rPr>
        <w:t xml:space="preserve"> has, since its adoption in 2011, been revised and expanded on several occasions to allow a large-scale and timely exchange of tax related information across the EU. In particular, DAC2</w:t>
      </w:r>
      <w:r w:rsidR="009E0D0A" w:rsidRPr="008F3348">
        <w:rPr>
          <w:rStyle w:val="FootnoteReference"/>
          <w:noProof/>
        </w:rPr>
        <w:footnoteReference w:id="16"/>
      </w:r>
      <w:r w:rsidR="009E0D0A" w:rsidRPr="00723390">
        <w:rPr>
          <w:noProof/>
        </w:rPr>
        <w:t xml:space="preserve"> establish</w:t>
      </w:r>
      <w:r w:rsidR="00447EED">
        <w:rPr>
          <w:noProof/>
        </w:rPr>
        <w:t>es</w:t>
      </w:r>
      <w:r w:rsidR="009E0D0A" w:rsidRPr="00723390">
        <w:rPr>
          <w:noProof/>
        </w:rPr>
        <w:t xml:space="preserve"> a framework </w:t>
      </w:r>
      <w:r w:rsidR="00320346">
        <w:rPr>
          <w:noProof/>
        </w:rPr>
        <w:t>for greater</w:t>
      </w:r>
      <w:r w:rsidR="00320346" w:rsidRPr="00723390">
        <w:rPr>
          <w:noProof/>
        </w:rPr>
        <w:t xml:space="preserve"> </w:t>
      </w:r>
      <w:r w:rsidR="009E0D0A" w:rsidRPr="00723390">
        <w:rPr>
          <w:noProof/>
        </w:rPr>
        <w:t xml:space="preserve">tax transparency within the </w:t>
      </w:r>
      <w:r w:rsidR="00DF63CE">
        <w:rPr>
          <w:noProof/>
        </w:rPr>
        <w:t>E</w:t>
      </w:r>
      <w:r w:rsidR="009E0D0A" w:rsidRPr="00723390">
        <w:rPr>
          <w:noProof/>
        </w:rPr>
        <w:t xml:space="preserve">U in terms of financial account information. </w:t>
      </w:r>
    </w:p>
    <w:p w14:paraId="768CC08D" w14:textId="77777777" w:rsidR="00DF63CE" w:rsidRPr="00723390" w:rsidRDefault="009E0D0A" w:rsidP="00405676">
      <w:pPr>
        <w:pStyle w:val="Tiret0"/>
        <w:numPr>
          <w:ilvl w:val="0"/>
          <w:numId w:val="9"/>
        </w:numPr>
        <w:rPr>
          <w:noProof/>
        </w:rPr>
      </w:pPr>
      <w:r w:rsidRPr="00723390">
        <w:rPr>
          <w:noProof/>
        </w:rPr>
        <w:t>DAC6</w:t>
      </w:r>
      <w:r w:rsidRPr="008F3348">
        <w:rPr>
          <w:rStyle w:val="FootnoteReference"/>
          <w:noProof/>
        </w:rPr>
        <w:footnoteReference w:id="17"/>
      </w:r>
      <w:r w:rsidR="00C70CF7">
        <w:rPr>
          <w:noProof/>
        </w:rPr>
        <w:t xml:space="preserve"> requires </w:t>
      </w:r>
      <w:r w:rsidRPr="00723390">
        <w:rPr>
          <w:noProof/>
        </w:rPr>
        <w:t xml:space="preserve">intermediaries to inform tax authorities of cross-border arrangements that could potentially be used for aggressive tax planning. </w:t>
      </w:r>
    </w:p>
    <w:p w14:paraId="10C3DF1B" w14:textId="77777777" w:rsidR="00C70CF7" w:rsidRPr="00723390" w:rsidRDefault="00A16EE8" w:rsidP="00405676">
      <w:pPr>
        <w:pStyle w:val="Tiret0"/>
        <w:numPr>
          <w:ilvl w:val="0"/>
          <w:numId w:val="9"/>
        </w:numPr>
        <w:spacing w:before="0" w:after="200" w:line="276" w:lineRule="auto"/>
        <w:rPr>
          <w:noProof/>
        </w:rPr>
      </w:pPr>
      <w:r>
        <w:rPr>
          <w:noProof/>
        </w:rPr>
        <w:t>In 2021</w:t>
      </w:r>
      <w:r w:rsidR="00C70CF7">
        <w:rPr>
          <w:noProof/>
        </w:rPr>
        <w:t>,</w:t>
      </w:r>
      <w:r w:rsidR="002847BE">
        <w:rPr>
          <w:noProof/>
        </w:rPr>
        <w:t xml:space="preserve"> the Commission </w:t>
      </w:r>
      <w:r w:rsidR="00510DEA">
        <w:rPr>
          <w:noProof/>
        </w:rPr>
        <w:t xml:space="preserve">adopted </w:t>
      </w:r>
      <w:r w:rsidR="002847BE">
        <w:rPr>
          <w:noProof/>
        </w:rPr>
        <w:t xml:space="preserve">a proposal for </w:t>
      </w:r>
      <w:r>
        <w:rPr>
          <w:noProof/>
        </w:rPr>
        <w:t xml:space="preserve">a </w:t>
      </w:r>
      <w:r w:rsidR="002847BE">
        <w:rPr>
          <w:noProof/>
        </w:rPr>
        <w:t>Directive</w:t>
      </w:r>
      <w:r w:rsidR="003855E0">
        <w:rPr>
          <w:noProof/>
        </w:rPr>
        <w:t xml:space="preserve"> </w:t>
      </w:r>
      <w:r w:rsidR="002847BE">
        <w:rPr>
          <w:noProof/>
        </w:rPr>
        <w:t xml:space="preserve">to fight </w:t>
      </w:r>
      <w:r w:rsidR="00C70CF7">
        <w:rPr>
          <w:noProof/>
        </w:rPr>
        <w:t xml:space="preserve">against </w:t>
      </w:r>
      <w:r w:rsidR="002847BE">
        <w:rPr>
          <w:noProof/>
        </w:rPr>
        <w:t xml:space="preserve">the </w:t>
      </w:r>
      <w:r w:rsidR="00C70CF7">
        <w:rPr>
          <w:noProof/>
        </w:rPr>
        <w:t>misuse</w:t>
      </w:r>
      <w:r w:rsidR="002847BE">
        <w:rPr>
          <w:noProof/>
        </w:rPr>
        <w:t xml:space="preserve"> of shell entities </w:t>
      </w:r>
      <w:r w:rsidR="00C70CF7">
        <w:rPr>
          <w:noProof/>
        </w:rPr>
        <w:t xml:space="preserve">(i.e. </w:t>
      </w:r>
      <w:r w:rsidR="00C70CF7" w:rsidRPr="00C70CF7">
        <w:rPr>
          <w:noProof/>
        </w:rPr>
        <w:t>entities in the European Union that have no or minimal economic activity</w:t>
      </w:r>
      <w:r w:rsidR="00C70CF7">
        <w:rPr>
          <w:noProof/>
        </w:rPr>
        <w:t>)</w:t>
      </w:r>
      <w:r w:rsidR="00E104B3">
        <w:rPr>
          <w:rStyle w:val="FootnoteReference"/>
          <w:noProof/>
        </w:rPr>
        <w:footnoteReference w:id="18"/>
      </w:r>
      <w:r w:rsidR="00C70CF7" w:rsidRPr="00C70CF7">
        <w:rPr>
          <w:noProof/>
        </w:rPr>
        <w:t xml:space="preserve"> </w:t>
      </w:r>
      <w:r w:rsidR="002847BE">
        <w:rPr>
          <w:noProof/>
        </w:rPr>
        <w:t>to avoid or evade taxes</w:t>
      </w:r>
      <w:r w:rsidR="00C70CF7">
        <w:rPr>
          <w:noProof/>
        </w:rPr>
        <w:t xml:space="preserve">. </w:t>
      </w:r>
      <w:r w:rsidR="002847BE">
        <w:rPr>
          <w:noProof/>
        </w:rPr>
        <w:t xml:space="preserve"> </w:t>
      </w:r>
    </w:p>
    <w:p w14:paraId="4552C847" w14:textId="77777777" w:rsidR="00DF63CE" w:rsidRDefault="00DF63CE" w:rsidP="009C1497">
      <w:pPr>
        <w:spacing w:before="0" w:after="200" w:line="276" w:lineRule="auto"/>
        <w:rPr>
          <w:noProof/>
        </w:rPr>
      </w:pPr>
      <w:r>
        <w:rPr>
          <w:noProof/>
        </w:rPr>
        <w:t>However, th</w:t>
      </w:r>
      <w:r w:rsidR="009E0D0A" w:rsidRPr="008F3348">
        <w:rPr>
          <w:noProof/>
        </w:rPr>
        <w:t xml:space="preserve">e existing </w:t>
      </w:r>
      <w:r>
        <w:rPr>
          <w:noProof/>
        </w:rPr>
        <w:t>EU</w:t>
      </w:r>
      <w:r w:rsidR="009E0D0A" w:rsidRPr="008F3348">
        <w:rPr>
          <w:noProof/>
        </w:rPr>
        <w:t xml:space="preserve"> instruments </w:t>
      </w:r>
      <w:r w:rsidR="00A16EE8">
        <w:rPr>
          <w:noProof/>
        </w:rPr>
        <w:t xml:space="preserve">do </w:t>
      </w:r>
      <w:r w:rsidR="009E0D0A" w:rsidRPr="008F3348">
        <w:rPr>
          <w:noProof/>
        </w:rPr>
        <w:t xml:space="preserve">not contain specific measures to tackle abusive tax practices with regards to the </w:t>
      </w:r>
      <w:r w:rsidR="00271E9E">
        <w:rPr>
          <w:noProof/>
        </w:rPr>
        <w:t>WHT</w:t>
      </w:r>
      <w:r>
        <w:rPr>
          <w:noProof/>
        </w:rPr>
        <w:t xml:space="preserve"> procedures</w:t>
      </w:r>
      <w:r w:rsidR="009E0D0A" w:rsidRPr="008F3348">
        <w:rPr>
          <w:noProof/>
        </w:rPr>
        <w:t xml:space="preserve">. The existing rules do not provide </w:t>
      </w:r>
      <w:r w:rsidR="00510DEA">
        <w:rPr>
          <w:noProof/>
        </w:rPr>
        <w:t>for</w:t>
      </w:r>
      <w:r w:rsidR="009E0D0A" w:rsidRPr="008F3348">
        <w:rPr>
          <w:noProof/>
        </w:rPr>
        <w:t xml:space="preserve"> </w:t>
      </w:r>
      <w:r w:rsidR="00271E9E">
        <w:rPr>
          <w:noProof/>
        </w:rPr>
        <w:t xml:space="preserve">the </w:t>
      </w:r>
      <w:r w:rsidR="009E0D0A" w:rsidRPr="008F3348">
        <w:rPr>
          <w:noProof/>
        </w:rPr>
        <w:t xml:space="preserve">reporting </w:t>
      </w:r>
      <w:r w:rsidRPr="008F3348">
        <w:rPr>
          <w:noProof/>
        </w:rPr>
        <w:t>of information o</w:t>
      </w:r>
      <w:r>
        <w:rPr>
          <w:noProof/>
        </w:rPr>
        <w:t>n</w:t>
      </w:r>
      <w:r w:rsidRPr="008F3348">
        <w:rPr>
          <w:noProof/>
        </w:rPr>
        <w:t xml:space="preserve"> securities transactions</w:t>
      </w:r>
      <w:r>
        <w:rPr>
          <w:noProof/>
        </w:rPr>
        <w:t xml:space="preserve"> </w:t>
      </w:r>
      <w:r w:rsidR="00A16EE8">
        <w:rPr>
          <w:noProof/>
        </w:rPr>
        <w:t xml:space="preserve">to tax administrations of </w:t>
      </w:r>
      <w:r>
        <w:rPr>
          <w:noProof/>
        </w:rPr>
        <w:t xml:space="preserve">the </w:t>
      </w:r>
      <w:r w:rsidR="00A16EE8">
        <w:rPr>
          <w:noProof/>
        </w:rPr>
        <w:t xml:space="preserve">source Member States </w:t>
      </w:r>
      <w:r w:rsidR="00271E9E">
        <w:rPr>
          <w:noProof/>
        </w:rPr>
        <w:t>(</w:t>
      </w:r>
      <w:r w:rsidR="00A16EE8">
        <w:rPr>
          <w:noProof/>
        </w:rPr>
        <w:t xml:space="preserve">including </w:t>
      </w:r>
      <w:r w:rsidR="009E0D0A" w:rsidRPr="008F3348">
        <w:rPr>
          <w:noProof/>
        </w:rPr>
        <w:t>detail</w:t>
      </w:r>
      <w:r w:rsidR="00A16EE8">
        <w:rPr>
          <w:noProof/>
        </w:rPr>
        <w:t>s</w:t>
      </w:r>
      <w:r w:rsidR="009E0D0A" w:rsidRPr="008F3348">
        <w:rPr>
          <w:noProof/>
        </w:rPr>
        <w:t xml:space="preserve"> </w:t>
      </w:r>
      <w:r w:rsidR="000C5F3F">
        <w:rPr>
          <w:noProof/>
        </w:rPr>
        <w:t xml:space="preserve">of the payment chain </w:t>
      </w:r>
      <w:r w:rsidR="009E0D0A" w:rsidRPr="008F3348">
        <w:rPr>
          <w:noProof/>
        </w:rPr>
        <w:t xml:space="preserve">with regard to the payment of dividends </w:t>
      </w:r>
      <w:r w:rsidR="00574F24">
        <w:rPr>
          <w:noProof/>
        </w:rPr>
        <w:t xml:space="preserve">or interest </w:t>
      </w:r>
      <w:r w:rsidR="009E0D0A" w:rsidRPr="008F3348">
        <w:rPr>
          <w:noProof/>
        </w:rPr>
        <w:t>by financial intermediaries</w:t>
      </w:r>
      <w:r w:rsidR="00271E9E">
        <w:rPr>
          <w:noProof/>
        </w:rPr>
        <w:t>)</w:t>
      </w:r>
      <w:r w:rsidR="009E0D0A" w:rsidRPr="008F3348">
        <w:rPr>
          <w:noProof/>
        </w:rPr>
        <w:t xml:space="preserve">. </w:t>
      </w:r>
    </w:p>
    <w:p w14:paraId="13DA31D9" w14:textId="77777777" w:rsidR="009E0D0A" w:rsidRPr="008F3348" w:rsidRDefault="00A16EE8" w:rsidP="009C1497">
      <w:pPr>
        <w:spacing w:before="0" w:after="200" w:line="276" w:lineRule="auto"/>
        <w:rPr>
          <w:noProof/>
        </w:rPr>
      </w:pPr>
      <w:r>
        <w:rPr>
          <w:noProof/>
        </w:rPr>
        <w:t>As a result, t</w:t>
      </w:r>
      <w:r w:rsidR="009E0D0A" w:rsidRPr="008F3348">
        <w:rPr>
          <w:noProof/>
        </w:rPr>
        <w:t xml:space="preserve">hey do not </w:t>
      </w:r>
      <w:r>
        <w:rPr>
          <w:noProof/>
        </w:rPr>
        <w:t xml:space="preserve">adequately </w:t>
      </w:r>
      <w:r w:rsidR="009E0D0A" w:rsidRPr="008F3348">
        <w:rPr>
          <w:noProof/>
        </w:rPr>
        <w:t xml:space="preserve">address the specific problem of abuse. This Directive will </w:t>
      </w:r>
      <w:r>
        <w:rPr>
          <w:noProof/>
        </w:rPr>
        <w:t xml:space="preserve">expand transparency to allow </w:t>
      </w:r>
      <w:r w:rsidR="009E0D0A" w:rsidRPr="008F3348">
        <w:rPr>
          <w:noProof/>
        </w:rPr>
        <w:t xml:space="preserve">Member States to check if the </w:t>
      </w:r>
      <w:r w:rsidR="00271E9E">
        <w:rPr>
          <w:noProof/>
        </w:rPr>
        <w:t>WHT</w:t>
      </w:r>
      <w:r w:rsidR="009E0D0A" w:rsidRPr="008F3348">
        <w:rPr>
          <w:noProof/>
        </w:rPr>
        <w:t xml:space="preserve"> rate is applied correctly to </w:t>
      </w:r>
      <w:r w:rsidR="00DF63CE">
        <w:rPr>
          <w:noProof/>
        </w:rPr>
        <w:t>each</w:t>
      </w:r>
      <w:r w:rsidR="009E0D0A" w:rsidRPr="008F3348">
        <w:rPr>
          <w:noProof/>
        </w:rPr>
        <w:t xml:space="preserve"> eligible taxpayer. </w:t>
      </w:r>
      <w:r>
        <w:rPr>
          <w:noProof/>
        </w:rPr>
        <w:t xml:space="preserve">It </w:t>
      </w:r>
      <w:r w:rsidR="00DF63CE">
        <w:rPr>
          <w:noProof/>
        </w:rPr>
        <w:t>wi</w:t>
      </w:r>
      <w:r>
        <w:rPr>
          <w:noProof/>
        </w:rPr>
        <w:t>ll ensure that transparency is achieved in a timely manner so as to justify and permit a quick and efficient processing of applicable refund or relief requests.</w:t>
      </w:r>
    </w:p>
    <w:p w14:paraId="34B71472" w14:textId="77777777" w:rsidR="009E0D0A" w:rsidRPr="008F3348" w:rsidRDefault="00A70A0A" w:rsidP="00C66A25">
      <w:pPr>
        <w:spacing w:before="0" w:after="200" w:line="276" w:lineRule="auto"/>
        <w:rPr>
          <w:noProof/>
        </w:rPr>
      </w:pPr>
      <w:r>
        <w:rPr>
          <w:noProof/>
        </w:rPr>
        <w:t xml:space="preserve">As this </w:t>
      </w:r>
      <w:r w:rsidR="00297E62" w:rsidRPr="00943113">
        <w:rPr>
          <w:noProof/>
        </w:rPr>
        <w:t>p</w:t>
      </w:r>
      <w:r w:rsidR="009E0D0A" w:rsidRPr="00943113">
        <w:rPr>
          <w:noProof/>
        </w:rPr>
        <w:t xml:space="preserve">roposal </w:t>
      </w:r>
      <w:r>
        <w:rPr>
          <w:noProof/>
        </w:rPr>
        <w:t xml:space="preserve">is about withholding tax procedures it will only </w:t>
      </w:r>
      <w:r w:rsidR="00943113">
        <w:rPr>
          <w:noProof/>
        </w:rPr>
        <w:t>complement</w:t>
      </w:r>
      <w:r w:rsidR="009E0D0A" w:rsidRPr="00943113">
        <w:rPr>
          <w:noProof/>
        </w:rPr>
        <w:t xml:space="preserve"> </w:t>
      </w:r>
      <w:r>
        <w:rPr>
          <w:noProof/>
        </w:rPr>
        <w:t xml:space="preserve">the </w:t>
      </w:r>
      <w:r w:rsidR="009E0D0A" w:rsidRPr="00943113">
        <w:rPr>
          <w:noProof/>
        </w:rPr>
        <w:t>Parent-Subsidiary</w:t>
      </w:r>
      <w:r w:rsidR="00574F24">
        <w:rPr>
          <w:noProof/>
        </w:rPr>
        <w:t xml:space="preserve"> </w:t>
      </w:r>
      <w:r w:rsidR="009E0D0A" w:rsidRPr="00943113">
        <w:rPr>
          <w:noProof/>
        </w:rPr>
        <w:t xml:space="preserve">Directive </w:t>
      </w:r>
      <w:r w:rsidR="00140AA4">
        <w:rPr>
          <w:noProof/>
        </w:rPr>
        <w:t>(</w:t>
      </w:r>
      <w:r w:rsidR="009E0D0A" w:rsidRPr="00943113">
        <w:rPr>
          <w:noProof/>
        </w:rPr>
        <w:t>PSD)</w:t>
      </w:r>
      <w:r w:rsidR="009002EC">
        <w:rPr>
          <w:rStyle w:val="FootnoteReference"/>
          <w:noProof/>
        </w:rPr>
        <w:footnoteReference w:id="19"/>
      </w:r>
      <w:r w:rsidR="009E0D0A" w:rsidRPr="00943113">
        <w:rPr>
          <w:noProof/>
        </w:rPr>
        <w:t xml:space="preserve"> </w:t>
      </w:r>
      <w:r w:rsidR="00574F24">
        <w:rPr>
          <w:noProof/>
        </w:rPr>
        <w:t xml:space="preserve">and the Interest-Royalties Directive </w:t>
      </w:r>
      <w:r w:rsidR="00140AA4">
        <w:rPr>
          <w:noProof/>
        </w:rPr>
        <w:t>(</w:t>
      </w:r>
      <w:r w:rsidR="00574F24">
        <w:rPr>
          <w:noProof/>
        </w:rPr>
        <w:t>IRD)</w:t>
      </w:r>
      <w:r w:rsidR="009002EC">
        <w:rPr>
          <w:rStyle w:val="FootnoteReference"/>
          <w:noProof/>
        </w:rPr>
        <w:footnoteReference w:id="20"/>
      </w:r>
      <w:r w:rsidR="00574F24">
        <w:rPr>
          <w:noProof/>
        </w:rPr>
        <w:t xml:space="preserve">, </w:t>
      </w:r>
      <w:r w:rsidR="009E0D0A" w:rsidRPr="00943113">
        <w:rPr>
          <w:noProof/>
        </w:rPr>
        <w:t xml:space="preserve">which exempt </w:t>
      </w:r>
      <w:r w:rsidR="009002EC" w:rsidRPr="00943113">
        <w:rPr>
          <w:noProof/>
        </w:rPr>
        <w:t xml:space="preserve">from </w:t>
      </w:r>
      <w:r w:rsidR="009002EC">
        <w:rPr>
          <w:noProof/>
        </w:rPr>
        <w:t>WHT, respectively,</w:t>
      </w:r>
      <w:r w:rsidR="009E0D0A" w:rsidRPr="00943113">
        <w:rPr>
          <w:noProof/>
        </w:rPr>
        <w:t xml:space="preserve"> </w:t>
      </w:r>
      <w:r w:rsidR="004F7309">
        <w:rPr>
          <w:noProof/>
        </w:rPr>
        <w:t>dividends</w:t>
      </w:r>
      <w:r w:rsidR="009002EC" w:rsidRPr="009002EC">
        <w:rPr>
          <w:noProof/>
        </w:rPr>
        <w:t xml:space="preserve"> </w:t>
      </w:r>
      <w:r w:rsidR="009002EC" w:rsidRPr="00943113">
        <w:rPr>
          <w:noProof/>
        </w:rPr>
        <w:t>and other profit distributions</w:t>
      </w:r>
      <w:r w:rsidR="004F7309">
        <w:rPr>
          <w:noProof/>
        </w:rPr>
        <w:t xml:space="preserve">, </w:t>
      </w:r>
      <w:r w:rsidR="009002EC">
        <w:rPr>
          <w:noProof/>
        </w:rPr>
        <w:t>and</w:t>
      </w:r>
      <w:r w:rsidR="004F7309">
        <w:rPr>
          <w:noProof/>
        </w:rPr>
        <w:t xml:space="preserve"> interest and royalty</w:t>
      </w:r>
      <w:r w:rsidR="00574F24">
        <w:rPr>
          <w:noProof/>
        </w:rPr>
        <w:t xml:space="preserve"> payments</w:t>
      </w:r>
      <w:r w:rsidR="00574F24" w:rsidRPr="00943113">
        <w:rPr>
          <w:noProof/>
        </w:rPr>
        <w:t xml:space="preserve"> </w:t>
      </w:r>
      <w:r w:rsidR="009002EC">
        <w:rPr>
          <w:noProof/>
        </w:rPr>
        <w:t xml:space="preserve">made </w:t>
      </w:r>
      <w:r w:rsidR="009E0D0A" w:rsidRPr="00943113">
        <w:rPr>
          <w:noProof/>
        </w:rPr>
        <w:t>by subsidiar</w:t>
      </w:r>
      <w:r w:rsidR="002F7B50">
        <w:rPr>
          <w:noProof/>
        </w:rPr>
        <w:t>ies</w:t>
      </w:r>
      <w:r w:rsidR="009E0D0A" w:rsidRPr="00943113">
        <w:rPr>
          <w:noProof/>
        </w:rPr>
        <w:t xml:space="preserve"> to their parent companies and eliminate double taxation of such income at the level of the parent company. </w:t>
      </w:r>
      <w:r w:rsidR="00734B7E">
        <w:rPr>
          <w:noProof/>
        </w:rPr>
        <w:t>T</w:t>
      </w:r>
      <w:r w:rsidR="00140AA4">
        <w:rPr>
          <w:noProof/>
        </w:rPr>
        <w:t>he PSD and IRD could be applicable in relation to the listed securities that are in scope of this proposal</w:t>
      </w:r>
      <w:r w:rsidR="00734B7E">
        <w:rPr>
          <w:noProof/>
        </w:rPr>
        <w:t xml:space="preserve"> and</w:t>
      </w:r>
      <w:r w:rsidR="00140AA4">
        <w:rPr>
          <w:noProof/>
        </w:rPr>
        <w:t xml:space="preserve"> this proposal will not restrict Member States in complying </w:t>
      </w:r>
      <w:r w:rsidR="005720A9">
        <w:rPr>
          <w:noProof/>
        </w:rPr>
        <w:t>with the PSD and IRD</w:t>
      </w:r>
      <w:r w:rsidR="00734B7E">
        <w:rPr>
          <w:noProof/>
        </w:rPr>
        <w:t xml:space="preserve"> but rather facilitate it in terms of procedure</w:t>
      </w:r>
      <w:r w:rsidR="005720A9">
        <w:rPr>
          <w:noProof/>
        </w:rPr>
        <w:t>.</w:t>
      </w:r>
      <w:r w:rsidR="00140AA4">
        <w:rPr>
          <w:noProof/>
        </w:rPr>
        <w:t xml:space="preserve"> </w:t>
      </w:r>
    </w:p>
    <w:p w14:paraId="6E981F3F" w14:textId="77777777" w:rsidR="00977CF6" w:rsidRPr="00723390" w:rsidRDefault="00977CF6" w:rsidP="009E0D0A">
      <w:pPr>
        <w:spacing w:before="0" w:after="200" w:line="276" w:lineRule="auto"/>
        <w:jc w:val="left"/>
        <w:rPr>
          <w:rFonts w:eastAsia="Arial Unicode MS"/>
          <w:noProof/>
        </w:rPr>
      </w:pPr>
      <w:r w:rsidRPr="00723390">
        <w:rPr>
          <w:rFonts w:eastAsia="Arial Unicode MS"/>
          <w:noProof/>
          <w:u w:color="000000"/>
          <w:bdr w:val="nil"/>
          <w:lang w:val="en-US" w:eastAsia="en-GB"/>
        </w:rPr>
        <w:t>•</w:t>
      </w:r>
      <w:r w:rsidRPr="00723390">
        <w:rPr>
          <w:rFonts w:eastAsia="Arial Unicode MS"/>
          <w:noProof/>
          <w:u w:color="000000"/>
          <w:bdr w:val="nil"/>
          <w:lang w:val="en-US" w:eastAsia="en-GB"/>
        </w:rPr>
        <w:tab/>
      </w:r>
      <w:r w:rsidRPr="00723390">
        <w:rPr>
          <w:rFonts w:eastAsia="Arial Unicode MS"/>
          <w:b/>
          <w:bCs/>
          <w:noProof/>
        </w:rPr>
        <w:t xml:space="preserve">Consistency with other </w:t>
      </w:r>
      <w:r w:rsidR="000129DF">
        <w:rPr>
          <w:rFonts w:eastAsia="Arial Unicode MS"/>
          <w:b/>
          <w:bCs/>
          <w:noProof/>
        </w:rPr>
        <w:t>E</w:t>
      </w:r>
      <w:r w:rsidRPr="00723390">
        <w:rPr>
          <w:rFonts w:eastAsia="Arial Unicode MS"/>
          <w:b/>
          <w:bCs/>
          <w:noProof/>
        </w:rPr>
        <w:t>U policies</w:t>
      </w:r>
    </w:p>
    <w:p w14:paraId="5CF398D0" w14:textId="77777777" w:rsidR="009E0D0A" w:rsidRPr="008F3348" w:rsidRDefault="009002EC" w:rsidP="009E0D0A">
      <w:pPr>
        <w:pBdr>
          <w:top w:val="nil"/>
          <w:left w:val="nil"/>
          <w:bottom w:val="nil"/>
          <w:right w:val="nil"/>
          <w:between w:val="nil"/>
          <w:bar w:val="nil"/>
        </w:pBdr>
        <w:spacing w:before="0" w:after="240"/>
        <w:rPr>
          <w:noProof/>
        </w:rPr>
      </w:pPr>
      <w:r>
        <w:rPr>
          <w:noProof/>
        </w:rPr>
        <w:t xml:space="preserve">The proposal is fully consistent with and will contribute to </w:t>
      </w:r>
      <w:r w:rsidR="23EFE7B8">
        <w:rPr>
          <w:noProof/>
        </w:rPr>
        <w:t>support</w:t>
      </w:r>
      <w:r w:rsidR="002C1FEB">
        <w:rPr>
          <w:noProof/>
        </w:rPr>
        <w:t xml:space="preserve"> the good functioning of </w:t>
      </w:r>
      <w:r w:rsidR="009E0D0A" w:rsidRPr="008F3348">
        <w:rPr>
          <w:noProof/>
        </w:rPr>
        <w:t xml:space="preserve">the </w:t>
      </w:r>
      <w:r w:rsidR="003D3868">
        <w:rPr>
          <w:noProof/>
        </w:rPr>
        <w:t>CMU</w:t>
      </w:r>
      <w:r w:rsidR="009E0D0A" w:rsidRPr="008F3348">
        <w:rPr>
          <w:noProof/>
        </w:rPr>
        <w:t xml:space="preserve">. </w:t>
      </w:r>
      <w:r w:rsidR="30F80E02">
        <w:rPr>
          <w:noProof/>
        </w:rPr>
        <w:t>T</w:t>
      </w:r>
      <w:r w:rsidR="00BF71D1">
        <w:rPr>
          <w:noProof/>
        </w:rPr>
        <w:t xml:space="preserve">he </w:t>
      </w:r>
      <w:r w:rsidR="009E0D0A" w:rsidRPr="008F3348">
        <w:rPr>
          <w:noProof/>
        </w:rPr>
        <w:t>CMU</w:t>
      </w:r>
      <w:r w:rsidR="14BC7AEC">
        <w:rPr>
          <w:noProof/>
        </w:rPr>
        <w:t xml:space="preserve"> </w:t>
      </w:r>
      <w:r w:rsidR="003D3868">
        <w:rPr>
          <w:noProof/>
        </w:rPr>
        <w:t>seeks</w:t>
      </w:r>
      <w:r w:rsidR="003D3868" w:rsidRPr="008F3348">
        <w:rPr>
          <w:noProof/>
        </w:rPr>
        <w:t xml:space="preserve"> </w:t>
      </w:r>
      <w:r w:rsidR="009E0D0A" w:rsidRPr="008F3348">
        <w:rPr>
          <w:noProof/>
        </w:rPr>
        <w:t xml:space="preserve">to </w:t>
      </w:r>
      <w:r w:rsidR="000E31E4">
        <w:rPr>
          <w:noProof/>
        </w:rPr>
        <w:t>make</w:t>
      </w:r>
      <w:r w:rsidR="000E31E4" w:rsidRPr="008F3348">
        <w:rPr>
          <w:noProof/>
        </w:rPr>
        <w:t xml:space="preserve"> </w:t>
      </w:r>
      <w:r w:rsidR="009E0D0A" w:rsidRPr="008F3348">
        <w:rPr>
          <w:noProof/>
        </w:rPr>
        <w:t xml:space="preserve">financing more accessible to EU </w:t>
      </w:r>
      <w:r w:rsidR="254C3CF8">
        <w:rPr>
          <w:noProof/>
        </w:rPr>
        <w:t xml:space="preserve">companies, to facilitate investment by individuals and firms, </w:t>
      </w:r>
      <w:r w:rsidR="009E0D0A" w:rsidRPr="008F3348">
        <w:rPr>
          <w:noProof/>
        </w:rPr>
        <w:t xml:space="preserve">and to </w:t>
      </w:r>
      <w:r w:rsidR="5C478AFD">
        <w:rPr>
          <w:noProof/>
        </w:rPr>
        <w:t>integrat</w:t>
      </w:r>
      <w:r w:rsidR="389636F8">
        <w:rPr>
          <w:noProof/>
        </w:rPr>
        <w:t>e</w:t>
      </w:r>
      <w:r w:rsidR="009E0D0A" w:rsidRPr="008F3348">
        <w:rPr>
          <w:noProof/>
        </w:rPr>
        <w:t xml:space="preserve"> national capital markets into a genuine single market. </w:t>
      </w:r>
      <w:r w:rsidR="038416D0">
        <w:rPr>
          <w:noProof/>
        </w:rPr>
        <w:t xml:space="preserve">Divergent, burdensome and lengthy WHT procedures lead to considerable costs that dissuade </w:t>
      </w:r>
      <w:r w:rsidR="009E0D0A" w:rsidRPr="008F3348">
        <w:rPr>
          <w:noProof/>
        </w:rPr>
        <w:t>cross-border investment</w:t>
      </w:r>
      <w:r w:rsidR="4E71F6A7">
        <w:rPr>
          <w:noProof/>
        </w:rPr>
        <w:t xml:space="preserve"> and undermine the CMU</w:t>
      </w:r>
      <w:r w:rsidR="5C478AFD">
        <w:rPr>
          <w:noProof/>
        </w:rPr>
        <w:t>.</w:t>
      </w:r>
      <w:r w:rsidR="009E0D0A" w:rsidRPr="008F3348">
        <w:rPr>
          <w:noProof/>
        </w:rPr>
        <w:t xml:space="preserve"> </w:t>
      </w:r>
      <w:r w:rsidR="7A674ACE">
        <w:rPr>
          <w:noProof/>
        </w:rPr>
        <w:t>M</w:t>
      </w:r>
      <w:r w:rsidR="5C478AFD">
        <w:rPr>
          <w:noProof/>
        </w:rPr>
        <w:t>aking</w:t>
      </w:r>
      <w:r w:rsidR="009E0D0A" w:rsidRPr="008F3348">
        <w:rPr>
          <w:noProof/>
        </w:rPr>
        <w:t xml:space="preserve"> </w:t>
      </w:r>
      <w:r w:rsidR="00313918">
        <w:rPr>
          <w:noProof/>
        </w:rPr>
        <w:t>WHT</w:t>
      </w:r>
      <w:r w:rsidR="009E0D0A" w:rsidRPr="008F3348">
        <w:rPr>
          <w:noProof/>
        </w:rPr>
        <w:t xml:space="preserve"> procedures </w:t>
      </w:r>
      <w:r w:rsidR="396E6D2E">
        <w:rPr>
          <w:noProof/>
        </w:rPr>
        <w:t xml:space="preserve">faster, </w:t>
      </w:r>
      <w:r w:rsidR="009E0D0A" w:rsidRPr="008F3348">
        <w:rPr>
          <w:noProof/>
        </w:rPr>
        <w:t xml:space="preserve">more </w:t>
      </w:r>
      <w:r w:rsidR="5C478AFD">
        <w:rPr>
          <w:noProof/>
        </w:rPr>
        <w:t>eff</w:t>
      </w:r>
      <w:r w:rsidR="0D16DBD9">
        <w:rPr>
          <w:noProof/>
        </w:rPr>
        <w:t>icient</w:t>
      </w:r>
      <w:r w:rsidR="3B3DAA6A">
        <w:rPr>
          <w:noProof/>
        </w:rPr>
        <w:t xml:space="preserve"> and less costly</w:t>
      </w:r>
      <w:r w:rsidR="28359199">
        <w:rPr>
          <w:noProof/>
        </w:rPr>
        <w:t xml:space="preserve">, </w:t>
      </w:r>
      <w:r w:rsidR="18D19078">
        <w:rPr>
          <w:noProof/>
        </w:rPr>
        <w:t>will support cross-border investment and contribute to building a true single market for capital in the EU</w:t>
      </w:r>
      <w:r w:rsidR="5C478AFD">
        <w:rPr>
          <w:noProof/>
        </w:rPr>
        <w:t>.</w:t>
      </w:r>
      <w:r w:rsidR="009E0D0A" w:rsidRPr="008F3348">
        <w:rPr>
          <w:noProof/>
        </w:rPr>
        <w:t xml:space="preserve"> </w:t>
      </w:r>
    </w:p>
    <w:p w14:paraId="083A572E" w14:textId="43DA4744" w:rsidR="003962D4" w:rsidRDefault="003962D4" w:rsidP="003962D4">
      <w:pPr>
        <w:pBdr>
          <w:top w:val="nil"/>
          <w:left w:val="nil"/>
          <w:bottom w:val="nil"/>
          <w:right w:val="nil"/>
          <w:between w:val="nil"/>
          <w:bar w:val="nil"/>
        </w:pBdr>
        <w:spacing w:before="0" w:after="240"/>
        <w:rPr>
          <w:noProof/>
        </w:rPr>
      </w:pPr>
      <w:r>
        <w:rPr>
          <w:noProof/>
        </w:rPr>
        <w:t>By addressing a key barrier to cross-border investment by retail investors, this proposal complements the Retail Investment Strategy that was adopted on 24 May 2023</w:t>
      </w:r>
      <w:r w:rsidRPr="7BA2523B">
        <w:rPr>
          <w:rStyle w:val="FootnoteReference"/>
          <w:noProof/>
        </w:rPr>
        <w:footnoteReference w:id="21"/>
      </w:r>
      <w:r>
        <w:rPr>
          <w:noProof/>
        </w:rPr>
        <w:t xml:space="preserve"> to empower consumers to take full advantage </w:t>
      </w:r>
      <w:r w:rsidR="0097109C">
        <w:rPr>
          <w:noProof/>
        </w:rPr>
        <w:t xml:space="preserve">of </w:t>
      </w:r>
      <w:r>
        <w:rPr>
          <w:noProof/>
        </w:rPr>
        <w:t>EU capital markets.</w:t>
      </w:r>
    </w:p>
    <w:p w14:paraId="412F3D9A" w14:textId="77777777" w:rsidR="009E0D0A" w:rsidRPr="008F3348" w:rsidRDefault="009E0D0A" w:rsidP="009E0D0A">
      <w:pPr>
        <w:pBdr>
          <w:top w:val="nil"/>
          <w:left w:val="nil"/>
          <w:bottom w:val="nil"/>
          <w:right w:val="nil"/>
          <w:between w:val="nil"/>
          <w:bar w:val="nil"/>
        </w:pBdr>
        <w:spacing w:before="0" w:after="240"/>
        <w:rPr>
          <w:noProof/>
        </w:rPr>
      </w:pPr>
      <w:r w:rsidRPr="008F3348">
        <w:rPr>
          <w:noProof/>
        </w:rPr>
        <w:t>This Directive also complements the Shareholders Rights Directive</w:t>
      </w:r>
      <w:r w:rsidR="00297E62">
        <w:rPr>
          <w:rStyle w:val="FootnoteReference"/>
          <w:noProof/>
        </w:rPr>
        <w:footnoteReference w:id="22"/>
      </w:r>
      <w:r w:rsidRPr="008F3348">
        <w:rPr>
          <w:noProof/>
        </w:rPr>
        <w:t xml:space="preserve"> (SRD) </w:t>
      </w:r>
      <w:r w:rsidR="000D0E29">
        <w:rPr>
          <w:noProof/>
        </w:rPr>
        <w:t>as they both</w:t>
      </w:r>
      <w:r w:rsidR="000D0E29" w:rsidRPr="008F3348">
        <w:rPr>
          <w:noProof/>
        </w:rPr>
        <w:t xml:space="preserve"> </w:t>
      </w:r>
      <w:r w:rsidRPr="008F3348">
        <w:rPr>
          <w:noProof/>
        </w:rPr>
        <w:t>shar</w:t>
      </w:r>
      <w:r w:rsidR="000D0E29">
        <w:rPr>
          <w:noProof/>
        </w:rPr>
        <w:t>e</w:t>
      </w:r>
      <w:r w:rsidRPr="008F3348">
        <w:rPr>
          <w:noProof/>
        </w:rPr>
        <w:t xml:space="preserve"> the aim of </w:t>
      </w:r>
      <w:r w:rsidR="003D3868">
        <w:rPr>
          <w:noProof/>
        </w:rPr>
        <w:t>requiring</w:t>
      </w:r>
      <w:r w:rsidR="003D3868" w:rsidRPr="008F3348">
        <w:rPr>
          <w:noProof/>
        </w:rPr>
        <w:t xml:space="preserve"> </w:t>
      </w:r>
      <w:r w:rsidRPr="008F3348">
        <w:rPr>
          <w:noProof/>
        </w:rPr>
        <w:t xml:space="preserve">transparency in relation to the final investor. The SRD facilitates shareholder identification and information flows between the shareholders and the securities issuer. Companies have the right to identify their shareholders and obtain information </w:t>
      </w:r>
      <w:r w:rsidR="003D3868">
        <w:rPr>
          <w:noProof/>
        </w:rPr>
        <w:t>o</w:t>
      </w:r>
      <w:r w:rsidRPr="008F3348">
        <w:rPr>
          <w:noProof/>
        </w:rPr>
        <w:t>n shareholder</w:t>
      </w:r>
      <w:r w:rsidR="003D3868">
        <w:rPr>
          <w:noProof/>
        </w:rPr>
        <w:t>s’</w:t>
      </w:r>
      <w:r w:rsidRPr="008F3348">
        <w:rPr>
          <w:noProof/>
        </w:rPr>
        <w:t xml:space="preserve"> identity from any intermediary who holds that information. </w:t>
      </w:r>
    </w:p>
    <w:p w14:paraId="4C5B1822" w14:textId="77777777" w:rsidR="00977CF6" w:rsidRPr="00723390" w:rsidRDefault="00977CF6" w:rsidP="000430BD">
      <w:pPr>
        <w:pStyle w:val="ManualHeading1"/>
        <w:rPr>
          <w:noProof/>
        </w:rPr>
      </w:pPr>
      <w:r w:rsidRPr="00723390">
        <w:rPr>
          <w:noProof/>
        </w:rPr>
        <w:t>2.</w:t>
      </w:r>
      <w:r w:rsidRPr="00723390">
        <w:rPr>
          <w:noProof/>
        </w:rPr>
        <w:tab/>
        <w:t>LEGAL BASIS, SUBSIDIARITY AND PROPORTIONALITY</w:t>
      </w:r>
    </w:p>
    <w:p w14:paraId="5DB9AC5D" w14:textId="77777777" w:rsidR="00977CF6" w:rsidRPr="00723390" w:rsidRDefault="00977CF6" w:rsidP="000430BD">
      <w:pPr>
        <w:pStyle w:val="ManualHeading2"/>
        <w:rPr>
          <w:rFonts w:eastAsia="Arial Unicode MS"/>
          <w:noProof/>
          <w:u w:color="000000"/>
          <w:bdr w:val="nil"/>
          <w:lang w:val="en-US" w:eastAsia="en-GB"/>
        </w:rPr>
      </w:pPr>
      <w:r w:rsidRPr="00723390">
        <w:rPr>
          <w:rFonts w:eastAsia="Arial Unicode MS"/>
          <w:noProof/>
          <w:u w:color="000000"/>
          <w:bdr w:val="nil"/>
          <w:lang w:val="en-US" w:eastAsia="en-GB"/>
        </w:rPr>
        <w:t>•</w:t>
      </w:r>
      <w:r w:rsidRPr="00723390">
        <w:rPr>
          <w:rFonts w:eastAsia="Arial Unicode MS"/>
          <w:noProof/>
          <w:u w:color="000000"/>
          <w:bdr w:val="nil"/>
          <w:lang w:val="en-US" w:eastAsia="en-GB"/>
        </w:rPr>
        <w:tab/>
        <w:t>Legal basis</w:t>
      </w:r>
    </w:p>
    <w:p w14:paraId="371647B9" w14:textId="77777777" w:rsidR="00977CF6" w:rsidRPr="00723390" w:rsidRDefault="00F74AEC" w:rsidP="000430BD">
      <w:pPr>
        <w:pBdr>
          <w:top w:val="nil"/>
          <w:left w:val="nil"/>
          <w:bottom w:val="nil"/>
          <w:right w:val="nil"/>
          <w:between w:val="nil"/>
          <w:bar w:val="nil"/>
        </w:pBdr>
        <w:spacing w:before="0" w:after="240"/>
        <w:rPr>
          <w:rFonts w:eastAsia="Arial Unicode MS"/>
          <w:noProof/>
        </w:rPr>
      </w:pPr>
      <w:r w:rsidRPr="00D44B37">
        <w:rPr>
          <w:noProof/>
        </w:rPr>
        <w:t xml:space="preserve">The legal basis for legislative initiatives on taxation is </w:t>
      </w:r>
      <w:r w:rsidR="009E0D0A" w:rsidRPr="008F3348">
        <w:rPr>
          <w:noProof/>
        </w:rPr>
        <w:t xml:space="preserve">Article 115 of the Treaty on the Functioning of the European Union (TFEU). Although no explicit reference to direct taxation is made </w:t>
      </w:r>
      <w:r>
        <w:rPr>
          <w:noProof/>
        </w:rPr>
        <w:t>in this a</w:t>
      </w:r>
      <w:r w:rsidR="009E0D0A" w:rsidRPr="008F3348">
        <w:rPr>
          <w:noProof/>
        </w:rPr>
        <w:t>rticle</w:t>
      </w:r>
      <w:r>
        <w:rPr>
          <w:noProof/>
        </w:rPr>
        <w:t>, it does</w:t>
      </w:r>
      <w:r w:rsidR="009E0D0A" w:rsidRPr="008F3348">
        <w:rPr>
          <w:noProof/>
        </w:rPr>
        <w:t xml:space="preserve"> refer to issuing directives for approximati</w:t>
      </w:r>
      <w:r>
        <w:rPr>
          <w:noProof/>
        </w:rPr>
        <w:t>ng</w:t>
      </w:r>
      <w:r w:rsidR="009E0D0A" w:rsidRPr="008F3348">
        <w:rPr>
          <w:noProof/>
        </w:rPr>
        <w:t xml:space="preserve"> national laws that directly affect the establishment or functioning of the </w:t>
      </w:r>
      <w:r>
        <w:rPr>
          <w:noProof/>
        </w:rPr>
        <w:t>single</w:t>
      </w:r>
      <w:r w:rsidR="009E0D0A" w:rsidRPr="008F3348">
        <w:rPr>
          <w:noProof/>
        </w:rPr>
        <w:t xml:space="preserve"> market. It follows that, under Article 115 TFEU, directives are the appropriate legal instrument for the </w:t>
      </w:r>
      <w:r>
        <w:rPr>
          <w:noProof/>
        </w:rPr>
        <w:t>E</w:t>
      </w:r>
      <w:r w:rsidR="009E0D0A" w:rsidRPr="008F3348">
        <w:rPr>
          <w:noProof/>
        </w:rPr>
        <w:t xml:space="preserve">U in this field. Based on Article 288 TFEU, directives </w:t>
      </w:r>
      <w:r>
        <w:rPr>
          <w:noProof/>
        </w:rPr>
        <w:t>wi</w:t>
      </w:r>
      <w:r w:rsidR="009E0D0A" w:rsidRPr="008F3348">
        <w:rPr>
          <w:noProof/>
        </w:rPr>
        <w:t>ll be binding as to the result to be achieved upon Member States but leave the choice of form and methods to the national authorities.</w:t>
      </w:r>
    </w:p>
    <w:p w14:paraId="6CCA592C" w14:textId="77777777" w:rsidR="00977CF6" w:rsidRPr="00723390" w:rsidRDefault="00977CF6" w:rsidP="000430BD">
      <w:pPr>
        <w:pStyle w:val="ManualHeading2"/>
        <w:rPr>
          <w:rFonts w:eastAsia="Arial Unicode MS"/>
          <w:noProof/>
          <w:u w:color="000000"/>
          <w:bdr w:val="nil"/>
          <w:lang w:val="en-US" w:eastAsia="en-GB"/>
        </w:rPr>
      </w:pPr>
      <w:r w:rsidRPr="00723390">
        <w:rPr>
          <w:rFonts w:eastAsia="Arial Unicode MS"/>
          <w:noProof/>
          <w:u w:color="000000"/>
          <w:bdr w:val="nil"/>
          <w:lang w:val="en-US" w:eastAsia="en-GB"/>
        </w:rPr>
        <w:t>•</w:t>
      </w:r>
      <w:r w:rsidRPr="00723390">
        <w:rPr>
          <w:rFonts w:eastAsia="Arial Unicode MS"/>
          <w:noProof/>
          <w:u w:color="000000"/>
          <w:bdr w:val="nil"/>
          <w:lang w:val="en-US" w:eastAsia="en-GB"/>
        </w:rPr>
        <w:tab/>
        <w:t xml:space="preserve">Subsidiarity (for non-exclusive competence) </w:t>
      </w:r>
    </w:p>
    <w:p w14:paraId="29CBEC70" w14:textId="77777777" w:rsidR="009E0D0A" w:rsidRPr="008F3348" w:rsidRDefault="009E0D0A" w:rsidP="009E0D0A">
      <w:pPr>
        <w:pBdr>
          <w:top w:val="nil"/>
          <w:left w:val="nil"/>
          <w:bottom w:val="nil"/>
          <w:right w:val="nil"/>
          <w:between w:val="nil"/>
          <w:bar w:val="nil"/>
        </w:pBdr>
        <w:spacing w:before="0" w:after="240"/>
        <w:rPr>
          <w:noProof/>
        </w:rPr>
      </w:pPr>
      <w:r w:rsidRPr="008F3348">
        <w:rPr>
          <w:noProof/>
        </w:rPr>
        <w:t xml:space="preserve">This proposal complies with the principle of subsidiarity as set out in Article 5 </w:t>
      </w:r>
      <w:r w:rsidR="00297E62">
        <w:rPr>
          <w:noProof/>
        </w:rPr>
        <w:t xml:space="preserve">of the </w:t>
      </w:r>
      <w:r w:rsidRPr="008F3348">
        <w:rPr>
          <w:noProof/>
        </w:rPr>
        <w:t xml:space="preserve">Treaty on European Union (TEU). The cross-border nature of the problem at stake requires a common initiative across the </w:t>
      </w:r>
      <w:r w:rsidR="00F74AEC">
        <w:rPr>
          <w:noProof/>
        </w:rPr>
        <w:t>single</w:t>
      </w:r>
      <w:r w:rsidRPr="008F3348">
        <w:rPr>
          <w:noProof/>
        </w:rPr>
        <w:t xml:space="preserve"> market. </w:t>
      </w:r>
    </w:p>
    <w:p w14:paraId="0F3A5D7B" w14:textId="77777777" w:rsidR="009E0D0A" w:rsidRPr="008F3348" w:rsidRDefault="002E5771" w:rsidP="009E0D0A">
      <w:pPr>
        <w:pBdr>
          <w:top w:val="nil"/>
          <w:left w:val="nil"/>
          <w:bottom w:val="nil"/>
          <w:right w:val="nil"/>
          <w:between w:val="nil"/>
          <w:bar w:val="nil"/>
        </w:pBdr>
        <w:spacing w:before="0" w:after="240"/>
        <w:rPr>
          <w:noProof/>
        </w:rPr>
      </w:pPr>
      <w:r w:rsidRPr="008F3348">
        <w:rPr>
          <w:noProof/>
        </w:rPr>
        <w:t xml:space="preserve">The source of the </w:t>
      </w:r>
      <w:r w:rsidR="00E26FEF">
        <w:rPr>
          <w:noProof/>
        </w:rPr>
        <w:t>problem</w:t>
      </w:r>
      <w:r w:rsidRPr="008F3348">
        <w:rPr>
          <w:noProof/>
        </w:rPr>
        <w:t xml:space="preserve"> </w:t>
      </w:r>
      <w:r w:rsidR="007C3096">
        <w:rPr>
          <w:noProof/>
        </w:rPr>
        <w:t xml:space="preserve">stems </w:t>
      </w:r>
      <w:r>
        <w:rPr>
          <w:noProof/>
        </w:rPr>
        <w:t>mainly</w:t>
      </w:r>
      <w:r w:rsidRPr="008F3348">
        <w:rPr>
          <w:noProof/>
        </w:rPr>
        <w:t xml:space="preserve"> </w:t>
      </w:r>
      <w:r w:rsidR="007C3096">
        <w:rPr>
          <w:noProof/>
        </w:rPr>
        <w:t>from</w:t>
      </w:r>
      <w:r w:rsidR="007C3096" w:rsidRPr="008F3348">
        <w:rPr>
          <w:noProof/>
        </w:rPr>
        <w:t xml:space="preserve"> </w:t>
      </w:r>
      <w:r w:rsidRPr="008F3348">
        <w:rPr>
          <w:noProof/>
        </w:rPr>
        <w:t xml:space="preserve">the fact that </w:t>
      </w:r>
      <w:r w:rsidR="00C70D47">
        <w:rPr>
          <w:noProof/>
        </w:rPr>
        <w:t>a</w:t>
      </w:r>
      <w:r w:rsidRPr="008F3348">
        <w:rPr>
          <w:noProof/>
        </w:rPr>
        <w:t xml:space="preserve">mong those Member States that levy </w:t>
      </w:r>
      <w:r>
        <w:rPr>
          <w:noProof/>
        </w:rPr>
        <w:t>withholding taxes</w:t>
      </w:r>
      <w:r w:rsidRPr="008F3348">
        <w:rPr>
          <w:noProof/>
        </w:rPr>
        <w:t xml:space="preserve"> </w:t>
      </w:r>
      <w:r>
        <w:rPr>
          <w:noProof/>
        </w:rPr>
        <w:t xml:space="preserve">on </w:t>
      </w:r>
      <w:r w:rsidRPr="008F3348">
        <w:rPr>
          <w:noProof/>
        </w:rPr>
        <w:t xml:space="preserve">dividend </w:t>
      </w:r>
      <w:r>
        <w:rPr>
          <w:noProof/>
        </w:rPr>
        <w:t xml:space="preserve">or interest </w:t>
      </w:r>
      <w:r w:rsidRPr="008F3348">
        <w:rPr>
          <w:noProof/>
        </w:rPr>
        <w:t>payments</w:t>
      </w:r>
      <w:r>
        <w:rPr>
          <w:noProof/>
        </w:rPr>
        <w:t xml:space="preserve">, different systems are being applied to provide for relief of </w:t>
      </w:r>
      <w:r w:rsidR="00E26FEF">
        <w:rPr>
          <w:noProof/>
        </w:rPr>
        <w:t xml:space="preserve">excess </w:t>
      </w:r>
      <w:r>
        <w:rPr>
          <w:noProof/>
        </w:rPr>
        <w:t>taxation in cross-border situations.</w:t>
      </w:r>
      <w:r w:rsidRPr="008F3348">
        <w:rPr>
          <w:noProof/>
        </w:rPr>
        <w:t xml:space="preserve"> </w:t>
      </w:r>
      <w:r>
        <w:rPr>
          <w:noProof/>
        </w:rPr>
        <w:t xml:space="preserve">The following systems are being used </w:t>
      </w:r>
      <w:r w:rsidR="00E26FEF">
        <w:rPr>
          <w:noProof/>
        </w:rPr>
        <w:t xml:space="preserve">and </w:t>
      </w:r>
      <w:r>
        <w:rPr>
          <w:noProof/>
        </w:rPr>
        <w:t>different thresholds or different requirements</w:t>
      </w:r>
      <w:r w:rsidR="00E26FEF">
        <w:rPr>
          <w:noProof/>
        </w:rPr>
        <w:t xml:space="preserve"> may apply in different Member States</w:t>
      </w:r>
      <w:r w:rsidR="000E31E4">
        <w:rPr>
          <w:noProof/>
        </w:rPr>
        <w:t xml:space="preserve">: </w:t>
      </w:r>
      <w:r w:rsidRPr="008F3348">
        <w:rPr>
          <w:noProof/>
        </w:rPr>
        <w:t xml:space="preserve">relief at source </w:t>
      </w:r>
      <w:r>
        <w:rPr>
          <w:noProof/>
        </w:rPr>
        <w:t xml:space="preserve">system, </w:t>
      </w:r>
      <w:r w:rsidRPr="008F3348">
        <w:rPr>
          <w:noProof/>
        </w:rPr>
        <w:t xml:space="preserve">quick </w:t>
      </w:r>
      <w:r>
        <w:rPr>
          <w:noProof/>
        </w:rPr>
        <w:t xml:space="preserve">refund system, the </w:t>
      </w:r>
      <w:r w:rsidRPr="008F3348">
        <w:rPr>
          <w:noProof/>
        </w:rPr>
        <w:t>standard refund system</w:t>
      </w:r>
      <w:r>
        <w:rPr>
          <w:noProof/>
        </w:rPr>
        <w:t xml:space="preserve"> or a combination thereof.</w:t>
      </w:r>
    </w:p>
    <w:p w14:paraId="4D20F486" w14:textId="77777777" w:rsidR="009E0D0A" w:rsidRPr="008F3348" w:rsidRDefault="008D10E7" w:rsidP="009E0D0A">
      <w:pPr>
        <w:pBdr>
          <w:top w:val="nil"/>
          <w:left w:val="nil"/>
          <w:bottom w:val="nil"/>
          <w:right w:val="nil"/>
          <w:between w:val="nil"/>
          <w:bar w:val="nil"/>
        </w:pBdr>
        <w:spacing w:before="0" w:after="240"/>
        <w:rPr>
          <w:noProof/>
        </w:rPr>
      </w:pPr>
      <w:r>
        <w:rPr>
          <w:noProof/>
        </w:rPr>
        <w:t>Maintaining</w:t>
      </w:r>
      <w:r w:rsidR="009E0D0A" w:rsidRPr="008F3348">
        <w:rPr>
          <w:noProof/>
        </w:rPr>
        <w:t xml:space="preserve"> an increasingly fragmented framework of WHT</w:t>
      </w:r>
      <w:r w:rsidR="00074854">
        <w:rPr>
          <w:noProof/>
        </w:rPr>
        <w:t xml:space="preserve"> procedures </w:t>
      </w:r>
      <w:r w:rsidR="009E0D0A" w:rsidRPr="008F3348">
        <w:rPr>
          <w:noProof/>
        </w:rPr>
        <w:t xml:space="preserve">in the EU </w:t>
      </w:r>
      <w:r w:rsidR="00F74AEC">
        <w:rPr>
          <w:noProof/>
        </w:rPr>
        <w:t>causes</w:t>
      </w:r>
      <w:r w:rsidR="009E0D0A" w:rsidRPr="008F3348">
        <w:rPr>
          <w:noProof/>
        </w:rPr>
        <w:t xml:space="preserve"> high compliance costs for investors and financial intermediaries involved. The prevailing cross-border nature of the issue at stake </w:t>
      </w:r>
      <w:r>
        <w:rPr>
          <w:noProof/>
        </w:rPr>
        <w:t>requires</w:t>
      </w:r>
      <w:r w:rsidR="009E0D0A" w:rsidRPr="008F3348">
        <w:rPr>
          <w:noProof/>
        </w:rPr>
        <w:t xml:space="preserve"> action </w:t>
      </w:r>
      <w:r>
        <w:rPr>
          <w:noProof/>
        </w:rPr>
        <w:t xml:space="preserve">at EU level </w:t>
      </w:r>
      <w:r w:rsidR="009E0D0A" w:rsidRPr="008F3348">
        <w:rPr>
          <w:noProof/>
        </w:rPr>
        <w:t xml:space="preserve">to simplify administrative procedures and reduce compliance costs. </w:t>
      </w:r>
      <w:r>
        <w:rPr>
          <w:noProof/>
        </w:rPr>
        <w:t xml:space="preserve">In </w:t>
      </w:r>
      <w:r w:rsidR="007C3096">
        <w:rPr>
          <w:noProof/>
        </w:rPr>
        <w:t>the absence</w:t>
      </w:r>
      <w:r>
        <w:rPr>
          <w:noProof/>
        </w:rPr>
        <w:t xml:space="preserve"> of such </w:t>
      </w:r>
      <w:r w:rsidR="007C3096">
        <w:rPr>
          <w:noProof/>
        </w:rPr>
        <w:t xml:space="preserve">an </w:t>
      </w:r>
      <w:r>
        <w:rPr>
          <w:noProof/>
        </w:rPr>
        <w:t>initiative</w:t>
      </w:r>
      <w:r w:rsidR="009E0D0A" w:rsidRPr="008F3348">
        <w:rPr>
          <w:noProof/>
        </w:rPr>
        <w:t xml:space="preserve">, the fragmentation of national WHT procedures </w:t>
      </w:r>
      <w:r>
        <w:rPr>
          <w:noProof/>
        </w:rPr>
        <w:t>impedes</w:t>
      </w:r>
      <w:r w:rsidR="009E0D0A" w:rsidRPr="008F3348">
        <w:rPr>
          <w:noProof/>
        </w:rPr>
        <w:t xml:space="preserve"> the effective functioning of </w:t>
      </w:r>
      <w:r>
        <w:rPr>
          <w:noProof/>
        </w:rPr>
        <w:t xml:space="preserve">relief </w:t>
      </w:r>
      <w:r w:rsidR="009E0D0A" w:rsidRPr="008F3348">
        <w:rPr>
          <w:noProof/>
        </w:rPr>
        <w:t xml:space="preserve">procedures for cross-border operations, </w:t>
      </w:r>
      <w:r>
        <w:rPr>
          <w:noProof/>
        </w:rPr>
        <w:t xml:space="preserve">and subsequently </w:t>
      </w:r>
      <w:r w:rsidR="009E0D0A" w:rsidRPr="008F3348">
        <w:rPr>
          <w:noProof/>
        </w:rPr>
        <w:t xml:space="preserve">the proper functioning of the </w:t>
      </w:r>
      <w:r w:rsidR="00F74AEC">
        <w:rPr>
          <w:noProof/>
        </w:rPr>
        <w:t>single</w:t>
      </w:r>
      <w:r w:rsidR="009E0D0A" w:rsidRPr="008F3348">
        <w:rPr>
          <w:noProof/>
        </w:rPr>
        <w:t xml:space="preserve"> market. Therefore, EU action is required to level the playing field for national and foreign investors and for domestic and </w:t>
      </w:r>
      <w:r w:rsidR="00CF7DD0">
        <w:rPr>
          <w:noProof/>
        </w:rPr>
        <w:t>non-resident</w:t>
      </w:r>
      <w:r w:rsidR="00CF7DD0" w:rsidRPr="008F3348">
        <w:rPr>
          <w:noProof/>
        </w:rPr>
        <w:t xml:space="preserve"> </w:t>
      </w:r>
      <w:r w:rsidR="009E0D0A" w:rsidRPr="008F3348">
        <w:rPr>
          <w:noProof/>
        </w:rPr>
        <w:t xml:space="preserve">intermediaries alike. </w:t>
      </w:r>
    </w:p>
    <w:p w14:paraId="0451A568" w14:textId="77777777" w:rsidR="009E0D0A" w:rsidRPr="008F3348" w:rsidRDefault="009E0D0A" w:rsidP="009E0D0A">
      <w:pPr>
        <w:pBdr>
          <w:top w:val="nil"/>
          <w:left w:val="nil"/>
          <w:bottom w:val="nil"/>
          <w:right w:val="nil"/>
          <w:between w:val="nil"/>
          <w:bar w:val="nil"/>
        </w:pBdr>
        <w:spacing w:before="0" w:after="240"/>
        <w:rPr>
          <w:noProof/>
        </w:rPr>
      </w:pPr>
      <w:r w:rsidRPr="008F3348">
        <w:rPr>
          <w:noProof/>
        </w:rPr>
        <w:t xml:space="preserve">The initiative also aims to respond to the recommendations </w:t>
      </w:r>
      <w:r w:rsidR="008D10E7">
        <w:rPr>
          <w:noProof/>
        </w:rPr>
        <w:t>made</w:t>
      </w:r>
      <w:r w:rsidRPr="008F3348">
        <w:rPr>
          <w:noProof/>
        </w:rPr>
        <w:t xml:space="preserve"> by ESMA in the ‘Final report </w:t>
      </w:r>
      <w:r w:rsidR="00F74AEC">
        <w:rPr>
          <w:noProof/>
        </w:rPr>
        <w:t>o</w:t>
      </w:r>
      <w:r w:rsidRPr="008F3348">
        <w:rPr>
          <w:noProof/>
        </w:rPr>
        <w:t xml:space="preserve">n Cum/Ex, Cum/Cum and withholding tax reclaim schemes’ which concluded that specific action </w:t>
      </w:r>
      <w:r w:rsidR="00F74AEC">
        <w:rPr>
          <w:noProof/>
        </w:rPr>
        <w:t>on taxation would be needed</w:t>
      </w:r>
      <w:r w:rsidRPr="008F3348">
        <w:rPr>
          <w:noProof/>
        </w:rPr>
        <w:t xml:space="preserve"> at EU level </w:t>
      </w:r>
      <w:r w:rsidR="00CF7DD0">
        <w:rPr>
          <w:noProof/>
        </w:rPr>
        <w:t xml:space="preserve">to effectively fight </w:t>
      </w:r>
      <w:r w:rsidR="00E41A9B">
        <w:rPr>
          <w:noProof/>
        </w:rPr>
        <w:t xml:space="preserve">fraud and </w:t>
      </w:r>
      <w:r w:rsidR="00CF7DD0">
        <w:rPr>
          <w:noProof/>
        </w:rPr>
        <w:t>abuse</w:t>
      </w:r>
      <w:r w:rsidRPr="008F3348">
        <w:rPr>
          <w:noProof/>
        </w:rPr>
        <w:t xml:space="preserve">. </w:t>
      </w:r>
    </w:p>
    <w:p w14:paraId="4B432966" w14:textId="77777777" w:rsidR="00977CF6" w:rsidRPr="00723390" w:rsidRDefault="00CF7DD0" w:rsidP="009E0D0A">
      <w:pPr>
        <w:pBdr>
          <w:top w:val="nil"/>
          <w:left w:val="nil"/>
          <w:bottom w:val="nil"/>
          <w:right w:val="nil"/>
          <w:between w:val="nil"/>
          <w:bar w:val="nil"/>
        </w:pBdr>
        <w:spacing w:before="0" w:after="240"/>
        <w:rPr>
          <w:rFonts w:eastAsia="Arial Unicode MS"/>
          <w:noProof/>
        </w:rPr>
      </w:pPr>
      <w:r>
        <w:rPr>
          <w:noProof/>
        </w:rPr>
        <w:t>A</w:t>
      </w:r>
      <w:r w:rsidR="009E0D0A" w:rsidRPr="008F3348">
        <w:rPr>
          <w:noProof/>
        </w:rPr>
        <w:t xml:space="preserve"> legislative </w:t>
      </w:r>
      <w:r w:rsidR="008D10E7">
        <w:rPr>
          <w:noProof/>
        </w:rPr>
        <w:t>initiative</w:t>
      </w:r>
      <w:r w:rsidR="008D10E7" w:rsidRPr="008F3348">
        <w:rPr>
          <w:noProof/>
        </w:rPr>
        <w:t xml:space="preserve"> </w:t>
      </w:r>
      <w:r w:rsidR="009E0D0A" w:rsidRPr="008F3348">
        <w:rPr>
          <w:noProof/>
        </w:rPr>
        <w:t xml:space="preserve">is therefore in accordance with the principle of subsidiarity, as set out in Article 5 of the Treaty on the European Union. </w:t>
      </w:r>
    </w:p>
    <w:p w14:paraId="6A9804BF" w14:textId="77777777" w:rsidR="00977CF6" w:rsidRPr="00723390" w:rsidRDefault="00977CF6" w:rsidP="000430BD">
      <w:pPr>
        <w:pStyle w:val="ManualHeading2"/>
        <w:rPr>
          <w:rFonts w:eastAsia="Arial Unicode MS"/>
          <w:noProof/>
          <w:u w:color="000000"/>
          <w:bdr w:val="nil"/>
          <w:lang w:val="en-US" w:eastAsia="en-GB"/>
        </w:rPr>
      </w:pPr>
      <w:r w:rsidRPr="00723390">
        <w:rPr>
          <w:rFonts w:eastAsia="Arial Unicode MS"/>
          <w:noProof/>
          <w:u w:color="000000"/>
          <w:bdr w:val="nil"/>
          <w:lang w:val="en-US" w:eastAsia="en-GB"/>
        </w:rPr>
        <w:t>•</w:t>
      </w:r>
      <w:r w:rsidRPr="00723390">
        <w:rPr>
          <w:rFonts w:eastAsia="Arial Unicode MS"/>
          <w:noProof/>
          <w:u w:color="000000"/>
          <w:bdr w:val="nil"/>
          <w:lang w:val="en-US" w:eastAsia="en-GB"/>
        </w:rPr>
        <w:tab/>
        <w:t>Proportionality</w:t>
      </w:r>
    </w:p>
    <w:p w14:paraId="64FAF34B" w14:textId="77777777" w:rsidR="009E0D0A" w:rsidRPr="008F3348" w:rsidRDefault="009E0D0A" w:rsidP="009E0D0A">
      <w:pPr>
        <w:pBdr>
          <w:top w:val="nil"/>
          <w:left w:val="nil"/>
          <w:bottom w:val="nil"/>
          <w:right w:val="nil"/>
          <w:between w:val="nil"/>
          <w:bar w:val="nil"/>
        </w:pBdr>
        <w:spacing w:before="0" w:after="240"/>
        <w:rPr>
          <w:noProof/>
        </w:rPr>
      </w:pPr>
      <w:r w:rsidRPr="008F3348">
        <w:rPr>
          <w:noProof/>
        </w:rPr>
        <w:t xml:space="preserve">The envisaged measures do not go beyond the minimum necessary level of protection for the </w:t>
      </w:r>
      <w:r w:rsidR="00F74AEC">
        <w:rPr>
          <w:noProof/>
        </w:rPr>
        <w:t xml:space="preserve">single </w:t>
      </w:r>
      <w:r w:rsidRPr="008F3348">
        <w:rPr>
          <w:noProof/>
        </w:rPr>
        <w:t>market</w:t>
      </w:r>
      <w:r w:rsidR="00830784" w:rsidRPr="00830784">
        <w:rPr>
          <w:noProof/>
        </w:rPr>
        <w:t xml:space="preserve"> and </w:t>
      </w:r>
      <w:r w:rsidR="00830784">
        <w:rPr>
          <w:noProof/>
        </w:rPr>
        <w:t>are</w:t>
      </w:r>
      <w:r w:rsidR="00830784" w:rsidRPr="00830784">
        <w:rPr>
          <w:noProof/>
        </w:rPr>
        <w:t xml:space="preserve"> therefore compliant with the principles of proportionality</w:t>
      </w:r>
      <w:r w:rsidRPr="008F3348">
        <w:rPr>
          <w:noProof/>
        </w:rPr>
        <w:t xml:space="preserve">. The </w:t>
      </w:r>
      <w:r w:rsidR="00A068BB">
        <w:rPr>
          <w:noProof/>
        </w:rPr>
        <w:t>proposal</w:t>
      </w:r>
      <w:r w:rsidRPr="008F3348">
        <w:rPr>
          <w:noProof/>
        </w:rPr>
        <w:t xml:space="preserve"> does not prescribe full </w:t>
      </w:r>
      <w:r w:rsidR="00690A71" w:rsidRPr="008F3348">
        <w:rPr>
          <w:noProof/>
        </w:rPr>
        <w:t>harmoni</w:t>
      </w:r>
      <w:r w:rsidR="00690A71">
        <w:rPr>
          <w:noProof/>
        </w:rPr>
        <w:t>s</w:t>
      </w:r>
      <w:r w:rsidR="00690A71" w:rsidRPr="008F3348">
        <w:rPr>
          <w:noProof/>
        </w:rPr>
        <w:t xml:space="preserve">ation </w:t>
      </w:r>
      <w:r w:rsidRPr="008F3348">
        <w:rPr>
          <w:noProof/>
        </w:rPr>
        <w:t xml:space="preserve">but only </w:t>
      </w:r>
      <w:r w:rsidR="008D10E7">
        <w:rPr>
          <w:noProof/>
        </w:rPr>
        <w:t xml:space="preserve">sets out </w:t>
      </w:r>
      <w:r w:rsidR="00A068BB">
        <w:rPr>
          <w:noProof/>
        </w:rPr>
        <w:t>common features that would enhance the</w:t>
      </w:r>
      <w:r w:rsidRPr="008F3348">
        <w:rPr>
          <w:noProof/>
        </w:rPr>
        <w:t xml:space="preserve"> Member States' </w:t>
      </w:r>
      <w:r w:rsidR="002A15E3">
        <w:rPr>
          <w:noProof/>
        </w:rPr>
        <w:t xml:space="preserve">WHT </w:t>
      </w:r>
      <w:r w:rsidRPr="008F3348">
        <w:rPr>
          <w:noProof/>
        </w:rPr>
        <w:t>systems</w:t>
      </w:r>
      <w:r w:rsidR="00A068BB">
        <w:rPr>
          <w:noProof/>
        </w:rPr>
        <w:t xml:space="preserve"> </w:t>
      </w:r>
      <w:r w:rsidR="00757A52">
        <w:rPr>
          <w:noProof/>
        </w:rPr>
        <w:t xml:space="preserve">and strengthen them against </w:t>
      </w:r>
      <w:r w:rsidR="00E41A9B">
        <w:rPr>
          <w:noProof/>
        </w:rPr>
        <w:t xml:space="preserve">fraud and </w:t>
      </w:r>
      <w:r w:rsidR="00757A52">
        <w:rPr>
          <w:noProof/>
        </w:rPr>
        <w:t>abuse</w:t>
      </w:r>
      <w:r w:rsidRPr="008F3348">
        <w:rPr>
          <w:noProof/>
        </w:rPr>
        <w:t xml:space="preserve">. </w:t>
      </w:r>
    </w:p>
    <w:p w14:paraId="0A547145" w14:textId="77777777" w:rsidR="009E0D0A" w:rsidRPr="008F3348" w:rsidRDefault="009E0D0A" w:rsidP="009E0D0A">
      <w:pPr>
        <w:pBdr>
          <w:top w:val="nil"/>
          <w:left w:val="nil"/>
          <w:bottom w:val="nil"/>
          <w:right w:val="nil"/>
          <w:between w:val="nil"/>
          <w:bar w:val="nil"/>
        </w:pBdr>
        <w:spacing w:before="0" w:after="240"/>
        <w:rPr>
          <w:noProof/>
        </w:rPr>
      </w:pPr>
      <w:r w:rsidRPr="008F3348">
        <w:rPr>
          <w:noProof/>
        </w:rPr>
        <w:t xml:space="preserve">The implementation of a </w:t>
      </w:r>
      <w:r w:rsidR="00EB6C19">
        <w:rPr>
          <w:noProof/>
        </w:rPr>
        <w:t xml:space="preserve">common </w:t>
      </w:r>
      <w:r w:rsidRPr="008F3348">
        <w:rPr>
          <w:noProof/>
        </w:rPr>
        <w:t xml:space="preserve">digital tax residence certificate </w:t>
      </w:r>
      <w:r w:rsidR="00C336E4">
        <w:rPr>
          <w:noProof/>
        </w:rPr>
        <w:t>(eTRC)</w:t>
      </w:r>
      <w:r w:rsidRPr="008F3348">
        <w:rPr>
          <w:noProof/>
        </w:rPr>
        <w:t xml:space="preserve"> </w:t>
      </w:r>
      <w:r w:rsidR="009002EC">
        <w:rPr>
          <w:noProof/>
        </w:rPr>
        <w:t xml:space="preserve">would </w:t>
      </w:r>
      <w:r w:rsidRPr="008F3348">
        <w:rPr>
          <w:noProof/>
        </w:rPr>
        <w:t xml:space="preserve">benefit investors, financial intermediaries and tax administrations. </w:t>
      </w:r>
      <w:r w:rsidR="009115B4">
        <w:rPr>
          <w:noProof/>
        </w:rPr>
        <w:t>The</w:t>
      </w:r>
      <w:r w:rsidR="009115B4" w:rsidRPr="008F3348">
        <w:rPr>
          <w:noProof/>
        </w:rPr>
        <w:t xml:space="preserve"> </w:t>
      </w:r>
      <w:r w:rsidRPr="008F3348">
        <w:rPr>
          <w:noProof/>
        </w:rPr>
        <w:t>current system</w:t>
      </w:r>
      <w:r w:rsidR="008D10E7">
        <w:rPr>
          <w:noProof/>
        </w:rPr>
        <w:t xml:space="preserve">, </w:t>
      </w:r>
      <w:r w:rsidR="00EB6C19">
        <w:rPr>
          <w:noProof/>
        </w:rPr>
        <w:t xml:space="preserve">which is </w:t>
      </w:r>
      <w:r w:rsidR="00EB6C19" w:rsidRPr="008F3348">
        <w:rPr>
          <w:noProof/>
        </w:rPr>
        <w:t>fragmented</w:t>
      </w:r>
      <w:r w:rsidR="00EB6C19">
        <w:rPr>
          <w:noProof/>
        </w:rPr>
        <w:t xml:space="preserve"> and</w:t>
      </w:r>
      <w:r w:rsidRPr="008F3348">
        <w:rPr>
          <w:noProof/>
        </w:rPr>
        <w:t xml:space="preserve"> partly paper-based</w:t>
      </w:r>
      <w:r w:rsidR="00EB6C19">
        <w:rPr>
          <w:noProof/>
        </w:rPr>
        <w:t xml:space="preserve">, </w:t>
      </w:r>
      <w:r w:rsidR="000E31E4">
        <w:rPr>
          <w:noProof/>
        </w:rPr>
        <w:t>will be</w:t>
      </w:r>
      <w:r w:rsidRPr="008F3348">
        <w:rPr>
          <w:noProof/>
        </w:rPr>
        <w:t xml:space="preserve"> replaced by a </w:t>
      </w:r>
      <w:r w:rsidR="008D10E7">
        <w:rPr>
          <w:noProof/>
        </w:rPr>
        <w:t>fully</w:t>
      </w:r>
      <w:r w:rsidR="008D10E7" w:rsidRPr="008F3348">
        <w:rPr>
          <w:noProof/>
        </w:rPr>
        <w:t xml:space="preserve"> </w:t>
      </w:r>
      <w:r w:rsidRPr="008F3348">
        <w:rPr>
          <w:noProof/>
        </w:rPr>
        <w:t xml:space="preserve">digital system. </w:t>
      </w:r>
      <w:r w:rsidR="001B5A28">
        <w:rPr>
          <w:noProof/>
        </w:rPr>
        <w:t>This</w:t>
      </w:r>
      <w:r w:rsidRPr="008F3348">
        <w:rPr>
          <w:noProof/>
        </w:rPr>
        <w:t xml:space="preserve"> w</w:t>
      </w:r>
      <w:r w:rsidR="009002EC">
        <w:rPr>
          <w:noProof/>
        </w:rPr>
        <w:t>ould</w:t>
      </w:r>
      <w:r w:rsidRPr="008F3348">
        <w:rPr>
          <w:noProof/>
        </w:rPr>
        <w:t xml:space="preserve"> increase </w:t>
      </w:r>
      <w:r w:rsidR="002738EE">
        <w:rPr>
          <w:noProof/>
        </w:rPr>
        <w:t xml:space="preserve">the </w:t>
      </w:r>
      <w:r w:rsidRPr="008F3348">
        <w:rPr>
          <w:noProof/>
        </w:rPr>
        <w:t xml:space="preserve">digitalisation of administrative processes </w:t>
      </w:r>
      <w:r w:rsidR="008D10E7">
        <w:rPr>
          <w:noProof/>
        </w:rPr>
        <w:t>in</w:t>
      </w:r>
      <w:r w:rsidR="008D10E7" w:rsidRPr="008F3348">
        <w:rPr>
          <w:noProof/>
        </w:rPr>
        <w:t xml:space="preserve"> </w:t>
      </w:r>
      <w:r w:rsidRPr="008F3348">
        <w:rPr>
          <w:noProof/>
        </w:rPr>
        <w:t xml:space="preserve">Member States and achieve efficiency gains, also enabling </w:t>
      </w:r>
      <w:r w:rsidR="008D10E7">
        <w:rPr>
          <w:noProof/>
        </w:rPr>
        <w:t>financial</w:t>
      </w:r>
      <w:r w:rsidR="008D10E7" w:rsidRPr="008F3348">
        <w:rPr>
          <w:noProof/>
        </w:rPr>
        <w:t xml:space="preserve"> </w:t>
      </w:r>
      <w:r w:rsidRPr="008F3348">
        <w:rPr>
          <w:noProof/>
        </w:rPr>
        <w:t xml:space="preserve">intermediaries to improve their </w:t>
      </w:r>
      <w:r w:rsidR="008D10E7">
        <w:rPr>
          <w:noProof/>
        </w:rPr>
        <w:t xml:space="preserve">own </w:t>
      </w:r>
      <w:r w:rsidRPr="008F3348">
        <w:rPr>
          <w:noProof/>
        </w:rPr>
        <w:t xml:space="preserve">processes. This is </w:t>
      </w:r>
      <w:r w:rsidR="008D10E7">
        <w:rPr>
          <w:noProof/>
        </w:rPr>
        <w:t xml:space="preserve">an important first </w:t>
      </w:r>
      <w:r w:rsidRPr="008F3348">
        <w:rPr>
          <w:noProof/>
        </w:rPr>
        <w:t xml:space="preserve">step forward to achieve more efficient WHT procedures. </w:t>
      </w:r>
    </w:p>
    <w:p w14:paraId="648A228E" w14:textId="77777777" w:rsidR="001B5A28" w:rsidRDefault="001B5A28" w:rsidP="009E0D0A">
      <w:pPr>
        <w:pBdr>
          <w:top w:val="nil"/>
          <w:left w:val="nil"/>
          <w:bottom w:val="nil"/>
          <w:right w:val="nil"/>
          <w:between w:val="nil"/>
          <w:bar w:val="nil"/>
        </w:pBdr>
        <w:spacing w:before="0" w:after="240"/>
        <w:rPr>
          <w:noProof/>
        </w:rPr>
      </w:pPr>
      <w:r>
        <w:rPr>
          <w:noProof/>
        </w:rPr>
        <w:t>I</w:t>
      </w:r>
      <w:r w:rsidR="00370613">
        <w:rPr>
          <w:noProof/>
        </w:rPr>
        <w:t>ntroduc</w:t>
      </w:r>
      <w:r>
        <w:rPr>
          <w:noProof/>
        </w:rPr>
        <w:t>ing</w:t>
      </w:r>
      <w:r w:rsidR="00370613">
        <w:rPr>
          <w:noProof/>
        </w:rPr>
        <w:t xml:space="preserve"> </w:t>
      </w:r>
      <w:r w:rsidR="009E0D0A" w:rsidRPr="008F3348">
        <w:rPr>
          <w:noProof/>
        </w:rPr>
        <w:t xml:space="preserve">reporting obligations for financial intermediaries </w:t>
      </w:r>
      <w:r w:rsidR="009002EC">
        <w:rPr>
          <w:noProof/>
        </w:rPr>
        <w:t xml:space="preserve">would </w:t>
      </w:r>
      <w:r w:rsidR="00E26957">
        <w:rPr>
          <w:noProof/>
        </w:rPr>
        <w:t>impl</w:t>
      </w:r>
      <w:r w:rsidR="009002EC">
        <w:rPr>
          <w:noProof/>
        </w:rPr>
        <w:t>y some</w:t>
      </w:r>
      <w:r w:rsidR="00E26957">
        <w:rPr>
          <w:noProof/>
        </w:rPr>
        <w:t xml:space="preserve"> </w:t>
      </w:r>
      <w:r w:rsidR="009E0D0A" w:rsidRPr="008F3348">
        <w:rPr>
          <w:noProof/>
        </w:rPr>
        <w:t>costs</w:t>
      </w:r>
      <w:r w:rsidR="009002EC" w:rsidRPr="009002EC">
        <w:rPr>
          <w:noProof/>
        </w:rPr>
        <w:t xml:space="preserve"> </w:t>
      </w:r>
      <w:r w:rsidR="009002EC">
        <w:rPr>
          <w:noProof/>
        </w:rPr>
        <w:t xml:space="preserve">and </w:t>
      </w:r>
      <w:r w:rsidR="009002EC" w:rsidRPr="008F3348">
        <w:rPr>
          <w:noProof/>
        </w:rPr>
        <w:t>administrative burden</w:t>
      </w:r>
      <w:r w:rsidR="00060B87">
        <w:rPr>
          <w:noProof/>
        </w:rPr>
        <w:t>. However, these</w:t>
      </w:r>
      <w:r w:rsidR="00060B87" w:rsidRPr="008F3348">
        <w:rPr>
          <w:noProof/>
        </w:rPr>
        <w:t xml:space="preserve"> costs are outweighed by the positive impact </w:t>
      </w:r>
      <w:r w:rsidR="00060B87">
        <w:rPr>
          <w:noProof/>
        </w:rPr>
        <w:t xml:space="preserve">that </w:t>
      </w:r>
      <w:r w:rsidR="00060B87" w:rsidRPr="008F3348">
        <w:rPr>
          <w:noProof/>
        </w:rPr>
        <w:t xml:space="preserve">the information received </w:t>
      </w:r>
      <w:r w:rsidR="00060B87">
        <w:rPr>
          <w:noProof/>
        </w:rPr>
        <w:t>would have for</w:t>
      </w:r>
      <w:r w:rsidR="00060B87" w:rsidRPr="008F3348">
        <w:rPr>
          <w:noProof/>
        </w:rPr>
        <w:t xml:space="preserve"> tax administration</w:t>
      </w:r>
      <w:r w:rsidR="00060B87">
        <w:rPr>
          <w:noProof/>
        </w:rPr>
        <w:t>s in improving</w:t>
      </w:r>
      <w:r w:rsidR="00060B87" w:rsidRPr="008F3348">
        <w:rPr>
          <w:noProof/>
        </w:rPr>
        <w:t xml:space="preserve"> WHT procedures in terms of security and effectiveness</w:t>
      </w:r>
      <w:r w:rsidR="00060B87">
        <w:rPr>
          <w:noProof/>
        </w:rPr>
        <w:t>.</w:t>
      </w:r>
    </w:p>
    <w:p w14:paraId="225C8E29" w14:textId="123D4E3A" w:rsidR="001B5A28" w:rsidRDefault="00060B87" w:rsidP="009E0D0A">
      <w:pPr>
        <w:pBdr>
          <w:top w:val="nil"/>
          <w:left w:val="nil"/>
          <w:bottom w:val="nil"/>
          <w:right w:val="nil"/>
          <w:between w:val="nil"/>
          <w:bar w:val="nil"/>
        </w:pBdr>
        <w:spacing w:before="0" w:after="240"/>
        <w:rPr>
          <w:noProof/>
        </w:rPr>
      </w:pPr>
      <w:r>
        <w:rPr>
          <w:noProof/>
        </w:rPr>
        <w:t>Moreover</w:t>
      </w:r>
      <w:r w:rsidR="00E26957">
        <w:rPr>
          <w:noProof/>
        </w:rPr>
        <w:t xml:space="preserve">, </w:t>
      </w:r>
      <w:r w:rsidR="001B5A28">
        <w:rPr>
          <w:noProof/>
        </w:rPr>
        <w:t>this</w:t>
      </w:r>
      <w:r w:rsidR="00E26957">
        <w:rPr>
          <w:noProof/>
        </w:rPr>
        <w:t xml:space="preserve"> burden</w:t>
      </w:r>
      <w:r w:rsidR="00AC0EB7">
        <w:rPr>
          <w:noProof/>
        </w:rPr>
        <w:t xml:space="preserve"> </w:t>
      </w:r>
      <w:r w:rsidR="00E26957">
        <w:rPr>
          <w:noProof/>
        </w:rPr>
        <w:t xml:space="preserve">should be assessed </w:t>
      </w:r>
      <w:r w:rsidR="00D57C9D">
        <w:rPr>
          <w:noProof/>
        </w:rPr>
        <w:t xml:space="preserve">against the </w:t>
      </w:r>
      <w:r w:rsidR="00E26957">
        <w:rPr>
          <w:noProof/>
        </w:rPr>
        <w:t>initiatives</w:t>
      </w:r>
      <w:r w:rsidR="00D57C9D">
        <w:rPr>
          <w:noProof/>
        </w:rPr>
        <w:t xml:space="preserve"> recently adopted or</w:t>
      </w:r>
      <w:r w:rsidR="00E26957">
        <w:rPr>
          <w:noProof/>
        </w:rPr>
        <w:t xml:space="preserve"> announced </w:t>
      </w:r>
      <w:r w:rsidR="001B5A28">
        <w:rPr>
          <w:noProof/>
        </w:rPr>
        <w:t xml:space="preserve">in some </w:t>
      </w:r>
      <w:r w:rsidR="00E26957">
        <w:rPr>
          <w:noProof/>
        </w:rPr>
        <w:t>Member State</w:t>
      </w:r>
      <w:r w:rsidR="001B5A28">
        <w:rPr>
          <w:noProof/>
        </w:rPr>
        <w:t>s</w:t>
      </w:r>
      <w:r w:rsidR="00E26957">
        <w:rPr>
          <w:noProof/>
        </w:rPr>
        <w:t xml:space="preserve"> in response to recent scandals of </w:t>
      </w:r>
      <w:r>
        <w:rPr>
          <w:noProof/>
        </w:rPr>
        <w:t xml:space="preserve">tax </w:t>
      </w:r>
      <w:r w:rsidR="00E41A9B">
        <w:rPr>
          <w:noProof/>
        </w:rPr>
        <w:t xml:space="preserve">fraud and </w:t>
      </w:r>
      <w:r w:rsidR="00E26957">
        <w:rPr>
          <w:noProof/>
        </w:rPr>
        <w:t>abuse of WHT procedures</w:t>
      </w:r>
      <w:r w:rsidR="001B5A28" w:rsidRPr="001B5A28">
        <w:rPr>
          <w:noProof/>
        </w:rPr>
        <w:t xml:space="preserve"> </w:t>
      </w:r>
      <w:r w:rsidR="001B5A28">
        <w:rPr>
          <w:noProof/>
        </w:rPr>
        <w:t xml:space="preserve">– these </w:t>
      </w:r>
      <w:r w:rsidR="0097109C">
        <w:rPr>
          <w:noProof/>
        </w:rPr>
        <w:t xml:space="preserve">initiatives </w:t>
      </w:r>
      <w:r w:rsidR="001B5A28">
        <w:rPr>
          <w:noProof/>
        </w:rPr>
        <w:t xml:space="preserve">introduce new </w:t>
      </w:r>
      <w:r w:rsidR="0097109C">
        <w:rPr>
          <w:noProof/>
        </w:rPr>
        <w:t xml:space="preserve">and extensive </w:t>
      </w:r>
      <w:r w:rsidR="001B5A28">
        <w:rPr>
          <w:noProof/>
        </w:rPr>
        <w:t>reporting requirements for intermediaries</w:t>
      </w:r>
      <w:r w:rsidR="00E26957">
        <w:rPr>
          <w:noProof/>
        </w:rPr>
        <w:t xml:space="preserve">. </w:t>
      </w:r>
    </w:p>
    <w:p w14:paraId="53C675F0" w14:textId="77777777" w:rsidR="009E0D0A" w:rsidRPr="008F3348" w:rsidRDefault="00E26957" w:rsidP="009E0D0A">
      <w:pPr>
        <w:pBdr>
          <w:top w:val="nil"/>
          <w:left w:val="nil"/>
          <w:bottom w:val="nil"/>
          <w:right w:val="nil"/>
          <w:between w:val="nil"/>
          <w:bar w:val="nil"/>
        </w:pBdr>
        <w:spacing w:before="0" w:after="240"/>
        <w:rPr>
          <w:noProof/>
        </w:rPr>
      </w:pPr>
      <w:r>
        <w:rPr>
          <w:noProof/>
        </w:rPr>
        <w:t>A</w:t>
      </w:r>
      <w:r w:rsidRPr="008F3348">
        <w:rPr>
          <w:noProof/>
        </w:rPr>
        <w:t xml:space="preserve"> </w:t>
      </w:r>
      <w:r>
        <w:rPr>
          <w:noProof/>
        </w:rPr>
        <w:t>common</w:t>
      </w:r>
      <w:r w:rsidRPr="008F3348">
        <w:rPr>
          <w:noProof/>
        </w:rPr>
        <w:t xml:space="preserve"> </w:t>
      </w:r>
      <w:r>
        <w:rPr>
          <w:noProof/>
        </w:rPr>
        <w:t xml:space="preserve">EU-wide </w:t>
      </w:r>
      <w:r w:rsidRPr="008F3348">
        <w:rPr>
          <w:noProof/>
        </w:rPr>
        <w:t>reporting standard w</w:t>
      </w:r>
      <w:r w:rsidR="00060B87">
        <w:rPr>
          <w:noProof/>
        </w:rPr>
        <w:t>ould</w:t>
      </w:r>
      <w:r w:rsidRPr="008F3348">
        <w:rPr>
          <w:noProof/>
        </w:rPr>
        <w:t xml:space="preserve"> save compliance costs for financial intermediaries operating </w:t>
      </w:r>
      <w:r w:rsidR="001B5A28">
        <w:rPr>
          <w:noProof/>
        </w:rPr>
        <w:t>a</w:t>
      </w:r>
      <w:r w:rsidRPr="008F3348">
        <w:rPr>
          <w:noProof/>
        </w:rPr>
        <w:t>cross</w:t>
      </w:r>
      <w:r w:rsidR="001B5A28">
        <w:rPr>
          <w:noProof/>
        </w:rPr>
        <w:t xml:space="preserve"> </w:t>
      </w:r>
      <w:r w:rsidRPr="008F3348">
        <w:rPr>
          <w:noProof/>
        </w:rPr>
        <w:t>border</w:t>
      </w:r>
      <w:r w:rsidR="001B5A28">
        <w:rPr>
          <w:noProof/>
        </w:rPr>
        <w:t>s</w:t>
      </w:r>
      <w:r w:rsidR="00D57C9D">
        <w:rPr>
          <w:noProof/>
        </w:rPr>
        <w:t xml:space="preserve"> as they w</w:t>
      </w:r>
      <w:r w:rsidR="00060B87">
        <w:rPr>
          <w:noProof/>
        </w:rPr>
        <w:t xml:space="preserve">ould </w:t>
      </w:r>
      <w:r w:rsidR="00D57C9D">
        <w:rPr>
          <w:noProof/>
        </w:rPr>
        <w:t xml:space="preserve">be faced with one reporting standard across the </w:t>
      </w:r>
      <w:r w:rsidR="001B5A28">
        <w:rPr>
          <w:noProof/>
        </w:rPr>
        <w:t xml:space="preserve">whole </w:t>
      </w:r>
      <w:r w:rsidR="00D57C9D">
        <w:rPr>
          <w:noProof/>
        </w:rPr>
        <w:t xml:space="preserve">EU, instead of a patchwork of </w:t>
      </w:r>
      <w:r w:rsidR="001B5A28">
        <w:rPr>
          <w:noProof/>
        </w:rPr>
        <w:t xml:space="preserve">different </w:t>
      </w:r>
      <w:r w:rsidR="00D57C9D">
        <w:rPr>
          <w:noProof/>
        </w:rPr>
        <w:t>reporting requirements</w:t>
      </w:r>
      <w:r w:rsidRPr="008F3348">
        <w:rPr>
          <w:noProof/>
        </w:rPr>
        <w:t>.</w:t>
      </w:r>
      <w:r>
        <w:rPr>
          <w:noProof/>
        </w:rPr>
        <w:t xml:space="preserve"> </w:t>
      </w:r>
    </w:p>
    <w:p w14:paraId="7FA7571E" w14:textId="77777777" w:rsidR="00977CF6" w:rsidRPr="00723390" w:rsidRDefault="00977CF6" w:rsidP="000430BD">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723390">
        <w:rPr>
          <w:rFonts w:eastAsia="Arial Unicode MS"/>
          <w:noProof/>
          <w:u w:color="000000"/>
          <w:bdr w:val="nil"/>
          <w:lang w:val="en-US" w:eastAsia="en-GB"/>
        </w:rPr>
        <w:t>Choice of instrument</w:t>
      </w:r>
    </w:p>
    <w:p w14:paraId="51C61F6B" w14:textId="77777777" w:rsidR="00977CF6" w:rsidRPr="00723390" w:rsidRDefault="009E0D0A" w:rsidP="000430BD">
      <w:pPr>
        <w:pBdr>
          <w:top w:val="nil"/>
          <w:left w:val="nil"/>
          <w:bottom w:val="nil"/>
          <w:right w:val="nil"/>
          <w:between w:val="nil"/>
          <w:bar w:val="nil"/>
        </w:pBdr>
        <w:spacing w:before="0" w:after="240"/>
        <w:rPr>
          <w:rFonts w:eastAsia="Arial Unicode MS"/>
          <w:noProof/>
        </w:rPr>
      </w:pPr>
      <w:r w:rsidRPr="008F3348">
        <w:rPr>
          <w:noProof/>
        </w:rPr>
        <w:t xml:space="preserve">The proposal is for a Directive, which is the only instrument </w:t>
      </w:r>
      <w:r w:rsidR="00E75BA5">
        <w:rPr>
          <w:noProof/>
        </w:rPr>
        <w:t xml:space="preserve">permissible </w:t>
      </w:r>
      <w:r w:rsidRPr="008F3348">
        <w:rPr>
          <w:noProof/>
        </w:rPr>
        <w:t>under the legal bas</w:t>
      </w:r>
      <w:r w:rsidR="00E75BA5">
        <w:rPr>
          <w:noProof/>
        </w:rPr>
        <w:t>is (</w:t>
      </w:r>
      <w:r w:rsidRPr="008F3348">
        <w:rPr>
          <w:noProof/>
        </w:rPr>
        <w:t>Article 115 TFEU</w:t>
      </w:r>
      <w:r w:rsidR="00E75BA5">
        <w:rPr>
          <w:noProof/>
        </w:rPr>
        <w:t>)</w:t>
      </w:r>
      <w:r w:rsidRPr="008F3348">
        <w:rPr>
          <w:noProof/>
        </w:rPr>
        <w:t xml:space="preserve">. </w:t>
      </w:r>
    </w:p>
    <w:p w14:paraId="38B04016" w14:textId="77777777" w:rsidR="00977CF6" w:rsidRPr="00550536" w:rsidRDefault="00977CF6" w:rsidP="000430BD">
      <w:pPr>
        <w:pStyle w:val="ManualHeading1"/>
        <w:rPr>
          <w:noProof/>
        </w:rPr>
      </w:pPr>
      <w:r w:rsidRPr="00550536">
        <w:rPr>
          <w:noProof/>
        </w:rPr>
        <w:t>3.</w:t>
      </w:r>
      <w:r w:rsidRPr="00550536">
        <w:rPr>
          <w:noProof/>
        </w:rPr>
        <w:tab/>
        <w:t>RESULTS OF EX-POST EVALUATIONS, STAKEHOLDER CONSULTATIONS AND IMPACT ASSESSMENTS</w:t>
      </w:r>
    </w:p>
    <w:p w14:paraId="5C975B44" w14:textId="77777777" w:rsidR="00977CF6" w:rsidRDefault="00977CF6" w:rsidP="000430BD">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w:t>
      </w:r>
      <w:r w:rsidR="00E75BA5">
        <w:rPr>
          <w:rFonts w:eastAsia="Arial Unicode MS"/>
          <w:noProof/>
          <w:u w:color="000000"/>
          <w:bdr w:val="nil"/>
          <w:lang w:val="en-US" w:eastAsia="en-GB"/>
        </w:rPr>
        <w:t>n</w:t>
      </w:r>
      <w:r>
        <w:rPr>
          <w:rFonts w:eastAsia="Arial Unicode MS"/>
          <w:noProof/>
          <w:u w:color="000000"/>
          <w:bdr w:val="nil"/>
          <w:lang w:val="en-US" w:eastAsia="en-GB"/>
        </w:rPr>
        <w:t xml:space="preserve"> existing legislation</w:t>
      </w:r>
    </w:p>
    <w:p w14:paraId="35952049" w14:textId="77777777" w:rsidR="00977CF6" w:rsidRPr="00723390" w:rsidRDefault="00723390" w:rsidP="000430BD">
      <w:pPr>
        <w:pBdr>
          <w:top w:val="nil"/>
          <w:left w:val="nil"/>
          <w:bottom w:val="nil"/>
          <w:right w:val="nil"/>
          <w:between w:val="nil"/>
          <w:bar w:val="nil"/>
        </w:pBdr>
        <w:spacing w:before="0" w:after="240"/>
        <w:rPr>
          <w:rFonts w:eastAsia="Arial Unicode MS"/>
          <w:noProof/>
        </w:rPr>
      </w:pPr>
      <w:r w:rsidRPr="008F3348">
        <w:rPr>
          <w:noProof/>
        </w:rPr>
        <w:t>There is no previous existing binding legislation in the field of WHT</w:t>
      </w:r>
      <w:r w:rsidR="006D1052">
        <w:rPr>
          <w:noProof/>
        </w:rPr>
        <w:t xml:space="preserve"> relief procedures</w:t>
      </w:r>
      <w:r w:rsidRPr="008F3348">
        <w:rPr>
          <w:noProof/>
        </w:rPr>
        <w:t xml:space="preserve"> therefore no ex-post evaluations or fitness checks </w:t>
      </w:r>
      <w:r w:rsidR="002C6046">
        <w:rPr>
          <w:noProof/>
        </w:rPr>
        <w:t>were performed</w:t>
      </w:r>
      <w:r w:rsidRPr="008F3348">
        <w:rPr>
          <w:noProof/>
        </w:rPr>
        <w:t xml:space="preserve">. </w:t>
      </w:r>
    </w:p>
    <w:p w14:paraId="35046F88" w14:textId="77777777" w:rsidR="00977CF6" w:rsidRDefault="00977CF6" w:rsidP="000430BD">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0637742D" w14:textId="77777777" w:rsidR="00E75BA5" w:rsidRDefault="00723390" w:rsidP="00723390">
      <w:pPr>
        <w:pBdr>
          <w:top w:val="nil"/>
          <w:left w:val="nil"/>
          <w:bottom w:val="nil"/>
          <w:right w:val="nil"/>
          <w:between w:val="nil"/>
          <w:bar w:val="nil"/>
        </w:pBdr>
        <w:spacing w:before="0" w:after="240"/>
        <w:rPr>
          <w:noProof/>
        </w:rPr>
      </w:pPr>
      <w:r w:rsidRPr="008F3348">
        <w:rPr>
          <w:noProof/>
        </w:rPr>
        <w:t xml:space="preserve">The stakeholder consultation strategy </w:t>
      </w:r>
      <w:r w:rsidR="00F855B5">
        <w:rPr>
          <w:noProof/>
        </w:rPr>
        <w:t xml:space="preserve">for this initiative </w:t>
      </w:r>
      <w:r w:rsidRPr="008F3348">
        <w:rPr>
          <w:noProof/>
        </w:rPr>
        <w:t xml:space="preserve">consisted of </w:t>
      </w:r>
      <w:r w:rsidR="008226D1">
        <w:rPr>
          <w:noProof/>
        </w:rPr>
        <w:t xml:space="preserve">both </w:t>
      </w:r>
      <w:r w:rsidRPr="008F3348">
        <w:rPr>
          <w:noProof/>
        </w:rPr>
        <w:t>public and target</w:t>
      </w:r>
      <w:r w:rsidR="008226D1">
        <w:rPr>
          <w:noProof/>
        </w:rPr>
        <w:t>ed</w:t>
      </w:r>
      <w:r w:rsidRPr="008F3348">
        <w:rPr>
          <w:noProof/>
        </w:rPr>
        <w:t xml:space="preserve"> consultations. </w:t>
      </w:r>
      <w:r w:rsidR="00D16258">
        <w:rPr>
          <w:noProof/>
        </w:rPr>
        <w:t>An</w:t>
      </w:r>
      <w:r w:rsidRPr="008F3348">
        <w:rPr>
          <w:noProof/>
        </w:rPr>
        <w:t xml:space="preserve"> Inception Impact Assessment</w:t>
      </w:r>
      <w:r w:rsidR="0055469A">
        <w:rPr>
          <w:rStyle w:val="FootnoteReference"/>
          <w:noProof/>
        </w:rPr>
        <w:footnoteReference w:id="23"/>
      </w:r>
      <w:r w:rsidRPr="008F3348">
        <w:rPr>
          <w:noProof/>
        </w:rPr>
        <w:t xml:space="preserve"> was published </w:t>
      </w:r>
      <w:r w:rsidR="008226D1">
        <w:rPr>
          <w:noProof/>
        </w:rPr>
        <w:t>on 28 September</w:t>
      </w:r>
      <w:r w:rsidRPr="008F3348">
        <w:rPr>
          <w:noProof/>
        </w:rPr>
        <w:t xml:space="preserve"> </w:t>
      </w:r>
      <w:r w:rsidR="002738EE">
        <w:rPr>
          <w:noProof/>
        </w:rPr>
        <w:t>2021</w:t>
      </w:r>
      <w:r w:rsidRPr="008F3348">
        <w:rPr>
          <w:noProof/>
        </w:rPr>
        <w:t xml:space="preserve"> with </w:t>
      </w:r>
      <w:r w:rsidR="00D16258">
        <w:rPr>
          <w:noProof/>
        </w:rPr>
        <w:t xml:space="preserve">a four-week </w:t>
      </w:r>
      <w:r w:rsidRPr="008F3348">
        <w:rPr>
          <w:noProof/>
        </w:rPr>
        <w:t>consultation period</w:t>
      </w:r>
      <w:r w:rsidR="00702145">
        <w:rPr>
          <w:noProof/>
        </w:rPr>
        <w:t>,</w:t>
      </w:r>
      <w:r w:rsidRPr="008F3348">
        <w:rPr>
          <w:noProof/>
        </w:rPr>
        <w:t xml:space="preserve"> </w:t>
      </w:r>
      <w:r w:rsidR="008226D1">
        <w:rPr>
          <w:noProof/>
        </w:rPr>
        <w:t>followed by</w:t>
      </w:r>
      <w:r w:rsidRPr="008F3348">
        <w:rPr>
          <w:noProof/>
        </w:rPr>
        <w:t xml:space="preserve"> </w:t>
      </w:r>
      <w:r w:rsidR="00D16258">
        <w:rPr>
          <w:noProof/>
        </w:rPr>
        <w:t xml:space="preserve">a </w:t>
      </w:r>
      <w:r w:rsidRPr="008F3348">
        <w:rPr>
          <w:noProof/>
        </w:rPr>
        <w:t xml:space="preserve">public consultation </w:t>
      </w:r>
      <w:r w:rsidR="008226D1">
        <w:rPr>
          <w:noProof/>
        </w:rPr>
        <w:t xml:space="preserve">that </w:t>
      </w:r>
      <w:r w:rsidRPr="008F3348">
        <w:rPr>
          <w:noProof/>
        </w:rPr>
        <w:t>ran between April and June 2022</w:t>
      </w:r>
      <w:r w:rsidR="00E75BA5">
        <w:rPr>
          <w:noProof/>
        </w:rPr>
        <w:t>,</w:t>
      </w:r>
      <w:r w:rsidRPr="008F3348">
        <w:rPr>
          <w:noProof/>
        </w:rPr>
        <w:t xml:space="preserve"> </w:t>
      </w:r>
      <w:r w:rsidR="008226D1">
        <w:rPr>
          <w:noProof/>
        </w:rPr>
        <w:t>lead</w:t>
      </w:r>
      <w:r w:rsidRPr="008F3348">
        <w:rPr>
          <w:noProof/>
        </w:rPr>
        <w:t>ing to 1682 re</w:t>
      </w:r>
      <w:r w:rsidR="008226D1">
        <w:rPr>
          <w:noProof/>
        </w:rPr>
        <w:t xml:space="preserve">sponses. </w:t>
      </w:r>
    </w:p>
    <w:p w14:paraId="18708591" w14:textId="77777777" w:rsidR="00723390" w:rsidRPr="008F3348" w:rsidRDefault="00723390" w:rsidP="00723390">
      <w:pPr>
        <w:pBdr>
          <w:top w:val="nil"/>
          <w:left w:val="nil"/>
          <w:bottom w:val="nil"/>
          <w:right w:val="nil"/>
          <w:between w:val="nil"/>
          <w:bar w:val="nil"/>
        </w:pBdr>
        <w:spacing w:before="0" w:after="240"/>
        <w:rPr>
          <w:noProof/>
        </w:rPr>
      </w:pPr>
      <w:r w:rsidRPr="008F3348">
        <w:rPr>
          <w:noProof/>
        </w:rPr>
        <w:t>Member States</w:t>
      </w:r>
      <w:r w:rsidR="00D16258">
        <w:rPr>
          <w:noProof/>
        </w:rPr>
        <w:t xml:space="preserve"> were consulted through </w:t>
      </w:r>
      <w:r w:rsidR="001A638E">
        <w:rPr>
          <w:noProof/>
        </w:rPr>
        <w:t>the Working Party IV</w:t>
      </w:r>
      <w:r w:rsidRPr="008F3348">
        <w:rPr>
          <w:noProof/>
        </w:rPr>
        <w:t xml:space="preserve">, </w:t>
      </w:r>
      <w:r w:rsidR="00702145">
        <w:rPr>
          <w:noProof/>
        </w:rPr>
        <w:t xml:space="preserve">bilateral meetings and </w:t>
      </w:r>
      <w:r w:rsidRPr="008F3348">
        <w:rPr>
          <w:noProof/>
        </w:rPr>
        <w:t xml:space="preserve">two meetings at </w:t>
      </w:r>
      <w:r w:rsidR="00D16258">
        <w:rPr>
          <w:noProof/>
        </w:rPr>
        <w:t xml:space="preserve">the </w:t>
      </w:r>
      <w:r w:rsidRPr="008F3348">
        <w:rPr>
          <w:noProof/>
        </w:rPr>
        <w:t>T</w:t>
      </w:r>
      <w:r w:rsidR="00702145">
        <w:rPr>
          <w:noProof/>
        </w:rPr>
        <w:t>ADEUS</w:t>
      </w:r>
      <w:r w:rsidRPr="008F3348">
        <w:rPr>
          <w:noProof/>
        </w:rPr>
        <w:t xml:space="preserve"> Forum</w:t>
      </w:r>
      <w:r w:rsidR="00702145">
        <w:rPr>
          <w:noProof/>
        </w:rPr>
        <w:t xml:space="preserve">. </w:t>
      </w:r>
      <w:r w:rsidR="00F855B5">
        <w:rPr>
          <w:noProof/>
        </w:rPr>
        <w:t>Moreover, m</w:t>
      </w:r>
      <w:r w:rsidR="00F67D43">
        <w:rPr>
          <w:noProof/>
        </w:rPr>
        <w:t>eetings</w:t>
      </w:r>
      <w:r w:rsidRPr="008F3348">
        <w:rPr>
          <w:noProof/>
        </w:rPr>
        <w:t xml:space="preserve"> </w:t>
      </w:r>
      <w:r w:rsidR="00F855B5">
        <w:rPr>
          <w:noProof/>
        </w:rPr>
        <w:t>took place</w:t>
      </w:r>
      <w:r w:rsidRPr="008F3348">
        <w:rPr>
          <w:noProof/>
        </w:rPr>
        <w:t xml:space="preserve"> </w:t>
      </w:r>
      <w:r w:rsidR="00B91971">
        <w:rPr>
          <w:noProof/>
        </w:rPr>
        <w:t>with various stakeholders, such as representatives of financial intermediaries and retail investors</w:t>
      </w:r>
      <w:r w:rsidRPr="008F3348">
        <w:rPr>
          <w:noProof/>
        </w:rPr>
        <w:t>.</w:t>
      </w:r>
    </w:p>
    <w:p w14:paraId="2FC0CD64" w14:textId="77777777" w:rsidR="00E75BA5" w:rsidRDefault="00723390" w:rsidP="00723390">
      <w:pPr>
        <w:pBdr>
          <w:top w:val="nil"/>
          <w:left w:val="nil"/>
          <w:bottom w:val="nil"/>
          <w:right w:val="nil"/>
          <w:between w:val="nil"/>
          <w:bar w:val="nil"/>
        </w:pBdr>
        <w:spacing w:before="0" w:after="240"/>
        <w:rPr>
          <w:noProof/>
        </w:rPr>
      </w:pPr>
      <w:r w:rsidRPr="008F3348">
        <w:rPr>
          <w:noProof/>
        </w:rPr>
        <w:t xml:space="preserve">Out of all these exchanges and input received from </w:t>
      </w:r>
      <w:r w:rsidR="00702145">
        <w:rPr>
          <w:noProof/>
        </w:rPr>
        <w:t>various stakeholders</w:t>
      </w:r>
      <w:r w:rsidRPr="008F3348">
        <w:rPr>
          <w:noProof/>
        </w:rPr>
        <w:t xml:space="preserve">, </w:t>
      </w:r>
      <w:r w:rsidR="00702145">
        <w:rPr>
          <w:noProof/>
        </w:rPr>
        <w:t>it</w:t>
      </w:r>
      <w:r w:rsidRPr="008F3348">
        <w:rPr>
          <w:noProof/>
        </w:rPr>
        <w:t xml:space="preserve"> can be concluded that there is a </w:t>
      </w:r>
      <w:r w:rsidR="00E75BA5">
        <w:rPr>
          <w:noProof/>
        </w:rPr>
        <w:t>broad</w:t>
      </w:r>
      <w:r w:rsidRPr="008F3348">
        <w:rPr>
          <w:noProof/>
        </w:rPr>
        <w:t xml:space="preserve"> consensus </w:t>
      </w:r>
      <w:r w:rsidR="00F855B5">
        <w:rPr>
          <w:noProof/>
        </w:rPr>
        <w:t xml:space="preserve">on </w:t>
      </w:r>
      <w:r w:rsidRPr="008F3348">
        <w:rPr>
          <w:noProof/>
        </w:rPr>
        <w:t xml:space="preserve">the problems arising from the different WHT procedures across Member States and on the need </w:t>
      </w:r>
      <w:r w:rsidR="00E75BA5">
        <w:rPr>
          <w:noProof/>
        </w:rPr>
        <w:t>for</w:t>
      </w:r>
      <w:r w:rsidRPr="008F3348">
        <w:rPr>
          <w:noProof/>
        </w:rPr>
        <w:t xml:space="preserve"> </w:t>
      </w:r>
      <w:r w:rsidR="00E75BA5">
        <w:rPr>
          <w:noProof/>
        </w:rPr>
        <w:t>E</w:t>
      </w:r>
      <w:r w:rsidRPr="008F3348">
        <w:rPr>
          <w:noProof/>
        </w:rPr>
        <w:t xml:space="preserve">U action to tackle </w:t>
      </w:r>
      <w:r w:rsidR="002738EE">
        <w:rPr>
          <w:noProof/>
        </w:rPr>
        <w:t>the</w:t>
      </w:r>
      <w:r w:rsidRPr="008F3348">
        <w:rPr>
          <w:noProof/>
        </w:rPr>
        <w:t xml:space="preserve"> fragmented and inefficient situation. </w:t>
      </w:r>
    </w:p>
    <w:p w14:paraId="12943445" w14:textId="77777777" w:rsidR="00723390" w:rsidRPr="008F3348" w:rsidRDefault="00723390" w:rsidP="00723390">
      <w:pPr>
        <w:pBdr>
          <w:top w:val="nil"/>
          <w:left w:val="nil"/>
          <w:bottom w:val="nil"/>
          <w:right w:val="nil"/>
          <w:between w:val="nil"/>
          <w:bar w:val="nil"/>
        </w:pBdr>
        <w:spacing w:before="0" w:after="240"/>
        <w:rPr>
          <w:noProof/>
        </w:rPr>
      </w:pPr>
      <w:r w:rsidRPr="008F3348">
        <w:rPr>
          <w:noProof/>
        </w:rPr>
        <w:t xml:space="preserve">However, there are differences between the main stakeholder groups on possible options to </w:t>
      </w:r>
      <w:r w:rsidR="00E75BA5">
        <w:rPr>
          <w:noProof/>
        </w:rPr>
        <w:t>do this</w:t>
      </w:r>
      <w:r w:rsidRPr="008F3348">
        <w:rPr>
          <w:noProof/>
        </w:rPr>
        <w:t>:</w:t>
      </w:r>
    </w:p>
    <w:p w14:paraId="5AA604B8" w14:textId="77777777" w:rsidR="00723390" w:rsidRPr="008F3348" w:rsidRDefault="00723390" w:rsidP="00405676">
      <w:pPr>
        <w:pStyle w:val="Tiret0"/>
        <w:numPr>
          <w:ilvl w:val="0"/>
          <w:numId w:val="22"/>
        </w:numPr>
        <w:rPr>
          <w:noProof/>
        </w:rPr>
      </w:pPr>
      <w:r w:rsidRPr="008F3348">
        <w:rPr>
          <w:noProof/>
        </w:rPr>
        <w:t xml:space="preserve">Investors and financial intermediaries clearly considered that relief at source would provide the </w:t>
      </w:r>
      <w:r w:rsidR="00F855B5">
        <w:rPr>
          <w:noProof/>
        </w:rPr>
        <w:t xml:space="preserve">best </w:t>
      </w:r>
      <w:r w:rsidRPr="008F3348">
        <w:rPr>
          <w:noProof/>
        </w:rPr>
        <w:t xml:space="preserve">results such as early relief for investors and </w:t>
      </w:r>
      <w:r w:rsidR="00E75BA5">
        <w:rPr>
          <w:noProof/>
        </w:rPr>
        <w:t xml:space="preserve">a </w:t>
      </w:r>
      <w:r w:rsidRPr="008F3348">
        <w:rPr>
          <w:noProof/>
        </w:rPr>
        <w:t xml:space="preserve">limited burden on intermediaries. They also acknowledged that a relief at source system would likely need to be complemented by WHT refund systems, as a back-up. Therefore, they were supportive of an initiative that would also aim </w:t>
      </w:r>
      <w:r w:rsidR="00E75BA5">
        <w:rPr>
          <w:noProof/>
        </w:rPr>
        <w:t>to</w:t>
      </w:r>
      <w:r w:rsidRPr="008F3348">
        <w:rPr>
          <w:noProof/>
        </w:rPr>
        <w:t xml:space="preserve"> standardis</w:t>
      </w:r>
      <w:r w:rsidR="00E75BA5">
        <w:rPr>
          <w:noProof/>
        </w:rPr>
        <w:t>e</w:t>
      </w:r>
      <w:r w:rsidRPr="008F3348">
        <w:rPr>
          <w:noProof/>
        </w:rPr>
        <w:t xml:space="preserve"> the current </w:t>
      </w:r>
      <w:r w:rsidR="00E75BA5" w:rsidRPr="008F3348">
        <w:rPr>
          <w:noProof/>
        </w:rPr>
        <w:t xml:space="preserve">processes and forms </w:t>
      </w:r>
      <w:r w:rsidRPr="008F3348">
        <w:rPr>
          <w:noProof/>
        </w:rPr>
        <w:t>WHT refund</w:t>
      </w:r>
      <w:r w:rsidR="00E75BA5">
        <w:rPr>
          <w:noProof/>
        </w:rPr>
        <w:t>s</w:t>
      </w:r>
      <w:r w:rsidRPr="008F3348">
        <w:rPr>
          <w:noProof/>
        </w:rPr>
        <w:t xml:space="preserve">. </w:t>
      </w:r>
    </w:p>
    <w:p w14:paraId="2E0FF5E4" w14:textId="77777777" w:rsidR="00723390" w:rsidRPr="008F3348" w:rsidRDefault="00723390" w:rsidP="002C4E11">
      <w:pPr>
        <w:pStyle w:val="Tiret0"/>
        <w:rPr>
          <w:noProof/>
        </w:rPr>
      </w:pPr>
      <w:r w:rsidRPr="008F3348">
        <w:rPr>
          <w:noProof/>
        </w:rPr>
        <w:t xml:space="preserve">Member States expressed support for introducing a common </w:t>
      </w:r>
      <w:r w:rsidR="00D85829" w:rsidRPr="00537D3C">
        <w:rPr>
          <w:b/>
          <w:bCs/>
          <w:noProof/>
        </w:rPr>
        <w:t>E</w:t>
      </w:r>
      <w:r w:rsidRPr="00537D3C">
        <w:rPr>
          <w:b/>
          <w:bCs/>
          <w:noProof/>
        </w:rPr>
        <w:t>U</w:t>
      </w:r>
      <w:r w:rsidRPr="00537D3C">
        <w:rPr>
          <w:b/>
          <w:noProof/>
        </w:rPr>
        <w:t>-wide digital tax residence certificate</w:t>
      </w:r>
      <w:r w:rsidRPr="008F3348">
        <w:rPr>
          <w:noProof/>
        </w:rPr>
        <w:t xml:space="preserve">. Regarding the reporting obligation and a </w:t>
      </w:r>
      <w:r w:rsidR="0030141C">
        <w:rPr>
          <w:noProof/>
        </w:rPr>
        <w:t>standardised</w:t>
      </w:r>
      <w:r w:rsidRPr="008F3348">
        <w:rPr>
          <w:noProof/>
        </w:rPr>
        <w:t xml:space="preserve"> procedure: </w:t>
      </w:r>
    </w:p>
    <w:p w14:paraId="3558E6A6" w14:textId="36CD62C9" w:rsidR="00723390" w:rsidRPr="008F3348" w:rsidRDefault="00412FF6" w:rsidP="00412FF6">
      <w:pPr>
        <w:pStyle w:val="Point1"/>
        <w:rPr>
          <w:noProof/>
        </w:rPr>
      </w:pPr>
      <w:r w:rsidRPr="00412FF6">
        <w:t>(a)</w:t>
      </w:r>
      <w:r w:rsidRPr="00412FF6">
        <w:tab/>
      </w:r>
      <w:r w:rsidR="00723390" w:rsidRPr="008F3348">
        <w:rPr>
          <w:noProof/>
        </w:rPr>
        <w:t xml:space="preserve">Member States where the </w:t>
      </w:r>
      <w:r w:rsidR="00702145">
        <w:rPr>
          <w:noProof/>
        </w:rPr>
        <w:t xml:space="preserve">domestic </w:t>
      </w:r>
      <w:r w:rsidR="00723390" w:rsidRPr="008F3348">
        <w:rPr>
          <w:noProof/>
        </w:rPr>
        <w:t>rate for non-resident investor</w:t>
      </w:r>
      <w:r w:rsidR="00702145">
        <w:rPr>
          <w:noProof/>
        </w:rPr>
        <w:t>s</w:t>
      </w:r>
      <w:r w:rsidR="00723390" w:rsidRPr="008F3348">
        <w:rPr>
          <w:noProof/>
        </w:rPr>
        <w:t xml:space="preserve"> is lower or </w:t>
      </w:r>
      <w:r w:rsidR="00702145">
        <w:rPr>
          <w:noProof/>
        </w:rPr>
        <w:t>the same</w:t>
      </w:r>
      <w:r w:rsidR="00723390" w:rsidRPr="008F3348">
        <w:rPr>
          <w:noProof/>
        </w:rPr>
        <w:t xml:space="preserve"> </w:t>
      </w:r>
      <w:r w:rsidR="004160D4">
        <w:rPr>
          <w:noProof/>
        </w:rPr>
        <w:t>as</w:t>
      </w:r>
      <w:r w:rsidR="004160D4" w:rsidRPr="008F3348">
        <w:rPr>
          <w:noProof/>
        </w:rPr>
        <w:t xml:space="preserve"> </w:t>
      </w:r>
      <w:r w:rsidR="00723390" w:rsidRPr="008F3348">
        <w:rPr>
          <w:noProof/>
        </w:rPr>
        <w:t xml:space="preserve">the </w:t>
      </w:r>
      <w:r w:rsidR="00095B62">
        <w:rPr>
          <w:noProof/>
        </w:rPr>
        <w:t xml:space="preserve">DTT </w:t>
      </w:r>
      <w:r w:rsidR="00723390" w:rsidRPr="008F3348">
        <w:rPr>
          <w:noProof/>
        </w:rPr>
        <w:t>rate</w:t>
      </w:r>
      <w:r w:rsidR="00E51F06">
        <w:rPr>
          <w:noProof/>
        </w:rPr>
        <w:t xml:space="preserve"> </w:t>
      </w:r>
      <w:r w:rsidR="00723390" w:rsidRPr="008F3348">
        <w:rPr>
          <w:noProof/>
        </w:rPr>
        <w:t xml:space="preserve">would not be directly impacted by a standardisation of </w:t>
      </w:r>
      <w:r w:rsidR="00F855B5">
        <w:rPr>
          <w:noProof/>
        </w:rPr>
        <w:t xml:space="preserve">WHT </w:t>
      </w:r>
      <w:r w:rsidR="00723390" w:rsidRPr="008F3348">
        <w:rPr>
          <w:noProof/>
        </w:rPr>
        <w:t xml:space="preserve">procedures or reporting. </w:t>
      </w:r>
      <w:r w:rsidR="00D85829">
        <w:rPr>
          <w:noProof/>
        </w:rPr>
        <w:t xml:space="preserve">Some of those </w:t>
      </w:r>
      <w:r w:rsidR="00723390" w:rsidRPr="008F3348">
        <w:rPr>
          <w:noProof/>
        </w:rPr>
        <w:t xml:space="preserve">Member States expressed support </w:t>
      </w:r>
      <w:r w:rsidR="00071474">
        <w:rPr>
          <w:noProof/>
        </w:rPr>
        <w:t xml:space="preserve">for </w:t>
      </w:r>
      <w:r w:rsidR="00723390" w:rsidRPr="008F3348">
        <w:rPr>
          <w:noProof/>
        </w:rPr>
        <w:t>action</w:t>
      </w:r>
      <w:r w:rsidR="00F855B5">
        <w:rPr>
          <w:noProof/>
        </w:rPr>
        <w:t xml:space="preserve"> at </w:t>
      </w:r>
      <w:r w:rsidR="00D85829">
        <w:rPr>
          <w:noProof/>
        </w:rPr>
        <w:t xml:space="preserve">an </w:t>
      </w:r>
      <w:r w:rsidR="00F855B5">
        <w:rPr>
          <w:noProof/>
        </w:rPr>
        <w:t>EU level</w:t>
      </w:r>
      <w:r w:rsidR="00D85829">
        <w:rPr>
          <w:noProof/>
        </w:rPr>
        <w:t xml:space="preserve"> as it will improve the position of their investors</w:t>
      </w:r>
      <w:r w:rsidR="00723390" w:rsidRPr="008F3348">
        <w:rPr>
          <w:noProof/>
        </w:rPr>
        <w:t>.</w:t>
      </w:r>
    </w:p>
    <w:p w14:paraId="2E953856" w14:textId="62D8EB72" w:rsidR="00723390" w:rsidRPr="008F3348" w:rsidRDefault="00412FF6" w:rsidP="00412FF6">
      <w:pPr>
        <w:pStyle w:val="Point1"/>
        <w:rPr>
          <w:noProof/>
        </w:rPr>
      </w:pPr>
      <w:r w:rsidRPr="00412FF6">
        <w:t>(b)</w:t>
      </w:r>
      <w:r w:rsidRPr="00412FF6">
        <w:tab/>
      </w:r>
      <w:r w:rsidR="00723390" w:rsidRPr="008F3348">
        <w:rPr>
          <w:noProof/>
        </w:rPr>
        <w:t xml:space="preserve">Member States where </w:t>
      </w:r>
      <w:r w:rsidR="00825A1B">
        <w:rPr>
          <w:noProof/>
        </w:rPr>
        <w:t xml:space="preserve">the </w:t>
      </w:r>
      <w:r w:rsidR="00723390" w:rsidRPr="008F3348">
        <w:rPr>
          <w:noProof/>
        </w:rPr>
        <w:t xml:space="preserve">internal WHT rate is higher than the </w:t>
      </w:r>
      <w:r w:rsidR="000D401C">
        <w:rPr>
          <w:noProof/>
        </w:rPr>
        <w:t xml:space="preserve">respective </w:t>
      </w:r>
      <w:r w:rsidR="00095B62">
        <w:rPr>
          <w:noProof/>
        </w:rPr>
        <w:t>DTT</w:t>
      </w:r>
      <w:r w:rsidR="00723390" w:rsidRPr="008F3348">
        <w:rPr>
          <w:noProof/>
        </w:rPr>
        <w:t xml:space="preserve"> rate</w:t>
      </w:r>
      <w:r w:rsidR="00E51F06">
        <w:rPr>
          <w:noProof/>
        </w:rPr>
        <w:t xml:space="preserve"> broadly </w:t>
      </w:r>
      <w:r w:rsidR="00723390" w:rsidRPr="008F3348">
        <w:rPr>
          <w:noProof/>
        </w:rPr>
        <w:t>agree</w:t>
      </w:r>
      <w:r w:rsidR="00E51F06">
        <w:rPr>
          <w:noProof/>
        </w:rPr>
        <w:t>d</w:t>
      </w:r>
      <w:r w:rsidR="00723390" w:rsidRPr="008F3348">
        <w:rPr>
          <w:noProof/>
        </w:rPr>
        <w:t xml:space="preserve"> on enhancing transparency and </w:t>
      </w:r>
      <w:r w:rsidR="00825A1B">
        <w:rPr>
          <w:noProof/>
        </w:rPr>
        <w:t>standardising</w:t>
      </w:r>
      <w:r w:rsidR="00723390" w:rsidRPr="008F3348">
        <w:rPr>
          <w:noProof/>
        </w:rPr>
        <w:t xml:space="preserve"> </w:t>
      </w:r>
      <w:r w:rsidR="00E51F06">
        <w:rPr>
          <w:noProof/>
        </w:rPr>
        <w:t xml:space="preserve">WHT </w:t>
      </w:r>
      <w:r w:rsidR="00723390" w:rsidRPr="008F3348">
        <w:rPr>
          <w:noProof/>
        </w:rPr>
        <w:t xml:space="preserve">procedures, stressing the importance of striking a balance between making </w:t>
      </w:r>
      <w:r w:rsidR="00E51F06">
        <w:rPr>
          <w:noProof/>
        </w:rPr>
        <w:t xml:space="preserve">those </w:t>
      </w:r>
      <w:r w:rsidR="00723390" w:rsidRPr="008F3348">
        <w:rPr>
          <w:noProof/>
        </w:rPr>
        <w:t>procedures efficient and keeping the control over processes to prevent tax abuses</w:t>
      </w:r>
      <w:r w:rsidR="00C70D47">
        <w:rPr>
          <w:noProof/>
        </w:rPr>
        <w:t>.</w:t>
      </w:r>
    </w:p>
    <w:p w14:paraId="2D9F0067" w14:textId="77777777" w:rsidR="00723390" w:rsidRPr="008F3348" w:rsidRDefault="00723390" w:rsidP="00723390">
      <w:pPr>
        <w:rPr>
          <w:noProof/>
        </w:rPr>
      </w:pPr>
      <w:r w:rsidRPr="008F3348">
        <w:rPr>
          <w:noProof/>
        </w:rPr>
        <w:t xml:space="preserve">All </w:t>
      </w:r>
      <w:r w:rsidR="00D97696">
        <w:rPr>
          <w:noProof/>
        </w:rPr>
        <w:t>of the</w:t>
      </w:r>
      <w:r w:rsidRPr="008F3348">
        <w:rPr>
          <w:noProof/>
        </w:rPr>
        <w:t xml:space="preserve"> above-mentioned insights received from stakeholders </w:t>
      </w:r>
      <w:r w:rsidR="00E51F06">
        <w:rPr>
          <w:noProof/>
        </w:rPr>
        <w:t xml:space="preserve">were carefully </w:t>
      </w:r>
      <w:r w:rsidR="00D97696">
        <w:rPr>
          <w:noProof/>
        </w:rPr>
        <w:t xml:space="preserve">considered </w:t>
      </w:r>
      <w:r w:rsidR="00E51F06">
        <w:rPr>
          <w:noProof/>
        </w:rPr>
        <w:t xml:space="preserve">in this proposal which </w:t>
      </w:r>
      <w:r w:rsidR="009F4E5F" w:rsidRPr="009F4E5F">
        <w:rPr>
          <w:noProof/>
        </w:rPr>
        <w:t>introduce more efficient WHT procedures while</w:t>
      </w:r>
      <w:r w:rsidR="009F4E5F">
        <w:rPr>
          <w:noProof/>
        </w:rPr>
        <w:t>, at the same time,</w:t>
      </w:r>
      <w:r w:rsidR="009F4E5F" w:rsidRPr="009F4E5F">
        <w:rPr>
          <w:noProof/>
        </w:rPr>
        <w:t xml:space="preserve"> providing Member States with the necessary tools to effectively fight tax fraud and abuse. </w:t>
      </w:r>
    </w:p>
    <w:p w14:paraId="47DF3BFF" w14:textId="77777777" w:rsidR="00977CF6" w:rsidRDefault="00977CF6" w:rsidP="000430BD">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00723390">
        <w:rPr>
          <w:rFonts w:eastAsia="Arial Unicode MS"/>
          <w:noProof/>
          <w:u w:color="000000"/>
          <w:bdr w:val="nil"/>
          <w:lang w:val="en-US" w:eastAsia="en-GB"/>
        </w:rPr>
        <w:t>Collection and use of expertise</w:t>
      </w:r>
    </w:p>
    <w:p w14:paraId="5A0D718A" w14:textId="77777777" w:rsidR="00977CF6" w:rsidRPr="008F3348" w:rsidRDefault="00723390" w:rsidP="000430BD">
      <w:pPr>
        <w:pBdr>
          <w:top w:val="nil"/>
          <w:left w:val="nil"/>
          <w:bottom w:val="nil"/>
          <w:right w:val="nil"/>
          <w:between w:val="nil"/>
          <w:bar w:val="nil"/>
        </w:pBdr>
        <w:spacing w:before="0" w:after="240"/>
        <w:rPr>
          <w:noProof/>
        </w:rPr>
      </w:pPr>
      <w:r w:rsidRPr="008F3348">
        <w:rPr>
          <w:noProof/>
        </w:rPr>
        <w:t xml:space="preserve">The Commission consulted widely and received input from various sources during </w:t>
      </w:r>
      <w:r w:rsidR="00152C3F">
        <w:rPr>
          <w:noProof/>
        </w:rPr>
        <w:t xml:space="preserve">the preparation of the </w:t>
      </w:r>
      <w:r w:rsidR="00D97696">
        <w:rPr>
          <w:noProof/>
        </w:rPr>
        <w:t>p</w:t>
      </w:r>
      <w:r w:rsidRPr="008F3348">
        <w:rPr>
          <w:noProof/>
        </w:rPr>
        <w:t>roposal. Among others, the Commission relied on public</w:t>
      </w:r>
      <w:r w:rsidR="001D6384">
        <w:rPr>
          <w:noProof/>
        </w:rPr>
        <w:t>ly</w:t>
      </w:r>
      <w:r w:rsidRPr="008F3348">
        <w:rPr>
          <w:noProof/>
        </w:rPr>
        <w:t xml:space="preserve"> available information and </w:t>
      </w:r>
      <w:r w:rsidR="00555B21">
        <w:rPr>
          <w:noProof/>
        </w:rPr>
        <w:t>input</w:t>
      </w:r>
      <w:r w:rsidR="00555B21" w:rsidRPr="008F3348">
        <w:rPr>
          <w:noProof/>
        </w:rPr>
        <w:t xml:space="preserve"> </w:t>
      </w:r>
      <w:r w:rsidRPr="008F3348">
        <w:rPr>
          <w:noProof/>
        </w:rPr>
        <w:t>received from the private sector via calls and onsite session</w:t>
      </w:r>
      <w:r w:rsidR="00825A1B">
        <w:rPr>
          <w:noProof/>
        </w:rPr>
        <w:t>s</w:t>
      </w:r>
      <w:r w:rsidRPr="008F3348">
        <w:rPr>
          <w:noProof/>
        </w:rPr>
        <w:t xml:space="preserve"> to discuss technical elements. </w:t>
      </w:r>
    </w:p>
    <w:p w14:paraId="50C9950C" w14:textId="77777777" w:rsidR="00723390" w:rsidRPr="00044058" w:rsidRDefault="00723390" w:rsidP="00723390">
      <w:pPr>
        <w:pStyle w:val="ManualHeading2"/>
        <w:rPr>
          <w:noProof/>
        </w:rPr>
      </w:pPr>
      <w:r w:rsidRPr="00723390">
        <w:rPr>
          <w:noProof/>
        </w:rPr>
        <w:t>•</w:t>
      </w:r>
      <w:r w:rsidRPr="00723390">
        <w:rPr>
          <w:noProof/>
        </w:rPr>
        <w:tab/>
      </w:r>
      <w:r>
        <w:rPr>
          <w:noProof/>
        </w:rPr>
        <w:t>Impact assessment</w:t>
      </w:r>
    </w:p>
    <w:p w14:paraId="6067C5FF" w14:textId="77777777" w:rsidR="006E5243" w:rsidRDefault="00723390" w:rsidP="000430BD">
      <w:pPr>
        <w:pBdr>
          <w:top w:val="nil"/>
          <w:left w:val="nil"/>
          <w:bottom w:val="nil"/>
          <w:right w:val="nil"/>
          <w:between w:val="nil"/>
          <w:bar w:val="nil"/>
        </w:pBdr>
        <w:spacing w:before="0" w:after="240"/>
        <w:rPr>
          <w:noProof/>
        </w:rPr>
      </w:pPr>
      <w:r w:rsidRPr="008F3348">
        <w:rPr>
          <w:noProof/>
        </w:rPr>
        <w:t xml:space="preserve">An impact assessment was carried out to prepare this initiative. The draft impact assessment report was submitted to the </w:t>
      </w:r>
      <w:r w:rsidR="00E360AF">
        <w:rPr>
          <w:noProof/>
        </w:rPr>
        <w:t xml:space="preserve">Commission’s </w:t>
      </w:r>
      <w:r w:rsidRPr="008F3348">
        <w:rPr>
          <w:noProof/>
        </w:rPr>
        <w:t xml:space="preserve">Regulatory Scrutiny Board </w:t>
      </w:r>
      <w:r w:rsidR="00152C3F">
        <w:rPr>
          <w:noProof/>
        </w:rPr>
        <w:t xml:space="preserve">(RSB) </w:t>
      </w:r>
      <w:r w:rsidRPr="008F3348">
        <w:rPr>
          <w:noProof/>
        </w:rPr>
        <w:t xml:space="preserve">on 16 November 2022. </w:t>
      </w:r>
      <w:r w:rsidR="00152C3F">
        <w:rPr>
          <w:noProof/>
        </w:rPr>
        <w:t xml:space="preserve">Following a meeting </w:t>
      </w:r>
      <w:r w:rsidRPr="008F3348">
        <w:rPr>
          <w:noProof/>
        </w:rPr>
        <w:t>on 14 December 2022</w:t>
      </w:r>
      <w:r w:rsidR="00152C3F">
        <w:rPr>
          <w:noProof/>
        </w:rPr>
        <w:t xml:space="preserve">, </w:t>
      </w:r>
      <w:r w:rsidR="00095B62">
        <w:rPr>
          <w:noProof/>
        </w:rPr>
        <w:t xml:space="preserve">the </w:t>
      </w:r>
      <w:r w:rsidRPr="008F3348">
        <w:rPr>
          <w:noProof/>
        </w:rPr>
        <w:t>RSB delivered a negative opinion</w:t>
      </w:r>
      <w:r w:rsidR="00152C3F">
        <w:rPr>
          <w:noProof/>
        </w:rPr>
        <w:t xml:space="preserve"> on </w:t>
      </w:r>
      <w:r w:rsidR="0087359B">
        <w:rPr>
          <w:noProof/>
        </w:rPr>
        <w:t>16 December 2022</w:t>
      </w:r>
      <w:r w:rsidR="00152C3F">
        <w:rPr>
          <w:noProof/>
        </w:rPr>
        <w:t>, suggesting some areas for further improvement</w:t>
      </w:r>
      <w:r w:rsidRPr="008F3348">
        <w:rPr>
          <w:noProof/>
        </w:rPr>
        <w:t xml:space="preserve">. </w:t>
      </w:r>
      <w:r w:rsidR="006E5243">
        <w:rPr>
          <w:noProof/>
        </w:rPr>
        <w:t xml:space="preserve">Main areas for improvement were: </w:t>
      </w:r>
      <w:r w:rsidR="00896B16">
        <w:rPr>
          <w:noProof/>
        </w:rPr>
        <w:t>m</w:t>
      </w:r>
      <w:r w:rsidR="006E5243">
        <w:rPr>
          <w:noProof/>
        </w:rPr>
        <w:t xml:space="preserve">ore </w:t>
      </w:r>
      <w:r w:rsidR="00463799" w:rsidRPr="00896B16">
        <w:rPr>
          <w:noProof/>
        </w:rPr>
        <w:t>clarity</w:t>
      </w:r>
      <w:r w:rsidR="006E5243" w:rsidRPr="00896B16">
        <w:rPr>
          <w:noProof/>
        </w:rPr>
        <w:t xml:space="preserve"> on the balanced weight of the two specific objectives</w:t>
      </w:r>
      <w:r w:rsidR="006E5243">
        <w:rPr>
          <w:noProof/>
        </w:rPr>
        <w:t xml:space="preserve"> of the initiative (improving efficiency and fighting tax abuse)</w:t>
      </w:r>
      <w:r w:rsidR="006E5243" w:rsidRPr="00896B16">
        <w:rPr>
          <w:noProof/>
        </w:rPr>
        <w:t>, an accurate description of the content, functioning and complementarity of the options and clear and complete picture of the costs and benefits of each option.</w:t>
      </w:r>
    </w:p>
    <w:p w14:paraId="0823C346" w14:textId="77777777" w:rsidR="006E5243" w:rsidRDefault="00723390" w:rsidP="00896B16">
      <w:pPr>
        <w:rPr>
          <w:noProof/>
        </w:rPr>
      </w:pPr>
      <w:r w:rsidRPr="008F3348">
        <w:rPr>
          <w:noProof/>
        </w:rPr>
        <w:t xml:space="preserve">A revised Impact Assessment </w:t>
      </w:r>
      <w:r w:rsidR="00152C3F">
        <w:rPr>
          <w:noProof/>
        </w:rPr>
        <w:t>report</w:t>
      </w:r>
      <w:r w:rsidRPr="008F3348">
        <w:rPr>
          <w:noProof/>
        </w:rPr>
        <w:t xml:space="preserve"> was resubmitted to the </w:t>
      </w:r>
      <w:r w:rsidR="00152C3F">
        <w:rPr>
          <w:noProof/>
        </w:rPr>
        <w:t xml:space="preserve">RSB </w:t>
      </w:r>
      <w:r w:rsidRPr="008F3348">
        <w:rPr>
          <w:noProof/>
        </w:rPr>
        <w:t xml:space="preserve">on </w:t>
      </w:r>
      <w:r w:rsidR="00D16258">
        <w:rPr>
          <w:noProof/>
        </w:rPr>
        <w:t>20</w:t>
      </w:r>
      <w:r w:rsidRPr="008F3348">
        <w:rPr>
          <w:noProof/>
        </w:rPr>
        <w:t xml:space="preserve"> March 2023 with revisions introduced in response to the RSB previous opinion. </w:t>
      </w:r>
      <w:r w:rsidR="00660B25">
        <w:rPr>
          <w:noProof/>
        </w:rPr>
        <w:t>In particular, it was c</w:t>
      </w:r>
      <w:r w:rsidR="00CD5AC5">
        <w:rPr>
          <w:noProof/>
        </w:rPr>
        <w:t>l</w:t>
      </w:r>
      <w:r w:rsidR="00660B25">
        <w:rPr>
          <w:noProof/>
        </w:rPr>
        <w:t>arified that bo</w:t>
      </w:r>
      <w:r w:rsidR="00660B25" w:rsidRPr="00E95D8D">
        <w:rPr>
          <w:noProof/>
        </w:rPr>
        <w:t>th objectives - improving efficiency and fighting tax abuse – are of equal importance</w:t>
      </w:r>
      <w:r w:rsidR="00660B25">
        <w:rPr>
          <w:noProof/>
        </w:rPr>
        <w:t>; additionally, t</w:t>
      </w:r>
      <w:r w:rsidR="00660B25" w:rsidRPr="00E95D8D">
        <w:rPr>
          <w:noProof/>
        </w:rPr>
        <w:t xml:space="preserve">he presentation of the options </w:t>
      </w:r>
      <w:r w:rsidR="00660B25">
        <w:rPr>
          <w:noProof/>
        </w:rPr>
        <w:t>was</w:t>
      </w:r>
      <w:r w:rsidR="00660B25" w:rsidRPr="00E95D8D">
        <w:rPr>
          <w:noProof/>
        </w:rPr>
        <w:t xml:space="preserve"> amended </w:t>
      </w:r>
      <w:r w:rsidR="00660B25">
        <w:rPr>
          <w:noProof/>
        </w:rPr>
        <w:t>to reflect</w:t>
      </w:r>
      <w:r w:rsidR="00660B25" w:rsidRPr="00E95D8D">
        <w:rPr>
          <w:noProof/>
        </w:rPr>
        <w:t xml:space="preserve"> three options</w:t>
      </w:r>
      <w:r w:rsidR="00660B25">
        <w:rPr>
          <w:noProof/>
        </w:rPr>
        <w:t xml:space="preserve"> instead of four (merging previous option 1 and 2 in </w:t>
      </w:r>
      <w:r w:rsidR="00CE5989">
        <w:rPr>
          <w:noProof/>
        </w:rPr>
        <w:t>current</w:t>
      </w:r>
      <w:r w:rsidR="00660B25">
        <w:rPr>
          <w:noProof/>
        </w:rPr>
        <w:t xml:space="preserve"> option 1 and slightly redrafting and changing the order of option 2 and 3); finally, the impact assessment </w:t>
      </w:r>
      <w:r w:rsidR="00CD5AC5">
        <w:rPr>
          <w:noProof/>
        </w:rPr>
        <w:t>was</w:t>
      </w:r>
      <w:r w:rsidR="00660B25">
        <w:rPr>
          <w:noProof/>
        </w:rPr>
        <w:t xml:space="preserve"> revised to provide for a more comprehensive overview of the costs and benefit</w:t>
      </w:r>
      <w:r w:rsidR="00CE5989">
        <w:rPr>
          <w:noProof/>
        </w:rPr>
        <w:t>s and a</w:t>
      </w:r>
      <w:r w:rsidR="00660B25" w:rsidRPr="00E95D8D">
        <w:rPr>
          <w:noProof/>
        </w:rPr>
        <w:t xml:space="preserve"> summary chart </w:t>
      </w:r>
      <w:r w:rsidR="00CE5989">
        <w:rPr>
          <w:noProof/>
        </w:rPr>
        <w:t>was</w:t>
      </w:r>
      <w:r w:rsidR="00660B25" w:rsidRPr="00E95D8D">
        <w:rPr>
          <w:noProof/>
        </w:rPr>
        <w:t xml:space="preserve"> added </w:t>
      </w:r>
      <w:r w:rsidR="00CE5989">
        <w:rPr>
          <w:noProof/>
        </w:rPr>
        <w:t>to</w:t>
      </w:r>
      <w:r w:rsidR="00660B25" w:rsidRPr="00E95D8D">
        <w:rPr>
          <w:noProof/>
        </w:rPr>
        <w:t xml:space="preserve"> reflects the net cost/benefits of each current option for each stakeholder</w:t>
      </w:r>
      <w:r w:rsidR="00660B25">
        <w:rPr>
          <w:noProof/>
        </w:rPr>
        <w:t>.</w:t>
      </w:r>
    </w:p>
    <w:p w14:paraId="5F06FCAA" w14:textId="77777777" w:rsidR="006E5243" w:rsidRDefault="00975CB0" w:rsidP="000430BD">
      <w:pPr>
        <w:pBdr>
          <w:top w:val="nil"/>
          <w:left w:val="nil"/>
          <w:bottom w:val="nil"/>
          <w:right w:val="nil"/>
          <w:between w:val="nil"/>
          <w:bar w:val="nil"/>
        </w:pBdr>
        <w:spacing w:before="0" w:after="240"/>
        <w:rPr>
          <w:noProof/>
        </w:rPr>
      </w:pPr>
      <w:r>
        <w:rPr>
          <w:noProof/>
        </w:rPr>
        <w:t>On</w:t>
      </w:r>
      <w:r w:rsidR="00723390" w:rsidRPr="008F3348">
        <w:rPr>
          <w:noProof/>
        </w:rPr>
        <w:t xml:space="preserve"> this resubmitted Impact Assessment, the RSB issued a positive opinion </w:t>
      </w:r>
      <w:r w:rsidR="00152C3F">
        <w:rPr>
          <w:noProof/>
        </w:rPr>
        <w:t xml:space="preserve">with reservation </w:t>
      </w:r>
      <w:r w:rsidR="00723390" w:rsidRPr="003D4F20">
        <w:rPr>
          <w:noProof/>
        </w:rPr>
        <w:t xml:space="preserve">on </w:t>
      </w:r>
      <w:r w:rsidR="00CA1F6F" w:rsidRPr="003D4F20">
        <w:rPr>
          <w:noProof/>
        </w:rPr>
        <w:t>21</w:t>
      </w:r>
      <w:r w:rsidR="00723390" w:rsidRPr="003D4F20">
        <w:rPr>
          <w:noProof/>
        </w:rPr>
        <w:t xml:space="preserve"> April 2023</w:t>
      </w:r>
      <w:r w:rsidR="00723390" w:rsidRPr="008F3348">
        <w:rPr>
          <w:noProof/>
        </w:rPr>
        <w:t xml:space="preserve">. </w:t>
      </w:r>
      <w:r w:rsidR="00FC400D">
        <w:rPr>
          <w:noProof/>
        </w:rPr>
        <w:t>RSB ask</w:t>
      </w:r>
      <w:r w:rsidR="00CD5AC5">
        <w:rPr>
          <w:noProof/>
        </w:rPr>
        <w:t>ed</w:t>
      </w:r>
      <w:r w:rsidR="00FC400D">
        <w:rPr>
          <w:noProof/>
        </w:rPr>
        <w:t xml:space="preserve"> for further clarification on the available options and on costs</w:t>
      </w:r>
      <w:r w:rsidR="00143595">
        <w:rPr>
          <w:noProof/>
        </w:rPr>
        <w:t>/</w:t>
      </w:r>
      <w:r w:rsidR="00FC400D">
        <w:rPr>
          <w:noProof/>
        </w:rPr>
        <w:t>savings in scope of the One In, One Out approach. F</w:t>
      </w:r>
      <w:r w:rsidR="00143595">
        <w:rPr>
          <w:noProof/>
        </w:rPr>
        <w:t>u</w:t>
      </w:r>
      <w:r w:rsidR="00FC400D">
        <w:rPr>
          <w:noProof/>
        </w:rPr>
        <w:t>rthermore, it was requested to better reflect in the impact analysis the fact that the preferred option was giving Member States a choice</w:t>
      </w:r>
      <w:r w:rsidR="00143595">
        <w:rPr>
          <w:noProof/>
        </w:rPr>
        <w:t xml:space="preserve"> between applying the relief at source and/or the quick refund system</w:t>
      </w:r>
      <w:r w:rsidR="00FC400D">
        <w:rPr>
          <w:noProof/>
        </w:rPr>
        <w:t>.</w:t>
      </w:r>
      <w:r w:rsidR="00F83A26">
        <w:rPr>
          <w:noProof/>
        </w:rPr>
        <w:t xml:space="preserve"> Abovementioned reservations were addressed in the last version of the impact assessment.</w:t>
      </w:r>
    </w:p>
    <w:p w14:paraId="7405FE6E" w14:textId="77777777" w:rsidR="00723390" w:rsidRDefault="00723390" w:rsidP="000430BD">
      <w:pPr>
        <w:pBdr>
          <w:top w:val="nil"/>
          <w:left w:val="nil"/>
          <w:bottom w:val="nil"/>
          <w:right w:val="nil"/>
          <w:between w:val="nil"/>
          <w:bar w:val="nil"/>
        </w:pBdr>
        <w:spacing w:before="0" w:after="240"/>
        <w:rPr>
          <w:rFonts w:eastAsia="Arial Unicode MS"/>
          <w:noProof/>
        </w:rPr>
      </w:pPr>
      <w:r w:rsidRPr="00723390">
        <w:rPr>
          <w:rFonts w:eastAsia="Arial Unicode MS"/>
          <w:noProof/>
        </w:rPr>
        <w:t>The Impact Assessment</w:t>
      </w:r>
      <w:r w:rsidR="00E360AF">
        <w:rPr>
          <w:rFonts w:eastAsia="Arial Unicode MS"/>
          <w:noProof/>
        </w:rPr>
        <w:t xml:space="preserve">, as revised following the </w:t>
      </w:r>
      <w:r w:rsidR="0087359B">
        <w:rPr>
          <w:rFonts w:eastAsia="Arial Unicode MS"/>
          <w:noProof/>
        </w:rPr>
        <w:t>recommendations</w:t>
      </w:r>
      <w:r w:rsidRPr="00723390">
        <w:rPr>
          <w:rFonts w:eastAsia="Arial Unicode MS"/>
          <w:noProof/>
        </w:rPr>
        <w:t xml:space="preserve"> </w:t>
      </w:r>
      <w:r w:rsidR="00E360AF">
        <w:rPr>
          <w:rFonts w:eastAsia="Arial Unicode MS"/>
          <w:noProof/>
        </w:rPr>
        <w:t>from the RSB,</w:t>
      </w:r>
      <w:r w:rsidRPr="00723390">
        <w:rPr>
          <w:rFonts w:eastAsia="Arial Unicode MS"/>
          <w:noProof/>
        </w:rPr>
        <w:t xml:space="preserve"> examine</w:t>
      </w:r>
      <w:r w:rsidR="00B143B9">
        <w:rPr>
          <w:rFonts w:eastAsia="Arial Unicode MS"/>
          <w:noProof/>
        </w:rPr>
        <w:t>d</w:t>
      </w:r>
      <w:r w:rsidRPr="00723390">
        <w:rPr>
          <w:rFonts w:eastAsia="Arial Unicode MS"/>
          <w:noProof/>
        </w:rPr>
        <w:t xml:space="preserve"> three policy options:</w:t>
      </w:r>
    </w:p>
    <w:p w14:paraId="24FEA4B8" w14:textId="77777777" w:rsidR="00E360AF" w:rsidRPr="00554778" w:rsidRDefault="002C0520" w:rsidP="00554778">
      <w:pPr>
        <w:rPr>
          <w:b/>
          <w:bCs/>
          <w:noProof/>
        </w:rPr>
      </w:pPr>
      <w:r w:rsidRPr="00554778">
        <w:rPr>
          <w:b/>
          <w:bCs/>
          <w:noProof/>
        </w:rPr>
        <w:t xml:space="preserve">Option 1 </w:t>
      </w:r>
      <w:r w:rsidR="00537D3C" w:rsidRPr="00554778">
        <w:rPr>
          <w:b/>
          <w:bCs/>
          <w:noProof/>
        </w:rPr>
        <w:t>–</w:t>
      </w:r>
      <w:r w:rsidRPr="00554778">
        <w:rPr>
          <w:b/>
          <w:bCs/>
          <w:noProof/>
        </w:rPr>
        <w:t xml:space="preserve"> Setting</w:t>
      </w:r>
      <w:r w:rsidR="00537D3C" w:rsidRPr="00554778">
        <w:rPr>
          <w:b/>
          <w:bCs/>
          <w:noProof/>
        </w:rPr>
        <w:t>-</w:t>
      </w:r>
      <w:r w:rsidRPr="00554778">
        <w:rPr>
          <w:b/>
          <w:bCs/>
          <w:noProof/>
        </w:rPr>
        <w:t>up a common digital tax residence certificate (</w:t>
      </w:r>
      <w:r w:rsidR="00026AAA" w:rsidRPr="00554778">
        <w:rPr>
          <w:b/>
          <w:bCs/>
          <w:noProof/>
        </w:rPr>
        <w:t>e</w:t>
      </w:r>
      <w:r w:rsidRPr="00554778">
        <w:rPr>
          <w:b/>
          <w:bCs/>
          <w:noProof/>
        </w:rPr>
        <w:t>TRC) + common reporting</w:t>
      </w:r>
    </w:p>
    <w:p w14:paraId="5801E9E7" w14:textId="77777777" w:rsidR="002C0520" w:rsidRPr="002C0520" w:rsidRDefault="00D16258" w:rsidP="00554778">
      <w:pPr>
        <w:rPr>
          <w:noProof/>
        </w:rPr>
      </w:pPr>
      <w:r>
        <w:rPr>
          <w:noProof/>
        </w:rPr>
        <w:t>Under this option, Member States could continue to apply their current systems (i.e. relief at source</w:t>
      </w:r>
      <w:r w:rsidR="00537D3C">
        <w:rPr>
          <w:noProof/>
        </w:rPr>
        <w:t xml:space="preserve"> and/or</w:t>
      </w:r>
      <w:r>
        <w:rPr>
          <w:noProof/>
        </w:rPr>
        <w:t xml:space="preserve"> refund procedures) but should introduce the following new elements</w:t>
      </w:r>
      <w:r w:rsidR="002C0520" w:rsidRPr="002C0520">
        <w:rPr>
          <w:noProof/>
        </w:rPr>
        <w:t xml:space="preserve">: </w:t>
      </w:r>
    </w:p>
    <w:p w14:paraId="5C77328F" w14:textId="77777777" w:rsidR="002C0520" w:rsidRDefault="002C0520" w:rsidP="002C4E11">
      <w:pPr>
        <w:pStyle w:val="Bullet0"/>
        <w:rPr>
          <w:noProof/>
        </w:rPr>
      </w:pPr>
      <w:r>
        <w:rPr>
          <w:noProof/>
        </w:rPr>
        <w:t xml:space="preserve">a common </w:t>
      </w:r>
      <w:r w:rsidR="00B143B9">
        <w:rPr>
          <w:noProof/>
        </w:rPr>
        <w:t>e</w:t>
      </w:r>
      <w:r>
        <w:rPr>
          <w:noProof/>
        </w:rPr>
        <w:t xml:space="preserve">TRC(with a common content and format) </w:t>
      </w:r>
      <w:r w:rsidR="00D16258">
        <w:rPr>
          <w:noProof/>
        </w:rPr>
        <w:t xml:space="preserve">which </w:t>
      </w:r>
      <w:r>
        <w:rPr>
          <w:noProof/>
        </w:rPr>
        <w:t xml:space="preserve">would be issued/verified </w:t>
      </w:r>
      <w:r w:rsidR="00537D3C">
        <w:rPr>
          <w:noProof/>
        </w:rPr>
        <w:t>in a digital way</w:t>
      </w:r>
      <w:r>
        <w:rPr>
          <w:noProof/>
        </w:rPr>
        <w:t xml:space="preserve"> by all Member States.</w:t>
      </w:r>
    </w:p>
    <w:p w14:paraId="63DB8A83" w14:textId="77777777" w:rsidR="002C0520" w:rsidRDefault="002C0520" w:rsidP="002C4E11">
      <w:pPr>
        <w:pStyle w:val="Bullet0"/>
        <w:rPr>
          <w:noProof/>
        </w:rPr>
      </w:pPr>
      <w:r w:rsidRPr="002C0520">
        <w:rPr>
          <w:noProof/>
        </w:rPr>
        <w:t>a common reporting standard</w:t>
      </w:r>
      <w:r w:rsidR="00D16258">
        <w:rPr>
          <w:noProof/>
        </w:rPr>
        <w:t xml:space="preserve"> to</w:t>
      </w:r>
      <w:r w:rsidR="00537D3C">
        <w:rPr>
          <w:noProof/>
        </w:rPr>
        <w:t xml:space="preserve"> </w:t>
      </w:r>
      <w:r w:rsidRPr="002C0520">
        <w:rPr>
          <w:noProof/>
        </w:rPr>
        <w:t xml:space="preserve">increase transparency as every financial intermediary throughout the financial chain would report a defined set of information to the source Member State. It </w:t>
      </w:r>
      <w:r w:rsidR="00914B7B">
        <w:rPr>
          <w:noProof/>
        </w:rPr>
        <w:t>would be</w:t>
      </w:r>
      <w:r w:rsidRPr="002C0520">
        <w:rPr>
          <w:noProof/>
        </w:rPr>
        <w:t xml:space="preserve"> accompanied by </w:t>
      </w:r>
      <w:r w:rsidR="0030141C">
        <w:rPr>
          <w:noProof/>
        </w:rPr>
        <w:t>standardised</w:t>
      </w:r>
      <w:r w:rsidRPr="002C0520">
        <w:rPr>
          <w:noProof/>
        </w:rPr>
        <w:t xml:space="preserve"> due diligence procedures, liability rules and common refund forms to be filed on behalf of clients/taxpayers </w:t>
      </w:r>
      <w:r w:rsidR="00537D3C">
        <w:rPr>
          <w:noProof/>
        </w:rPr>
        <w:t xml:space="preserve">using </w:t>
      </w:r>
      <w:r w:rsidRPr="002C0520">
        <w:rPr>
          <w:noProof/>
        </w:rPr>
        <w:t>automa</w:t>
      </w:r>
      <w:r w:rsidR="00537D3C">
        <w:rPr>
          <w:noProof/>
        </w:rPr>
        <w:t>tion</w:t>
      </w:r>
      <w:r w:rsidRPr="002C0520">
        <w:rPr>
          <w:noProof/>
        </w:rPr>
        <w:t>.</w:t>
      </w:r>
    </w:p>
    <w:p w14:paraId="785DB960" w14:textId="77777777" w:rsidR="00E360AF" w:rsidRPr="00554778" w:rsidRDefault="00141CFD" w:rsidP="00554778">
      <w:pPr>
        <w:rPr>
          <w:b/>
          <w:bCs/>
          <w:noProof/>
        </w:rPr>
      </w:pPr>
      <w:r w:rsidRPr="00554778">
        <w:rPr>
          <w:b/>
          <w:bCs/>
          <w:noProof/>
        </w:rPr>
        <w:t>Option 2 - Implementing a Relief at Source System</w:t>
      </w:r>
    </w:p>
    <w:p w14:paraId="3E9D8665" w14:textId="64B452A6" w:rsidR="00141CFD" w:rsidRDefault="00141CFD" w:rsidP="00554778">
      <w:pPr>
        <w:rPr>
          <w:noProof/>
        </w:rPr>
      </w:pPr>
      <w:r w:rsidRPr="00141CFD">
        <w:rPr>
          <w:noProof/>
        </w:rPr>
        <w:t xml:space="preserve">This second option builds on the elements included in </w:t>
      </w:r>
      <w:r w:rsidR="00E360AF">
        <w:rPr>
          <w:noProof/>
        </w:rPr>
        <w:t>o</w:t>
      </w:r>
      <w:r w:rsidRPr="00141CFD">
        <w:rPr>
          <w:noProof/>
        </w:rPr>
        <w:t xml:space="preserve">ption 1 </w:t>
      </w:r>
      <w:r w:rsidR="00D16258">
        <w:rPr>
          <w:noProof/>
        </w:rPr>
        <w:t>but makes it compulsory for Member States to establish</w:t>
      </w:r>
      <w:r w:rsidRPr="00141CFD">
        <w:rPr>
          <w:noProof/>
        </w:rPr>
        <w:t xml:space="preserve"> a relief at source system that allows </w:t>
      </w:r>
      <w:r w:rsidR="001960CE">
        <w:rPr>
          <w:noProof/>
        </w:rPr>
        <w:t>for the application of</w:t>
      </w:r>
      <w:r w:rsidR="001960CE" w:rsidRPr="00141CFD">
        <w:rPr>
          <w:noProof/>
        </w:rPr>
        <w:t xml:space="preserve"> </w:t>
      </w:r>
      <w:r w:rsidRPr="00141CFD">
        <w:rPr>
          <w:noProof/>
        </w:rPr>
        <w:t xml:space="preserve">reduced rates pursuant to </w:t>
      </w:r>
      <w:r w:rsidR="00E360AF">
        <w:rPr>
          <w:noProof/>
        </w:rPr>
        <w:t xml:space="preserve">DTT </w:t>
      </w:r>
      <w:r w:rsidRPr="00141CFD">
        <w:rPr>
          <w:noProof/>
        </w:rPr>
        <w:t xml:space="preserve">or domestic rules directly at the moment of </w:t>
      </w:r>
      <w:r w:rsidR="00914B7B">
        <w:rPr>
          <w:noProof/>
        </w:rPr>
        <w:t xml:space="preserve">the </w:t>
      </w:r>
      <w:r w:rsidRPr="00141CFD">
        <w:rPr>
          <w:noProof/>
        </w:rPr>
        <w:t>payment.</w:t>
      </w:r>
      <w:r w:rsidR="00E360AF">
        <w:rPr>
          <w:noProof/>
        </w:rPr>
        <w:t xml:space="preserve"> </w:t>
      </w:r>
      <w:r w:rsidRPr="00141CFD">
        <w:rPr>
          <w:noProof/>
        </w:rPr>
        <w:t>Under option 2, tax administrations would</w:t>
      </w:r>
      <w:r w:rsidR="00537D3C">
        <w:rPr>
          <w:noProof/>
        </w:rPr>
        <w:t xml:space="preserve"> have </w:t>
      </w:r>
      <w:r w:rsidR="00CF0C12">
        <w:rPr>
          <w:noProof/>
        </w:rPr>
        <w:t xml:space="preserve">to </w:t>
      </w:r>
      <w:r w:rsidRPr="00141CFD">
        <w:rPr>
          <w:noProof/>
        </w:rPr>
        <w:t>monitor the taxes due after the payment takes place</w:t>
      </w:r>
      <w:r>
        <w:rPr>
          <w:noProof/>
        </w:rPr>
        <w:t>.</w:t>
      </w:r>
    </w:p>
    <w:p w14:paraId="3C39A789" w14:textId="77777777" w:rsidR="00E360AF" w:rsidRPr="00554778" w:rsidRDefault="00141CFD" w:rsidP="00554778">
      <w:pPr>
        <w:rPr>
          <w:b/>
          <w:bCs/>
          <w:noProof/>
        </w:rPr>
      </w:pPr>
      <w:r w:rsidRPr="00554778">
        <w:rPr>
          <w:b/>
          <w:bCs/>
          <w:noProof/>
        </w:rPr>
        <w:t>Option 3 – Implementing a Quick Refund System</w:t>
      </w:r>
      <w:r w:rsidR="00537D3C" w:rsidRPr="00554778">
        <w:rPr>
          <w:b/>
          <w:bCs/>
          <w:noProof/>
        </w:rPr>
        <w:t xml:space="preserve"> </w:t>
      </w:r>
      <w:r w:rsidR="0087359B" w:rsidRPr="00554778">
        <w:rPr>
          <w:b/>
          <w:bCs/>
          <w:noProof/>
        </w:rPr>
        <w:t xml:space="preserve">within a set time frame or/and a </w:t>
      </w:r>
      <w:r w:rsidR="00660131" w:rsidRPr="00554778">
        <w:rPr>
          <w:b/>
          <w:bCs/>
          <w:noProof/>
        </w:rPr>
        <w:t>R</w:t>
      </w:r>
      <w:r w:rsidR="0087359B" w:rsidRPr="00554778">
        <w:rPr>
          <w:b/>
          <w:bCs/>
          <w:noProof/>
        </w:rPr>
        <w:t>elief</w:t>
      </w:r>
      <w:r w:rsidR="00660131" w:rsidRPr="00554778">
        <w:rPr>
          <w:b/>
          <w:bCs/>
          <w:noProof/>
        </w:rPr>
        <w:t xml:space="preserve"> at S</w:t>
      </w:r>
      <w:r w:rsidR="0087359B" w:rsidRPr="00554778">
        <w:rPr>
          <w:b/>
          <w:bCs/>
          <w:noProof/>
        </w:rPr>
        <w:t>ource</w:t>
      </w:r>
    </w:p>
    <w:p w14:paraId="0ADCFA41" w14:textId="77777777" w:rsidR="00141CFD" w:rsidRDefault="00660131" w:rsidP="00554778">
      <w:pPr>
        <w:rPr>
          <w:noProof/>
        </w:rPr>
      </w:pPr>
      <w:r w:rsidRPr="00660131">
        <w:rPr>
          <w:noProof/>
        </w:rPr>
        <w:t xml:space="preserve">This option </w:t>
      </w:r>
      <w:r w:rsidRPr="00777242">
        <w:rPr>
          <w:noProof/>
        </w:rPr>
        <w:t xml:space="preserve">encompasses option 1 with the added requirement that Member States applying a refund system should ensure that the reclaim is handled within a pre-defined timeframe, </w:t>
      </w:r>
      <w:r w:rsidR="00537D3C">
        <w:rPr>
          <w:noProof/>
        </w:rPr>
        <w:t xml:space="preserve">a </w:t>
      </w:r>
      <w:r w:rsidRPr="00777242">
        <w:rPr>
          <w:noProof/>
        </w:rPr>
        <w:t xml:space="preserve">so-called the Quick refund system. Member States can introduce or continue to implement a relief at source system (as </w:t>
      </w:r>
      <w:r w:rsidR="00F82941">
        <w:rPr>
          <w:noProof/>
        </w:rPr>
        <w:t xml:space="preserve">a </w:t>
      </w:r>
      <w:r w:rsidR="00537D3C">
        <w:rPr>
          <w:noProof/>
        </w:rPr>
        <w:t>main</w:t>
      </w:r>
      <w:r w:rsidRPr="00777242">
        <w:rPr>
          <w:noProof/>
        </w:rPr>
        <w:t xml:space="preserve"> system or for certain low-risk payments)</w:t>
      </w:r>
      <w:r>
        <w:rPr>
          <w:noProof/>
        </w:rPr>
        <w:t>.</w:t>
      </w:r>
    </w:p>
    <w:p w14:paraId="5A794E07" w14:textId="77777777" w:rsidR="00141CFD" w:rsidRDefault="00141CFD" w:rsidP="00141CFD">
      <w:pPr>
        <w:rPr>
          <w:noProof/>
        </w:rPr>
      </w:pPr>
      <w:r>
        <w:rPr>
          <w:noProof/>
        </w:rPr>
        <w:t xml:space="preserve">The various options </w:t>
      </w:r>
      <w:r w:rsidR="00E360AF">
        <w:rPr>
          <w:noProof/>
        </w:rPr>
        <w:t xml:space="preserve">were </w:t>
      </w:r>
      <w:r>
        <w:rPr>
          <w:noProof/>
        </w:rPr>
        <w:t xml:space="preserve">compared against the following criteria: effectiveness, </w:t>
      </w:r>
      <w:r w:rsidR="00913BDB">
        <w:rPr>
          <w:noProof/>
        </w:rPr>
        <w:t>efficiency</w:t>
      </w:r>
      <w:r>
        <w:rPr>
          <w:noProof/>
        </w:rPr>
        <w:t xml:space="preserve">, coherence and proportionality. </w:t>
      </w:r>
    </w:p>
    <w:p w14:paraId="7AB34824" w14:textId="77777777" w:rsidR="00141CFD" w:rsidRDefault="00914B7B" w:rsidP="00141CFD">
      <w:pPr>
        <w:rPr>
          <w:noProof/>
        </w:rPr>
      </w:pPr>
      <w:r>
        <w:rPr>
          <w:noProof/>
        </w:rPr>
        <w:t>Of all the options</w:t>
      </w:r>
      <w:r w:rsidR="00141CFD">
        <w:rPr>
          <w:noProof/>
        </w:rPr>
        <w:t xml:space="preserve">, </w:t>
      </w:r>
      <w:r w:rsidR="00E360AF">
        <w:rPr>
          <w:noProof/>
        </w:rPr>
        <w:t>o</w:t>
      </w:r>
      <w:r w:rsidR="00141CFD">
        <w:rPr>
          <w:noProof/>
        </w:rPr>
        <w:t xml:space="preserve">ption 3 </w:t>
      </w:r>
      <w:r w:rsidR="001960CE">
        <w:rPr>
          <w:noProof/>
        </w:rPr>
        <w:t>is</w:t>
      </w:r>
      <w:r>
        <w:rPr>
          <w:noProof/>
        </w:rPr>
        <w:t xml:space="preserve"> the preferred option</w:t>
      </w:r>
      <w:r w:rsidR="00141CFD">
        <w:rPr>
          <w:noProof/>
        </w:rPr>
        <w:t xml:space="preserve">. </w:t>
      </w:r>
      <w:r w:rsidR="00E360AF">
        <w:rPr>
          <w:noProof/>
        </w:rPr>
        <w:t>O</w:t>
      </w:r>
      <w:r w:rsidR="00141CFD">
        <w:rPr>
          <w:noProof/>
        </w:rPr>
        <w:t xml:space="preserve">ption 3 </w:t>
      </w:r>
      <w:r w:rsidR="00D16258">
        <w:rPr>
          <w:noProof/>
        </w:rPr>
        <w:t>is</w:t>
      </w:r>
      <w:r w:rsidR="00141CFD">
        <w:rPr>
          <w:noProof/>
        </w:rPr>
        <w:t xml:space="preserve"> highly effective to tackle the problems identified in the EU in terms of speed, simpler processes and more </w:t>
      </w:r>
      <w:r w:rsidR="0030141C">
        <w:rPr>
          <w:noProof/>
        </w:rPr>
        <w:t>digitalised</w:t>
      </w:r>
      <w:r w:rsidR="00141CFD">
        <w:rPr>
          <w:noProof/>
        </w:rPr>
        <w:t xml:space="preserve"> procedures.</w:t>
      </w:r>
      <w:r w:rsidR="00131D58">
        <w:rPr>
          <w:noProof/>
        </w:rPr>
        <w:t xml:space="preserve"> </w:t>
      </w:r>
      <w:r w:rsidR="00EB3C21" w:rsidRPr="00EB3C21">
        <w:rPr>
          <w:noProof/>
        </w:rPr>
        <w:t>While</w:t>
      </w:r>
      <w:r w:rsidR="00141CFD">
        <w:rPr>
          <w:noProof/>
        </w:rPr>
        <w:t xml:space="preserve"> option </w:t>
      </w:r>
      <w:r w:rsidR="00EB3C21" w:rsidRPr="00EB3C21">
        <w:rPr>
          <w:noProof/>
        </w:rPr>
        <w:t xml:space="preserve">2 would lead to even higher cost savings for investors, </w:t>
      </w:r>
      <w:r w:rsidR="00131D58">
        <w:rPr>
          <w:noProof/>
        </w:rPr>
        <w:t>o</w:t>
      </w:r>
      <w:r w:rsidR="00141CFD">
        <w:rPr>
          <w:noProof/>
        </w:rPr>
        <w:t>ption 3 gives Member States the option to retain an ex-ante control over refund request</w:t>
      </w:r>
      <w:r w:rsidR="00131D58">
        <w:rPr>
          <w:noProof/>
        </w:rPr>
        <w:t>s</w:t>
      </w:r>
      <w:r w:rsidR="006D73F9">
        <w:rPr>
          <w:noProof/>
        </w:rPr>
        <w:t xml:space="preserve">, </w:t>
      </w:r>
      <w:r w:rsidR="00EB3C21">
        <w:rPr>
          <w:noProof/>
        </w:rPr>
        <w:t xml:space="preserve">thus </w:t>
      </w:r>
      <w:r w:rsidR="00141CFD">
        <w:rPr>
          <w:noProof/>
        </w:rPr>
        <w:t>provid</w:t>
      </w:r>
      <w:r w:rsidR="00EB3C21">
        <w:rPr>
          <w:noProof/>
        </w:rPr>
        <w:t>ing</w:t>
      </w:r>
      <w:r w:rsidR="00141CFD">
        <w:rPr>
          <w:noProof/>
        </w:rPr>
        <w:t xml:space="preserve"> a way forward that should be politically feasible in all Member States.</w:t>
      </w:r>
      <w:r w:rsidR="00DA28F4" w:rsidRPr="00DA28F4">
        <w:rPr>
          <w:noProof/>
        </w:rPr>
        <w:t xml:space="preserve"> </w:t>
      </w:r>
      <w:r w:rsidR="00DA28F4">
        <w:rPr>
          <w:noProof/>
        </w:rPr>
        <w:t>F</w:t>
      </w:r>
      <w:r w:rsidR="00DA28F4" w:rsidRPr="00DA28F4">
        <w:rPr>
          <w:noProof/>
        </w:rPr>
        <w:t>ighting abuse is especially relevant for Member States that have been heavily hit by Cum/Cum and Cum/Ex practices during recent years. Because of political reasons, those Member States might be more reluctant to adopt a relief at source system in the short-term, as such system gives a more prominent role to financial intermediaries.</w:t>
      </w:r>
    </w:p>
    <w:p w14:paraId="4AE398F8" w14:textId="77777777" w:rsidR="002C5F1D" w:rsidRPr="00FE229E" w:rsidRDefault="002C5F1D" w:rsidP="00141CFD">
      <w:pPr>
        <w:rPr>
          <w:b/>
          <w:bCs/>
          <w:noProof/>
        </w:rPr>
      </w:pPr>
      <w:r w:rsidRPr="00FE229E">
        <w:rPr>
          <w:b/>
          <w:bCs/>
          <w:noProof/>
        </w:rPr>
        <w:t xml:space="preserve">Economic impacts </w:t>
      </w:r>
    </w:p>
    <w:p w14:paraId="187040BB" w14:textId="77777777" w:rsidR="002C5F1D" w:rsidRPr="00BF10E5" w:rsidRDefault="002C5F1D" w:rsidP="00141CFD">
      <w:pPr>
        <w:rPr>
          <w:i/>
          <w:iCs/>
          <w:noProof/>
        </w:rPr>
      </w:pPr>
      <w:r w:rsidRPr="00BF10E5">
        <w:rPr>
          <w:i/>
          <w:iCs/>
          <w:noProof/>
        </w:rPr>
        <w:t>Benefits</w:t>
      </w:r>
    </w:p>
    <w:p w14:paraId="25700939" w14:textId="77777777" w:rsidR="00A230E0" w:rsidRDefault="002C5F1D" w:rsidP="00141CFD">
      <w:pPr>
        <w:rPr>
          <w:noProof/>
        </w:rPr>
      </w:pPr>
      <w:r>
        <w:rPr>
          <w:noProof/>
        </w:rPr>
        <w:t>The proposed initiative will lead to costs savings for investors, estimated approximately at EUR 5.17 billion</w:t>
      </w:r>
      <w:r w:rsidR="00EB3C21" w:rsidRPr="00EB3C21">
        <w:rPr>
          <w:noProof/>
        </w:rPr>
        <w:t xml:space="preserve"> per year, including EUR 730 million per year related to a decrease in paperwork</w:t>
      </w:r>
      <w:r w:rsidR="009F0154">
        <w:rPr>
          <w:noProof/>
        </w:rPr>
        <w:t xml:space="preserve"> (</w:t>
      </w:r>
      <w:r w:rsidR="00562913">
        <w:rPr>
          <w:noProof/>
        </w:rPr>
        <w:t xml:space="preserve">EUR </w:t>
      </w:r>
      <w:r w:rsidR="009F0154">
        <w:rPr>
          <w:noProof/>
        </w:rPr>
        <w:t>409 million concerning EU investors)</w:t>
      </w:r>
      <w:r w:rsidR="00F82941">
        <w:rPr>
          <w:noProof/>
        </w:rPr>
        <w:t>.</w:t>
      </w:r>
      <w:r>
        <w:rPr>
          <w:noProof/>
        </w:rPr>
        <w:t xml:space="preserve"> Th</w:t>
      </w:r>
      <w:r w:rsidR="005E7640">
        <w:rPr>
          <w:noProof/>
        </w:rPr>
        <w:t xml:space="preserve">is owes to the fact that </w:t>
      </w:r>
      <w:r>
        <w:rPr>
          <w:noProof/>
        </w:rPr>
        <w:t>investors will incur less compliance costs</w:t>
      </w:r>
      <w:r w:rsidR="005E7640">
        <w:rPr>
          <w:noProof/>
        </w:rPr>
        <w:t xml:space="preserve">, will face less instances of double taxation and will be able to reinvest the refunded </w:t>
      </w:r>
      <w:r w:rsidR="00867E33">
        <w:rPr>
          <w:noProof/>
        </w:rPr>
        <w:t>money</w:t>
      </w:r>
      <w:r w:rsidR="005E7640">
        <w:rPr>
          <w:noProof/>
        </w:rPr>
        <w:t xml:space="preserve"> in a timely manner. </w:t>
      </w:r>
      <w:r w:rsidR="00DE446B">
        <w:rPr>
          <w:noProof/>
        </w:rPr>
        <w:t>Th</w:t>
      </w:r>
      <w:r w:rsidR="4A9D96B8">
        <w:rPr>
          <w:noProof/>
        </w:rPr>
        <w:t>is</w:t>
      </w:r>
      <w:r w:rsidR="00DE446B">
        <w:rPr>
          <w:noProof/>
        </w:rPr>
        <w:t xml:space="preserve"> initiative will </w:t>
      </w:r>
      <w:r w:rsidR="63B2823E">
        <w:rPr>
          <w:noProof/>
        </w:rPr>
        <w:t xml:space="preserve">thus </w:t>
      </w:r>
      <w:r w:rsidR="00DE446B">
        <w:rPr>
          <w:noProof/>
        </w:rPr>
        <w:t xml:space="preserve">tackle </w:t>
      </w:r>
      <w:r w:rsidR="0E3A666B">
        <w:rPr>
          <w:noProof/>
        </w:rPr>
        <w:t>a structural, longstanding</w:t>
      </w:r>
      <w:r w:rsidR="00DE446B">
        <w:rPr>
          <w:noProof/>
        </w:rPr>
        <w:t xml:space="preserve"> obstacle to cross-border investment</w:t>
      </w:r>
      <w:r w:rsidR="0C6F8094">
        <w:rPr>
          <w:noProof/>
        </w:rPr>
        <w:t xml:space="preserve"> and will help </w:t>
      </w:r>
      <w:r w:rsidR="29AFDCEB">
        <w:rPr>
          <w:noProof/>
        </w:rPr>
        <w:t xml:space="preserve">EU </w:t>
      </w:r>
      <w:r w:rsidR="00DE446B">
        <w:rPr>
          <w:noProof/>
        </w:rPr>
        <w:t xml:space="preserve">companies </w:t>
      </w:r>
      <w:r w:rsidR="542F1FD9">
        <w:rPr>
          <w:noProof/>
        </w:rPr>
        <w:t xml:space="preserve">raise capital </w:t>
      </w:r>
      <w:r w:rsidR="424E3050">
        <w:rPr>
          <w:noProof/>
        </w:rPr>
        <w:t>from</w:t>
      </w:r>
      <w:r w:rsidR="00DE446B">
        <w:rPr>
          <w:noProof/>
        </w:rPr>
        <w:t xml:space="preserve"> a wider base of investors, </w:t>
      </w:r>
      <w:r w:rsidR="64628A4E">
        <w:rPr>
          <w:noProof/>
        </w:rPr>
        <w:t>which</w:t>
      </w:r>
      <w:r w:rsidR="5F80B952">
        <w:rPr>
          <w:noProof/>
        </w:rPr>
        <w:t xml:space="preserve"> </w:t>
      </w:r>
      <w:r w:rsidR="38179C59">
        <w:rPr>
          <w:noProof/>
        </w:rPr>
        <w:t>is a core</w:t>
      </w:r>
      <w:r w:rsidR="07F3D697">
        <w:rPr>
          <w:noProof/>
        </w:rPr>
        <w:t xml:space="preserve"> </w:t>
      </w:r>
      <w:r w:rsidR="4E4CBB97">
        <w:rPr>
          <w:noProof/>
        </w:rPr>
        <w:t xml:space="preserve">CMU </w:t>
      </w:r>
      <w:r w:rsidR="002510A4">
        <w:rPr>
          <w:noProof/>
        </w:rPr>
        <w:t>objective</w:t>
      </w:r>
      <w:r w:rsidR="38179C59">
        <w:rPr>
          <w:noProof/>
        </w:rPr>
        <w:t>.</w:t>
      </w:r>
    </w:p>
    <w:p w14:paraId="561E8787" w14:textId="77777777" w:rsidR="00F82941" w:rsidRDefault="53FA0D19" w:rsidP="00141CFD">
      <w:pPr>
        <w:rPr>
          <w:noProof/>
        </w:rPr>
      </w:pPr>
      <w:r>
        <w:rPr>
          <w:noProof/>
        </w:rPr>
        <w:t>While</w:t>
      </w:r>
      <w:r w:rsidR="00DE446B">
        <w:rPr>
          <w:noProof/>
        </w:rPr>
        <w:t xml:space="preserve"> </w:t>
      </w:r>
      <w:r w:rsidR="0097354D" w:rsidRPr="0097354D">
        <w:rPr>
          <w:noProof/>
        </w:rPr>
        <w:t>financial intermediaries</w:t>
      </w:r>
      <w:r w:rsidR="0097354D">
        <w:rPr>
          <w:noProof/>
        </w:rPr>
        <w:t xml:space="preserve"> </w:t>
      </w:r>
      <w:r w:rsidR="6D353BC5">
        <w:rPr>
          <w:noProof/>
        </w:rPr>
        <w:t xml:space="preserve">would incur </w:t>
      </w:r>
      <w:r w:rsidR="53B593ED">
        <w:rPr>
          <w:noProof/>
        </w:rPr>
        <w:t>significant</w:t>
      </w:r>
      <w:r w:rsidR="6D353BC5">
        <w:rPr>
          <w:noProof/>
        </w:rPr>
        <w:t xml:space="preserve"> costs in the </w:t>
      </w:r>
      <w:r w:rsidR="3585B38B">
        <w:rPr>
          <w:noProof/>
        </w:rPr>
        <w:t>s</w:t>
      </w:r>
      <w:r w:rsidR="6D353BC5">
        <w:rPr>
          <w:noProof/>
        </w:rPr>
        <w:t xml:space="preserve">hort-term to put in place the systems </w:t>
      </w:r>
      <w:r w:rsidR="17705198">
        <w:rPr>
          <w:noProof/>
        </w:rPr>
        <w:t>needed to comply with the new Directive,</w:t>
      </w:r>
      <w:r w:rsidR="6D353BC5">
        <w:rPr>
          <w:noProof/>
        </w:rPr>
        <w:t xml:space="preserve"> </w:t>
      </w:r>
      <w:r w:rsidR="212120CA">
        <w:rPr>
          <w:noProof/>
        </w:rPr>
        <w:t xml:space="preserve">they </w:t>
      </w:r>
      <w:r w:rsidR="0097354D">
        <w:rPr>
          <w:noProof/>
        </w:rPr>
        <w:t xml:space="preserve">are expected to benefit </w:t>
      </w:r>
      <w:r w:rsidR="6190E2C0">
        <w:rPr>
          <w:noProof/>
        </w:rPr>
        <w:t xml:space="preserve">in the longer term </w:t>
      </w:r>
      <w:r w:rsidR="0097354D">
        <w:rPr>
          <w:noProof/>
        </w:rPr>
        <w:t xml:space="preserve">from costs savings (estimated approximately at </w:t>
      </w:r>
      <w:r w:rsidR="0097354D" w:rsidRPr="0097354D">
        <w:rPr>
          <w:noProof/>
        </w:rPr>
        <w:t>EUR 13.5 million</w:t>
      </w:r>
      <w:r w:rsidR="00EB3C21">
        <w:rPr>
          <w:noProof/>
        </w:rPr>
        <w:t xml:space="preserve"> per year</w:t>
      </w:r>
      <w:r w:rsidR="0097354D">
        <w:rPr>
          <w:noProof/>
        </w:rPr>
        <w:t>)</w:t>
      </w:r>
      <w:r w:rsidR="0097354D" w:rsidRPr="0097354D">
        <w:rPr>
          <w:noProof/>
        </w:rPr>
        <w:t xml:space="preserve"> due to streamlined procedures, </w:t>
      </w:r>
      <w:r w:rsidR="2CB06796">
        <w:rPr>
          <w:noProof/>
        </w:rPr>
        <w:t xml:space="preserve">notably thanks </w:t>
      </w:r>
      <w:r w:rsidR="0097354D" w:rsidRPr="0097354D">
        <w:rPr>
          <w:noProof/>
        </w:rPr>
        <w:t xml:space="preserve">to the digitalisation </w:t>
      </w:r>
      <w:r w:rsidR="6935FB71">
        <w:rPr>
          <w:noProof/>
        </w:rPr>
        <w:t xml:space="preserve">of some </w:t>
      </w:r>
      <w:r w:rsidR="0097354D" w:rsidRPr="0097354D">
        <w:rPr>
          <w:noProof/>
        </w:rPr>
        <w:t xml:space="preserve">aspects of the initiative like the use of the </w:t>
      </w:r>
      <w:r w:rsidR="001960CE">
        <w:rPr>
          <w:noProof/>
        </w:rPr>
        <w:t>e</w:t>
      </w:r>
      <w:r w:rsidR="0097354D" w:rsidRPr="0097354D">
        <w:rPr>
          <w:noProof/>
        </w:rPr>
        <w:t>TRC</w:t>
      </w:r>
      <w:r w:rsidR="009F0154">
        <w:rPr>
          <w:noProof/>
        </w:rPr>
        <w:t xml:space="preserve"> or relief request in bulk basis</w:t>
      </w:r>
      <w:r w:rsidR="0097354D" w:rsidRPr="0097354D">
        <w:rPr>
          <w:noProof/>
        </w:rPr>
        <w:t xml:space="preserve">. </w:t>
      </w:r>
    </w:p>
    <w:p w14:paraId="6C422C3E" w14:textId="77777777" w:rsidR="002C5F1D" w:rsidRDefault="00DE446B" w:rsidP="00141CFD">
      <w:pPr>
        <w:rPr>
          <w:noProof/>
        </w:rPr>
      </w:pPr>
      <w:r>
        <w:rPr>
          <w:noProof/>
        </w:rPr>
        <w:t>Finally, tax administrations will be better equipped to fight tax abuse, which should have a positive impact on tax revenues eventually</w:t>
      </w:r>
      <w:r w:rsidR="00E24D0D">
        <w:rPr>
          <w:noProof/>
        </w:rPr>
        <w:t xml:space="preserve">. </w:t>
      </w:r>
      <w:r>
        <w:rPr>
          <w:noProof/>
        </w:rPr>
        <w:t xml:space="preserve">The GDP is expected to be positively impacted by this initiative, in a range of </w:t>
      </w:r>
      <w:r w:rsidR="0097354D">
        <w:rPr>
          <w:noProof/>
        </w:rPr>
        <w:t>0.025%</w:t>
      </w:r>
      <w:r>
        <w:rPr>
          <w:noProof/>
        </w:rPr>
        <w:t>.</w:t>
      </w:r>
    </w:p>
    <w:p w14:paraId="41A83D6F" w14:textId="77777777" w:rsidR="002C5F1D" w:rsidRDefault="002C5F1D" w:rsidP="00141CFD">
      <w:pPr>
        <w:rPr>
          <w:i/>
          <w:iCs/>
          <w:noProof/>
        </w:rPr>
      </w:pPr>
      <w:r w:rsidRPr="00BF10E5">
        <w:rPr>
          <w:i/>
          <w:iCs/>
          <w:noProof/>
        </w:rPr>
        <w:t>Costs</w:t>
      </w:r>
    </w:p>
    <w:p w14:paraId="6E49AF5A" w14:textId="638DD273" w:rsidR="002C5F1D" w:rsidRDefault="00E24D0D" w:rsidP="00141CFD">
      <w:pPr>
        <w:rPr>
          <w:noProof/>
        </w:rPr>
      </w:pPr>
      <w:r w:rsidRPr="00BF10E5">
        <w:rPr>
          <w:noProof/>
        </w:rPr>
        <w:t xml:space="preserve">Financial intermediaries will face implementation costs and </w:t>
      </w:r>
      <w:r w:rsidR="00CF0C12">
        <w:rPr>
          <w:noProof/>
        </w:rPr>
        <w:t xml:space="preserve">annual </w:t>
      </w:r>
      <w:r w:rsidRPr="00BF10E5">
        <w:rPr>
          <w:noProof/>
        </w:rPr>
        <w:t>recurring costs of EUR 75</w:t>
      </w:r>
      <w:r w:rsidR="001960CE">
        <w:rPr>
          <w:noProof/>
        </w:rPr>
        <w:t>.</w:t>
      </w:r>
      <w:r w:rsidRPr="00BF10E5">
        <w:rPr>
          <w:noProof/>
        </w:rPr>
        <w:t>9 million and EUR 13</w:t>
      </w:r>
      <w:r w:rsidR="00F82941">
        <w:rPr>
          <w:noProof/>
        </w:rPr>
        <w:t xml:space="preserve"> </w:t>
      </w:r>
      <w:r w:rsidRPr="00BF10E5">
        <w:rPr>
          <w:noProof/>
        </w:rPr>
        <w:t>million respectively.</w:t>
      </w:r>
      <w:r w:rsidRPr="00E24D0D">
        <w:rPr>
          <w:noProof/>
        </w:rPr>
        <w:t xml:space="preserve"> Tax administrations will also incur </w:t>
      </w:r>
      <w:r w:rsidRPr="00BF10E5">
        <w:rPr>
          <w:noProof/>
        </w:rPr>
        <w:t xml:space="preserve">IT development costs for implementing the eTRC (estimated in a range of EUR </w:t>
      </w:r>
      <w:r w:rsidR="009F0154">
        <w:rPr>
          <w:noProof/>
        </w:rPr>
        <w:t>4.9</w:t>
      </w:r>
      <w:r w:rsidRPr="00BF10E5">
        <w:rPr>
          <w:noProof/>
        </w:rPr>
        <w:t>-54 million</w:t>
      </w:r>
      <w:r w:rsidR="00EB3C21" w:rsidRPr="00EB3C21">
        <w:rPr>
          <w:noProof/>
        </w:rPr>
        <w:t xml:space="preserve"> of development costs and EUR 0.97-10.8 million of recurring costs</w:t>
      </w:r>
      <w:r w:rsidRPr="00BF10E5">
        <w:rPr>
          <w:noProof/>
        </w:rPr>
        <w:t xml:space="preserve">) and the reporting systems needed to receive data (estimated at </w:t>
      </w:r>
      <w:r w:rsidR="00F82941">
        <w:rPr>
          <w:noProof/>
        </w:rPr>
        <w:t xml:space="preserve">a </w:t>
      </w:r>
      <w:r w:rsidR="00EB3C21">
        <w:rPr>
          <w:noProof/>
        </w:rPr>
        <w:t xml:space="preserve">one-off </w:t>
      </w:r>
      <w:r w:rsidR="00CF419B">
        <w:rPr>
          <w:noProof/>
        </w:rPr>
        <w:t xml:space="preserve">cost of </w:t>
      </w:r>
      <w:r w:rsidRPr="00BF10E5">
        <w:rPr>
          <w:noProof/>
        </w:rPr>
        <w:t>EUR 18.2 million</w:t>
      </w:r>
      <w:r w:rsidR="00EB3C21" w:rsidRPr="00EB3C21">
        <w:rPr>
          <w:noProof/>
        </w:rPr>
        <w:t xml:space="preserve"> and </w:t>
      </w:r>
      <w:r w:rsidR="00562913">
        <w:rPr>
          <w:noProof/>
        </w:rPr>
        <w:t xml:space="preserve">EUR </w:t>
      </w:r>
      <w:r w:rsidR="00EB3C21" w:rsidRPr="00EB3C21">
        <w:rPr>
          <w:noProof/>
        </w:rPr>
        <w:t>3.5 million per year</w:t>
      </w:r>
      <w:r w:rsidR="009F0154" w:rsidRPr="009F0154">
        <w:rPr>
          <w:noProof/>
        </w:rPr>
        <w:t xml:space="preserve"> </w:t>
      </w:r>
      <w:r w:rsidR="009F0154">
        <w:rPr>
          <w:noProof/>
        </w:rPr>
        <w:t>of recurring costs</w:t>
      </w:r>
      <w:r w:rsidRPr="00BF10E5">
        <w:rPr>
          <w:noProof/>
        </w:rPr>
        <w:t xml:space="preserve">). </w:t>
      </w:r>
      <w:r>
        <w:rPr>
          <w:noProof/>
        </w:rPr>
        <w:t>Finally, given that there will be less instances of double taxation, Member States will face a reduction in tax revenues estimated at EUR 2.2 billion.</w:t>
      </w:r>
    </w:p>
    <w:p w14:paraId="1BD8FC58" w14:textId="77777777" w:rsidR="00977CF6" w:rsidRDefault="00977CF6" w:rsidP="000430BD">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14:paraId="6E557E21" w14:textId="77777777" w:rsidR="008D4312" w:rsidRDefault="006177A2" w:rsidP="006177A2">
      <w:pPr>
        <w:rPr>
          <w:noProof/>
        </w:rPr>
      </w:pPr>
      <w:r w:rsidRPr="00E06F4C">
        <w:rPr>
          <w:noProof/>
        </w:rPr>
        <w:t xml:space="preserve">The </w:t>
      </w:r>
      <w:r w:rsidR="008D4312">
        <w:rPr>
          <w:noProof/>
        </w:rPr>
        <w:t>p</w:t>
      </w:r>
      <w:r w:rsidRPr="00E06F4C">
        <w:rPr>
          <w:noProof/>
        </w:rPr>
        <w:t xml:space="preserve">roposal has, as one of the main specific objectives, the introduction of </w:t>
      </w:r>
      <w:r w:rsidR="004C0884">
        <w:rPr>
          <w:noProof/>
        </w:rPr>
        <w:t>digitalisation</w:t>
      </w:r>
      <w:r w:rsidRPr="00E06F4C">
        <w:rPr>
          <w:noProof/>
        </w:rPr>
        <w:t xml:space="preserve"> in the WHT procedures in order to achieve fully automated ways of issuing </w:t>
      </w:r>
      <w:r w:rsidR="008D4312">
        <w:rPr>
          <w:noProof/>
        </w:rPr>
        <w:t>the e</w:t>
      </w:r>
      <w:r w:rsidRPr="00E06F4C">
        <w:rPr>
          <w:noProof/>
        </w:rPr>
        <w:t>TRC,</w:t>
      </w:r>
      <w:r w:rsidR="008D4312">
        <w:rPr>
          <w:noProof/>
        </w:rPr>
        <w:t xml:space="preserve"> the</w:t>
      </w:r>
      <w:r w:rsidRPr="00E06F4C">
        <w:rPr>
          <w:noProof/>
        </w:rPr>
        <w:t xml:space="preserve"> reporting </w:t>
      </w:r>
      <w:r w:rsidR="008D4312">
        <w:rPr>
          <w:noProof/>
        </w:rPr>
        <w:t xml:space="preserve">of </w:t>
      </w:r>
      <w:r w:rsidRPr="00E06F4C">
        <w:rPr>
          <w:noProof/>
        </w:rPr>
        <w:t xml:space="preserve">information, </w:t>
      </w:r>
      <w:r w:rsidR="008D4312">
        <w:rPr>
          <w:noProof/>
        </w:rPr>
        <w:t xml:space="preserve">the </w:t>
      </w:r>
      <w:r w:rsidRPr="00E06F4C">
        <w:rPr>
          <w:noProof/>
        </w:rPr>
        <w:t xml:space="preserve">submitting </w:t>
      </w:r>
      <w:r w:rsidR="008D4312">
        <w:rPr>
          <w:noProof/>
        </w:rPr>
        <w:t>of a</w:t>
      </w:r>
      <w:r w:rsidRPr="00E06F4C">
        <w:rPr>
          <w:noProof/>
        </w:rPr>
        <w:t xml:space="preserve"> request </w:t>
      </w:r>
      <w:r w:rsidR="008D4312">
        <w:rPr>
          <w:noProof/>
        </w:rPr>
        <w:t>for relief or refund</w:t>
      </w:r>
      <w:r w:rsidRPr="00E06F4C">
        <w:rPr>
          <w:noProof/>
        </w:rPr>
        <w:t xml:space="preserve"> and checking the data.</w:t>
      </w:r>
      <w:r w:rsidR="00D56F8E">
        <w:rPr>
          <w:noProof/>
        </w:rPr>
        <w:t xml:space="preserve"> Another objective sought by the initiative is to avoid the proliferation of different systems in Member States by </w:t>
      </w:r>
      <w:r w:rsidR="00CF419B">
        <w:rPr>
          <w:noProof/>
        </w:rPr>
        <w:t xml:space="preserve">standardising </w:t>
      </w:r>
      <w:r w:rsidR="00D56F8E">
        <w:rPr>
          <w:noProof/>
        </w:rPr>
        <w:t>some elements of the WHT procedures.</w:t>
      </w:r>
      <w:r w:rsidRPr="00E06F4C">
        <w:rPr>
          <w:noProof/>
        </w:rPr>
        <w:t xml:space="preserve"> </w:t>
      </w:r>
    </w:p>
    <w:p w14:paraId="60D4A0BD" w14:textId="77777777" w:rsidR="00EB3C21" w:rsidRPr="00E06F4C" w:rsidRDefault="00EB3C21" w:rsidP="006177A2">
      <w:pPr>
        <w:rPr>
          <w:noProof/>
        </w:rPr>
      </w:pPr>
      <w:r w:rsidRPr="00EB3C21">
        <w:rPr>
          <w:noProof/>
        </w:rPr>
        <w:t xml:space="preserve">In terms of the </w:t>
      </w:r>
      <w:bookmarkStart w:id="1" w:name="_Hlk135761396"/>
      <w:r w:rsidRPr="00EB3C21">
        <w:rPr>
          <w:noProof/>
        </w:rPr>
        <w:t>One In, One Out approach</w:t>
      </w:r>
      <w:bookmarkEnd w:id="1"/>
      <w:r w:rsidRPr="00EB3C21">
        <w:rPr>
          <w:noProof/>
        </w:rPr>
        <w:t xml:space="preserve">, the initiative will lead to cost savings for investors related to a decrease in paperwork (EUR </w:t>
      </w:r>
      <w:r w:rsidR="00D56F8E">
        <w:rPr>
          <w:noProof/>
        </w:rPr>
        <w:t>409</w:t>
      </w:r>
      <w:r w:rsidRPr="00EB3C21">
        <w:rPr>
          <w:noProof/>
        </w:rPr>
        <w:t xml:space="preserve"> million per year) and cost savings for financial intermediaries related to streamlining procedures (EUR 13.5 million per year). At the same time, financial intermediaries will bear implementing costs of EUR 75.9 million one-off and EUR 13 million in recurring costs.</w:t>
      </w:r>
    </w:p>
    <w:p w14:paraId="58274A1A" w14:textId="556A6907" w:rsidR="000E6600" w:rsidRDefault="000E6600" w:rsidP="006177A2">
      <w:pPr>
        <w:rPr>
          <w:noProof/>
        </w:rPr>
      </w:pPr>
      <w:r>
        <w:rPr>
          <w:noProof/>
        </w:rPr>
        <w:t xml:space="preserve">The proposal will introduce reporting obligations for financial intermediaries. Obtaining granular information is crucial for the tax administration of the source Member </w:t>
      </w:r>
      <w:r w:rsidR="00CF0C12">
        <w:rPr>
          <w:noProof/>
        </w:rPr>
        <w:t xml:space="preserve">State </w:t>
      </w:r>
      <w:r>
        <w:rPr>
          <w:noProof/>
        </w:rPr>
        <w:t xml:space="preserve">to </w:t>
      </w:r>
      <w:r w:rsidRPr="000E6600">
        <w:rPr>
          <w:noProof/>
        </w:rPr>
        <w:t>be able to assess and apply the appropriate reduced WHT rates and efficiently identify abusive practices, therefore achieving one of the objectives of the initiative. T</w:t>
      </w:r>
      <w:r>
        <w:rPr>
          <w:noProof/>
        </w:rPr>
        <w:t>o</w:t>
      </w:r>
      <w:r w:rsidRPr="000E6600">
        <w:rPr>
          <w:noProof/>
        </w:rPr>
        <w:t xml:space="preserve"> </w:t>
      </w:r>
      <w:r>
        <w:rPr>
          <w:noProof/>
        </w:rPr>
        <w:t xml:space="preserve">limit the </w:t>
      </w:r>
      <w:r w:rsidRPr="000E6600">
        <w:rPr>
          <w:noProof/>
        </w:rPr>
        <w:t xml:space="preserve">burden </w:t>
      </w:r>
      <w:r>
        <w:rPr>
          <w:noProof/>
        </w:rPr>
        <w:t xml:space="preserve">stemming from the reporting, </w:t>
      </w:r>
      <w:r w:rsidRPr="000E6600">
        <w:rPr>
          <w:noProof/>
        </w:rPr>
        <w:t xml:space="preserve">the information </w:t>
      </w:r>
      <w:r>
        <w:rPr>
          <w:noProof/>
        </w:rPr>
        <w:t>to be reported by financial intermediaries has been limited to what</w:t>
      </w:r>
      <w:r w:rsidRPr="000E6600">
        <w:rPr>
          <w:noProof/>
        </w:rPr>
        <w:t xml:space="preserve"> is necessary to Member States to reconstruct the payment chain for dividends and interest and to the extent such information is </w:t>
      </w:r>
      <w:r w:rsidR="00252006" w:rsidRPr="000E6600">
        <w:rPr>
          <w:noProof/>
        </w:rPr>
        <w:t>available</w:t>
      </w:r>
      <w:r w:rsidRPr="000E6600">
        <w:rPr>
          <w:noProof/>
        </w:rPr>
        <w:t xml:space="preserve"> to reporting </w:t>
      </w:r>
      <w:r w:rsidR="00F82941">
        <w:rPr>
          <w:noProof/>
        </w:rPr>
        <w:t xml:space="preserve">financial </w:t>
      </w:r>
      <w:r w:rsidRPr="000E6600">
        <w:rPr>
          <w:noProof/>
        </w:rPr>
        <w:t>intermediaries.</w:t>
      </w:r>
      <w:r>
        <w:rPr>
          <w:noProof/>
        </w:rPr>
        <w:t xml:space="preserve"> Moreover, reporting will be done by using standard computerised forms and common requirements for the communication channels to be laid down by the Commission by means of implementing acts.</w:t>
      </w:r>
    </w:p>
    <w:p w14:paraId="7652A04F" w14:textId="77777777" w:rsidR="006177A2" w:rsidRPr="00E06F4C" w:rsidRDefault="00252006" w:rsidP="006177A2">
      <w:pPr>
        <w:rPr>
          <w:noProof/>
        </w:rPr>
      </w:pPr>
      <w:r>
        <w:rPr>
          <w:noProof/>
        </w:rPr>
        <w:t>In addition, f</w:t>
      </w:r>
      <w:r w:rsidR="006177A2" w:rsidRPr="00E06F4C">
        <w:rPr>
          <w:noProof/>
        </w:rPr>
        <w:t xml:space="preserve">or the sake of simplification and bringing lighter requirements to the WHT procedures for small investors, a </w:t>
      </w:r>
      <w:r w:rsidR="008D4312">
        <w:rPr>
          <w:noProof/>
        </w:rPr>
        <w:t xml:space="preserve">de </w:t>
      </w:r>
      <w:r w:rsidR="006177A2" w:rsidRPr="00E06F4C">
        <w:rPr>
          <w:noProof/>
        </w:rPr>
        <w:t xml:space="preserve">minimis rule has been introduced for the reporting obligations and due diligence procedure. It consists of not requesting information about financial arrangements or minimum holding period to investors with dividend payments below </w:t>
      </w:r>
      <w:r w:rsidR="008D4312">
        <w:rPr>
          <w:noProof/>
        </w:rPr>
        <w:t>a</w:t>
      </w:r>
      <w:r w:rsidR="006177A2" w:rsidRPr="00E06F4C">
        <w:rPr>
          <w:noProof/>
        </w:rPr>
        <w:t xml:space="preserve"> threshold</w:t>
      </w:r>
      <w:r w:rsidR="00F16BBF">
        <w:rPr>
          <w:noProof/>
        </w:rPr>
        <w:t xml:space="preserve"> of EUR 1000</w:t>
      </w:r>
      <w:r w:rsidR="006177A2" w:rsidRPr="00E06F4C">
        <w:rPr>
          <w:noProof/>
        </w:rPr>
        <w:t>.</w:t>
      </w:r>
    </w:p>
    <w:p w14:paraId="5ADCE0DF" w14:textId="77777777" w:rsidR="00977CF6" w:rsidRDefault="00977CF6" w:rsidP="006177A2">
      <w:pPr>
        <w:pStyle w:val="ManualHeading2"/>
        <w:tabs>
          <w:tab w:val="clear" w:pos="850"/>
          <w:tab w:val="left" w:pos="0"/>
        </w:tabs>
        <w:ind w:left="0" w:firstLine="0"/>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r w:rsidR="00962C8C">
        <w:rPr>
          <w:rFonts w:eastAsia="Arial Unicode MS"/>
          <w:noProof/>
          <w:u w:color="000000"/>
          <w:bdr w:val="nil"/>
          <w:lang w:val="en-US" w:eastAsia="en-GB"/>
        </w:rPr>
        <w:t xml:space="preserve"> and equality</w:t>
      </w:r>
    </w:p>
    <w:p w14:paraId="66ABB3AF" w14:textId="77777777" w:rsidR="006177A2" w:rsidRPr="00E06F4C" w:rsidRDefault="006177A2" w:rsidP="006177A2">
      <w:pPr>
        <w:rPr>
          <w:noProof/>
        </w:rPr>
      </w:pPr>
      <w:r w:rsidRPr="00E06F4C">
        <w:rPr>
          <w:noProof/>
        </w:rPr>
        <w:t xml:space="preserve">Fundamental rights, in particular the requirements concerning the protection of personal data under the General Data Protection Regulation (‘GDPR’), are safeguarded. The personal data will only be </w:t>
      </w:r>
      <w:r w:rsidR="00310BB6">
        <w:rPr>
          <w:noProof/>
        </w:rPr>
        <w:t>processed</w:t>
      </w:r>
      <w:r w:rsidR="00310BB6" w:rsidRPr="00E06F4C">
        <w:rPr>
          <w:noProof/>
        </w:rPr>
        <w:t xml:space="preserve"> </w:t>
      </w:r>
      <w:r w:rsidRPr="00E06F4C">
        <w:rPr>
          <w:noProof/>
        </w:rPr>
        <w:t xml:space="preserve">for the purposes of </w:t>
      </w:r>
      <w:r w:rsidR="005F093B">
        <w:rPr>
          <w:noProof/>
        </w:rPr>
        <w:t>verifying that the correct WHT rate is applied to the taxpayer and mitigating the risk of tax fraud</w:t>
      </w:r>
      <w:r w:rsidR="006D155A">
        <w:rPr>
          <w:noProof/>
        </w:rPr>
        <w:t xml:space="preserve"> and abuse</w:t>
      </w:r>
      <w:r w:rsidRPr="00E06F4C">
        <w:rPr>
          <w:noProof/>
        </w:rPr>
        <w:t xml:space="preserve">. </w:t>
      </w:r>
      <w:r w:rsidR="00310BB6">
        <w:rPr>
          <w:noProof/>
        </w:rPr>
        <w:t xml:space="preserve">Personal data will be transmitted only between entities which are involved in </w:t>
      </w:r>
      <w:r w:rsidR="005F093B">
        <w:rPr>
          <w:noProof/>
        </w:rPr>
        <w:t>the WHT relief procedures</w:t>
      </w:r>
      <w:r w:rsidR="00310BB6">
        <w:rPr>
          <w:noProof/>
        </w:rPr>
        <w:t xml:space="preserve"> under this Directive. </w:t>
      </w:r>
      <w:r w:rsidRPr="00E06F4C">
        <w:rPr>
          <w:noProof/>
        </w:rPr>
        <w:t xml:space="preserve">The amount of personal data to be transmitted will be limited to what is necessary to detect underreporting, non-reporting or tax </w:t>
      </w:r>
      <w:r w:rsidR="00E41A9B">
        <w:rPr>
          <w:noProof/>
        </w:rPr>
        <w:t xml:space="preserve">fraud or </w:t>
      </w:r>
      <w:r w:rsidRPr="00E06F4C">
        <w:rPr>
          <w:noProof/>
        </w:rPr>
        <w:t>abuse, in line with the GDPR requirements.</w:t>
      </w:r>
      <w:r w:rsidR="00310BB6">
        <w:rPr>
          <w:noProof/>
        </w:rPr>
        <w:t xml:space="preserve"> Personal data will be retained only as long as necessary for this purpose.</w:t>
      </w:r>
    </w:p>
    <w:p w14:paraId="64193742" w14:textId="77777777" w:rsidR="00962C8C" w:rsidRDefault="003966D4" w:rsidP="006177A2">
      <w:pPr>
        <w:rPr>
          <w:noProof/>
        </w:rPr>
      </w:pPr>
      <w:r w:rsidRPr="003966D4">
        <w:rPr>
          <w:noProof/>
        </w:rPr>
        <w:t>Equality, including gender</w:t>
      </w:r>
      <w:r w:rsidR="00962C8C">
        <w:rPr>
          <w:noProof/>
        </w:rPr>
        <w:t xml:space="preserve"> equality</w:t>
      </w:r>
      <w:r w:rsidRPr="003966D4">
        <w:rPr>
          <w:noProof/>
        </w:rPr>
        <w:t>,</w:t>
      </w:r>
      <w:r w:rsidR="00962C8C">
        <w:rPr>
          <w:noProof/>
        </w:rPr>
        <w:t xml:space="preserve"> is not </w:t>
      </w:r>
      <w:r w:rsidRPr="003966D4">
        <w:rPr>
          <w:noProof/>
        </w:rPr>
        <w:t>significantly</w:t>
      </w:r>
      <w:r w:rsidR="00934001">
        <w:rPr>
          <w:noProof/>
        </w:rPr>
        <w:t xml:space="preserve"> </w:t>
      </w:r>
      <w:r w:rsidR="00962C8C">
        <w:rPr>
          <w:noProof/>
        </w:rPr>
        <w:t>impacted by this initiative.</w:t>
      </w:r>
    </w:p>
    <w:p w14:paraId="3669D464" w14:textId="77777777" w:rsidR="00962C8C" w:rsidRPr="00CD5AC5" w:rsidRDefault="00962C8C" w:rsidP="00CD5AC5">
      <w:pPr>
        <w:pStyle w:val="ManualHeading2"/>
        <w:tabs>
          <w:tab w:val="clear" w:pos="850"/>
          <w:tab w:val="left" w:pos="0"/>
        </w:tabs>
        <w:ind w:left="0" w:firstLine="0"/>
        <w:rPr>
          <w:rFonts w:eastAsia="Arial Unicode MS"/>
          <w:noProof/>
          <w:u w:color="000000"/>
          <w:bdr w:val="nil"/>
          <w:lang w:val="en-US" w:eastAsia="en-GB"/>
        </w:rPr>
      </w:pPr>
      <w:r w:rsidRPr="00962C8C">
        <w:rPr>
          <w:rFonts w:eastAsia="Arial Unicode MS"/>
          <w:b w:val="0"/>
          <w:noProof/>
          <w:u w:color="000000"/>
          <w:bdr w:val="nil"/>
          <w:lang w:val="en-US" w:eastAsia="en-GB"/>
        </w:rPr>
        <w:t>•</w:t>
      </w:r>
      <w:r>
        <w:rPr>
          <w:rFonts w:eastAsia="Arial Unicode MS"/>
          <w:noProof/>
          <w:u w:color="000000"/>
          <w:bdr w:val="nil"/>
          <w:lang w:val="en-US" w:eastAsia="en-GB"/>
        </w:rPr>
        <w:tab/>
      </w:r>
      <w:r w:rsidRPr="00CD5AC5">
        <w:rPr>
          <w:rFonts w:eastAsia="Arial Unicode MS"/>
          <w:noProof/>
          <w:u w:color="000000"/>
          <w:bdr w:val="nil"/>
          <w:lang w:val="en-US" w:eastAsia="en-GB"/>
        </w:rPr>
        <w:t>Other impacts</w:t>
      </w:r>
    </w:p>
    <w:p w14:paraId="1505CC02" w14:textId="77777777" w:rsidR="00962C8C" w:rsidRDefault="00962C8C" w:rsidP="006177A2">
      <w:pPr>
        <w:rPr>
          <w:noProof/>
          <w:szCs w:val="24"/>
        </w:rPr>
      </w:pPr>
      <w:r w:rsidRPr="003478D1">
        <w:rPr>
          <w:noProof/>
          <w:szCs w:val="24"/>
        </w:rPr>
        <w:t xml:space="preserve">No other significant impacts. </w:t>
      </w:r>
      <w:r w:rsidRPr="00047A1C">
        <w:rPr>
          <w:noProof/>
        </w:rPr>
        <w:t xml:space="preserve">However, the initiative is expected to have </w:t>
      </w:r>
      <w:r w:rsidR="00047A1C" w:rsidRPr="00047A1C">
        <w:rPr>
          <w:noProof/>
        </w:rPr>
        <w:t>limited</w:t>
      </w:r>
      <w:r w:rsidRPr="00047A1C">
        <w:rPr>
          <w:noProof/>
        </w:rPr>
        <w:t xml:space="preserve"> positive social impact, since it would ensure fairer taxation; as well as a </w:t>
      </w:r>
      <w:r w:rsidR="00047A1C" w:rsidRPr="00047A1C">
        <w:rPr>
          <w:noProof/>
        </w:rPr>
        <w:t xml:space="preserve">limited </w:t>
      </w:r>
      <w:r w:rsidRPr="00047A1C">
        <w:rPr>
          <w:noProof/>
        </w:rPr>
        <w:t>positive environmental impact, given the expected reduction in paper-based refund processes</w:t>
      </w:r>
      <w:r w:rsidRPr="003478D1">
        <w:rPr>
          <w:noProof/>
          <w:szCs w:val="24"/>
        </w:rPr>
        <w:t>.</w:t>
      </w:r>
      <w:r>
        <w:rPr>
          <w:noProof/>
          <w:szCs w:val="24"/>
        </w:rPr>
        <w:t xml:space="preserve"> Therefore, the current initiative is </w:t>
      </w:r>
      <w:r w:rsidRPr="0018420E">
        <w:rPr>
          <w:noProof/>
          <w:szCs w:val="24"/>
        </w:rPr>
        <w:t>consistent with the fulfilment of the climate-neutrality objective as requested by the European Climate Law.</w:t>
      </w:r>
    </w:p>
    <w:p w14:paraId="1A702DBD" w14:textId="77777777" w:rsidR="00934001" w:rsidRDefault="00047A1C" w:rsidP="006177A2">
      <w:pPr>
        <w:rPr>
          <w:noProof/>
          <w:szCs w:val="24"/>
        </w:rPr>
      </w:pPr>
      <w:r w:rsidRPr="00047A1C">
        <w:rPr>
          <w:noProof/>
        </w:rPr>
        <w:t>The</w:t>
      </w:r>
      <w:r w:rsidR="00934001" w:rsidRPr="00047A1C">
        <w:rPr>
          <w:noProof/>
        </w:rPr>
        <w:t xml:space="preserve"> proposal upholds the ‘do no significant harm’ and ‘digital by default’ principles and contributes to achieving the European way for a digital society and economy</w:t>
      </w:r>
      <w:r w:rsidR="00934001" w:rsidRPr="00934001">
        <w:rPr>
          <w:noProof/>
          <w:szCs w:val="24"/>
        </w:rPr>
        <w:t>.</w:t>
      </w:r>
    </w:p>
    <w:p w14:paraId="5C976A4C" w14:textId="77777777" w:rsidR="00934001" w:rsidRPr="00934001" w:rsidRDefault="00934001" w:rsidP="006177A2">
      <w:pPr>
        <w:rPr>
          <w:noProof/>
          <w:szCs w:val="24"/>
        </w:rPr>
      </w:pPr>
      <w:r w:rsidRPr="00CD5AC5">
        <w:rPr>
          <w:noProof/>
          <w:szCs w:val="24"/>
        </w:rPr>
        <w:t xml:space="preserve">The relevant Sustainable Development Goals </w:t>
      </w:r>
      <w:r>
        <w:rPr>
          <w:noProof/>
          <w:szCs w:val="24"/>
        </w:rPr>
        <w:t xml:space="preserve">partially </w:t>
      </w:r>
      <w:r w:rsidRPr="00CD5AC5">
        <w:rPr>
          <w:noProof/>
          <w:szCs w:val="24"/>
        </w:rPr>
        <w:t>addressed by the ini</w:t>
      </w:r>
      <w:r w:rsidR="00CD5AC5">
        <w:rPr>
          <w:noProof/>
          <w:szCs w:val="24"/>
        </w:rPr>
        <w:t>t</w:t>
      </w:r>
      <w:r w:rsidRPr="00CD5AC5">
        <w:rPr>
          <w:noProof/>
          <w:szCs w:val="24"/>
        </w:rPr>
        <w:t xml:space="preserve">iative are </w:t>
      </w:r>
      <w:r>
        <w:rPr>
          <w:noProof/>
          <w:szCs w:val="24"/>
        </w:rPr>
        <w:t xml:space="preserve">8 </w:t>
      </w:r>
      <w:r w:rsidRPr="00CD5AC5">
        <w:rPr>
          <w:noProof/>
          <w:szCs w:val="24"/>
        </w:rPr>
        <w:t>(Decent work and economic growth), 9 (Industry, innovation and infrastructure) and 16 (Peace, justice and strong institutions)</w:t>
      </w:r>
      <w:r w:rsidR="00E05613">
        <w:rPr>
          <w:noProof/>
          <w:szCs w:val="24"/>
        </w:rPr>
        <w:t xml:space="preserve"> as presented in Annex 3 of the impact assessment.</w:t>
      </w:r>
    </w:p>
    <w:p w14:paraId="37D5E01E" w14:textId="77777777" w:rsidR="00977CF6" w:rsidRDefault="00977CF6" w:rsidP="000430BD">
      <w:pPr>
        <w:pStyle w:val="ManualHeading1"/>
        <w:rPr>
          <w:noProof/>
        </w:rPr>
      </w:pPr>
      <w:r w:rsidRPr="00550536">
        <w:rPr>
          <w:noProof/>
        </w:rPr>
        <w:t>4.</w:t>
      </w:r>
      <w:r w:rsidRPr="00550536">
        <w:rPr>
          <w:noProof/>
        </w:rPr>
        <w:tab/>
        <w:t>BUDGETARY IMPLICATIONS</w:t>
      </w:r>
    </w:p>
    <w:p w14:paraId="2303B811" w14:textId="77777777" w:rsidR="00673DBF" w:rsidRPr="00044058" w:rsidRDefault="00A32A42" w:rsidP="000430BD">
      <w:pPr>
        <w:pBdr>
          <w:top w:val="nil"/>
          <w:left w:val="nil"/>
          <w:bottom w:val="nil"/>
          <w:right w:val="nil"/>
          <w:between w:val="nil"/>
          <w:bar w:val="nil"/>
        </w:pBdr>
        <w:spacing w:before="0" w:after="240"/>
        <w:rPr>
          <w:rFonts w:eastAsia="Arial Unicode MS"/>
          <w:noProof/>
        </w:rPr>
      </w:pPr>
      <w:r w:rsidRPr="00282923">
        <w:rPr>
          <w:noProof/>
        </w:rPr>
        <w:t>The main budgetary implications of the initiative for the Commission include implementing the electronic tax residence certificate and establishing the formats and communication channels to be used by financial intermediaries to report to the national tax authorities. The legislative financial statement provides details regarding the human and administrative resources required.</w:t>
      </w:r>
    </w:p>
    <w:p w14:paraId="60B91D7F" w14:textId="77777777" w:rsidR="00977CF6" w:rsidRPr="00550536" w:rsidRDefault="00977CF6" w:rsidP="000430BD">
      <w:pPr>
        <w:pStyle w:val="ManualHeading1"/>
        <w:rPr>
          <w:noProof/>
        </w:rPr>
      </w:pPr>
      <w:r w:rsidRPr="00550536">
        <w:rPr>
          <w:noProof/>
        </w:rPr>
        <w:t>5.</w:t>
      </w:r>
      <w:r w:rsidRPr="00550536">
        <w:rPr>
          <w:noProof/>
        </w:rPr>
        <w:tab/>
        <w:t>OTHER ELEMENTS</w:t>
      </w:r>
    </w:p>
    <w:p w14:paraId="38AD6941" w14:textId="77777777" w:rsidR="00977CF6" w:rsidRDefault="00977CF6" w:rsidP="000430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14:paraId="6FABAD77" w14:textId="77777777" w:rsidR="006177A2" w:rsidRPr="00E06F4C" w:rsidRDefault="00115ED7" w:rsidP="006177A2">
      <w:pPr>
        <w:pBdr>
          <w:top w:val="nil"/>
          <w:left w:val="nil"/>
          <w:bottom w:val="nil"/>
          <w:right w:val="nil"/>
          <w:between w:val="nil"/>
          <w:bar w:val="nil"/>
        </w:pBdr>
        <w:spacing w:before="0" w:after="240"/>
        <w:rPr>
          <w:noProof/>
        </w:rPr>
      </w:pPr>
      <w:r w:rsidRPr="00E06F4C">
        <w:rPr>
          <w:noProof/>
        </w:rPr>
        <w:t xml:space="preserve">For the purpose of monitoring and </w:t>
      </w:r>
      <w:r w:rsidR="006177A2" w:rsidRPr="00E06F4C">
        <w:rPr>
          <w:noProof/>
        </w:rPr>
        <w:t>evaluati</w:t>
      </w:r>
      <w:r w:rsidR="004248C3">
        <w:rPr>
          <w:noProof/>
        </w:rPr>
        <w:t>ng</w:t>
      </w:r>
      <w:r w:rsidRPr="00E06F4C">
        <w:rPr>
          <w:noProof/>
        </w:rPr>
        <w:t xml:space="preserve"> the implementation of the Directive, Member States shall provide the Commission with data on an annual basis </w:t>
      </w:r>
      <w:r>
        <w:rPr>
          <w:noProof/>
        </w:rPr>
        <w:t>reflecting</w:t>
      </w:r>
      <w:r w:rsidRPr="00E06F4C">
        <w:rPr>
          <w:noProof/>
        </w:rPr>
        <w:t xml:space="preserve"> relevant information</w:t>
      </w:r>
      <w:r>
        <w:rPr>
          <w:noProof/>
        </w:rPr>
        <w:t xml:space="preserve"> on the functioning of the Directive</w:t>
      </w:r>
      <w:r w:rsidRPr="00E06F4C">
        <w:rPr>
          <w:noProof/>
        </w:rPr>
        <w:t xml:space="preserve">. The relevant information is to be </w:t>
      </w:r>
      <w:r>
        <w:rPr>
          <w:noProof/>
        </w:rPr>
        <w:t>defined</w:t>
      </w:r>
      <w:r w:rsidRPr="00E06F4C">
        <w:rPr>
          <w:noProof/>
        </w:rPr>
        <w:t xml:space="preserve"> via </w:t>
      </w:r>
      <w:r w:rsidR="00371CB4">
        <w:rPr>
          <w:noProof/>
        </w:rPr>
        <w:t xml:space="preserve">an </w:t>
      </w:r>
      <w:r w:rsidRPr="00E06F4C">
        <w:rPr>
          <w:noProof/>
        </w:rPr>
        <w:t xml:space="preserve">implementing act as stated in Article </w:t>
      </w:r>
      <w:r w:rsidRPr="00F67D43">
        <w:rPr>
          <w:noProof/>
        </w:rPr>
        <w:t>1</w:t>
      </w:r>
      <w:r>
        <w:rPr>
          <w:noProof/>
        </w:rPr>
        <w:t>9</w:t>
      </w:r>
      <w:r w:rsidRPr="00E06F4C">
        <w:rPr>
          <w:noProof/>
        </w:rPr>
        <w:t xml:space="preserve"> of the Directive.</w:t>
      </w:r>
      <w:r w:rsidR="006177A2" w:rsidRPr="00E06F4C">
        <w:rPr>
          <w:noProof/>
        </w:rPr>
        <w:t xml:space="preserve"> </w:t>
      </w:r>
    </w:p>
    <w:p w14:paraId="282A99AE" w14:textId="77777777" w:rsidR="006177A2" w:rsidRPr="00E06F4C" w:rsidRDefault="00EB3C21" w:rsidP="006177A2">
      <w:pPr>
        <w:pBdr>
          <w:top w:val="nil"/>
          <w:left w:val="nil"/>
          <w:bottom w:val="nil"/>
          <w:right w:val="nil"/>
          <w:between w:val="nil"/>
          <w:bar w:val="nil"/>
        </w:pBdr>
        <w:spacing w:before="0" w:after="240"/>
        <w:rPr>
          <w:noProof/>
        </w:rPr>
      </w:pPr>
      <w:r w:rsidRPr="00EB3C21">
        <w:rPr>
          <w:noProof/>
        </w:rPr>
        <w:t>The Commission shall evaluate the Directive five years after national rules transposing the Directive come into effect and every five years thereafter</w:t>
      </w:r>
      <w:r>
        <w:rPr>
          <w:noProof/>
        </w:rPr>
        <w:t xml:space="preserve">. </w:t>
      </w:r>
    </w:p>
    <w:p w14:paraId="05566DF9" w14:textId="77777777" w:rsidR="00977CF6" w:rsidRPr="00AE09C6" w:rsidRDefault="00977CF6" w:rsidP="000430BD">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AE09C6">
        <w:rPr>
          <w:rFonts w:eastAsia="Arial Unicode MS"/>
          <w:noProof/>
          <w:u w:color="000000"/>
          <w:bdr w:val="nil"/>
          <w:lang w:val="en-US" w:eastAsia="en-GB"/>
        </w:rPr>
        <w:tab/>
        <w:t>Detailed explanation of the specific provisions of the proposal</w:t>
      </w:r>
    </w:p>
    <w:p w14:paraId="5FC5A10D" w14:textId="77777777" w:rsidR="00977CF6" w:rsidRPr="00E06F4C" w:rsidRDefault="00606D65" w:rsidP="00AE09C6">
      <w:pPr>
        <w:pBdr>
          <w:top w:val="nil"/>
          <w:left w:val="nil"/>
          <w:bottom w:val="nil"/>
          <w:right w:val="nil"/>
          <w:between w:val="nil"/>
          <w:bar w:val="nil"/>
        </w:pBdr>
        <w:spacing w:before="0" w:after="240"/>
        <w:rPr>
          <w:noProof/>
        </w:rPr>
      </w:pPr>
      <w:r>
        <w:rPr>
          <w:noProof/>
        </w:rPr>
        <w:t>T</w:t>
      </w:r>
      <w:r w:rsidR="00AE09C6" w:rsidRPr="00E06F4C">
        <w:rPr>
          <w:noProof/>
        </w:rPr>
        <w:t xml:space="preserve">he </w:t>
      </w:r>
      <w:r w:rsidR="00E95BE0">
        <w:rPr>
          <w:noProof/>
        </w:rPr>
        <w:t>proposal</w:t>
      </w:r>
      <w:r w:rsidR="00E95BE0" w:rsidRPr="00E06F4C">
        <w:rPr>
          <w:noProof/>
        </w:rPr>
        <w:t xml:space="preserve"> </w:t>
      </w:r>
      <w:r w:rsidR="00C336E4">
        <w:rPr>
          <w:noProof/>
        </w:rPr>
        <w:t>is structured</w:t>
      </w:r>
      <w:r w:rsidR="00E95BE0">
        <w:rPr>
          <w:noProof/>
        </w:rPr>
        <w:t xml:space="preserve"> in two </w:t>
      </w:r>
      <w:r w:rsidR="00AE09C6" w:rsidRPr="00E06F4C">
        <w:rPr>
          <w:noProof/>
        </w:rPr>
        <w:t xml:space="preserve">building blocks </w:t>
      </w:r>
      <w:r w:rsidR="00F339F4">
        <w:rPr>
          <w:noProof/>
        </w:rPr>
        <w:t>which are covered in</w:t>
      </w:r>
      <w:r w:rsidR="00AE09C6" w:rsidRPr="00E06F4C">
        <w:rPr>
          <w:noProof/>
        </w:rPr>
        <w:t xml:space="preserve"> chapters 2 and 3</w:t>
      </w:r>
      <w:r w:rsidR="00F339F4">
        <w:rPr>
          <w:noProof/>
        </w:rPr>
        <w:t>, respectively</w:t>
      </w:r>
      <w:r w:rsidR="00AE09C6" w:rsidRPr="00E06F4C">
        <w:rPr>
          <w:noProof/>
        </w:rPr>
        <w:t xml:space="preserve">. Chapter 2 </w:t>
      </w:r>
      <w:r w:rsidR="00A9484A">
        <w:rPr>
          <w:noProof/>
        </w:rPr>
        <w:t xml:space="preserve">provides for </w:t>
      </w:r>
      <w:r w:rsidR="00C336E4">
        <w:rPr>
          <w:noProof/>
        </w:rPr>
        <w:t>the creation of</w:t>
      </w:r>
      <w:r w:rsidR="00AE09C6" w:rsidRPr="00E06F4C">
        <w:rPr>
          <w:noProof/>
        </w:rPr>
        <w:t xml:space="preserve"> a</w:t>
      </w:r>
      <w:r w:rsidR="00C336E4">
        <w:rPr>
          <w:noProof/>
        </w:rPr>
        <w:t>n</w:t>
      </w:r>
      <w:r w:rsidR="00AE09C6" w:rsidRPr="00E06F4C">
        <w:rPr>
          <w:noProof/>
        </w:rPr>
        <w:t xml:space="preserve"> EU-wide digital tax residence certificate</w:t>
      </w:r>
      <w:r w:rsidR="00643FAE">
        <w:rPr>
          <w:noProof/>
        </w:rPr>
        <w:t>,</w:t>
      </w:r>
      <w:r w:rsidR="00F339F4">
        <w:rPr>
          <w:noProof/>
        </w:rPr>
        <w:t xml:space="preserve"> whilst</w:t>
      </w:r>
      <w:r w:rsidR="00AE09C6" w:rsidRPr="00E06F4C">
        <w:rPr>
          <w:noProof/>
        </w:rPr>
        <w:t xml:space="preserve"> Chapter 3 </w:t>
      </w:r>
      <w:r w:rsidR="00A9484A">
        <w:rPr>
          <w:noProof/>
        </w:rPr>
        <w:t xml:space="preserve">deals with the WHT relief procedures. It includes </w:t>
      </w:r>
      <w:r w:rsidR="00F339F4">
        <w:rPr>
          <w:noProof/>
        </w:rPr>
        <w:t xml:space="preserve">the procedure </w:t>
      </w:r>
      <w:r w:rsidR="00C336E4">
        <w:rPr>
          <w:noProof/>
        </w:rPr>
        <w:t>to establish</w:t>
      </w:r>
      <w:r w:rsidR="00AE09C6" w:rsidRPr="00E06F4C">
        <w:rPr>
          <w:noProof/>
        </w:rPr>
        <w:t xml:space="preserve"> National Registers for </w:t>
      </w:r>
      <w:r w:rsidR="00C336E4">
        <w:rPr>
          <w:noProof/>
        </w:rPr>
        <w:t>specific financial intermediaries (</w:t>
      </w:r>
      <w:r w:rsidR="00AE09C6" w:rsidRPr="00E06F4C">
        <w:rPr>
          <w:noProof/>
        </w:rPr>
        <w:t>Certified Financial Intermediar</w:t>
      </w:r>
      <w:r w:rsidR="00E95BE0">
        <w:rPr>
          <w:noProof/>
        </w:rPr>
        <w:t>y</w:t>
      </w:r>
      <w:r w:rsidR="00AE09C6" w:rsidRPr="00E06F4C">
        <w:rPr>
          <w:noProof/>
        </w:rPr>
        <w:t xml:space="preserve"> </w:t>
      </w:r>
      <w:r w:rsidR="00C336E4">
        <w:rPr>
          <w:noProof/>
        </w:rPr>
        <w:t xml:space="preserve">- </w:t>
      </w:r>
      <w:r w:rsidR="00AE09C6" w:rsidRPr="00E06F4C">
        <w:rPr>
          <w:noProof/>
        </w:rPr>
        <w:t xml:space="preserve">CFI), </w:t>
      </w:r>
      <w:r w:rsidR="0030141C">
        <w:rPr>
          <w:noProof/>
        </w:rPr>
        <w:t>standardised</w:t>
      </w:r>
      <w:r w:rsidR="00AE09C6" w:rsidRPr="00E06F4C">
        <w:rPr>
          <w:noProof/>
        </w:rPr>
        <w:t xml:space="preserve"> reporting obligation for </w:t>
      </w:r>
      <w:r w:rsidR="00C336E4">
        <w:rPr>
          <w:noProof/>
        </w:rPr>
        <w:t>such</w:t>
      </w:r>
      <w:r w:rsidR="00C336E4" w:rsidRPr="00E06F4C">
        <w:rPr>
          <w:noProof/>
        </w:rPr>
        <w:t xml:space="preserve"> </w:t>
      </w:r>
      <w:r w:rsidR="00AE09C6" w:rsidRPr="00E06F4C">
        <w:rPr>
          <w:noProof/>
        </w:rPr>
        <w:t>CFI</w:t>
      </w:r>
      <w:r w:rsidR="00C336E4">
        <w:rPr>
          <w:noProof/>
        </w:rPr>
        <w:t>,</w:t>
      </w:r>
      <w:r w:rsidR="00AC0EB7">
        <w:rPr>
          <w:noProof/>
        </w:rPr>
        <w:t xml:space="preserve"> </w:t>
      </w:r>
      <w:r w:rsidR="00A9484A">
        <w:rPr>
          <w:noProof/>
        </w:rPr>
        <w:t xml:space="preserve">and the </w:t>
      </w:r>
      <w:r w:rsidR="00AE09C6" w:rsidRPr="00E06F4C">
        <w:rPr>
          <w:noProof/>
        </w:rPr>
        <w:t xml:space="preserve">obligation for Member States to set up a relief at source </w:t>
      </w:r>
      <w:r w:rsidR="00F339F4">
        <w:rPr>
          <w:noProof/>
        </w:rPr>
        <w:t>system</w:t>
      </w:r>
      <w:r w:rsidR="00AE09C6" w:rsidRPr="00E06F4C">
        <w:rPr>
          <w:noProof/>
        </w:rPr>
        <w:t xml:space="preserve"> or a quick refund </w:t>
      </w:r>
      <w:r w:rsidR="00F339F4">
        <w:rPr>
          <w:noProof/>
        </w:rPr>
        <w:t>system or a combination of both</w:t>
      </w:r>
      <w:r w:rsidR="00F339F4" w:rsidRPr="00E06F4C">
        <w:rPr>
          <w:noProof/>
        </w:rPr>
        <w:t xml:space="preserve"> </w:t>
      </w:r>
      <w:r w:rsidR="00AE09C6" w:rsidRPr="00E06F4C">
        <w:rPr>
          <w:noProof/>
        </w:rPr>
        <w:t xml:space="preserve">to ensure swift and secure relief </w:t>
      </w:r>
      <w:r w:rsidR="0005578E">
        <w:rPr>
          <w:noProof/>
        </w:rPr>
        <w:t xml:space="preserve">from </w:t>
      </w:r>
      <w:r w:rsidR="00AE09C6" w:rsidRPr="00E06F4C">
        <w:rPr>
          <w:noProof/>
        </w:rPr>
        <w:t>WHT</w:t>
      </w:r>
      <w:r w:rsidR="00643FAE">
        <w:rPr>
          <w:noProof/>
        </w:rPr>
        <w:t>, based on DTT or domestic rules,</w:t>
      </w:r>
      <w:r w:rsidR="00AE09C6" w:rsidRPr="00E06F4C">
        <w:rPr>
          <w:noProof/>
        </w:rPr>
        <w:t xml:space="preserve"> for </w:t>
      </w:r>
      <w:r w:rsidR="00643FAE">
        <w:rPr>
          <w:noProof/>
        </w:rPr>
        <w:t xml:space="preserve">EU and non-EU </w:t>
      </w:r>
      <w:r w:rsidR="00AE09C6" w:rsidRPr="00E06F4C">
        <w:rPr>
          <w:noProof/>
        </w:rPr>
        <w:t>investors</w:t>
      </w:r>
      <w:r w:rsidR="00643FAE">
        <w:rPr>
          <w:noProof/>
        </w:rPr>
        <w:t>,</w:t>
      </w:r>
      <w:r w:rsidR="00C336E4">
        <w:rPr>
          <w:noProof/>
        </w:rPr>
        <w:t xml:space="preserve"> when certain transparency conditions are met</w:t>
      </w:r>
      <w:r w:rsidR="00AE09C6" w:rsidRPr="00E06F4C">
        <w:rPr>
          <w:noProof/>
        </w:rPr>
        <w:t>.</w:t>
      </w:r>
      <w:r w:rsidR="00871B38">
        <w:rPr>
          <w:noProof/>
        </w:rPr>
        <w:t xml:space="preserve"> As these procedures concern only specific Member States that need to provide relief of excess withholding taxes, Chapter 3 is binding only on those Member States.</w:t>
      </w:r>
    </w:p>
    <w:p w14:paraId="3BC06762" w14:textId="77777777" w:rsidR="00AE09C6" w:rsidRPr="00840ACB" w:rsidRDefault="00AE09C6" w:rsidP="00AE09C6">
      <w:pPr>
        <w:pStyle w:val="Point1"/>
        <w:rPr>
          <w:noProof/>
        </w:rPr>
      </w:pPr>
      <w:r w:rsidRPr="00840ACB">
        <w:rPr>
          <w:b/>
          <w:bCs/>
          <w:noProof/>
        </w:rPr>
        <w:t>(i)</w:t>
      </w:r>
      <w:r w:rsidRPr="00840ACB">
        <w:rPr>
          <w:noProof/>
        </w:rPr>
        <w:tab/>
      </w:r>
      <w:r w:rsidRPr="00B03B16">
        <w:rPr>
          <w:b/>
          <w:bCs/>
          <w:noProof/>
        </w:rPr>
        <w:t>Common digital tax residence certificate</w:t>
      </w:r>
      <w:r w:rsidRPr="00840ACB">
        <w:rPr>
          <w:noProof/>
        </w:rPr>
        <w:t xml:space="preserve"> </w:t>
      </w:r>
      <w:r w:rsidR="00A9484A" w:rsidRPr="0091758E">
        <w:rPr>
          <w:b/>
          <w:bCs/>
          <w:noProof/>
        </w:rPr>
        <w:t>(eTRC)</w:t>
      </w:r>
    </w:p>
    <w:p w14:paraId="5F4AF783" w14:textId="77777777" w:rsidR="00AE09C6" w:rsidRPr="00E06F4C" w:rsidRDefault="00AE09C6" w:rsidP="00AE09C6">
      <w:pPr>
        <w:rPr>
          <w:noProof/>
        </w:rPr>
      </w:pPr>
      <w:r w:rsidRPr="00E06F4C">
        <w:rPr>
          <w:noProof/>
        </w:rPr>
        <w:t>Th</w:t>
      </w:r>
      <w:r w:rsidR="00334A00">
        <w:rPr>
          <w:noProof/>
        </w:rPr>
        <w:t>e</w:t>
      </w:r>
      <w:r w:rsidR="003578B4">
        <w:rPr>
          <w:noProof/>
        </w:rPr>
        <w:t xml:space="preserve"> e</w:t>
      </w:r>
      <w:r w:rsidR="00334A00">
        <w:rPr>
          <w:noProof/>
        </w:rPr>
        <w:t>TRC</w:t>
      </w:r>
      <w:r w:rsidRPr="00E06F4C">
        <w:rPr>
          <w:noProof/>
        </w:rPr>
        <w:t xml:space="preserve"> is to be </w:t>
      </w:r>
      <w:r w:rsidR="003578B4">
        <w:rPr>
          <w:noProof/>
        </w:rPr>
        <w:t>introduced</w:t>
      </w:r>
      <w:r w:rsidR="003578B4" w:rsidRPr="00E06F4C">
        <w:rPr>
          <w:noProof/>
        </w:rPr>
        <w:t xml:space="preserve"> </w:t>
      </w:r>
      <w:r w:rsidRPr="00E06F4C">
        <w:rPr>
          <w:noProof/>
        </w:rPr>
        <w:t xml:space="preserve">by </w:t>
      </w:r>
      <w:r w:rsidRPr="0055469A">
        <w:rPr>
          <w:noProof/>
        </w:rPr>
        <w:t>all Member States</w:t>
      </w:r>
      <w:r w:rsidRPr="00E06F4C">
        <w:rPr>
          <w:noProof/>
        </w:rPr>
        <w:t xml:space="preserve"> and will provide a fast, easy and secure </w:t>
      </w:r>
      <w:r w:rsidR="00CF7881">
        <w:rPr>
          <w:noProof/>
        </w:rPr>
        <w:t xml:space="preserve">administrative </w:t>
      </w:r>
      <w:r w:rsidRPr="00E06F4C">
        <w:rPr>
          <w:noProof/>
        </w:rPr>
        <w:t xml:space="preserve">process to confirm </w:t>
      </w:r>
      <w:r w:rsidR="00334A00">
        <w:rPr>
          <w:noProof/>
        </w:rPr>
        <w:t>EU taxpayers’</w:t>
      </w:r>
      <w:r w:rsidR="00334A00" w:rsidRPr="00E06F4C">
        <w:rPr>
          <w:noProof/>
        </w:rPr>
        <w:t xml:space="preserve"> </w:t>
      </w:r>
      <w:r w:rsidRPr="00E06F4C">
        <w:rPr>
          <w:noProof/>
        </w:rPr>
        <w:t>tax residency.</w:t>
      </w:r>
    </w:p>
    <w:p w14:paraId="5A063F6B" w14:textId="77777777" w:rsidR="00AE09C6" w:rsidRPr="00E06F4C" w:rsidRDefault="00AE09C6" w:rsidP="00AE09C6">
      <w:pPr>
        <w:rPr>
          <w:noProof/>
        </w:rPr>
      </w:pPr>
      <w:r w:rsidRPr="00E06F4C">
        <w:rPr>
          <w:noProof/>
        </w:rPr>
        <w:t xml:space="preserve">As laid down in </w:t>
      </w:r>
      <w:r w:rsidRPr="005F2D44">
        <w:rPr>
          <w:noProof/>
        </w:rPr>
        <w:t xml:space="preserve">article </w:t>
      </w:r>
      <w:r w:rsidR="002E6DD3">
        <w:rPr>
          <w:noProof/>
        </w:rPr>
        <w:t>4</w:t>
      </w:r>
      <w:r w:rsidRPr="00E06F4C">
        <w:rPr>
          <w:noProof/>
        </w:rPr>
        <w:t xml:space="preserve"> there will be a </w:t>
      </w:r>
      <w:r w:rsidRPr="00673DBF">
        <w:rPr>
          <w:b/>
          <w:bCs/>
          <w:noProof/>
        </w:rPr>
        <w:t>common content</w:t>
      </w:r>
      <w:r w:rsidRPr="00E06F4C">
        <w:rPr>
          <w:noProof/>
        </w:rPr>
        <w:t xml:space="preserve"> for the </w:t>
      </w:r>
      <w:r w:rsidR="00256783">
        <w:rPr>
          <w:noProof/>
        </w:rPr>
        <w:t>e</w:t>
      </w:r>
      <w:r w:rsidRPr="00E06F4C">
        <w:rPr>
          <w:noProof/>
        </w:rPr>
        <w:t>TRC</w:t>
      </w:r>
      <w:r w:rsidR="00DE3FE0">
        <w:rPr>
          <w:noProof/>
        </w:rPr>
        <w:t>,</w:t>
      </w:r>
      <w:r w:rsidR="00334A00">
        <w:rPr>
          <w:noProof/>
        </w:rPr>
        <w:t xml:space="preserve"> regardless of the issuing Member State, i.e. the Member State of residence</w:t>
      </w:r>
      <w:r w:rsidRPr="00E06F4C">
        <w:rPr>
          <w:noProof/>
        </w:rPr>
        <w:t xml:space="preserve">. The elements established in </w:t>
      </w:r>
      <w:r w:rsidRPr="002E6DD3">
        <w:rPr>
          <w:noProof/>
        </w:rPr>
        <w:t>paragraph 2</w:t>
      </w:r>
      <w:r w:rsidRPr="00E06F4C">
        <w:rPr>
          <w:noProof/>
        </w:rPr>
        <w:t xml:space="preserve"> as common content for the </w:t>
      </w:r>
      <w:r w:rsidR="00F339F4">
        <w:rPr>
          <w:noProof/>
        </w:rPr>
        <w:t>e</w:t>
      </w:r>
      <w:r w:rsidRPr="00E06F4C">
        <w:rPr>
          <w:noProof/>
        </w:rPr>
        <w:t>TRC are those identifying the request</w:t>
      </w:r>
      <w:r w:rsidR="00697CE1">
        <w:rPr>
          <w:noProof/>
        </w:rPr>
        <w:t>ing</w:t>
      </w:r>
      <w:r w:rsidRPr="00E06F4C">
        <w:rPr>
          <w:noProof/>
        </w:rPr>
        <w:t xml:space="preserve"> taxpayer and confirming </w:t>
      </w:r>
      <w:r w:rsidR="00697CE1">
        <w:rPr>
          <w:noProof/>
        </w:rPr>
        <w:t>that</w:t>
      </w:r>
      <w:r w:rsidRPr="00E06F4C">
        <w:rPr>
          <w:noProof/>
        </w:rPr>
        <w:t xml:space="preserve"> </w:t>
      </w:r>
      <w:r w:rsidR="00F366C2">
        <w:rPr>
          <w:noProof/>
        </w:rPr>
        <w:t>they are</w:t>
      </w:r>
      <w:r w:rsidRPr="00E06F4C">
        <w:rPr>
          <w:noProof/>
        </w:rPr>
        <w:t xml:space="preserve"> resident in the Member States according to </w:t>
      </w:r>
      <w:r w:rsidR="00256783">
        <w:rPr>
          <w:noProof/>
        </w:rPr>
        <w:t>its national rules</w:t>
      </w:r>
      <w:r w:rsidRPr="00E06F4C">
        <w:rPr>
          <w:noProof/>
        </w:rPr>
        <w:t xml:space="preserve">. </w:t>
      </w:r>
    </w:p>
    <w:p w14:paraId="3CBBDC1D" w14:textId="77777777" w:rsidR="00AE09C6" w:rsidRPr="00E06F4C" w:rsidRDefault="00334A00" w:rsidP="00AE09C6">
      <w:pPr>
        <w:rPr>
          <w:noProof/>
        </w:rPr>
      </w:pPr>
      <w:r>
        <w:rPr>
          <w:noProof/>
        </w:rPr>
        <w:t>Targeted</w:t>
      </w:r>
      <w:r w:rsidR="00AE09C6" w:rsidRPr="00E06F4C">
        <w:rPr>
          <w:noProof/>
        </w:rPr>
        <w:t xml:space="preserve"> consultations with Member States </w:t>
      </w:r>
      <w:r>
        <w:rPr>
          <w:noProof/>
        </w:rPr>
        <w:t>reveal</w:t>
      </w:r>
      <w:r w:rsidR="00DE3FE0">
        <w:rPr>
          <w:noProof/>
        </w:rPr>
        <w:t>ed</w:t>
      </w:r>
      <w:r w:rsidR="00AE09C6" w:rsidRPr="00E06F4C">
        <w:rPr>
          <w:noProof/>
        </w:rPr>
        <w:t xml:space="preserve"> that</w:t>
      </w:r>
      <w:r w:rsidR="6D977ED8">
        <w:rPr>
          <w:noProof/>
        </w:rPr>
        <w:t xml:space="preserve"> in terms of establishing investor residency,</w:t>
      </w:r>
      <w:r w:rsidR="00DE6AF8">
        <w:rPr>
          <w:noProof/>
        </w:rPr>
        <w:t xml:space="preserve"> the </w:t>
      </w:r>
      <w:r w:rsidR="00AE09C6" w:rsidRPr="00E06F4C">
        <w:rPr>
          <w:noProof/>
        </w:rPr>
        <w:t xml:space="preserve">same rules apply to deem the investor resident or not in </w:t>
      </w:r>
      <w:r w:rsidR="00DE6AF8">
        <w:rPr>
          <w:noProof/>
        </w:rPr>
        <w:t>a given</w:t>
      </w:r>
      <w:r w:rsidR="00DE6AF8" w:rsidRPr="00E06F4C">
        <w:rPr>
          <w:noProof/>
        </w:rPr>
        <w:t xml:space="preserve"> </w:t>
      </w:r>
      <w:r w:rsidR="00AE09C6" w:rsidRPr="00E06F4C">
        <w:rPr>
          <w:noProof/>
        </w:rPr>
        <w:t>Member State</w:t>
      </w:r>
      <w:r w:rsidR="00DE6AF8">
        <w:rPr>
          <w:noProof/>
        </w:rPr>
        <w:t>,</w:t>
      </w:r>
      <w:r w:rsidR="00DE6AF8" w:rsidRPr="00DE6AF8">
        <w:rPr>
          <w:noProof/>
        </w:rPr>
        <w:t xml:space="preserve"> </w:t>
      </w:r>
      <w:r w:rsidR="00DE6AF8" w:rsidRPr="00E06F4C">
        <w:rPr>
          <w:noProof/>
        </w:rPr>
        <w:t>regardless</w:t>
      </w:r>
      <w:r w:rsidR="00DE6AF8">
        <w:rPr>
          <w:noProof/>
        </w:rPr>
        <w:t xml:space="preserve"> of</w:t>
      </w:r>
      <w:r w:rsidR="00DE6AF8" w:rsidRPr="00E06F4C">
        <w:rPr>
          <w:noProof/>
        </w:rPr>
        <w:t xml:space="preserve"> the country </w:t>
      </w:r>
      <w:r w:rsidR="00DE6AF8">
        <w:rPr>
          <w:noProof/>
        </w:rPr>
        <w:t xml:space="preserve">of </w:t>
      </w:r>
      <w:r w:rsidR="00DE6AF8" w:rsidRPr="00E06F4C">
        <w:rPr>
          <w:noProof/>
        </w:rPr>
        <w:t>investment</w:t>
      </w:r>
      <w:r w:rsidR="00AE09C6" w:rsidRPr="00E06F4C">
        <w:rPr>
          <w:noProof/>
        </w:rPr>
        <w:t xml:space="preserve">. Therefore, the Member State </w:t>
      </w:r>
      <w:r w:rsidR="005919B4">
        <w:rPr>
          <w:noProof/>
        </w:rPr>
        <w:t>of</w:t>
      </w:r>
      <w:r w:rsidR="005919B4" w:rsidRPr="00E06F4C">
        <w:rPr>
          <w:noProof/>
        </w:rPr>
        <w:t xml:space="preserve"> </w:t>
      </w:r>
      <w:r w:rsidR="00AE09C6" w:rsidRPr="00E06F4C">
        <w:rPr>
          <w:noProof/>
        </w:rPr>
        <w:t xml:space="preserve">the investment </w:t>
      </w:r>
      <w:r w:rsidR="005919B4">
        <w:rPr>
          <w:noProof/>
        </w:rPr>
        <w:t>does not need</w:t>
      </w:r>
      <w:r w:rsidR="00AE09C6" w:rsidRPr="00E06F4C">
        <w:rPr>
          <w:noProof/>
        </w:rPr>
        <w:t xml:space="preserve"> to be mentioned in the </w:t>
      </w:r>
      <w:r w:rsidR="005919B4">
        <w:rPr>
          <w:noProof/>
        </w:rPr>
        <w:t>e</w:t>
      </w:r>
      <w:r w:rsidR="00AE09C6" w:rsidRPr="00E06F4C">
        <w:rPr>
          <w:noProof/>
        </w:rPr>
        <w:t>TRC</w:t>
      </w:r>
      <w:r w:rsidR="005919B4">
        <w:rPr>
          <w:noProof/>
        </w:rPr>
        <w:t>. Such</w:t>
      </w:r>
      <w:r w:rsidR="00AE09C6" w:rsidRPr="00E06F4C">
        <w:rPr>
          <w:noProof/>
        </w:rPr>
        <w:t xml:space="preserve"> information will </w:t>
      </w:r>
      <w:r w:rsidR="00DE6AF8">
        <w:rPr>
          <w:noProof/>
        </w:rPr>
        <w:t xml:space="preserve">however </w:t>
      </w:r>
      <w:r w:rsidR="00AE09C6" w:rsidRPr="00E06F4C">
        <w:rPr>
          <w:noProof/>
        </w:rPr>
        <w:t xml:space="preserve">be </w:t>
      </w:r>
      <w:r w:rsidR="005919B4">
        <w:rPr>
          <w:noProof/>
        </w:rPr>
        <w:t>included in</w:t>
      </w:r>
      <w:r w:rsidR="00AE09C6" w:rsidRPr="00E06F4C">
        <w:rPr>
          <w:noProof/>
        </w:rPr>
        <w:t xml:space="preserve"> the </w:t>
      </w:r>
      <w:r w:rsidR="001060BC" w:rsidRPr="00E06F4C">
        <w:rPr>
          <w:noProof/>
        </w:rPr>
        <w:t>r</w:t>
      </w:r>
      <w:r w:rsidR="001060BC">
        <w:rPr>
          <w:noProof/>
        </w:rPr>
        <w:t xml:space="preserve">elief </w:t>
      </w:r>
      <w:r w:rsidR="00AE09C6" w:rsidRPr="00E06F4C">
        <w:rPr>
          <w:noProof/>
        </w:rPr>
        <w:t xml:space="preserve">request in order to </w:t>
      </w:r>
      <w:r w:rsidR="005919B4">
        <w:rPr>
          <w:noProof/>
        </w:rPr>
        <w:t>identify the applicable</w:t>
      </w:r>
      <w:r w:rsidR="00AE09C6" w:rsidRPr="00E06F4C">
        <w:rPr>
          <w:noProof/>
        </w:rPr>
        <w:t xml:space="preserve"> reduced rate. </w:t>
      </w:r>
    </w:p>
    <w:p w14:paraId="0DF82220" w14:textId="77777777" w:rsidR="00DE3FE0" w:rsidRPr="00E06F4C" w:rsidRDefault="00DE3FE0" w:rsidP="00DE3FE0">
      <w:pPr>
        <w:rPr>
          <w:noProof/>
        </w:rPr>
      </w:pPr>
      <w:r>
        <w:rPr>
          <w:noProof/>
        </w:rPr>
        <w:t>As the</w:t>
      </w:r>
      <w:r w:rsidR="00FC34D1">
        <w:rPr>
          <w:noProof/>
        </w:rPr>
        <w:t xml:space="preserve"> aim</w:t>
      </w:r>
      <w:r>
        <w:rPr>
          <w:noProof/>
        </w:rPr>
        <w:t xml:space="preserve"> </w:t>
      </w:r>
      <w:r w:rsidRPr="00E06F4C">
        <w:rPr>
          <w:noProof/>
        </w:rPr>
        <w:t xml:space="preserve">is to set up a </w:t>
      </w:r>
      <w:r>
        <w:rPr>
          <w:noProof/>
        </w:rPr>
        <w:t>standardised</w:t>
      </w:r>
      <w:r w:rsidRPr="00E06F4C">
        <w:rPr>
          <w:noProof/>
        </w:rPr>
        <w:t xml:space="preserve"> </w:t>
      </w:r>
      <w:r>
        <w:rPr>
          <w:noProof/>
        </w:rPr>
        <w:t>e</w:t>
      </w:r>
      <w:r w:rsidRPr="00E06F4C">
        <w:rPr>
          <w:noProof/>
        </w:rPr>
        <w:t>TRC</w:t>
      </w:r>
      <w:r>
        <w:rPr>
          <w:noProof/>
        </w:rPr>
        <w:t xml:space="preserve">, which can be used to </w:t>
      </w:r>
      <w:r w:rsidRPr="00E06F4C">
        <w:rPr>
          <w:noProof/>
        </w:rPr>
        <w:t>streamline WHT procedures</w:t>
      </w:r>
      <w:r>
        <w:rPr>
          <w:noProof/>
        </w:rPr>
        <w:t>, but which</w:t>
      </w:r>
      <w:r w:rsidRPr="00E06F4C">
        <w:rPr>
          <w:noProof/>
        </w:rPr>
        <w:t xml:space="preserve"> can also be used for </w:t>
      </w:r>
      <w:r>
        <w:rPr>
          <w:noProof/>
        </w:rPr>
        <w:t>other</w:t>
      </w:r>
      <w:r w:rsidRPr="00E06F4C">
        <w:rPr>
          <w:noProof/>
        </w:rPr>
        <w:t xml:space="preserve"> purposes</w:t>
      </w:r>
      <w:r>
        <w:rPr>
          <w:noProof/>
        </w:rPr>
        <w:t>, the proposal allows for adding information for those purposes.</w:t>
      </w:r>
    </w:p>
    <w:p w14:paraId="0341D416" w14:textId="77777777" w:rsidR="00AE09C6" w:rsidRPr="00E06F4C" w:rsidRDefault="00FC34D1" w:rsidP="00AE09C6">
      <w:pPr>
        <w:rPr>
          <w:noProof/>
        </w:rPr>
      </w:pPr>
      <w:r>
        <w:rPr>
          <w:noProof/>
        </w:rPr>
        <w:t xml:space="preserve">Given that </w:t>
      </w:r>
      <w:r w:rsidR="00AE09C6" w:rsidRPr="00E06F4C">
        <w:rPr>
          <w:noProof/>
        </w:rPr>
        <w:t>one of the objectives of this initiative is to reduce the administrative burden for tax administrations</w:t>
      </w:r>
      <w:r w:rsidR="00697CE1">
        <w:rPr>
          <w:noProof/>
        </w:rPr>
        <w:t xml:space="preserve">, investors and </w:t>
      </w:r>
      <w:r w:rsidR="00AE09C6" w:rsidRPr="00E06F4C">
        <w:rPr>
          <w:noProof/>
        </w:rPr>
        <w:t xml:space="preserve">the financial industry, it is </w:t>
      </w:r>
      <w:r w:rsidR="00697CE1">
        <w:rPr>
          <w:noProof/>
        </w:rPr>
        <w:t>proposed</w:t>
      </w:r>
      <w:r w:rsidR="007D5668">
        <w:rPr>
          <w:noProof/>
        </w:rPr>
        <w:t xml:space="preserve"> </w:t>
      </w:r>
      <w:r w:rsidR="007A10B9">
        <w:rPr>
          <w:noProof/>
        </w:rPr>
        <w:t xml:space="preserve">that </w:t>
      </w:r>
      <w:r w:rsidR="00697CE1">
        <w:rPr>
          <w:noProof/>
        </w:rPr>
        <w:t>the</w:t>
      </w:r>
      <w:r w:rsidR="00AE09C6" w:rsidRPr="00E06F4C">
        <w:rPr>
          <w:noProof/>
        </w:rPr>
        <w:t xml:space="preserve"> </w:t>
      </w:r>
      <w:r w:rsidR="007A10B9">
        <w:rPr>
          <w:noProof/>
        </w:rPr>
        <w:t>e</w:t>
      </w:r>
      <w:r w:rsidR="00AE09C6" w:rsidRPr="00E06F4C">
        <w:rPr>
          <w:noProof/>
        </w:rPr>
        <w:t xml:space="preserve">TRC </w:t>
      </w:r>
      <w:r w:rsidR="007A10B9">
        <w:rPr>
          <w:noProof/>
        </w:rPr>
        <w:t>covers</w:t>
      </w:r>
      <w:r w:rsidR="00AE09C6" w:rsidRPr="00E06F4C">
        <w:rPr>
          <w:noProof/>
        </w:rPr>
        <w:t xml:space="preserve"> </w:t>
      </w:r>
      <w:r w:rsidR="00883002">
        <w:rPr>
          <w:noProof/>
        </w:rPr>
        <w:t xml:space="preserve">at least </w:t>
      </w:r>
      <w:r w:rsidR="00AE09C6" w:rsidRPr="00E06F4C">
        <w:rPr>
          <w:noProof/>
        </w:rPr>
        <w:t xml:space="preserve">the </w:t>
      </w:r>
      <w:r w:rsidR="007A10B9">
        <w:rPr>
          <w:noProof/>
        </w:rPr>
        <w:t xml:space="preserve">full </w:t>
      </w:r>
      <w:r w:rsidR="00AE09C6" w:rsidRPr="00E06F4C">
        <w:rPr>
          <w:noProof/>
        </w:rPr>
        <w:t xml:space="preserve">calendar year in which </w:t>
      </w:r>
      <w:r w:rsidR="00697CE1">
        <w:rPr>
          <w:noProof/>
        </w:rPr>
        <w:t xml:space="preserve">it </w:t>
      </w:r>
      <w:r w:rsidR="00AE09C6" w:rsidRPr="00E06F4C">
        <w:rPr>
          <w:noProof/>
        </w:rPr>
        <w:t xml:space="preserve">is requested. </w:t>
      </w:r>
      <w:r w:rsidR="00B06008">
        <w:rPr>
          <w:noProof/>
        </w:rPr>
        <w:t>However, i</w:t>
      </w:r>
      <w:r w:rsidR="007A10B9" w:rsidRPr="0033452E">
        <w:rPr>
          <w:noProof/>
        </w:rPr>
        <w:t xml:space="preserve">f the circumstances at the end of the year do not support the content of the eTRC issued during the year, such eTRC can be </w:t>
      </w:r>
      <w:r w:rsidR="001060BC">
        <w:rPr>
          <w:noProof/>
        </w:rPr>
        <w:t>deemed not valid by the issuing Member State</w:t>
      </w:r>
      <w:r w:rsidR="00BC49F2">
        <w:rPr>
          <w:noProof/>
        </w:rPr>
        <w:t xml:space="preserve"> and any other Member State concerned</w:t>
      </w:r>
      <w:r w:rsidR="00AE09C6" w:rsidRPr="00E06F4C" w:rsidDel="00B06008">
        <w:rPr>
          <w:noProof/>
        </w:rPr>
        <w:t xml:space="preserve">. </w:t>
      </w:r>
      <w:r w:rsidR="007A10B9">
        <w:rPr>
          <w:noProof/>
        </w:rPr>
        <w:t>Th</w:t>
      </w:r>
      <w:r w:rsidR="00883002">
        <w:rPr>
          <w:noProof/>
        </w:rPr>
        <w:t>e minimum</w:t>
      </w:r>
      <w:r w:rsidR="007A10B9">
        <w:rPr>
          <w:noProof/>
        </w:rPr>
        <w:t xml:space="preserve"> </w:t>
      </w:r>
      <w:r w:rsidR="00B06008">
        <w:rPr>
          <w:noProof/>
        </w:rPr>
        <w:t xml:space="preserve">covered period of </w:t>
      </w:r>
      <w:r w:rsidR="00883002">
        <w:rPr>
          <w:noProof/>
        </w:rPr>
        <w:t>the eTRC (</w:t>
      </w:r>
      <w:r w:rsidR="00B06008">
        <w:rPr>
          <w:noProof/>
        </w:rPr>
        <w:t>one calendar year</w:t>
      </w:r>
      <w:r w:rsidR="00883002">
        <w:rPr>
          <w:noProof/>
        </w:rPr>
        <w:t>)</w:t>
      </w:r>
      <w:r w:rsidR="00B06008">
        <w:rPr>
          <w:noProof/>
        </w:rPr>
        <w:t xml:space="preserve"> </w:t>
      </w:r>
      <w:r w:rsidR="00AE09C6" w:rsidRPr="00E06F4C">
        <w:rPr>
          <w:noProof/>
        </w:rPr>
        <w:t xml:space="preserve">should not be interpreted as preventing Member States from issuing </w:t>
      </w:r>
      <w:r w:rsidR="007A10B9">
        <w:rPr>
          <w:noProof/>
        </w:rPr>
        <w:t>e</w:t>
      </w:r>
      <w:r w:rsidR="00AE09C6" w:rsidRPr="00E06F4C">
        <w:rPr>
          <w:noProof/>
        </w:rPr>
        <w:t xml:space="preserve">TRC with </w:t>
      </w:r>
      <w:r w:rsidR="00B06008">
        <w:rPr>
          <w:noProof/>
        </w:rPr>
        <w:t>a longer</w:t>
      </w:r>
      <w:r w:rsidR="00B06008" w:rsidRPr="00E06F4C">
        <w:rPr>
          <w:noProof/>
        </w:rPr>
        <w:t xml:space="preserve"> </w:t>
      </w:r>
      <w:r w:rsidR="00AE09C6" w:rsidRPr="00E06F4C">
        <w:rPr>
          <w:noProof/>
        </w:rPr>
        <w:t>covered period</w:t>
      </w:r>
      <w:r w:rsidR="00B06008">
        <w:rPr>
          <w:noProof/>
        </w:rPr>
        <w:t xml:space="preserve">, </w:t>
      </w:r>
      <w:r w:rsidR="00AE09C6" w:rsidRPr="00E06F4C">
        <w:rPr>
          <w:noProof/>
        </w:rPr>
        <w:t xml:space="preserve">depending on the concept of tax residence and internal decision of each Member State. </w:t>
      </w:r>
      <w:r w:rsidR="005F0F5A">
        <w:rPr>
          <w:noProof/>
        </w:rPr>
        <w:t>Member States shall recognise the eTRC issued by another Member States as adequate proof of residence of a taxpayer in that other Member State</w:t>
      </w:r>
      <w:r w:rsidR="00A90377">
        <w:rPr>
          <w:noProof/>
        </w:rPr>
        <w:t>, to the extent that such eTRC continues to be considered valid by the issuing Member State</w:t>
      </w:r>
      <w:r w:rsidR="005F0F5A">
        <w:rPr>
          <w:noProof/>
        </w:rPr>
        <w:t>.</w:t>
      </w:r>
    </w:p>
    <w:p w14:paraId="0F71F4C9" w14:textId="77777777" w:rsidR="0080647F" w:rsidRDefault="00AE09C6" w:rsidP="00AE09C6">
      <w:pPr>
        <w:rPr>
          <w:noProof/>
        </w:rPr>
      </w:pPr>
      <w:r w:rsidRPr="00E06F4C">
        <w:rPr>
          <w:noProof/>
        </w:rPr>
        <w:t xml:space="preserve">Member States will </w:t>
      </w:r>
      <w:r w:rsidR="00256783">
        <w:rPr>
          <w:noProof/>
        </w:rPr>
        <w:t xml:space="preserve">be required </w:t>
      </w:r>
      <w:r w:rsidR="003E05FD">
        <w:rPr>
          <w:noProof/>
        </w:rPr>
        <w:t>to issue an eTRC within one day</w:t>
      </w:r>
      <w:r w:rsidR="00697CE1">
        <w:rPr>
          <w:noProof/>
        </w:rPr>
        <w:t xml:space="preserve">, </w:t>
      </w:r>
      <w:r w:rsidR="00D3204B">
        <w:rPr>
          <w:noProof/>
        </w:rPr>
        <w:t>as long as they have been provided with</w:t>
      </w:r>
      <w:r w:rsidR="00697CE1">
        <w:rPr>
          <w:noProof/>
        </w:rPr>
        <w:t xml:space="preserve"> a specific set of information</w:t>
      </w:r>
      <w:r w:rsidR="00BC49BD">
        <w:rPr>
          <w:noProof/>
        </w:rPr>
        <w:t xml:space="preserve"> and </w:t>
      </w:r>
      <w:r w:rsidR="00752AC7">
        <w:rPr>
          <w:noProof/>
        </w:rPr>
        <w:t xml:space="preserve">provided that no </w:t>
      </w:r>
      <w:r w:rsidR="00BC49BD">
        <w:rPr>
          <w:noProof/>
        </w:rPr>
        <w:t>exceptional circumstances</w:t>
      </w:r>
      <w:r w:rsidR="00FC34D1">
        <w:rPr>
          <w:noProof/>
        </w:rPr>
        <w:t xml:space="preserve"> </w:t>
      </w:r>
      <w:r w:rsidR="00BC49BD">
        <w:rPr>
          <w:noProof/>
        </w:rPr>
        <w:t xml:space="preserve">occur justifying a </w:t>
      </w:r>
      <w:r w:rsidR="003578B4">
        <w:rPr>
          <w:noProof/>
        </w:rPr>
        <w:t>delay</w:t>
      </w:r>
      <w:r w:rsidR="00697CE1">
        <w:rPr>
          <w:noProof/>
        </w:rPr>
        <w:t>.</w:t>
      </w:r>
      <w:r w:rsidR="003E05FD">
        <w:rPr>
          <w:noProof/>
        </w:rPr>
        <w:t xml:space="preserve"> </w:t>
      </w:r>
      <w:r w:rsidR="0080647F">
        <w:rPr>
          <w:noProof/>
        </w:rPr>
        <w:t>In case</w:t>
      </w:r>
      <w:r w:rsidR="004D141F">
        <w:rPr>
          <w:noProof/>
        </w:rPr>
        <w:t xml:space="preserve">s where the </w:t>
      </w:r>
      <w:r w:rsidR="008F75ED">
        <w:rPr>
          <w:noProof/>
        </w:rPr>
        <w:t>one-day</w:t>
      </w:r>
      <w:r w:rsidR="00967CD2">
        <w:rPr>
          <w:noProof/>
        </w:rPr>
        <w:t xml:space="preserve"> issuance will not be </w:t>
      </w:r>
      <w:r w:rsidR="009E298B">
        <w:rPr>
          <w:noProof/>
        </w:rPr>
        <w:t>met</w:t>
      </w:r>
      <w:r w:rsidR="008F75ED">
        <w:rPr>
          <w:noProof/>
        </w:rPr>
        <w:t>,</w:t>
      </w:r>
      <w:r w:rsidR="009E298B">
        <w:rPr>
          <w:noProof/>
        </w:rPr>
        <w:t xml:space="preserve"> the</w:t>
      </w:r>
      <w:r w:rsidR="0080647F">
        <w:rPr>
          <w:noProof/>
        </w:rPr>
        <w:t xml:space="preserve"> requested party should be notified</w:t>
      </w:r>
      <w:r w:rsidR="005F0F5A">
        <w:rPr>
          <w:noProof/>
        </w:rPr>
        <w:t xml:space="preserve"> by the Member State concerned</w:t>
      </w:r>
      <w:r w:rsidR="0080647F">
        <w:rPr>
          <w:noProof/>
        </w:rPr>
        <w:t xml:space="preserve">. </w:t>
      </w:r>
      <w:r w:rsidR="00D3204B">
        <w:rPr>
          <w:noProof/>
        </w:rPr>
        <w:t xml:space="preserve">To </w:t>
      </w:r>
      <w:r w:rsidR="003E05FD">
        <w:rPr>
          <w:noProof/>
        </w:rPr>
        <w:t>meet th</w:t>
      </w:r>
      <w:r w:rsidR="0091758E">
        <w:rPr>
          <w:noProof/>
        </w:rPr>
        <w:t>e</w:t>
      </w:r>
      <w:r w:rsidR="003E05FD">
        <w:rPr>
          <w:noProof/>
        </w:rPr>
        <w:t xml:space="preserve"> requirement</w:t>
      </w:r>
      <w:r w:rsidR="0091758E">
        <w:rPr>
          <w:noProof/>
        </w:rPr>
        <w:t xml:space="preserve"> of one-day issuance</w:t>
      </w:r>
      <w:r w:rsidR="00697CE1">
        <w:rPr>
          <w:noProof/>
        </w:rPr>
        <w:t xml:space="preserve">, </w:t>
      </w:r>
      <w:r w:rsidRPr="00E06F4C">
        <w:rPr>
          <w:noProof/>
        </w:rPr>
        <w:t xml:space="preserve">a fully </w:t>
      </w:r>
      <w:r w:rsidRPr="00673DBF">
        <w:rPr>
          <w:b/>
          <w:bCs/>
          <w:noProof/>
        </w:rPr>
        <w:t>automated system</w:t>
      </w:r>
      <w:r w:rsidRPr="00E06F4C">
        <w:rPr>
          <w:noProof/>
        </w:rPr>
        <w:t xml:space="preserve"> to issue the </w:t>
      </w:r>
      <w:r w:rsidR="00256783">
        <w:rPr>
          <w:noProof/>
        </w:rPr>
        <w:t>e</w:t>
      </w:r>
      <w:r w:rsidRPr="00E06F4C">
        <w:rPr>
          <w:noProof/>
        </w:rPr>
        <w:t xml:space="preserve">TRC </w:t>
      </w:r>
      <w:r w:rsidR="00697CE1">
        <w:rPr>
          <w:noProof/>
        </w:rPr>
        <w:t>should be implemented</w:t>
      </w:r>
      <w:r w:rsidR="00FC34D1">
        <w:rPr>
          <w:noProof/>
        </w:rPr>
        <w:t xml:space="preserve"> by Member States</w:t>
      </w:r>
      <w:r w:rsidR="00697CE1">
        <w:rPr>
          <w:noProof/>
        </w:rPr>
        <w:t>, which</w:t>
      </w:r>
      <w:r w:rsidR="003E05FD">
        <w:rPr>
          <w:noProof/>
        </w:rPr>
        <w:t xml:space="preserve"> allow</w:t>
      </w:r>
      <w:r w:rsidR="00697CE1">
        <w:rPr>
          <w:noProof/>
        </w:rPr>
        <w:t>s</w:t>
      </w:r>
      <w:r w:rsidR="003E05FD">
        <w:rPr>
          <w:noProof/>
        </w:rPr>
        <w:t xml:space="preserve"> for requests via an </w:t>
      </w:r>
      <w:r w:rsidRPr="00E06F4C">
        <w:rPr>
          <w:noProof/>
        </w:rPr>
        <w:t xml:space="preserve">online </w:t>
      </w:r>
      <w:r w:rsidR="003E05FD">
        <w:rPr>
          <w:noProof/>
        </w:rPr>
        <w:t xml:space="preserve">portal accessible </w:t>
      </w:r>
      <w:r w:rsidR="00D3204B">
        <w:rPr>
          <w:noProof/>
        </w:rPr>
        <w:t xml:space="preserve">to </w:t>
      </w:r>
      <w:r w:rsidRPr="00E06F4C">
        <w:rPr>
          <w:noProof/>
        </w:rPr>
        <w:t>the taxpayer</w:t>
      </w:r>
      <w:r w:rsidR="00D3204B">
        <w:rPr>
          <w:noProof/>
        </w:rPr>
        <w:t xml:space="preserve"> and parties authorised thereby</w:t>
      </w:r>
      <w:r w:rsidR="00FC34D1">
        <w:rPr>
          <w:noProof/>
        </w:rPr>
        <w:t xml:space="preserve"> (e.g.</w:t>
      </w:r>
      <w:r w:rsidR="00463799">
        <w:rPr>
          <w:noProof/>
        </w:rPr>
        <w:t xml:space="preserve"> </w:t>
      </w:r>
      <w:r w:rsidR="00FC34D1" w:rsidRPr="00E06F4C">
        <w:rPr>
          <w:noProof/>
        </w:rPr>
        <w:t>financial intermediaries request</w:t>
      </w:r>
      <w:r w:rsidR="00FC34D1">
        <w:rPr>
          <w:noProof/>
        </w:rPr>
        <w:t>ing</w:t>
      </w:r>
      <w:r w:rsidR="00FC34D1" w:rsidRPr="00E06F4C">
        <w:rPr>
          <w:noProof/>
        </w:rPr>
        <w:t xml:space="preserve"> the </w:t>
      </w:r>
      <w:r w:rsidR="0091758E">
        <w:rPr>
          <w:noProof/>
        </w:rPr>
        <w:t>e</w:t>
      </w:r>
      <w:r w:rsidR="00FC34D1" w:rsidRPr="00E06F4C">
        <w:rPr>
          <w:noProof/>
        </w:rPr>
        <w:t>TRC on behalf of their clients</w:t>
      </w:r>
      <w:r w:rsidR="00FC34D1">
        <w:rPr>
          <w:noProof/>
        </w:rPr>
        <w:t>).</w:t>
      </w:r>
    </w:p>
    <w:p w14:paraId="21C87D9E" w14:textId="77777777" w:rsidR="00AE09C6" w:rsidRPr="00E06F4C" w:rsidRDefault="00AE09C6" w:rsidP="00AE09C6">
      <w:pPr>
        <w:rPr>
          <w:noProof/>
        </w:rPr>
      </w:pPr>
      <w:r w:rsidRPr="00E06F4C">
        <w:rPr>
          <w:noProof/>
        </w:rPr>
        <w:t xml:space="preserve">The </w:t>
      </w:r>
      <w:r w:rsidR="00256783">
        <w:rPr>
          <w:noProof/>
        </w:rPr>
        <w:t>e</w:t>
      </w:r>
      <w:r w:rsidRPr="00E06F4C">
        <w:rPr>
          <w:noProof/>
        </w:rPr>
        <w:t xml:space="preserve">TRC </w:t>
      </w:r>
      <w:r w:rsidR="003E05FD">
        <w:rPr>
          <w:noProof/>
        </w:rPr>
        <w:t>will be secured using</w:t>
      </w:r>
      <w:r w:rsidRPr="00E06F4C">
        <w:rPr>
          <w:noProof/>
        </w:rPr>
        <w:t xml:space="preserve"> an electronic seal in conformity with Regulation (EU) No 910/2014 of 23 July 2014 on electronic identification and trust services for electronic transactions in the internal market (</w:t>
      </w:r>
      <w:r w:rsidR="003E05FD">
        <w:rPr>
          <w:noProof/>
        </w:rPr>
        <w:t xml:space="preserve">the </w:t>
      </w:r>
      <w:r w:rsidRPr="00E06F4C">
        <w:rPr>
          <w:noProof/>
        </w:rPr>
        <w:t>eIDAS Regulation)</w:t>
      </w:r>
      <w:r w:rsidR="00FC34D1">
        <w:rPr>
          <w:rStyle w:val="FootnoteReference"/>
          <w:noProof/>
        </w:rPr>
        <w:footnoteReference w:id="24"/>
      </w:r>
      <w:r w:rsidRPr="00E06F4C">
        <w:rPr>
          <w:noProof/>
        </w:rPr>
        <w:t>. Th</w:t>
      </w:r>
      <w:r w:rsidR="003E05FD">
        <w:rPr>
          <w:noProof/>
        </w:rPr>
        <w:t>e envisaged</w:t>
      </w:r>
      <w:r w:rsidRPr="00E06F4C">
        <w:rPr>
          <w:noProof/>
        </w:rPr>
        <w:t xml:space="preserve"> method offers the possibility of both human and machine-readable </w:t>
      </w:r>
      <w:r w:rsidR="003578B4">
        <w:rPr>
          <w:noProof/>
        </w:rPr>
        <w:t>versions</w:t>
      </w:r>
      <w:r w:rsidR="003578B4" w:rsidRPr="00E06F4C">
        <w:rPr>
          <w:noProof/>
        </w:rPr>
        <w:t xml:space="preserve"> </w:t>
      </w:r>
      <w:r w:rsidRPr="00E06F4C">
        <w:rPr>
          <w:noProof/>
        </w:rPr>
        <w:t>of the digital tax resident certificate with PDF documents</w:t>
      </w:r>
      <w:r w:rsidR="009E298B">
        <w:rPr>
          <w:noProof/>
        </w:rPr>
        <w:t>,</w:t>
      </w:r>
      <w:r w:rsidRPr="00E06F4C">
        <w:rPr>
          <w:noProof/>
        </w:rPr>
        <w:t xml:space="preserve"> or similar other formats</w:t>
      </w:r>
      <w:r w:rsidR="009E298B">
        <w:rPr>
          <w:noProof/>
        </w:rPr>
        <w:t>,</w:t>
      </w:r>
      <w:r w:rsidRPr="00E06F4C">
        <w:rPr>
          <w:noProof/>
        </w:rPr>
        <w:t xml:space="preserve"> which can be used </w:t>
      </w:r>
      <w:r w:rsidR="009E298B">
        <w:rPr>
          <w:noProof/>
        </w:rPr>
        <w:t>by</w:t>
      </w:r>
      <w:r w:rsidRPr="00E06F4C">
        <w:rPr>
          <w:noProof/>
        </w:rPr>
        <w:t xml:space="preserve"> automated systems.</w:t>
      </w:r>
    </w:p>
    <w:p w14:paraId="2387E287" w14:textId="77777777" w:rsidR="00247DD1" w:rsidRPr="00B03B16" w:rsidRDefault="00247DD1" w:rsidP="00247DD1">
      <w:pPr>
        <w:pStyle w:val="Point1"/>
        <w:rPr>
          <w:b/>
          <w:bCs/>
          <w:noProof/>
        </w:rPr>
      </w:pPr>
      <w:r w:rsidRPr="00B03B16">
        <w:rPr>
          <w:b/>
          <w:bCs/>
          <w:noProof/>
        </w:rPr>
        <w:t>(ii)</w:t>
      </w:r>
      <w:r w:rsidRPr="00B03B16">
        <w:rPr>
          <w:b/>
          <w:bCs/>
          <w:noProof/>
        </w:rPr>
        <w:tab/>
        <w:t>Member States’ National Registers</w:t>
      </w:r>
    </w:p>
    <w:p w14:paraId="2F0A1D80" w14:textId="77777777" w:rsidR="00247DD1" w:rsidRPr="00E06F4C" w:rsidRDefault="00247DD1" w:rsidP="00AE09C6">
      <w:pPr>
        <w:rPr>
          <w:noProof/>
        </w:rPr>
      </w:pPr>
      <w:r w:rsidRPr="00E06F4C">
        <w:rPr>
          <w:noProof/>
        </w:rPr>
        <w:t xml:space="preserve">In order to </w:t>
      </w:r>
      <w:r w:rsidR="00697CE1">
        <w:rPr>
          <w:noProof/>
        </w:rPr>
        <w:t>benefit</w:t>
      </w:r>
      <w:r w:rsidR="00697CE1" w:rsidRPr="00E06F4C">
        <w:rPr>
          <w:noProof/>
        </w:rPr>
        <w:t xml:space="preserve"> </w:t>
      </w:r>
      <w:r w:rsidRPr="00E06F4C">
        <w:rPr>
          <w:noProof/>
        </w:rPr>
        <w:t xml:space="preserve">from the </w:t>
      </w:r>
      <w:r w:rsidR="00D3204B">
        <w:rPr>
          <w:noProof/>
        </w:rPr>
        <w:t xml:space="preserve">WHT </w:t>
      </w:r>
      <w:r w:rsidRPr="00E06F4C">
        <w:rPr>
          <w:noProof/>
        </w:rPr>
        <w:t xml:space="preserve">relief procedures </w:t>
      </w:r>
      <w:r w:rsidR="005A5254">
        <w:rPr>
          <w:noProof/>
        </w:rPr>
        <w:t xml:space="preserve">at the core of </w:t>
      </w:r>
      <w:r w:rsidRPr="00E06F4C">
        <w:rPr>
          <w:noProof/>
        </w:rPr>
        <w:t xml:space="preserve">the Directive, investors </w:t>
      </w:r>
      <w:r w:rsidR="00D3204B">
        <w:rPr>
          <w:noProof/>
        </w:rPr>
        <w:t xml:space="preserve">will </w:t>
      </w:r>
      <w:r w:rsidRPr="00E06F4C">
        <w:rPr>
          <w:noProof/>
        </w:rPr>
        <w:t xml:space="preserve">need to </w:t>
      </w:r>
      <w:r w:rsidR="005178A1">
        <w:rPr>
          <w:noProof/>
        </w:rPr>
        <w:t xml:space="preserve">be able to engage </w:t>
      </w:r>
      <w:r w:rsidRPr="00E06F4C">
        <w:rPr>
          <w:noProof/>
        </w:rPr>
        <w:t xml:space="preserve">with financial intermediaries that are certified to provide those services. There are two </w:t>
      </w:r>
      <w:r w:rsidR="00697CE1">
        <w:rPr>
          <w:noProof/>
        </w:rPr>
        <w:t>grounds for being certified as</w:t>
      </w:r>
      <w:r w:rsidRPr="00E06F4C">
        <w:rPr>
          <w:noProof/>
        </w:rPr>
        <w:t xml:space="preserve"> </w:t>
      </w:r>
      <w:r w:rsidR="004D5050">
        <w:rPr>
          <w:noProof/>
        </w:rPr>
        <w:t xml:space="preserve">a </w:t>
      </w:r>
      <w:r w:rsidRPr="00E06F4C">
        <w:rPr>
          <w:noProof/>
        </w:rPr>
        <w:t>Certified Financial Intermediary (CFI)</w:t>
      </w:r>
      <w:r w:rsidR="00D3204B">
        <w:rPr>
          <w:noProof/>
        </w:rPr>
        <w:t xml:space="preserve"> and thus accessing the procedures of this Directive</w:t>
      </w:r>
      <w:r w:rsidRPr="00E06F4C">
        <w:rPr>
          <w:noProof/>
        </w:rPr>
        <w:t>:</w:t>
      </w:r>
    </w:p>
    <w:p w14:paraId="321A83C7" w14:textId="77777777" w:rsidR="007A3752" w:rsidRDefault="00697CE1" w:rsidP="004E5214">
      <w:pPr>
        <w:pStyle w:val="Tiret1"/>
        <w:numPr>
          <w:ilvl w:val="0"/>
          <w:numId w:val="6"/>
        </w:numPr>
        <w:rPr>
          <w:noProof/>
        </w:rPr>
      </w:pPr>
      <w:r>
        <w:rPr>
          <w:noProof/>
        </w:rPr>
        <w:t>On a compulsory basis</w:t>
      </w:r>
      <w:r w:rsidR="0091758E">
        <w:rPr>
          <w:noProof/>
        </w:rPr>
        <w:t xml:space="preserve">: </w:t>
      </w:r>
      <w:r>
        <w:rPr>
          <w:noProof/>
        </w:rPr>
        <w:t xml:space="preserve">for </w:t>
      </w:r>
      <w:r w:rsidR="00FC34D1">
        <w:rPr>
          <w:noProof/>
        </w:rPr>
        <w:t xml:space="preserve">(1) </w:t>
      </w:r>
      <w:r w:rsidR="007A3752">
        <w:rPr>
          <w:noProof/>
        </w:rPr>
        <w:t xml:space="preserve">large institutions, as defined in article </w:t>
      </w:r>
      <w:r w:rsidR="00032A44">
        <w:rPr>
          <w:noProof/>
        </w:rPr>
        <w:t>5</w:t>
      </w:r>
      <w:r w:rsidR="007A3752">
        <w:rPr>
          <w:noProof/>
        </w:rPr>
        <w:t xml:space="preserve"> paragraph </w:t>
      </w:r>
      <w:r w:rsidR="00032A44">
        <w:rPr>
          <w:noProof/>
        </w:rPr>
        <w:t>2</w:t>
      </w:r>
      <w:r w:rsidR="007A3752">
        <w:rPr>
          <w:noProof/>
        </w:rPr>
        <w:t xml:space="preserve"> of Regulation (EU) No. 57</w:t>
      </w:r>
      <w:r w:rsidR="00EA0E72">
        <w:rPr>
          <w:noProof/>
        </w:rPr>
        <w:t>5</w:t>
      </w:r>
      <w:r w:rsidR="007A3752">
        <w:rPr>
          <w:noProof/>
        </w:rPr>
        <w:t>/2013</w:t>
      </w:r>
      <w:r w:rsidR="00FC34D1">
        <w:rPr>
          <w:rStyle w:val="FootnoteReference"/>
          <w:noProof/>
        </w:rPr>
        <w:footnoteReference w:id="25"/>
      </w:r>
      <w:r w:rsidR="007A3752">
        <w:rPr>
          <w:noProof/>
        </w:rPr>
        <w:t xml:space="preserve">, and </w:t>
      </w:r>
      <w:r w:rsidR="00FC34D1">
        <w:rPr>
          <w:noProof/>
        </w:rPr>
        <w:t>(2)</w:t>
      </w:r>
      <w:r w:rsidR="00D3204B">
        <w:rPr>
          <w:noProof/>
        </w:rPr>
        <w:t xml:space="preserve"> </w:t>
      </w:r>
      <w:r w:rsidR="007A3752">
        <w:rPr>
          <w:noProof/>
        </w:rPr>
        <w:t>Central Securities Depositories in the scope of Regulation (EU) No. 909/2014</w:t>
      </w:r>
      <w:r w:rsidR="00FC34D1">
        <w:rPr>
          <w:rStyle w:val="FootnoteReference"/>
          <w:noProof/>
        </w:rPr>
        <w:footnoteReference w:id="26"/>
      </w:r>
      <w:r w:rsidR="00BA75D9">
        <w:rPr>
          <w:noProof/>
        </w:rPr>
        <w:t xml:space="preserve"> that are providing </w:t>
      </w:r>
      <w:r w:rsidR="000962B2">
        <w:rPr>
          <w:noProof/>
        </w:rPr>
        <w:t xml:space="preserve">withholding tax agent </w:t>
      </w:r>
      <w:r w:rsidR="00BA75D9">
        <w:rPr>
          <w:noProof/>
        </w:rPr>
        <w:t>services</w:t>
      </w:r>
      <w:r w:rsidR="0033452E">
        <w:rPr>
          <w:noProof/>
        </w:rPr>
        <w:t xml:space="preserve"> </w:t>
      </w:r>
      <w:r w:rsidR="00A90377">
        <w:rPr>
          <w:noProof/>
        </w:rPr>
        <w:t>and that as such need to register with</w:t>
      </w:r>
      <w:r w:rsidR="007A3752">
        <w:rPr>
          <w:noProof/>
        </w:rPr>
        <w:t xml:space="preserve"> </w:t>
      </w:r>
      <w:r w:rsidR="00032A44">
        <w:rPr>
          <w:noProof/>
        </w:rPr>
        <w:t>those</w:t>
      </w:r>
      <w:r w:rsidR="008B2B25">
        <w:rPr>
          <w:noProof/>
        </w:rPr>
        <w:t xml:space="preserve"> Member States</w:t>
      </w:r>
      <w:r w:rsidR="00032A44">
        <w:rPr>
          <w:noProof/>
        </w:rPr>
        <w:t xml:space="preserve"> in which</w:t>
      </w:r>
      <w:r w:rsidR="0033452E" w:rsidRPr="0033452E">
        <w:rPr>
          <w:noProof/>
        </w:rPr>
        <w:t xml:space="preserve"> </w:t>
      </w:r>
      <w:r w:rsidR="0033452E">
        <w:rPr>
          <w:noProof/>
        </w:rPr>
        <w:t>securities’ issuers</w:t>
      </w:r>
      <w:r w:rsidR="00032A44">
        <w:rPr>
          <w:noProof/>
        </w:rPr>
        <w:t xml:space="preserve"> are located </w:t>
      </w:r>
      <w:r w:rsidR="0033452E">
        <w:rPr>
          <w:noProof/>
        </w:rPr>
        <w:t xml:space="preserve">and </w:t>
      </w:r>
      <w:r w:rsidR="00032A44">
        <w:rPr>
          <w:noProof/>
        </w:rPr>
        <w:t>where any of their clients have invested in</w:t>
      </w:r>
      <w:r w:rsidR="008B2B25">
        <w:rPr>
          <w:noProof/>
        </w:rPr>
        <w:t>.</w:t>
      </w:r>
    </w:p>
    <w:p w14:paraId="3E3E3FB0" w14:textId="77777777" w:rsidR="00247DD1" w:rsidRPr="00E06F4C" w:rsidRDefault="004D5050" w:rsidP="004E5214">
      <w:pPr>
        <w:pStyle w:val="Tiret1"/>
        <w:numPr>
          <w:ilvl w:val="0"/>
          <w:numId w:val="6"/>
        </w:numPr>
        <w:rPr>
          <w:noProof/>
        </w:rPr>
      </w:pPr>
      <w:r>
        <w:rPr>
          <w:noProof/>
        </w:rPr>
        <w:t>O</w:t>
      </w:r>
      <w:r w:rsidR="00247DD1" w:rsidRPr="00E06F4C">
        <w:rPr>
          <w:noProof/>
        </w:rPr>
        <w:t xml:space="preserve">n </w:t>
      </w:r>
      <w:r>
        <w:rPr>
          <w:noProof/>
        </w:rPr>
        <w:t>a</w:t>
      </w:r>
      <w:r w:rsidR="00247DD1" w:rsidRPr="00E06F4C">
        <w:rPr>
          <w:noProof/>
        </w:rPr>
        <w:t xml:space="preserve"> voluntary basis</w:t>
      </w:r>
      <w:r w:rsidR="00B35632">
        <w:rPr>
          <w:noProof/>
        </w:rPr>
        <w:t>:</w:t>
      </w:r>
      <w:r w:rsidR="00247DD1" w:rsidRPr="00E06F4C">
        <w:rPr>
          <w:noProof/>
        </w:rPr>
        <w:t xml:space="preserve"> </w:t>
      </w:r>
      <w:r w:rsidR="00D3204B">
        <w:rPr>
          <w:noProof/>
        </w:rPr>
        <w:t xml:space="preserve">for all other entities </w:t>
      </w:r>
      <w:r w:rsidR="00767C39">
        <w:rPr>
          <w:noProof/>
        </w:rPr>
        <w:t xml:space="preserve">(including those that are established in a third country </w:t>
      </w:r>
      <w:r w:rsidR="0018073D">
        <w:rPr>
          <w:noProof/>
        </w:rPr>
        <w:t>jurisdiction</w:t>
      </w:r>
      <w:r w:rsidR="00767C39">
        <w:rPr>
          <w:noProof/>
        </w:rPr>
        <w:t xml:space="preserve">) </w:t>
      </w:r>
      <w:r w:rsidR="00D3204B">
        <w:rPr>
          <w:noProof/>
        </w:rPr>
        <w:t>acting as financial intermediaries</w:t>
      </w:r>
      <w:r w:rsidR="000962B2">
        <w:rPr>
          <w:noProof/>
        </w:rPr>
        <w:t xml:space="preserve"> </w:t>
      </w:r>
      <w:r w:rsidR="00A90377">
        <w:rPr>
          <w:noProof/>
        </w:rPr>
        <w:t>and meeting specific requirements</w:t>
      </w:r>
      <w:r w:rsidR="000962B2">
        <w:rPr>
          <w:noProof/>
        </w:rPr>
        <w:t xml:space="preserve"> </w:t>
      </w:r>
      <w:r w:rsidR="00247DD1" w:rsidRPr="00E06F4C">
        <w:rPr>
          <w:noProof/>
        </w:rPr>
        <w:t xml:space="preserve">by registering in one or several of the National Registers </w:t>
      </w:r>
      <w:r w:rsidR="006B2588">
        <w:rPr>
          <w:noProof/>
        </w:rPr>
        <w:t>set up in accordance with this Directive,</w:t>
      </w:r>
      <w:r w:rsidR="00D3204B">
        <w:rPr>
          <w:noProof/>
        </w:rPr>
        <w:t xml:space="preserve"> </w:t>
      </w:r>
      <w:r w:rsidR="006B2588">
        <w:rPr>
          <w:noProof/>
        </w:rPr>
        <w:t>at the discretion</w:t>
      </w:r>
      <w:r w:rsidR="00247DD1" w:rsidRPr="00E06F4C">
        <w:rPr>
          <w:noProof/>
        </w:rPr>
        <w:t xml:space="preserve"> of the concerned </w:t>
      </w:r>
      <w:r w:rsidR="006B2588">
        <w:rPr>
          <w:noProof/>
        </w:rPr>
        <w:t xml:space="preserve">intermediary; it is expected that registration should be with </w:t>
      </w:r>
      <w:r w:rsidR="00247DD1" w:rsidRPr="00E06F4C">
        <w:rPr>
          <w:noProof/>
        </w:rPr>
        <w:t xml:space="preserve">those </w:t>
      </w:r>
      <w:r w:rsidR="00FC34D1">
        <w:rPr>
          <w:noProof/>
        </w:rPr>
        <w:t>Member States</w:t>
      </w:r>
      <w:r w:rsidR="00247DD1" w:rsidRPr="00E06F4C">
        <w:rPr>
          <w:noProof/>
        </w:rPr>
        <w:t xml:space="preserve"> where their clients have investments in.</w:t>
      </w:r>
    </w:p>
    <w:p w14:paraId="751E06F8" w14:textId="77777777" w:rsidR="00A9400E" w:rsidRDefault="00247DD1" w:rsidP="00247DD1">
      <w:pPr>
        <w:rPr>
          <w:noProof/>
        </w:rPr>
      </w:pPr>
      <w:r w:rsidRPr="00E06F4C">
        <w:rPr>
          <w:noProof/>
        </w:rPr>
        <w:t xml:space="preserve">Member States that do not </w:t>
      </w:r>
      <w:r w:rsidR="2A72CA43">
        <w:rPr>
          <w:noProof/>
        </w:rPr>
        <w:t>need to provide relief of excess withholding tax</w:t>
      </w:r>
      <w:r w:rsidRPr="00E06F4C">
        <w:rPr>
          <w:noProof/>
        </w:rPr>
        <w:t xml:space="preserve">, due to an exemption on WHT over dividend payments or in case the </w:t>
      </w:r>
      <w:r w:rsidR="006B2588">
        <w:rPr>
          <w:noProof/>
        </w:rPr>
        <w:t xml:space="preserve">relevant domestic </w:t>
      </w:r>
      <w:r w:rsidR="00767C39">
        <w:rPr>
          <w:noProof/>
        </w:rPr>
        <w:t xml:space="preserve">tax </w:t>
      </w:r>
      <w:r w:rsidRPr="00E06F4C">
        <w:rPr>
          <w:noProof/>
        </w:rPr>
        <w:t xml:space="preserve">rate is always lower </w:t>
      </w:r>
      <w:r w:rsidR="006B2588">
        <w:rPr>
          <w:noProof/>
        </w:rPr>
        <w:t xml:space="preserve">than or equal to the rate that could be applied </w:t>
      </w:r>
      <w:r w:rsidRPr="00E06F4C">
        <w:rPr>
          <w:noProof/>
        </w:rPr>
        <w:t>under DTT</w:t>
      </w:r>
      <w:r w:rsidR="006B2588">
        <w:rPr>
          <w:noProof/>
        </w:rPr>
        <w:t>s</w:t>
      </w:r>
      <w:r w:rsidRPr="00E06F4C">
        <w:rPr>
          <w:noProof/>
        </w:rPr>
        <w:t xml:space="preserve">, do not need to have a </w:t>
      </w:r>
      <w:r w:rsidR="0080647F">
        <w:rPr>
          <w:noProof/>
        </w:rPr>
        <w:t xml:space="preserve">National </w:t>
      </w:r>
      <w:r w:rsidRPr="00E06F4C">
        <w:rPr>
          <w:noProof/>
        </w:rPr>
        <w:t>Register in place.</w:t>
      </w:r>
      <w:r w:rsidR="00EE438B">
        <w:rPr>
          <w:noProof/>
        </w:rPr>
        <w:t xml:space="preserve"> Member States opting</w:t>
      </w:r>
      <w:r w:rsidR="00C609DC">
        <w:rPr>
          <w:noProof/>
        </w:rPr>
        <w:t>-</w:t>
      </w:r>
      <w:r w:rsidR="00EE438B">
        <w:rPr>
          <w:noProof/>
        </w:rPr>
        <w:t xml:space="preserve">in for providing relief </w:t>
      </w:r>
      <w:r w:rsidR="10297BBD">
        <w:rPr>
          <w:noProof/>
        </w:rPr>
        <w:t xml:space="preserve">at source </w:t>
      </w:r>
      <w:r w:rsidR="00EE438B">
        <w:rPr>
          <w:noProof/>
        </w:rPr>
        <w:t xml:space="preserve">or quick refund </w:t>
      </w:r>
      <w:r w:rsidR="401A1EDB">
        <w:rPr>
          <w:noProof/>
        </w:rPr>
        <w:t xml:space="preserve">on excess tax withheld on interest on bonds as foreseen </w:t>
      </w:r>
      <w:r w:rsidR="00542F8D">
        <w:rPr>
          <w:noProof/>
        </w:rPr>
        <w:t>under this Directive</w:t>
      </w:r>
      <w:r w:rsidR="539735F9">
        <w:rPr>
          <w:noProof/>
        </w:rPr>
        <w:t xml:space="preserve"> </w:t>
      </w:r>
      <w:r w:rsidR="37BB6609">
        <w:rPr>
          <w:noProof/>
        </w:rPr>
        <w:t>shou</w:t>
      </w:r>
      <w:r w:rsidR="64CCB4F9">
        <w:rPr>
          <w:noProof/>
        </w:rPr>
        <w:t>ld</w:t>
      </w:r>
      <w:r w:rsidR="539735F9">
        <w:rPr>
          <w:noProof/>
        </w:rPr>
        <w:t xml:space="preserve"> </w:t>
      </w:r>
      <w:r w:rsidR="2EF665DC">
        <w:rPr>
          <w:noProof/>
        </w:rPr>
        <w:t xml:space="preserve">by default </w:t>
      </w:r>
      <w:r w:rsidR="539735F9">
        <w:rPr>
          <w:noProof/>
        </w:rPr>
        <w:t xml:space="preserve">use the National Register already established to provide relief on excess tax withheld on dividends, or </w:t>
      </w:r>
      <w:r w:rsidR="3DD30676">
        <w:rPr>
          <w:noProof/>
        </w:rPr>
        <w:t xml:space="preserve">otherwise </w:t>
      </w:r>
      <w:r w:rsidR="7DD22A31">
        <w:rPr>
          <w:noProof/>
        </w:rPr>
        <w:t xml:space="preserve">set up </w:t>
      </w:r>
      <w:r w:rsidR="3059C353">
        <w:rPr>
          <w:noProof/>
        </w:rPr>
        <w:t xml:space="preserve">a </w:t>
      </w:r>
      <w:r w:rsidR="7DD22A31">
        <w:rPr>
          <w:noProof/>
        </w:rPr>
        <w:t>National R</w:t>
      </w:r>
      <w:r w:rsidR="4E1F4B96">
        <w:rPr>
          <w:noProof/>
        </w:rPr>
        <w:t>egister</w:t>
      </w:r>
      <w:r w:rsidR="00EE438B">
        <w:rPr>
          <w:noProof/>
        </w:rPr>
        <w:t>.</w:t>
      </w:r>
    </w:p>
    <w:p w14:paraId="1BFE559A" w14:textId="77777777" w:rsidR="0080647F" w:rsidRDefault="0080647F" w:rsidP="00247DD1">
      <w:pPr>
        <w:rPr>
          <w:noProof/>
        </w:rPr>
      </w:pPr>
      <w:r w:rsidRPr="00A9400E">
        <w:rPr>
          <w:noProof/>
        </w:rPr>
        <w:t xml:space="preserve">Non-compliant CFIs, including those non-compliant with registration requirements, will be subject to removal from the </w:t>
      </w:r>
      <w:r w:rsidR="00BE3D99">
        <w:rPr>
          <w:noProof/>
        </w:rPr>
        <w:t xml:space="preserve">National </w:t>
      </w:r>
      <w:r w:rsidRPr="00A9400E">
        <w:rPr>
          <w:noProof/>
        </w:rPr>
        <w:t>Registers and/or penalties.</w:t>
      </w:r>
    </w:p>
    <w:p w14:paraId="0726B204" w14:textId="77777777" w:rsidR="00247DD1" w:rsidRPr="00B03B16" w:rsidRDefault="00247DD1" w:rsidP="00247DD1">
      <w:pPr>
        <w:pStyle w:val="Point1"/>
        <w:rPr>
          <w:b/>
          <w:bCs/>
          <w:noProof/>
        </w:rPr>
      </w:pPr>
      <w:r w:rsidRPr="00B03B16">
        <w:rPr>
          <w:b/>
          <w:bCs/>
          <w:noProof/>
        </w:rPr>
        <w:t>(iii)</w:t>
      </w:r>
      <w:r w:rsidRPr="00B03B16">
        <w:rPr>
          <w:b/>
          <w:bCs/>
          <w:noProof/>
        </w:rPr>
        <w:tab/>
        <w:t xml:space="preserve">Common reporting </w:t>
      </w:r>
    </w:p>
    <w:p w14:paraId="7287F85A" w14:textId="77777777" w:rsidR="007D3EBD" w:rsidRPr="00E06F4C" w:rsidRDefault="00247DD1" w:rsidP="00AE09C6">
      <w:pPr>
        <w:rPr>
          <w:noProof/>
        </w:rPr>
      </w:pPr>
      <w:r w:rsidRPr="00E06F4C">
        <w:rPr>
          <w:noProof/>
        </w:rPr>
        <w:t xml:space="preserve">This Directive aims to </w:t>
      </w:r>
      <w:r w:rsidR="00C700D7">
        <w:rPr>
          <w:noProof/>
        </w:rPr>
        <w:t xml:space="preserve">help in </w:t>
      </w:r>
      <w:r w:rsidR="006B2588">
        <w:rPr>
          <w:noProof/>
        </w:rPr>
        <w:t xml:space="preserve">the </w:t>
      </w:r>
      <w:r w:rsidRPr="00E06F4C">
        <w:rPr>
          <w:noProof/>
        </w:rPr>
        <w:t xml:space="preserve">fight against tax </w:t>
      </w:r>
      <w:r w:rsidR="00E41A9B">
        <w:rPr>
          <w:noProof/>
        </w:rPr>
        <w:t>fraud and</w:t>
      </w:r>
      <w:r w:rsidRPr="00E06F4C">
        <w:rPr>
          <w:noProof/>
        </w:rPr>
        <w:t xml:space="preserve"> abuse in the field of </w:t>
      </w:r>
      <w:r w:rsidR="006B2588">
        <w:rPr>
          <w:noProof/>
        </w:rPr>
        <w:t xml:space="preserve">excess </w:t>
      </w:r>
      <w:r w:rsidRPr="00E06F4C">
        <w:rPr>
          <w:noProof/>
        </w:rPr>
        <w:t xml:space="preserve">WHT </w:t>
      </w:r>
      <w:r w:rsidR="006B2588">
        <w:rPr>
          <w:noProof/>
        </w:rPr>
        <w:t>relief</w:t>
      </w:r>
      <w:r w:rsidRPr="00E06F4C">
        <w:rPr>
          <w:noProof/>
        </w:rPr>
        <w:t xml:space="preserve"> procedures and to make </w:t>
      </w:r>
      <w:r w:rsidR="00C700D7">
        <w:rPr>
          <w:noProof/>
        </w:rPr>
        <w:t>these procedures</w:t>
      </w:r>
      <w:r w:rsidR="00C700D7" w:rsidRPr="00E06F4C">
        <w:rPr>
          <w:noProof/>
        </w:rPr>
        <w:t xml:space="preserve"> </w:t>
      </w:r>
      <w:r w:rsidRPr="00E06F4C">
        <w:rPr>
          <w:noProof/>
        </w:rPr>
        <w:t xml:space="preserve">effective. Introducing transparency in the financial chain serves these two objectives since it enables the source Member State to </w:t>
      </w:r>
      <w:r w:rsidR="006B2588">
        <w:rPr>
          <w:noProof/>
        </w:rPr>
        <w:t>receive</w:t>
      </w:r>
      <w:r w:rsidR="006B2588" w:rsidRPr="00E06F4C">
        <w:rPr>
          <w:noProof/>
        </w:rPr>
        <w:t xml:space="preserve"> </w:t>
      </w:r>
      <w:r w:rsidRPr="00E06F4C">
        <w:rPr>
          <w:noProof/>
        </w:rPr>
        <w:t xml:space="preserve">the information needed to check that the correct </w:t>
      </w:r>
      <w:r w:rsidR="006B2588">
        <w:rPr>
          <w:noProof/>
        </w:rPr>
        <w:t>WHT</w:t>
      </w:r>
      <w:r w:rsidRPr="00E06F4C">
        <w:rPr>
          <w:noProof/>
        </w:rPr>
        <w:t xml:space="preserve"> rate applie</w:t>
      </w:r>
      <w:r w:rsidR="007544A6">
        <w:rPr>
          <w:noProof/>
        </w:rPr>
        <w:t>s</w:t>
      </w:r>
      <w:r w:rsidR="0080647F">
        <w:rPr>
          <w:noProof/>
        </w:rPr>
        <w:t xml:space="preserve"> and </w:t>
      </w:r>
      <w:r w:rsidR="00EE0736">
        <w:rPr>
          <w:noProof/>
        </w:rPr>
        <w:t xml:space="preserve">to assess if </w:t>
      </w:r>
      <w:r w:rsidR="0080647F">
        <w:rPr>
          <w:noProof/>
        </w:rPr>
        <w:t xml:space="preserve">anti-abuse </w:t>
      </w:r>
      <w:r w:rsidR="00EE0736">
        <w:rPr>
          <w:noProof/>
        </w:rPr>
        <w:t xml:space="preserve">rules </w:t>
      </w:r>
      <w:r w:rsidR="0080647F">
        <w:rPr>
          <w:noProof/>
        </w:rPr>
        <w:t>needs to be applied</w:t>
      </w:r>
      <w:r w:rsidRPr="00E06F4C">
        <w:rPr>
          <w:noProof/>
        </w:rPr>
        <w:t xml:space="preserve">. Setting up a common standard for reporting across the EU saves compliance costs for investors and financial intermediaries and allows </w:t>
      </w:r>
      <w:r w:rsidR="00C700D7">
        <w:rPr>
          <w:noProof/>
        </w:rPr>
        <w:t xml:space="preserve">for </w:t>
      </w:r>
      <w:r w:rsidRPr="00E06F4C">
        <w:rPr>
          <w:noProof/>
        </w:rPr>
        <w:t xml:space="preserve">swifter and safer WHT </w:t>
      </w:r>
      <w:r w:rsidR="006B2588">
        <w:rPr>
          <w:noProof/>
        </w:rPr>
        <w:t>relief</w:t>
      </w:r>
      <w:r w:rsidRPr="00E06F4C">
        <w:rPr>
          <w:noProof/>
        </w:rPr>
        <w:t xml:space="preserve"> procedures. </w:t>
      </w:r>
    </w:p>
    <w:p w14:paraId="654F77AC" w14:textId="77777777" w:rsidR="007D3EBD" w:rsidRPr="0091758E" w:rsidRDefault="007D3EBD" w:rsidP="007D3EBD">
      <w:pPr>
        <w:rPr>
          <w:i/>
          <w:noProof/>
        </w:rPr>
      </w:pPr>
      <w:r w:rsidRPr="0091758E">
        <w:rPr>
          <w:i/>
          <w:noProof/>
        </w:rPr>
        <w:t>Who has to report</w:t>
      </w:r>
      <w:r w:rsidR="00ED7759">
        <w:rPr>
          <w:i/>
          <w:iCs/>
          <w:noProof/>
        </w:rPr>
        <w:t xml:space="preserve"> and to whom</w:t>
      </w:r>
      <w:r w:rsidRPr="0091758E">
        <w:rPr>
          <w:i/>
          <w:iCs/>
          <w:noProof/>
        </w:rPr>
        <w:t>?</w:t>
      </w:r>
    </w:p>
    <w:p w14:paraId="34AEFFBD" w14:textId="77777777" w:rsidR="007D3EBD" w:rsidRPr="00E06F4C" w:rsidRDefault="00727E85" w:rsidP="007D3EBD">
      <w:pPr>
        <w:rPr>
          <w:noProof/>
        </w:rPr>
      </w:pPr>
      <w:r>
        <w:rPr>
          <w:noProof/>
        </w:rPr>
        <w:t>T</w:t>
      </w:r>
      <w:r w:rsidR="007D3EBD" w:rsidRPr="00E06F4C">
        <w:rPr>
          <w:noProof/>
        </w:rPr>
        <w:t xml:space="preserve">he reporting obligations derive from </w:t>
      </w:r>
      <w:r w:rsidR="00DB7AF6">
        <w:rPr>
          <w:noProof/>
        </w:rPr>
        <w:t xml:space="preserve">the </w:t>
      </w:r>
      <w:r w:rsidR="007E2FD5">
        <w:rPr>
          <w:noProof/>
        </w:rPr>
        <w:t>registration</w:t>
      </w:r>
      <w:r w:rsidR="007D3EBD" w:rsidRPr="00E06F4C">
        <w:rPr>
          <w:noProof/>
        </w:rPr>
        <w:t xml:space="preserve"> in one of the National Registers. </w:t>
      </w:r>
      <w:r w:rsidR="00FC49B7">
        <w:rPr>
          <w:noProof/>
        </w:rPr>
        <w:t>A</w:t>
      </w:r>
      <w:r w:rsidR="00FC49B7" w:rsidRPr="00E06F4C">
        <w:rPr>
          <w:noProof/>
        </w:rPr>
        <w:t xml:space="preserve">ll </w:t>
      </w:r>
      <w:r w:rsidR="007D3EBD" w:rsidRPr="00E06F4C">
        <w:rPr>
          <w:noProof/>
        </w:rPr>
        <w:t>CFI</w:t>
      </w:r>
      <w:r>
        <w:rPr>
          <w:noProof/>
        </w:rPr>
        <w:t>s</w:t>
      </w:r>
      <w:r w:rsidR="007D3EBD" w:rsidRPr="00E06F4C">
        <w:rPr>
          <w:noProof/>
        </w:rPr>
        <w:t xml:space="preserve"> included in one </w:t>
      </w:r>
      <w:r w:rsidR="00ED7759">
        <w:rPr>
          <w:noProof/>
        </w:rPr>
        <w:t xml:space="preserve">or more </w:t>
      </w:r>
      <w:r w:rsidR="007D3EBD" w:rsidRPr="00E06F4C">
        <w:rPr>
          <w:noProof/>
        </w:rPr>
        <w:t xml:space="preserve">of the National Registers </w:t>
      </w:r>
      <w:r w:rsidR="00FC49B7">
        <w:rPr>
          <w:noProof/>
        </w:rPr>
        <w:t>are subject to reporting</w:t>
      </w:r>
      <w:r w:rsidR="003F4B12">
        <w:rPr>
          <w:noProof/>
        </w:rPr>
        <w:t xml:space="preserve"> to the authority maintaining the register, and where applicable to the withholding tax agent</w:t>
      </w:r>
      <w:r w:rsidR="00FC49B7">
        <w:rPr>
          <w:noProof/>
        </w:rPr>
        <w:t xml:space="preserve">, </w:t>
      </w:r>
      <w:r>
        <w:rPr>
          <w:noProof/>
        </w:rPr>
        <w:t>regardless of the</w:t>
      </w:r>
      <w:r w:rsidR="00ED7759">
        <w:rPr>
          <w:noProof/>
        </w:rPr>
        <w:t>ir</w:t>
      </w:r>
      <w:r>
        <w:rPr>
          <w:noProof/>
        </w:rPr>
        <w:t xml:space="preserve"> </w:t>
      </w:r>
      <w:r w:rsidR="00FC49B7">
        <w:rPr>
          <w:noProof/>
        </w:rPr>
        <w:t xml:space="preserve">country of </w:t>
      </w:r>
      <w:r w:rsidR="000C4033">
        <w:rPr>
          <w:noProof/>
        </w:rPr>
        <w:t>residence</w:t>
      </w:r>
      <w:r w:rsidR="00FC49B7" w:rsidRPr="00E06F4C">
        <w:rPr>
          <w:noProof/>
        </w:rPr>
        <w:t xml:space="preserve"> </w:t>
      </w:r>
      <w:r w:rsidR="007D3EBD" w:rsidRPr="00E06F4C">
        <w:rPr>
          <w:noProof/>
        </w:rPr>
        <w:t>(EU or outside the EU; or in a Member State with or without a</w:t>
      </w:r>
      <w:r>
        <w:rPr>
          <w:noProof/>
        </w:rPr>
        <w:t>n own</w:t>
      </w:r>
      <w:r w:rsidR="007D3EBD" w:rsidRPr="00E06F4C">
        <w:rPr>
          <w:noProof/>
        </w:rPr>
        <w:t xml:space="preserve"> </w:t>
      </w:r>
      <w:r w:rsidR="000C4033">
        <w:rPr>
          <w:noProof/>
        </w:rPr>
        <w:t xml:space="preserve">National </w:t>
      </w:r>
      <w:r w:rsidR="007D3EBD" w:rsidRPr="00E06F4C">
        <w:rPr>
          <w:noProof/>
        </w:rPr>
        <w:t xml:space="preserve">Register in place). </w:t>
      </w:r>
    </w:p>
    <w:p w14:paraId="3895D1F9" w14:textId="77777777" w:rsidR="007D3EBD" w:rsidRPr="00E06F4C" w:rsidRDefault="007D3EBD" w:rsidP="007D3EBD">
      <w:pPr>
        <w:rPr>
          <w:noProof/>
        </w:rPr>
      </w:pPr>
      <w:r w:rsidRPr="00E06F4C">
        <w:rPr>
          <w:noProof/>
        </w:rPr>
        <w:t>CFI</w:t>
      </w:r>
      <w:r w:rsidR="00727E85">
        <w:rPr>
          <w:noProof/>
        </w:rPr>
        <w:t>s</w:t>
      </w:r>
      <w:r w:rsidRPr="00E06F4C">
        <w:rPr>
          <w:noProof/>
        </w:rPr>
        <w:t xml:space="preserve"> </w:t>
      </w:r>
      <w:r w:rsidR="006159CF">
        <w:rPr>
          <w:noProof/>
        </w:rPr>
        <w:t xml:space="preserve">registered </w:t>
      </w:r>
      <w:r w:rsidRPr="00E06F4C">
        <w:rPr>
          <w:noProof/>
        </w:rPr>
        <w:t xml:space="preserve">in any </w:t>
      </w:r>
      <w:r w:rsidR="00DB7AF6">
        <w:rPr>
          <w:noProof/>
        </w:rPr>
        <w:t>N</w:t>
      </w:r>
      <w:r w:rsidRPr="00E06F4C">
        <w:rPr>
          <w:noProof/>
        </w:rPr>
        <w:t xml:space="preserve">ational Register </w:t>
      </w:r>
      <w:r w:rsidR="006159CF">
        <w:rPr>
          <w:noProof/>
        </w:rPr>
        <w:t xml:space="preserve">need to report </w:t>
      </w:r>
      <w:r w:rsidR="003F4B12">
        <w:rPr>
          <w:noProof/>
        </w:rPr>
        <w:t>where</w:t>
      </w:r>
      <w:r w:rsidRPr="00E06F4C">
        <w:rPr>
          <w:noProof/>
        </w:rPr>
        <w:t xml:space="preserve"> the</w:t>
      </w:r>
      <w:r w:rsidR="006159CF">
        <w:rPr>
          <w:noProof/>
        </w:rPr>
        <w:t>ir clients’</w:t>
      </w:r>
      <w:r w:rsidRPr="00E06F4C">
        <w:rPr>
          <w:noProof/>
        </w:rPr>
        <w:t xml:space="preserve"> investment takes place in </w:t>
      </w:r>
      <w:r w:rsidR="00727E85">
        <w:rPr>
          <w:noProof/>
        </w:rPr>
        <w:t>a</w:t>
      </w:r>
      <w:r w:rsidR="007E2FD5">
        <w:rPr>
          <w:noProof/>
        </w:rPr>
        <w:t xml:space="preserve"> </w:t>
      </w:r>
      <w:r w:rsidRPr="00E06F4C">
        <w:rPr>
          <w:noProof/>
        </w:rPr>
        <w:t>Member State</w:t>
      </w:r>
      <w:r w:rsidR="00727E85">
        <w:rPr>
          <w:noProof/>
        </w:rPr>
        <w:t xml:space="preserve"> that has a National</w:t>
      </w:r>
      <w:r w:rsidR="00C64663">
        <w:rPr>
          <w:noProof/>
        </w:rPr>
        <w:t xml:space="preserve"> Register</w:t>
      </w:r>
      <w:r w:rsidRPr="00E06F4C">
        <w:rPr>
          <w:noProof/>
        </w:rPr>
        <w:t>.</w:t>
      </w:r>
      <w:r w:rsidR="003F4B12">
        <w:rPr>
          <w:noProof/>
        </w:rPr>
        <w:t xml:space="preserve"> Such source Member State will need to provide for relief and therefore needs to reconstruct the securities payment chain and identify the final investor.</w:t>
      </w:r>
      <w:r w:rsidRPr="00E06F4C">
        <w:rPr>
          <w:noProof/>
        </w:rPr>
        <w:t xml:space="preserve"> </w:t>
      </w:r>
      <w:r w:rsidR="00E73BDF">
        <w:rPr>
          <w:noProof/>
        </w:rPr>
        <w:t xml:space="preserve">The Directive does not exclude the possibility that </w:t>
      </w:r>
      <w:r w:rsidR="00DB7AF6">
        <w:rPr>
          <w:noProof/>
        </w:rPr>
        <w:t>CFIs</w:t>
      </w:r>
      <w:r w:rsidR="00E73BDF">
        <w:rPr>
          <w:noProof/>
        </w:rPr>
        <w:t xml:space="preserve"> outsource the reporting </w:t>
      </w:r>
      <w:r w:rsidR="00C700D7">
        <w:rPr>
          <w:noProof/>
        </w:rPr>
        <w:t xml:space="preserve">obligation </w:t>
      </w:r>
      <w:r w:rsidR="00E73BDF">
        <w:rPr>
          <w:noProof/>
        </w:rPr>
        <w:t xml:space="preserve">to </w:t>
      </w:r>
      <w:r w:rsidR="003F4B12">
        <w:rPr>
          <w:noProof/>
        </w:rPr>
        <w:t>an</w:t>
      </w:r>
      <w:r w:rsidR="00E73BDF">
        <w:rPr>
          <w:noProof/>
        </w:rPr>
        <w:t xml:space="preserve">other financial intermediary within the custodial chain insofar </w:t>
      </w:r>
      <w:r w:rsidR="007544A6">
        <w:rPr>
          <w:noProof/>
        </w:rPr>
        <w:t xml:space="preserve">as </w:t>
      </w:r>
      <w:r w:rsidR="00E73BDF">
        <w:rPr>
          <w:noProof/>
        </w:rPr>
        <w:t xml:space="preserve">the </w:t>
      </w:r>
      <w:r w:rsidR="00DB7AF6">
        <w:rPr>
          <w:noProof/>
        </w:rPr>
        <w:t>respective CFI</w:t>
      </w:r>
      <w:r w:rsidR="00E73BDF">
        <w:rPr>
          <w:noProof/>
        </w:rPr>
        <w:t xml:space="preserve"> remains accountable of the completion and correctness of such reporting.</w:t>
      </w:r>
    </w:p>
    <w:p w14:paraId="66A50EE7" w14:textId="77777777" w:rsidR="007D3EBD" w:rsidRPr="00E06F4C" w:rsidRDefault="006159CF" w:rsidP="007D3EBD">
      <w:pPr>
        <w:rPr>
          <w:noProof/>
        </w:rPr>
      </w:pPr>
      <w:r>
        <w:rPr>
          <w:noProof/>
        </w:rPr>
        <w:t>Non-complian</w:t>
      </w:r>
      <w:r w:rsidR="00A9400E">
        <w:rPr>
          <w:noProof/>
        </w:rPr>
        <w:t>ce with the reporting obligation</w:t>
      </w:r>
      <w:r>
        <w:rPr>
          <w:noProof/>
        </w:rPr>
        <w:t xml:space="preserve"> will </w:t>
      </w:r>
      <w:r w:rsidR="00A9400E">
        <w:rPr>
          <w:noProof/>
        </w:rPr>
        <w:t>lead</w:t>
      </w:r>
      <w:r>
        <w:rPr>
          <w:noProof/>
        </w:rPr>
        <w:t xml:space="preserve"> to penalties. </w:t>
      </w:r>
    </w:p>
    <w:p w14:paraId="65399EC4" w14:textId="77777777" w:rsidR="007D3EBD" w:rsidRPr="008E0AD1" w:rsidRDefault="007D3EBD" w:rsidP="007D3EBD">
      <w:pPr>
        <w:rPr>
          <w:i/>
          <w:noProof/>
        </w:rPr>
      </w:pPr>
      <w:r w:rsidRPr="008E0AD1">
        <w:rPr>
          <w:i/>
          <w:noProof/>
        </w:rPr>
        <w:t>What has to be reported?</w:t>
      </w:r>
    </w:p>
    <w:p w14:paraId="6E8C9FCA" w14:textId="77777777" w:rsidR="007D3EBD" w:rsidRPr="00E06F4C" w:rsidRDefault="007D3EBD" w:rsidP="007D3EBD">
      <w:pPr>
        <w:rPr>
          <w:noProof/>
        </w:rPr>
      </w:pPr>
      <w:r w:rsidRPr="00E06F4C">
        <w:rPr>
          <w:noProof/>
        </w:rPr>
        <w:t>The Directive lay</w:t>
      </w:r>
      <w:r w:rsidR="006159CF">
        <w:rPr>
          <w:noProof/>
        </w:rPr>
        <w:t>s</w:t>
      </w:r>
      <w:r w:rsidRPr="00E06F4C">
        <w:rPr>
          <w:noProof/>
        </w:rPr>
        <w:t xml:space="preserve"> down a common set of reporting elements in Annex II. </w:t>
      </w:r>
      <w:r w:rsidR="006159CF">
        <w:rPr>
          <w:noProof/>
        </w:rPr>
        <w:t>E</w:t>
      </w:r>
      <w:r w:rsidRPr="00E06F4C">
        <w:rPr>
          <w:noProof/>
        </w:rPr>
        <w:t xml:space="preserve">ach CFI </w:t>
      </w:r>
      <w:r w:rsidR="008B765A">
        <w:rPr>
          <w:noProof/>
        </w:rPr>
        <w:t xml:space="preserve">shall </w:t>
      </w:r>
      <w:r w:rsidRPr="00E06F4C">
        <w:rPr>
          <w:noProof/>
        </w:rPr>
        <w:t>report on</w:t>
      </w:r>
      <w:r w:rsidR="008C539A">
        <w:rPr>
          <w:noProof/>
        </w:rPr>
        <w:t xml:space="preserve">ly </w:t>
      </w:r>
      <w:r w:rsidRPr="00E06F4C">
        <w:rPr>
          <w:noProof/>
        </w:rPr>
        <w:t xml:space="preserve">on the part of the transaction that is visible for </w:t>
      </w:r>
      <w:r w:rsidR="00D01488">
        <w:rPr>
          <w:noProof/>
        </w:rPr>
        <w:t>it</w:t>
      </w:r>
      <w:r w:rsidR="008C539A">
        <w:rPr>
          <w:noProof/>
        </w:rPr>
        <w:t xml:space="preserve">, i.e., </w:t>
      </w:r>
      <w:r w:rsidR="006159CF">
        <w:rPr>
          <w:noProof/>
        </w:rPr>
        <w:t xml:space="preserve">from whom it </w:t>
      </w:r>
      <w:r w:rsidRPr="00E06F4C">
        <w:rPr>
          <w:noProof/>
        </w:rPr>
        <w:t>is receiving the dividend</w:t>
      </w:r>
      <w:r w:rsidR="00F94125">
        <w:rPr>
          <w:noProof/>
        </w:rPr>
        <w:t xml:space="preserve">/interest </w:t>
      </w:r>
      <w:r w:rsidRPr="00E06F4C">
        <w:rPr>
          <w:noProof/>
        </w:rPr>
        <w:t xml:space="preserve">and to whom </w:t>
      </w:r>
      <w:r w:rsidR="008C539A">
        <w:rPr>
          <w:noProof/>
        </w:rPr>
        <w:t>it is paying</w:t>
      </w:r>
      <w:r w:rsidRPr="00E06F4C">
        <w:rPr>
          <w:noProof/>
        </w:rPr>
        <w:t xml:space="preserve"> the dividend</w:t>
      </w:r>
      <w:r w:rsidR="00F94125">
        <w:rPr>
          <w:noProof/>
        </w:rPr>
        <w:t>/interest</w:t>
      </w:r>
      <w:r w:rsidRPr="00E06F4C">
        <w:rPr>
          <w:noProof/>
        </w:rPr>
        <w:t xml:space="preserve">. </w:t>
      </w:r>
      <w:r w:rsidR="008C539A">
        <w:rPr>
          <w:noProof/>
        </w:rPr>
        <w:t>Thus</w:t>
      </w:r>
      <w:r w:rsidRPr="00E06F4C">
        <w:rPr>
          <w:noProof/>
        </w:rPr>
        <w:t xml:space="preserve">, the </w:t>
      </w:r>
      <w:r w:rsidR="006159CF">
        <w:rPr>
          <w:noProof/>
        </w:rPr>
        <w:t>recipient</w:t>
      </w:r>
      <w:r w:rsidRPr="00E06F4C">
        <w:rPr>
          <w:noProof/>
        </w:rPr>
        <w:t xml:space="preserve"> of the </w:t>
      </w:r>
      <w:r w:rsidR="008C539A">
        <w:rPr>
          <w:noProof/>
        </w:rPr>
        <w:t>full reporting</w:t>
      </w:r>
      <w:r w:rsidRPr="00E06F4C">
        <w:rPr>
          <w:noProof/>
        </w:rPr>
        <w:t xml:space="preserve">, either the source tax administration or a WHT agent designated on its behalf, will have all the information needed to </w:t>
      </w:r>
      <w:r w:rsidR="008C539A">
        <w:rPr>
          <w:noProof/>
        </w:rPr>
        <w:t>reconstruct</w:t>
      </w:r>
      <w:r w:rsidRPr="00E06F4C">
        <w:rPr>
          <w:noProof/>
        </w:rPr>
        <w:t xml:space="preserve"> the financial chain </w:t>
      </w:r>
      <w:r w:rsidR="008C539A">
        <w:rPr>
          <w:noProof/>
        </w:rPr>
        <w:t>of</w:t>
      </w:r>
      <w:r w:rsidRPr="00E06F4C">
        <w:rPr>
          <w:noProof/>
        </w:rPr>
        <w:t xml:space="preserve"> the transaction from the investor to the securities</w:t>
      </w:r>
      <w:r w:rsidR="008C539A">
        <w:rPr>
          <w:noProof/>
        </w:rPr>
        <w:t>’</w:t>
      </w:r>
      <w:r w:rsidRPr="00E06F4C">
        <w:rPr>
          <w:noProof/>
        </w:rPr>
        <w:t xml:space="preserve"> issuer. </w:t>
      </w:r>
    </w:p>
    <w:p w14:paraId="23DAF960" w14:textId="77777777" w:rsidR="007D3EBD" w:rsidRPr="00E06F4C" w:rsidRDefault="02362B39" w:rsidP="007D3EBD">
      <w:pPr>
        <w:rPr>
          <w:noProof/>
        </w:rPr>
      </w:pPr>
      <w:r>
        <w:rPr>
          <w:noProof/>
        </w:rPr>
        <w:t>The information reported to</w:t>
      </w:r>
      <w:r w:rsidR="007D5776">
        <w:rPr>
          <w:noProof/>
        </w:rPr>
        <w:t xml:space="preserve"> </w:t>
      </w:r>
      <w:r w:rsidR="007D3EBD" w:rsidRPr="00E06F4C">
        <w:rPr>
          <w:noProof/>
        </w:rPr>
        <w:t xml:space="preserve">the tax administration </w:t>
      </w:r>
      <w:r w:rsidR="29AE62F2">
        <w:rPr>
          <w:noProof/>
        </w:rPr>
        <w:t xml:space="preserve">will enable it </w:t>
      </w:r>
      <w:r w:rsidR="2FA1F2F8">
        <w:rPr>
          <w:noProof/>
        </w:rPr>
        <w:t>to</w:t>
      </w:r>
      <w:r w:rsidR="008C539A">
        <w:rPr>
          <w:noProof/>
        </w:rPr>
        <w:t xml:space="preserve"> ascertain</w:t>
      </w:r>
      <w:r w:rsidR="007D3EBD" w:rsidRPr="00E06F4C">
        <w:rPr>
          <w:noProof/>
        </w:rPr>
        <w:t xml:space="preserve"> the </w:t>
      </w:r>
      <w:r w:rsidR="00D01488">
        <w:rPr>
          <w:noProof/>
        </w:rPr>
        <w:t xml:space="preserve">identity of the </w:t>
      </w:r>
      <w:r w:rsidR="007D3EBD" w:rsidRPr="00E06F4C">
        <w:rPr>
          <w:noProof/>
        </w:rPr>
        <w:t xml:space="preserve">final investor and </w:t>
      </w:r>
      <w:r w:rsidR="00ED7759">
        <w:rPr>
          <w:noProof/>
        </w:rPr>
        <w:t xml:space="preserve">his/her </w:t>
      </w:r>
      <w:r w:rsidR="008C539A">
        <w:rPr>
          <w:noProof/>
        </w:rPr>
        <w:t>potential entitlement</w:t>
      </w:r>
      <w:r w:rsidR="007D3EBD" w:rsidRPr="00E06F4C">
        <w:rPr>
          <w:noProof/>
        </w:rPr>
        <w:t xml:space="preserve"> to the reduced </w:t>
      </w:r>
      <w:r w:rsidR="00ED7759">
        <w:rPr>
          <w:noProof/>
        </w:rPr>
        <w:t xml:space="preserve">WHT </w:t>
      </w:r>
      <w:r w:rsidR="007D3EBD" w:rsidRPr="00E06F4C">
        <w:rPr>
          <w:noProof/>
        </w:rPr>
        <w:t xml:space="preserve">rate. </w:t>
      </w:r>
      <w:r w:rsidR="007E2FD5">
        <w:rPr>
          <w:noProof/>
        </w:rPr>
        <w:t>Hence,</w:t>
      </w:r>
      <w:r w:rsidR="008C539A">
        <w:rPr>
          <w:noProof/>
        </w:rPr>
        <w:t xml:space="preserve"> the risk of</w:t>
      </w:r>
      <w:r w:rsidR="007D3EBD" w:rsidRPr="00E06F4C">
        <w:rPr>
          <w:noProof/>
        </w:rPr>
        <w:t xml:space="preserve"> double refunds </w:t>
      </w:r>
      <w:r w:rsidR="008C539A">
        <w:rPr>
          <w:noProof/>
        </w:rPr>
        <w:t xml:space="preserve">is mitigated </w:t>
      </w:r>
      <w:r w:rsidR="000C2150">
        <w:rPr>
          <w:noProof/>
        </w:rPr>
        <w:t xml:space="preserve">and </w:t>
      </w:r>
      <w:r w:rsidR="008C539A">
        <w:rPr>
          <w:noProof/>
        </w:rPr>
        <w:t xml:space="preserve">the </w:t>
      </w:r>
      <w:r w:rsidR="77B1FD2F">
        <w:rPr>
          <w:noProof/>
        </w:rPr>
        <w:t>capacity</w:t>
      </w:r>
      <w:r w:rsidR="008C539A">
        <w:rPr>
          <w:noProof/>
        </w:rPr>
        <w:t xml:space="preserve"> </w:t>
      </w:r>
      <w:r w:rsidR="000C2150">
        <w:rPr>
          <w:noProof/>
        </w:rPr>
        <w:t xml:space="preserve">for tax administrations to </w:t>
      </w:r>
      <w:r w:rsidR="008C539A">
        <w:rPr>
          <w:noProof/>
        </w:rPr>
        <w:t>identif</w:t>
      </w:r>
      <w:r w:rsidR="000C2150">
        <w:rPr>
          <w:noProof/>
        </w:rPr>
        <w:t>y</w:t>
      </w:r>
      <w:r w:rsidR="008C539A">
        <w:rPr>
          <w:noProof/>
        </w:rPr>
        <w:t xml:space="preserve"> </w:t>
      </w:r>
      <w:r w:rsidR="2219DB26">
        <w:rPr>
          <w:noProof/>
        </w:rPr>
        <w:t>and combat</w:t>
      </w:r>
      <w:r w:rsidR="0CE18224">
        <w:rPr>
          <w:noProof/>
        </w:rPr>
        <w:t xml:space="preserve"> </w:t>
      </w:r>
      <w:r w:rsidR="000C2150">
        <w:rPr>
          <w:noProof/>
        </w:rPr>
        <w:t xml:space="preserve">other </w:t>
      </w:r>
      <w:r w:rsidR="007D3EBD" w:rsidRPr="00E06F4C">
        <w:rPr>
          <w:noProof/>
        </w:rPr>
        <w:t xml:space="preserve">abusive </w:t>
      </w:r>
      <w:r w:rsidR="007544A6">
        <w:rPr>
          <w:noProof/>
        </w:rPr>
        <w:t>and fraudulent</w:t>
      </w:r>
      <w:r w:rsidR="007D3EBD" w:rsidRPr="00E06F4C">
        <w:rPr>
          <w:noProof/>
        </w:rPr>
        <w:t xml:space="preserve"> practices</w:t>
      </w:r>
      <w:r w:rsidR="000C2150">
        <w:rPr>
          <w:noProof/>
        </w:rPr>
        <w:t>, such as Cum/Cum</w:t>
      </w:r>
      <w:r w:rsidR="00242001">
        <w:rPr>
          <w:noProof/>
        </w:rPr>
        <w:t>, is enhanced</w:t>
      </w:r>
      <w:r w:rsidR="00BE3D99">
        <w:rPr>
          <w:noProof/>
        </w:rPr>
        <w:t>.</w:t>
      </w:r>
    </w:p>
    <w:p w14:paraId="229DAE6B" w14:textId="77777777" w:rsidR="000C4033" w:rsidRDefault="007B5E95" w:rsidP="007D3EBD">
      <w:pPr>
        <w:rPr>
          <w:noProof/>
        </w:rPr>
      </w:pPr>
      <w:r>
        <w:rPr>
          <w:noProof/>
        </w:rPr>
        <w:t>H</w:t>
      </w:r>
      <w:r w:rsidR="007D3EBD" w:rsidRPr="00E06F4C">
        <w:rPr>
          <w:noProof/>
        </w:rPr>
        <w:t>eading E of Annex II</w:t>
      </w:r>
      <w:r w:rsidR="0DFD9050">
        <w:rPr>
          <w:noProof/>
        </w:rPr>
        <w:t xml:space="preserve"> </w:t>
      </w:r>
      <w:r>
        <w:rPr>
          <w:noProof/>
        </w:rPr>
        <w:t>provides for</w:t>
      </w:r>
      <w:r w:rsidR="00BE3D99">
        <w:rPr>
          <w:noProof/>
        </w:rPr>
        <w:t xml:space="preserve"> </w:t>
      </w:r>
      <w:r w:rsidR="5A50B7FB">
        <w:rPr>
          <w:noProof/>
        </w:rPr>
        <w:t xml:space="preserve">two </w:t>
      </w:r>
      <w:r w:rsidR="0DFD9050">
        <w:rPr>
          <w:noProof/>
        </w:rPr>
        <w:t xml:space="preserve">reporting requirements that are </w:t>
      </w:r>
      <w:r w:rsidR="0104109A">
        <w:rPr>
          <w:noProof/>
        </w:rPr>
        <w:t xml:space="preserve">aimed at helping </w:t>
      </w:r>
      <w:r w:rsidR="00975178">
        <w:rPr>
          <w:noProof/>
        </w:rPr>
        <w:t xml:space="preserve">to </w:t>
      </w:r>
      <w:r w:rsidR="0104109A">
        <w:rPr>
          <w:noProof/>
        </w:rPr>
        <w:t xml:space="preserve">combat </w:t>
      </w:r>
      <w:r w:rsidR="0104109A" w:rsidRPr="701F7BF3">
        <w:rPr>
          <w:noProof/>
          <w:lang w:val="en-US"/>
        </w:rPr>
        <w:t>WHT abuse, mainly Cum/Cum abuse schemes</w:t>
      </w:r>
      <w:r w:rsidR="29B483E3">
        <w:rPr>
          <w:noProof/>
        </w:rPr>
        <w:t xml:space="preserve">, </w:t>
      </w:r>
      <w:r w:rsidR="00A77358">
        <w:rPr>
          <w:noProof/>
        </w:rPr>
        <w:t xml:space="preserve">(i) </w:t>
      </w:r>
      <w:r w:rsidR="007D3EBD" w:rsidRPr="00E06F4C">
        <w:rPr>
          <w:noProof/>
        </w:rPr>
        <w:t xml:space="preserve">information about the holding period of underlying </w:t>
      </w:r>
      <w:r w:rsidR="00CF6C73">
        <w:rPr>
          <w:noProof/>
        </w:rPr>
        <w:t xml:space="preserve">securities </w:t>
      </w:r>
      <w:r w:rsidR="007D3EBD" w:rsidRPr="00E06F4C">
        <w:rPr>
          <w:noProof/>
        </w:rPr>
        <w:t xml:space="preserve">and </w:t>
      </w:r>
      <w:r w:rsidR="00A77358">
        <w:rPr>
          <w:noProof/>
        </w:rPr>
        <w:t xml:space="preserve">(ii) </w:t>
      </w:r>
      <w:r w:rsidR="007D3EBD" w:rsidRPr="00E06F4C">
        <w:rPr>
          <w:noProof/>
        </w:rPr>
        <w:t>information about financial arrangements</w:t>
      </w:r>
      <w:r w:rsidR="12FB2507">
        <w:rPr>
          <w:noProof/>
        </w:rPr>
        <w:t xml:space="preserve"> linked to the securities for which the taxpayer is requesting relief.</w:t>
      </w:r>
    </w:p>
    <w:p w14:paraId="163910D8" w14:textId="77777777" w:rsidR="007E6897" w:rsidRPr="008E0AD1" w:rsidRDefault="007D3EBD" w:rsidP="007D3EBD">
      <w:pPr>
        <w:rPr>
          <w:noProof/>
        </w:rPr>
      </w:pPr>
      <w:r w:rsidRPr="00E06F4C">
        <w:rPr>
          <w:noProof/>
        </w:rPr>
        <w:t xml:space="preserve">The </w:t>
      </w:r>
      <w:r w:rsidR="000C4033">
        <w:rPr>
          <w:noProof/>
        </w:rPr>
        <w:t xml:space="preserve">first element </w:t>
      </w:r>
      <w:r w:rsidR="1FD4A18A">
        <w:rPr>
          <w:noProof/>
        </w:rPr>
        <w:t xml:space="preserve">seeks information on </w:t>
      </w:r>
      <w:r w:rsidR="006159CF">
        <w:rPr>
          <w:noProof/>
        </w:rPr>
        <w:t>whether</w:t>
      </w:r>
      <w:r w:rsidRPr="00E06F4C">
        <w:rPr>
          <w:noProof/>
        </w:rPr>
        <w:t xml:space="preserve"> the underlying </w:t>
      </w:r>
      <w:r w:rsidR="3984D523">
        <w:rPr>
          <w:noProof/>
        </w:rPr>
        <w:t>securities</w:t>
      </w:r>
      <w:r w:rsidRPr="00E06F4C">
        <w:rPr>
          <w:noProof/>
        </w:rPr>
        <w:t xml:space="preserve"> have been bought </w:t>
      </w:r>
      <w:r w:rsidR="00B520CD">
        <w:rPr>
          <w:noProof/>
        </w:rPr>
        <w:t xml:space="preserve">within </w:t>
      </w:r>
      <w:r w:rsidRPr="00E06F4C">
        <w:rPr>
          <w:noProof/>
        </w:rPr>
        <w:t xml:space="preserve">2 days </w:t>
      </w:r>
      <w:r w:rsidR="00B520CD">
        <w:rPr>
          <w:noProof/>
        </w:rPr>
        <w:t>before the</w:t>
      </w:r>
      <w:r w:rsidR="007E6897">
        <w:rPr>
          <w:noProof/>
        </w:rPr>
        <w:t xml:space="preserve"> ex-dividend</w:t>
      </w:r>
      <w:r w:rsidR="00B520CD">
        <w:rPr>
          <w:noProof/>
        </w:rPr>
        <w:t xml:space="preserve"> date</w:t>
      </w:r>
      <w:r w:rsidR="17A7F63E">
        <w:rPr>
          <w:noProof/>
        </w:rPr>
        <w:t xml:space="preserve">, </w:t>
      </w:r>
      <w:r w:rsidR="59EEE831">
        <w:rPr>
          <w:noProof/>
        </w:rPr>
        <w:t xml:space="preserve">with the objective of </w:t>
      </w:r>
      <w:r w:rsidR="3F06CF1F" w:rsidRPr="7342FE4E">
        <w:rPr>
          <w:noProof/>
          <w:lang w:val="en-US"/>
        </w:rPr>
        <w:t>help</w:t>
      </w:r>
      <w:r w:rsidR="33FD4067" w:rsidRPr="7342FE4E">
        <w:rPr>
          <w:noProof/>
          <w:lang w:val="en-US"/>
        </w:rPr>
        <w:t>ing</w:t>
      </w:r>
      <w:r w:rsidR="007E6897">
        <w:rPr>
          <w:noProof/>
          <w:lang w:val="en-US"/>
        </w:rPr>
        <w:t xml:space="preserve"> </w:t>
      </w:r>
      <w:r w:rsidR="00B520CD">
        <w:rPr>
          <w:noProof/>
          <w:lang w:val="en-US"/>
        </w:rPr>
        <w:t xml:space="preserve">prevent </w:t>
      </w:r>
      <w:r w:rsidR="0017107C">
        <w:rPr>
          <w:noProof/>
          <w:lang w:val="en-US"/>
        </w:rPr>
        <w:t xml:space="preserve">further </w:t>
      </w:r>
      <w:r w:rsidR="007E6897">
        <w:rPr>
          <w:noProof/>
          <w:lang w:val="en-US"/>
        </w:rPr>
        <w:t>fraudulent</w:t>
      </w:r>
      <w:r w:rsidR="007544A6">
        <w:rPr>
          <w:noProof/>
          <w:lang w:val="en-US"/>
        </w:rPr>
        <w:t>/abusive</w:t>
      </w:r>
      <w:r w:rsidR="007E6897">
        <w:rPr>
          <w:noProof/>
          <w:lang w:val="en-US"/>
        </w:rPr>
        <w:t xml:space="preserve"> </w:t>
      </w:r>
      <w:r w:rsidR="00B520CD">
        <w:rPr>
          <w:noProof/>
          <w:lang w:val="en-US"/>
        </w:rPr>
        <w:t xml:space="preserve">schemes for </w:t>
      </w:r>
      <w:r w:rsidR="007E6897">
        <w:rPr>
          <w:noProof/>
          <w:lang w:val="en-US"/>
        </w:rPr>
        <w:t xml:space="preserve">multiple reclaim </w:t>
      </w:r>
      <w:r w:rsidR="00B520CD">
        <w:rPr>
          <w:noProof/>
          <w:lang w:val="en-US"/>
        </w:rPr>
        <w:t>of the</w:t>
      </w:r>
      <w:r w:rsidR="007E6897">
        <w:rPr>
          <w:noProof/>
          <w:lang w:val="en-US"/>
        </w:rPr>
        <w:t xml:space="preserve"> same </w:t>
      </w:r>
      <w:r w:rsidR="00D01488">
        <w:rPr>
          <w:noProof/>
          <w:lang w:val="en-US"/>
        </w:rPr>
        <w:t>WHT</w:t>
      </w:r>
      <w:r w:rsidR="007E6897">
        <w:rPr>
          <w:noProof/>
          <w:lang w:val="en-US"/>
        </w:rPr>
        <w:t xml:space="preserve"> when only </w:t>
      </w:r>
      <w:r w:rsidR="00B520CD">
        <w:rPr>
          <w:noProof/>
          <w:lang w:val="en-US"/>
        </w:rPr>
        <w:t xml:space="preserve">one </w:t>
      </w:r>
      <w:r w:rsidR="007E6897">
        <w:rPr>
          <w:noProof/>
          <w:lang w:val="en-US"/>
        </w:rPr>
        <w:t xml:space="preserve">single reclaim </w:t>
      </w:r>
      <w:r w:rsidR="00B520CD">
        <w:rPr>
          <w:noProof/>
          <w:lang w:val="en-US"/>
        </w:rPr>
        <w:t>should apply</w:t>
      </w:r>
      <w:r w:rsidR="0017107C">
        <w:rPr>
          <w:noProof/>
          <w:lang w:val="en-US"/>
        </w:rPr>
        <w:t xml:space="preserve"> (Cum/Ex schemes)</w:t>
      </w:r>
      <w:r w:rsidR="007E6897">
        <w:rPr>
          <w:noProof/>
          <w:lang w:val="en-US"/>
        </w:rPr>
        <w:t>.</w:t>
      </w:r>
    </w:p>
    <w:p w14:paraId="2647FD5F" w14:textId="77777777" w:rsidR="007D3EBD" w:rsidRPr="00E06F4C" w:rsidRDefault="007D3EBD" w:rsidP="007D3EBD">
      <w:pPr>
        <w:rPr>
          <w:noProof/>
        </w:rPr>
      </w:pPr>
      <w:r w:rsidRPr="00E06F4C">
        <w:rPr>
          <w:noProof/>
        </w:rPr>
        <w:t xml:space="preserve">The </w:t>
      </w:r>
      <w:r w:rsidR="00A77358">
        <w:rPr>
          <w:noProof/>
        </w:rPr>
        <w:t>second element</w:t>
      </w:r>
      <w:r w:rsidR="4FE0DF57">
        <w:rPr>
          <w:noProof/>
        </w:rPr>
        <w:t xml:space="preserve"> seeks</w:t>
      </w:r>
      <w:r w:rsidR="008E0AD1">
        <w:rPr>
          <w:noProof/>
        </w:rPr>
        <w:t xml:space="preserve"> </w:t>
      </w:r>
      <w:r w:rsidR="36E0182E">
        <w:rPr>
          <w:noProof/>
        </w:rPr>
        <w:t>inform</w:t>
      </w:r>
      <w:r w:rsidR="2F87EAF7">
        <w:rPr>
          <w:noProof/>
        </w:rPr>
        <w:t>ation on</w:t>
      </w:r>
      <w:r w:rsidR="36E0182E">
        <w:rPr>
          <w:noProof/>
        </w:rPr>
        <w:t xml:space="preserve"> </w:t>
      </w:r>
      <w:r w:rsidR="00767C39">
        <w:rPr>
          <w:noProof/>
        </w:rPr>
        <w:t xml:space="preserve">whether </w:t>
      </w:r>
      <w:r w:rsidR="0E52EC5A">
        <w:rPr>
          <w:noProof/>
        </w:rPr>
        <w:t xml:space="preserve">the reporting financial intermediary is aware </w:t>
      </w:r>
      <w:r w:rsidR="0E52EC5A" w:rsidRPr="662E941F">
        <w:rPr>
          <w:rFonts w:eastAsia="Times New Roman"/>
          <w:noProof/>
          <w:color w:val="000000" w:themeColor="text1"/>
          <w:szCs w:val="24"/>
        </w:rPr>
        <w:t>of</w:t>
      </w:r>
      <w:r w:rsidR="0E52EC5A" w:rsidRPr="5FA4402F">
        <w:rPr>
          <w:rFonts w:eastAsia="Times New Roman"/>
          <w:noProof/>
          <w:color w:val="000000" w:themeColor="text1"/>
          <w:szCs w:val="24"/>
        </w:rPr>
        <w:t xml:space="preserve"> any financial arrangement involving </w:t>
      </w:r>
      <w:r w:rsidR="0E52EC5A" w:rsidRPr="008E0AD1">
        <w:rPr>
          <w:noProof/>
        </w:rPr>
        <w:t>the underlying securities that has not been settled, expired or otherwise terminated at the ex-dividend date</w:t>
      </w:r>
      <w:r w:rsidR="65089340" w:rsidRPr="008E0AD1">
        <w:rPr>
          <w:noProof/>
        </w:rPr>
        <w:t xml:space="preserve">, with the objective of </w:t>
      </w:r>
      <w:r w:rsidR="303A4E58">
        <w:rPr>
          <w:noProof/>
        </w:rPr>
        <w:t>helping</w:t>
      </w:r>
      <w:r w:rsidR="00A77358">
        <w:rPr>
          <w:noProof/>
        </w:rPr>
        <w:t xml:space="preserve"> the tax administration </w:t>
      </w:r>
      <w:r w:rsidRPr="00E06F4C">
        <w:rPr>
          <w:noProof/>
        </w:rPr>
        <w:t>to detect abusive tax arrangements</w:t>
      </w:r>
      <w:r w:rsidR="00242001">
        <w:rPr>
          <w:noProof/>
        </w:rPr>
        <w:t xml:space="preserve"> (Cum/Cum schemes)</w:t>
      </w:r>
      <w:r w:rsidRPr="00E06F4C">
        <w:rPr>
          <w:noProof/>
        </w:rPr>
        <w:t>.</w:t>
      </w:r>
      <w:r w:rsidR="00242001">
        <w:rPr>
          <w:noProof/>
        </w:rPr>
        <w:t xml:space="preserve"> </w:t>
      </w:r>
      <w:r w:rsidR="00A77358">
        <w:rPr>
          <w:noProof/>
        </w:rPr>
        <w:t>A</w:t>
      </w:r>
      <w:r w:rsidRPr="000C742A">
        <w:rPr>
          <w:noProof/>
        </w:rPr>
        <w:t xml:space="preserve"> financial arrangement</w:t>
      </w:r>
      <w:r w:rsidR="00A77358">
        <w:rPr>
          <w:noProof/>
        </w:rPr>
        <w:t xml:space="preserve"> may be </w:t>
      </w:r>
      <w:r w:rsidRPr="000C742A">
        <w:rPr>
          <w:noProof/>
        </w:rPr>
        <w:t xml:space="preserve">for example </w:t>
      </w:r>
      <w:r w:rsidR="00A77358">
        <w:rPr>
          <w:noProof/>
        </w:rPr>
        <w:t>a</w:t>
      </w:r>
      <w:r w:rsidRPr="000C742A">
        <w:rPr>
          <w:noProof/>
        </w:rPr>
        <w:t xml:space="preserve"> repurchase agreement (repo) or securities lending</w:t>
      </w:r>
      <w:r w:rsidR="00DB375E">
        <w:rPr>
          <w:noProof/>
        </w:rPr>
        <w:t xml:space="preserve"> but also derivatives products such as single stock futures</w:t>
      </w:r>
      <w:r w:rsidRPr="000C742A">
        <w:rPr>
          <w:noProof/>
        </w:rPr>
        <w:t xml:space="preserve">. </w:t>
      </w:r>
      <w:r w:rsidR="00A77358">
        <w:rPr>
          <w:noProof/>
        </w:rPr>
        <w:t>More specifically, a</w:t>
      </w:r>
      <w:r w:rsidRPr="000C742A">
        <w:rPr>
          <w:noProof/>
        </w:rPr>
        <w:t xml:space="preserve"> repurchase agreement </w:t>
      </w:r>
      <w:r w:rsidR="00A77358">
        <w:rPr>
          <w:noProof/>
        </w:rPr>
        <w:t>involves</w:t>
      </w:r>
      <w:r w:rsidRPr="000C742A">
        <w:rPr>
          <w:noProof/>
        </w:rPr>
        <w:t xml:space="preserve"> the sale of securities at a specifi</w:t>
      </w:r>
      <w:r w:rsidR="00A77358">
        <w:rPr>
          <w:noProof/>
        </w:rPr>
        <w:t>c</w:t>
      </w:r>
      <w:r w:rsidRPr="000C742A">
        <w:rPr>
          <w:noProof/>
        </w:rPr>
        <w:t xml:space="preserve"> price with a commitment to repurchase the same or similar securities at a fixed price on a specified future date. Securities lending </w:t>
      </w:r>
      <w:r w:rsidR="00A77358">
        <w:rPr>
          <w:noProof/>
        </w:rPr>
        <w:t>involves transfer of</w:t>
      </w:r>
      <w:r w:rsidRPr="000C742A">
        <w:rPr>
          <w:noProof/>
        </w:rPr>
        <w:t xml:space="preserve"> the ownership of a security in return for collateral, usually another security, </w:t>
      </w:r>
      <w:r w:rsidR="00A77358">
        <w:rPr>
          <w:noProof/>
        </w:rPr>
        <w:t>on</w:t>
      </w:r>
      <w:r w:rsidR="00A77358" w:rsidRPr="000C742A">
        <w:rPr>
          <w:noProof/>
        </w:rPr>
        <w:t xml:space="preserve"> </w:t>
      </w:r>
      <w:r w:rsidRPr="000C742A">
        <w:rPr>
          <w:noProof/>
        </w:rPr>
        <w:t xml:space="preserve">the condition that the </w:t>
      </w:r>
      <w:r w:rsidR="00A77358">
        <w:rPr>
          <w:noProof/>
        </w:rPr>
        <w:t xml:space="preserve">ownership of that </w:t>
      </w:r>
      <w:r w:rsidRPr="000C742A">
        <w:rPr>
          <w:noProof/>
        </w:rPr>
        <w:t xml:space="preserve">security or similar securities will revert to </w:t>
      </w:r>
      <w:r w:rsidR="00A77358">
        <w:rPr>
          <w:noProof/>
        </w:rPr>
        <w:t>the</w:t>
      </w:r>
      <w:r w:rsidRPr="000C742A">
        <w:rPr>
          <w:noProof/>
        </w:rPr>
        <w:t xml:space="preserve"> original owner at a specified future date. </w:t>
      </w:r>
      <w:r w:rsidR="00A77358">
        <w:rPr>
          <w:noProof/>
        </w:rPr>
        <w:t>T</w:t>
      </w:r>
      <w:r w:rsidRPr="000C742A">
        <w:rPr>
          <w:noProof/>
        </w:rPr>
        <w:t xml:space="preserve">he definition is </w:t>
      </w:r>
      <w:r w:rsidR="00A77358">
        <w:rPr>
          <w:noProof/>
        </w:rPr>
        <w:t xml:space="preserve">broad in order to allow to comprise different types of arrangements. </w:t>
      </w:r>
    </w:p>
    <w:p w14:paraId="32CFE341" w14:textId="77777777" w:rsidR="00275591" w:rsidRDefault="007E2FD5" w:rsidP="009D5B08">
      <w:pPr>
        <w:rPr>
          <w:noProof/>
        </w:rPr>
      </w:pPr>
      <w:r>
        <w:rPr>
          <w:noProof/>
        </w:rPr>
        <w:t xml:space="preserve">As the above schemes have been observed only in relation to dividend payments, </w:t>
      </w:r>
      <w:r w:rsidR="648DB056">
        <w:rPr>
          <w:noProof/>
        </w:rPr>
        <w:t xml:space="preserve">the reporting elements under Heading E </w:t>
      </w:r>
      <w:r w:rsidR="06D627B8">
        <w:rPr>
          <w:noProof/>
        </w:rPr>
        <w:t xml:space="preserve">are </w:t>
      </w:r>
      <w:r>
        <w:rPr>
          <w:noProof/>
        </w:rPr>
        <w:t xml:space="preserve">not required in relation to interest </w:t>
      </w:r>
      <w:r w:rsidR="0DED432C">
        <w:rPr>
          <w:noProof/>
        </w:rPr>
        <w:t>paid on bonds</w:t>
      </w:r>
      <w:r w:rsidR="1E90ACC4">
        <w:rPr>
          <w:noProof/>
        </w:rPr>
        <w:t>.</w:t>
      </w:r>
      <w:r w:rsidR="009265E2">
        <w:rPr>
          <w:noProof/>
        </w:rPr>
        <w:t xml:space="preserve"> The same approach</w:t>
      </w:r>
      <w:r w:rsidR="00CD0093" w:rsidDel="009265E2">
        <w:rPr>
          <w:noProof/>
        </w:rPr>
        <w:t xml:space="preserve"> </w:t>
      </w:r>
      <w:r w:rsidR="00242001">
        <w:rPr>
          <w:noProof/>
        </w:rPr>
        <w:t xml:space="preserve">is followed </w:t>
      </w:r>
      <w:r w:rsidR="00CD0093">
        <w:rPr>
          <w:noProof/>
        </w:rPr>
        <w:t>with regard to very low amounts of dividends paid</w:t>
      </w:r>
      <w:r w:rsidR="009265E2">
        <w:rPr>
          <w:noProof/>
        </w:rPr>
        <w:t xml:space="preserve">, which are considered to be low-risk cases that cannot justify the relevant reporting burden on </w:t>
      </w:r>
      <w:r w:rsidR="00242001">
        <w:rPr>
          <w:noProof/>
        </w:rPr>
        <w:t xml:space="preserve">CFIs. </w:t>
      </w:r>
      <w:r w:rsidR="006C732D">
        <w:rPr>
          <w:noProof/>
        </w:rPr>
        <w:t>This does not preclude however Member States from applying appropriate consequences where they actually identify abuse, even for a low amount.</w:t>
      </w:r>
    </w:p>
    <w:p w14:paraId="6C4E01DD" w14:textId="77777777" w:rsidR="007D3EBD" w:rsidRPr="008E0AD1" w:rsidRDefault="007D3EBD" w:rsidP="007D3EBD">
      <w:pPr>
        <w:rPr>
          <w:i/>
          <w:noProof/>
        </w:rPr>
      </w:pPr>
      <w:r w:rsidRPr="008E0AD1">
        <w:rPr>
          <w:i/>
          <w:noProof/>
        </w:rPr>
        <w:t>How will the reporting take place?</w:t>
      </w:r>
    </w:p>
    <w:p w14:paraId="07AA5F8B" w14:textId="77777777" w:rsidR="007D3EBD" w:rsidRPr="00E06F4C" w:rsidRDefault="007D3EBD" w:rsidP="007D3EBD">
      <w:pPr>
        <w:rPr>
          <w:noProof/>
        </w:rPr>
      </w:pPr>
      <w:r w:rsidRPr="00E06F4C">
        <w:rPr>
          <w:noProof/>
        </w:rPr>
        <w:t xml:space="preserve">The reporting will take place via a </w:t>
      </w:r>
      <w:r w:rsidR="0030141C">
        <w:rPr>
          <w:noProof/>
        </w:rPr>
        <w:t>standardised</w:t>
      </w:r>
      <w:r w:rsidRPr="00E06F4C">
        <w:rPr>
          <w:noProof/>
        </w:rPr>
        <w:t xml:space="preserve"> XML format scheme that will </w:t>
      </w:r>
      <w:r w:rsidR="00FC3E8A">
        <w:rPr>
          <w:noProof/>
        </w:rPr>
        <w:t xml:space="preserve">be </w:t>
      </w:r>
      <w:r w:rsidR="00C25E35">
        <w:rPr>
          <w:noProof/>
        </w:rPr>
        <w:t>set out in</w:t>
      </w:r>
      <w:r w:rsidRPr="00E06F4C">
        <w:rPr>
          <w:noProof/>
        </w:rPr>
        <w:t xml:space="preserve"> an implementing act</w:t>
      </w:r>
      <w:r w:rsidR="00C25E35">
        <w:rPr>
          <w:noProof/>
        </w:rPr>
        <w:t xml:space="preserve"> to be adopted by the Commission</w:t>
      </w:r>
      <w:r w:rsidRPr="00E06F4C">
        <w:rPr>
          <w:noProof/>
        </w:rPr>
        <w:t>. The automated channel to deliver the information from the economic operators to the corresponding tax administration or WHT agent acting on its behalf will be</w:t>
      </w:r>
      <w:r w:rsidR="007D5668">
        <w:rPr>
          <w:noProof/>
        </w:rPr>
        <w:t xml:space="preserve"> </w:t>
      </w:r>
      <w:r w:rsidR="0030141C">
        <w:rPr>
          <w:noProof/>
        </w:rPr>
        <w:t>standardised</w:t>
      </w:r>
      <w:r w:rsidRPr="00E06F4C">
        <w:rPr>
          <w:noProof/>
        </w:rPr>
        <w:t xml:space="preserve"> </w:t>
      </w:r>
      <w:r w:rsidR="00C25E35">
        <w:rPr>
          <w:noProof/>
        </w:rPr>
        <w:t xml:space="preserve">and set out in </w:t>
      </w:r>
      <w:r w:rsidR="00D01488">
        <w:rPr>
          <w:noProof/>
        </w:rPr>
        <w:t xml:space="preserve">this </w:t>
      </w:r>
      <w:r w:rsidRPr="00E06F4C">
        <w:rPr>
          <w:noProof/>
        </w:rPr>
        <w:t>implementing act.</w:t>
      </w:r>
      <w:r w:rsidR="00D01488">
        <w:rPr>
          <w:noProof/>
        </w:rPr>
        <w:t xml:space="preserve"> </w:t>
      </w:r>
    </w:p>
    <w:p w14:paraId="2E200C79" w14:textId="77777777" w:rsidR="007D3EBD" w:rsidRPr="008E0AD1" w:rsidRDefault="007D3EBD" w:rsidP="007D3EBD">
      <w:pPr>
        <w:rPr>
          <w:i/>
          <w:noProof/>
        </w:rPr>
      </w:pPr>
      <w:r w:rsidRPr="008E0AD1">
        <w:rPr>
          <w:i/>
          <w:noProof/>
        </w:rPr>
        <w:t>When is the reporting obligation arising?</w:t>
      </w:r>
    </w:p>
    <w:p w14:paraId="1E8B418B" w14:textId="77777777" w:rsidR="007D3EBD" w:rsidRPr="00E06F4C" w:rsidRDefault="007D3EBD" w:rsidP="008E0AD1">
      <w:pPr>
        <w:rPr>
          <w:noProof/>
        </w:rPr>
      </w:pPr>
      <w:r w:rsidRPr="008E0AD1">
        <w:rPr>
          <w:noProof/>
        </w:rPr>
        <w:t>The timeline to report the information comprised in Annex II is 2</w:t>
      </w:r>
      <w:r w:rsidR="00295F4E" w:rsidRPr="008E0AD1">
        <w:rPr>
          <w:noProof/>
        </w:rPr>
        <w:t>5</w:t>
      </w:r>
      <w:r w:rsidRPr="008E0AD1">
        <w:rPr>
          <w:noProof/>
        </w:rPr>
        <w:t xml:space="preserve"> days </w:t>
      </w:r>
      <w:r w:rsidR="00C25E35" w:rsidRPr="008E0AD1">
        <w:rPr>
          <w:noProof/>
        </w:rPr>
        <w:t xml:space="preserve">at the latest </w:t>
      </w:r>
      <w:r w:rsidRPr="008E0AD1">
        <w:rPr>
          <w:noProof/>
        </w:rPr>
        <w:t>from the record date</w:t>
      </w:r>
      <w:r w:rsidR="00C25E35" w:rsidRPr="008E0AD1">
        <w:rPr>
          <w:noProof/>
        </w:rPr>
        <w:t xml:space="preserve">. Reporting should take place </w:t>
      </w:r>
      <w:r w:rsidR="00E22E0A" w:rsidRPr="008E0AD1">
        <w:rPr>
          <w:noProof/>
        </w:rPr>
        <w:t>as soon as possible after the record date</w:t>
      </w:r>
      <w:r w:rsidR="7E8A5511" w:rsidRPr="008E0AD1">
        <w:rPr>
          <w:noProof/>
        </w:rPr>
        <w:t>, unless a settlement instruction in respect of any part of a transaction is pending on the record date, in which case the reporting for that transaction should occur as soon as possible after the settlement</w:t>
      </w:r>
      <w:r w:rsidR="6ECE5882" w:rsidRPr="008E0AD1">
        <w:rPr>
          <w:noProof/>
        </w:rPr>
        <w:t>.</w:t>
      </w:r>
      <w:r w:rsidR="00C25E35" w:rsidRPr="008E0AD1">
        <w:rPr>
          <w:noProof/>
        </w:rPr>
        <w:t xml:space="preserve"> In practice all positions are normally settled within 10-15 days from the record date. If this has not happened by the 20th day, in order to achieve efficient relief of excess withholding taxes, the Directive requires that </w:t>
      </w:r>
      <w:r w:rsidR="00E22E0A" w:rsidRPr="008E0AD1">
        <w:rPr>
          <w:noProof/>
        </w:rPr>
        <w:t xml:space="preserve">CFIs </w:t>
      </w:r>
      <w:r w:rsidR="00C25E35" w:rsidRPr="008E0AD1">
        <w:rPr>
          <w:noProof/>
        </w:rPr>
        <w:t xml:space="preserve">should still proceed with reporting the situation as on the 20th day and within the next 5 </w:t>
      </w:r>
      <w:r w:rsidR="008E0AD1">
        <w:rPr>
          <w:noProof/>
        </w:rPr>
        <w:t xml:space="preserve">following </w:t>
      </w:r>
      <w:r w:rsidR="00C25E35" w:rsidRPr="008E0AD1">
        <w:rPr>
          <w:noProof/>
        </w:rPr>
        <w:t>days.</w:t>
      </w:r>
      <w:r w:rsidR="00C25E35">
        <w:rPr>
          <w:noProof/>
        </w:rPr>
        <w:t xml:space="preserve"> </w:t>
      </w:r>
      <w:r w:rsidRPr="00E06F4C">
        <w:rPr>
          <w:noProof/>
        </w:rPr>
        <w:t xml:space="preserve"> </w:t>
      </w:r>
    </w:p>
    <w:p w14:paraId="5F5E4530" w14:textId="77777777" w:rsidR="007D3EBD" w:rsidRPr="00E06F4C" w:rsidRDefault="0071260E" w:rsidP="007D3EBD">
      <w:pPr>
        <w:rPr>
          <w:noProof/>
        </w:rPr>
      </w:pPr>
      <w:r>
        <w:rPr>
          <w:noProof/>
        </w:rPr>
        <w:t>In</w:t>
      </w:r>
      <w:r w:rsidR="007D3EBD" w:rsidRPr="00E06F4C">
        <w:rPr>
          <w:noProof/>
        </w:rPr>
        <w:t xml:space="preserve"> Member States where relief at source will apply and the dividend payment date is </w:t>
      </w:r>
      <w:r w:rsidR="59B91B47">
        <w:rPr>
          <w:noProof/>
        </w:rPr>
        <w:t>earlier</w:t>
      </w:r>
      <w:r w:rsidR="00FC3E8A">
        <w:rPr>
          <w:noProof/>
        </w:rPr>
        <w:t xml:space="preserve"> than</w:t>
      </w:r>
      <w:r w:rsidR="00FC3E8A" w:rsidRPr="00E06F4C">
        <w:rPr>
          <w:noProof/>
        </w:rPr>
        <w:t xml:space="preserve"> </w:t>
      </w:r>
      <w:r w:rsidR="007D3EBD" w:rsidRPr="00E06F4C">
        <w:rPr>
          <w:noProof/>
        </w:rPr>
        <w:t>2</w:t>
      </w:r>
      <w:r w:rsidR="00295F4E">
        <w:rPr>
          <w:noProof/>
        </w:rPr>
        <w:t>5</w:t>
      </w:r>
      <w:r w:rsidR="007D3EBD" w:rsidRPr="00E06F4C">
        <w:rPr>
          <w:noProof/>
        </w:rPr>
        <w:t xml:space="preserve"> days from record date, the financial intermediaries should have a mechanism in place </w:t>
      </w:r>
      <w:r>
        <w:rPr>
          <w:noProof/>
        </w:rPr>
        <w:t>to timely provide</w:t>
      </w:r>
      <w:r w:rsidR="007D3EBD" w:rsidRPr="00E06F4C">
        <w:rPr>
          <w:noProof/>
        </w:rPr>
        <w:t xml:space="preserve"> information </w:t>
      </w:r>
      <w:r>
        <w:rPr>
          <w:noProof/>
        </w:rPr>
        <w:t>to the WHT agent</w:t>
      </w:r>
      <w:r w:rsidR="007D3EBD" w:rsidRPr="00E06F4C">
        <w:rPr>
          <w:noProof/>
        </w:rPr>
        <w:t xml:space="preserve"> </w:t>
      </w:r>
      <w:r>
        <w:rPr>
          <w:noProof/>
        </w:rPr>
        <w:t>on</w:t>
      </w:r>
      <w:r w:rsidR="007D3EBD" w:rsidRPr="00E06F4C">
        <w:rPr>
          <w:noProof/>
        </w:rPr>
        <w:t xml:space="preserve"> the rate to be applied.</w:t>
      </w:r>
    </w:p>
    <w:p w14:paraId="3E913E85" w14:textId="77777777" w:rsidR="007D3EBD" w:rsidRPr="00B03B16" w:rsidRDefault="007D3EBD" w:rsidP="007D3EBD">
      <w:pPr>
        <w:pStyle w:val="Point1"/>
        <w:rPr>
          <w:b/>
          <w:bCs/>
          <w:noProof/>
        </w:rPr>
      </w:pPr>
      <w:r w:rsidRPr="00B03B16">
        <w:rPr>
          <w:b/>
          <w:bCs/>
          <w:noProof/>
        </w:rPr>
        <w:t>(iv)</w:t>
      </w:r>
      <w:r w:rsidRPr="00B03B16">
        <w:rPr>
          <w:b/>
          <w:bCs/>
          <w:noProof/>
        </w:rPr>
        <w:tab/>
        <w:t xml:space="preserve"> Systems of relief</w:t>
      </w:r>
    </w:p>
    <w:p w14:paraId="6518465C" w14:textId="54EEB00E" w:rsidR="007D3EBD" w:rsidRPr="00E06F4C" w:rsidRDefault="00295F4E" w:rsidP="007D3EBD">
      <w:pPr>
        <w:rPr>
          <w:noProof/>
        </w:rPr>
      </w:pPr>
      <w:r>
        <w:rPr>
          <w:noProof/>
        </w:rPr>
        <w:t>T</w:t>
      </w:r>
      <w:r w:rsidR="007D3EBD" w:rsidRPr="00E06F4C">
        <w:rPr>
          <w:noProof/>
        </w:rPr>
        <w:t xml:space="preserve">he </w:t>
      </w:r>
      <w:r w:rsidR="005F4910">
        <w:rPr>
          <w:noProof/>
        </w:rPr>
        <w:t>proposal</w:t>
      </w:r>
      <w:r w:rsidR="007D3EBD" w:rsidRPr="00E06F4C">
        <w:rPr>
          <w:noProof/>
        </w:rPr>
        <w:t xml:space="preserve"> </w:t>
      </w:r>
      <w:r w:rsidR="005F4910">
        <w:rPr>
          <w:noProof/>
        </w:rPr>
        <w:t>provides</w:t>
      </w:r>
      <w:r w:rsidR="000E64B0">
        <w:rPr>
          <w:noProof/>
        </w:rPr>
        <w:t>:</w:t>
      </w:r>
      <w:r w:rsidR="007D3EBD" w:rsidRPr="00E06F4C">
        <w:rPr>
          <w:noProof/>
        </w:rPr>
        <w:t xml:space="preserve"> </w:t>
      </w:r>
      <w:r w:rsidR="005F4910">
        <w:rPr>
          <w:noProof/>
        </w:rPr>
        <w:t xml:space="preserve">(a) </w:t>
      </w:r>
      <w:r w:rsidR="007D3EBD" w:rsidRPr="00E06F4C">
        <w:rPr>
          <w:noProof/>
        </w:rPr>
        <w:t>a relief at source system</w:t>
      </w:r>
      <w:r w:rsidR="0013170A">
        <w:rPr>
          <w:noProof/>
        </w:rPr>
        <w:t xml:space="preserve">; and (b) </w:t>
      </w:r>
      <w:r w:rsidR="0013170A" w:rsidRPr="00E06F4C">
        <w:rPr>
          <w:noProof/>
        </w:rPr>
        <w:t>a quick refund system</w:t>
      </w:r>
      <w:r w:rsidR="0013170A">
        <w:rPr>
          <w:noProof/>
        </w:rPr>
        <w:t>. Under a relief at source system,</w:t>
      </w:r>
      <w:r w:rsidR="007D3EBD" w:rsidRPr="00E06F4C">
        <w:rPr>
          <w:noProof/>
        </w:rPr>
        <w:t xml:space="preserve"> the correct amount of </w:t>
      </w:r>
      <w:r w:rsidR="00236224">
        <w:rPr>
          <w:noProof/>
        </w:rPr>
        <w:t>taxes</w:t>
      </w:r>
      <w:r w:rsidR="007D3EBD" w:rsidRPr="00E06F4C">
        <w:rPr>
          <w:noProof/>
        </w:rPr>
        <w:t xml:space="preserve"> </w:t>
      </w:r>
      <w:r w:rsidR="0013170A">
        <w:rPr>
          <w:noProof/>
        </w:rPr>
        <w:t xml:space="preserve">is applied by the WHT agent </w:t>
      </w:r>
      <w:r w:rsidR="005F4910">
        <w:rPr>
          <w:noProof/>
        </w:rPr>
        <w:t xml:space="preserve">at </w:t>
      </w:r>
      <w:r w:rsidR="007D3EBD" w:rsidRPr="00E06F4C">
        <w:rPr>
          <w:noProof/>
        </w:rPr>
        <w:t xml:space="preserve">the </w:t>
      </w:r>
      <w:r w:rsidR="005F4910">
        <w:rPr>
          <w:noProof/>
        </w:rPr>
        <w:t>time</w:t>
      </w:r>
      <w:r w:rsidR="005F4910" w:rsidRPr="00E06F4C">
        <w:rPr>
          <w:noProof/>
        </w:rPr>
        <w:t xml:space="preserve"> </w:t>
      </w:r>
      <w:r w:rsidR="007D3EBD" w:rsidRPr="00E06F4C">
        <w:rPr>
          <w:noProof/>
        </w:rPr>
        <w:t>of the dividend</w:t>
      </w:r>
      <w:r w:rsidR="001458E9">
        <w:rPr>
          <w:noProof/>
        </w:rPr>
        <w:t>/interest</w:t>
      </w:r>
      <w:r w:rsidR="007D3EBD" w:rsidRPr="00E06F4C">
        <w:rPr>
          <w:noProof/>
        </w:rPr>
        <w:t xml:space="preserve"> payment (article 1</w:t>
      </w:r>
      <w:r w:rsidR="00FC3E8A">
        <w:rPr>
          <w:noProof/>
        </w:rPr>
        <w:t>2</w:t>
      </w:r>
      <w:r w:rsidR="007D3EBD" w:rsidRPr="00E06F4C">
        <w:rPr>
          <w:noProof/>
        </w:rPr>
        <w:t>)</w:t>
      </w:r>
      <w:r w:rsidR="0013170A">
        <w:rPr>
          <w:noProof/>
        </w:rPr>
        <w:t xml:space="preserve">. Under </w:t>
      </w:r>
      <w:r w:rsidR="007D3EBD" w:rsidRPr="00E06F4C">
        <w:rPr>
          <w:noProof/>
        </w:rPr>
        <w:t>a quick refund system</w:t>
      </w:r>
      <w:r w:rsidR="0013170A">
        <w:rPr>
          <w:noProof/>
        </w:rPr>
        <w:t>,</w:t>
      </w:r>
      <w:r w:rsidR="007D3EBD" w:rsidRPr="00E06F4C">
        <w:rPr>
          <w:noProof/>
        </w:rPr>
        <w:t xml:space="preserve"> the </w:t>
      </w:r>
      <w:r w:rsidR="0013170A">
        <w:rPr>
          <w:noProof/>
        </w:rPr>
        <w:t xml:space="preserve">tax is </w:t>
      </w:r>
      <w:r w:rsidR="007D3EBD" w:rsidRPr="00E06F4C">
        <w:rPr>
          <w:noProof/>
        </w:rPr>
        <w:t xml:space="preserve">withheld </w:t>
      </w:r>
      <w:r w:rsidR="0013170A">
        <w:rPr>
          <w:noProof/>
        </w:rPr>
        <w:t xml:space="preserve">at the higher rate applied in the source country but the excess tax is then given </w:t>
      </w:r>
      <w:r w:rsidR="007D3EBD" w:rsidRPr="00E06F4C">
        <w:rPr>
          <w:noProof/>
        </w:rPr>
        <w:t xml:space="preserve">back </w:t>
      </w:r>
      <w:r w:rsidR="0013170A">
        <w:rPr>
          <w:noProof/>
        </w:rPr>
        <w:t>within</w:t>
      </w:r>
      <w:r w:rsidR="007D3EBD" w:rsidRPr="00E06F4C">
        <w:rPr>
          <w:noProof/>
        </w:rPr>
        <w:t xml:space="preserve"> a set time frame of </w:t>
      </w:r>
      <w:r w:rsidR="005F4910">
        <w:rPr>
          <w:noProof/>
        </w:rPr>
        <w:t xml:space="preserve">maximum </w:t>
      </w:r>
      <w:r w:rsidR="00851227">
        <w:rPr>
          <w:noProof/>
        </w:rPr>
        <w:t xml:space="preserve">25 days from the date of </w:t>
      </w:r>
      <w:r w:rsidR="000E64B0">
        <w:rPr>
          <w:noProof/>
        </w:rPr>
        <w:t xml:space="preserve">the </w:t>
      </w:r>
      <w:r w:rsidR="00851227">
        <w:rPr>
          <w:noProof/>
        </w:rPr>
        <w:t xml:space="preserve">request or </w:t>
      </w:r>
      <w:r w:rsidR="008E0AD1">
        <w:rPr>
          <w:noProof/>
        </w:rPr>
        <w:t xml:space="preserve">from </w:t>
      </w:r>
      <w:r w:rsidR="00851227">
        <w:rPr>
          <w:noProof/>
        </w:rPr>
        <w:t xml:space="preserve">the date </w:t>
      </w:r>
      <w:r w:rsidR="000E64B0">
        <w:rPr>
          <w:noProof/>
        </w:rPr>
        <w:t xml:space="preserve">when </w:t>
      </w:r>
      <w:r w:rsidR="00851227">
        <w:rPr>
          <w:noProof/>
        </w:rPr>
        <w:t>the required reporting is fulfilled, whichever the latest</w:t>
      </w:r>
      <w:r w:rsidR="0013170A">
        <w:rPr>
          <w:noProof/>
        </w:rPr>
        <w:t>. T</w:t>
      </w:r>
      <w:r w:rsidR="008E0AD1">
        <w:rPr>
          <w:noProof/>
        </w:rPr>
        <w:t xml:space="preserve">his </w:t>
      </w:r>
      <w:r w:rsidR="00851227">
        <w:rPr>
          <w:noProof/>
        </w:rPr>
        <w:t xml:space="preserve">should </w:t>
      </w:r>
      <w:r w:rsidR="6A6CB101">
        <w:rPr>
          <w:noProof/>
        </w:rPr>
        <w:t xml:space="preserve">take place </w:t>
      </w:r>
      <w:r w:rsidR="00851227">
        <w:rPr>
          <w:noProof/>
        </w:rPr>
        <w:t>within</w:t>
      </w:r>
      <w:r w:rsidR="005F4910">
        <w:rPr>
          <w:noProof/>
        </w:rPr>
        <w:t xml:space="preserve"> </w:t>
      </w:r>
      <w:r w:rsidR="007D3EBD" w:rsidRPr="00E06F4C">
        <w:rPr>
          <w:noProof/>
        </w:rPr>
        <w:t>50 calendar days</w:t>
      </w:r>
      <w:r>
        <w:rPr>
          <w:noProof/>
        </w:rPr>
        <w:t xml:space="preserve"> from payment date</w:t>
      </w:r>
      <w:r w:rsidR="007D3EBD" w:rsidRPr="00E06F4C">
        <w:rPr>
          <w:noProof/>
        </w:rPr>
        <w:t xml:space="preserve"> (article 1</w:t>
      </w:r>
      <w:r w:rsidR="00FC3E8A">
        <w:rPr>
          <w:noProof/>
        </w:rPr>
        <w:t>3</w:t>
      </w:r>
      <w:r w:rsidR="007D3EBD" w:rsidRPr="00E06F4C">
        <w:rPr>
          <w:noProof/>
        </w:rPr>
        <w:t xml:space="preserve">). </w:t>
      </w:r>
      <w:r w:rsidR="00615380">
        <w:rPr>
          <w:noProof/>
        </w:rPr>
        <w:t xml:space="preserve">In both cases, the relevant actors in the procedures would be CFIs acting on behalf of their investors. </w:t>
      </w:r>
      <w:r w:rsidR="007D3EBD" w:rsidRPr="00E06F4C">
        <w:rPr>
          <w:noProof/>
        </w:rPr>
        <w:t xml:space="preserve">Articles </w:t>
      </w:r>
      <w:r w:rsidR="00FC3E8A">
        <w:rPr>
          <w:noProof/>
        </w:rPr>
        <w:t>10</w:t>
      </w:r>
      <w:r w:rsidR="007D3EBD" w:rsidRPr="00E06F4C">
        <w:rPr>
          <w:noProof/>
        </w:rPr>
        <w:t xml:space="preserve"> </w:t>
      </w:r>
      <w:r w:rsidR="50B48189">
        <w:rPr>
          <w:noProof/>
        </w:rPr>
        <w:t xml:space="preserve">(request for relief at source or quick refund) </w:t>
      </w:r>
      <w:r w:rsidR="3B02E25D">
        <w:rPr>
          <w:noProof/>
        </w:rPr>
        <w:t xml:space="preserve">and </w:t>
      </w:r>
      <w:r w:rsidR="007D3EBD" w:rsidRPr="00E06F4C">
        <w:rPr>
          <w:noProof/>
        </w:rPr>
        <w:t>1</w:t>
      </w:r>
      <w:r w:rsidR="00FC3E8A">
        <w:rPr>
          <w:noProof/>
        </w:rPr>
        <w:t>1</w:t>
      </w:r>
      <w:r w:rsidR="007D3EBD" w:rsidRPr="00E06F4C">
        <w:rPr>
          <w:noProof/>
        </w:rPr>
        <w:t xml:space="preserve"> </w:t>
      </w:r>
      <w:r w:rsidR="0E351B11">
        <w:rPr>
          <w:noProof/>
        </w:rPr>
        <w:t>(due diligence procedures)</w:t>
      </w:r>
      <w:r w:rsidR="00690244">
        <w:rPr>
          <w:noProof/>
        </w:rPr>
        <w:t xml:space="preserve"> </w:t>
      </w:r>
      <w:r w:rsidR="00615380">
        <w:rPr>
          <w:noProof/>
        </w:rPr>
        <w:t xml:space="preserve">lay down </w:t>
      </w:r>
      <w:r w:rsidR="005F4910">
        <w:rPr>
          <w:noProof/>
        </w:rPr>
        <w:t>elements that are</w:t>
      </w:r>
      <w:r w:rsidR="007D3EBD" w:rsidRPr="00E06F4C">
        <w:rPr>
          <w:noProof/>
        </w:rPr>
        <w:t xml:space="preserve"> common to both systems.</w:t>
      </w:r>
      <w:r w:rsidR="00236224">
        <w:rPr>
          <w:noProof/>
        </w:rPr>
        <w:t xml:space="preserve"> </w:t>
      </w:r>
    </w:p>
    <w:p w14:paraId="6F5033A7" w14:textId="77777777" w:rsidR="007D3EBD" w:rsidRPr="00E06F4C" w:rsidRDefault="00FC3E8A" w:rsidP="007D3EBD">
      <w:pPr>
        <w:rPr>
          <w:noProof/>
        </w:rPr>
      </w:pPr>
      <w:r>
        <w:rPr>
          <w:noProof/>
        </w:rPr>
        <w:t xml:space="preserve">While applying the relief procedures, </w:t>
      </w:r>
      <w:r w:rsidR="007D3EBD" w:rsidRPr="00E06F4C">
        <w:rPr>
          <w:noProof/>
        </w:rPr>
        <w:t xml:space="preserve">the competent tax </w:t>
      </w:r>
      <w:r w:rsidR="005F4910">
        <w:rPr>
          <w:noProof/>
        </w:rPr>
        <w:t>administration</w:t>
      </w:r>
      <w:r w:rsidR="007D3EBD" w:rsidRPr="00E06F4C">
        <w:rPr>
          <w:noProof/>
        </w:rPr>
        <w:t xml:space="preserve"> </w:t>
      </w:r>
      <w:r>
        <w:rPr>
          <w:noProof/>
        </w:rPr>
        <w:t xml:space="preserve">may </w:t>
      </w:r>
      <w:r w:rsidR="007D3EBD" w:rsidRPr="00E06F4C">
        <w:rPr>
          <w:noProof/>
        </w:rPr>
        <w:t xml:space="preserve">decide to outsource </w:t>
      </w:r>
      <w:r w:rsidR="005F4910">
        <w:rPr>
          <w:noProof/>
        </w:rPr>
        <w:t>the relevant</w:t>
      </w:r>
      <w:r w:rsidR="005F4910" w:rsidRPr="00E06F4C">
        <w:rPr>
          <w:noProof/>
        </w:rPr>
        <w:t xml:space="preserve"> </w:t>
      </w:r>
      <w:r w:rsidR="007D3EBD" w:rsidRPr="00E06F4C">
        <w:rPr>
          <w:noProof/>
        </w:rPr>
        <w:t xml:space="preserve">tasks </w:t>
      </w:r>
      <w:r>
        <w:rPr>
          <w:noProof/>
        </w:rPr>
        <w:t>to</w:t>
      </w:r>
      <w:r w:rsidRPr="00E06F4C">
        <w:rPr>
          <w:noProof/>
        </w:rPr>
        <w:t xml:space="preserve"> </w:t>
      </w:r>
      <w:r w:rsidR="007D3EBD" w:rsidRPr="00E06F4C">
        <w:rPr>
          <w:noProof/>
        </w:rPr>
        <w:t>a nominated withholding tax agent</w:t>
      </w:r>
      <w:r w:rsidR="005F4910">
        <w:rPr>
          <w:noProof/>
        </w:rPr>
        <w:t xml:space="preserve"> instead of managing the tasks alone</w:t>
      </w:r>
      <w:r w:rsidR="007D3EBD" w:rsidRPr="00E06F4C">
        <w:rPr>
          <w:noProof/>
        </w:rPr>
        <w:t>.</w:t>
      </w:r>
    </w:p>
    <w:p w14:paraId="72DA6DA6" w14:textId="77777777" w:rsidR="007D3EBD" w:rsidRPr="00E06F4C" w:rsidRDefault="00FC3E8A" w:rsidP="007D3EBD">
      <w:pPr>
        <w:rPr>
          <w:noProof/>
        </w:rPr>
      </w:pPr>
      <w:r>
        <w:rPr>
          <w:noProof/>
        </w:rPr>
        <w:t>Each</w:t>
      </w:r>
      <w:r w:rsidR="007D3EBD" w:rsidRPr="00E06F4C">
        <w:rPr>
          <w:noProof/>
        </w:rPr>
        <w:t xml:space="preserve"> Member State </w:t>
      </w:r>
      <w:r w:rsidR="0079403F">
        <w:rPr>
          <w:noProof/>
        </w:rPr>
        <w:t xml:space="preserve">that applies relief procedures for excess withholding tax </w:t>
      </w:r>
      <w:r w:rsidR="005F4910">
        <w:rPr>
          <w:noProof/>
        </w:rPr>
        <w:t>may decide to apply the</w:t>
      </w:r>
      <w:r w:rsidR="007D3EBD" w:rsidRPr="00E06F4C">
        <w:rPr>
          <w:noProof/>
        </w:rPr>
        <w:t xml:space="preserve"> relief at source or quick refund system or both </w:t>
      </w:r>
      <w:r w:rsidR="009F2927">
        <w:rPr>
          <w:noProof/>
        </w:rPr>
        <w:t xml:space="preserve">as well as </w:t>
      </w:r>
      <w:r w:rsidR="007D3EBD" w:rsidRPr="00E06F4C">
        <w:rPr>
          <w:noProof/>
        </w:rPr>
        <w:t xml:space="preserve">whether </w:t>
      </w:r>
      <w:r w:rsidR="009F2927">
        <w:rPr>
          <w:noProof/>
        </w:rPr>
        <w:t>or not to</w:t>
      </w:r>
      <w:r w:rsidR="007D3EBD" w:rsidRPr="00E06F4C">
        <w:rPr>
          <w:noProof/>
        </w:rPr>
        <w:t xml:space="preserve"> use the </w:t>
      </w:r>
      <w:r w:rsidR="009F2927">
        <w:rPr>
          <w:noProof/>
        </w:rPr>
        <w:t>above</w:t>
      </w:r>
      <w:r w:rsidR="007D3EBD" w:rsidRPr="00E06F4C">
        <w:rPr>
          <w:noProof/>
        </w:rPr>
        <w:t xml:space="preserve"> outsourcing possibility. </w:t>
      </w:r>
      <w:r w:rsidR="00851227">
        <w:rPr>
          <w:noProof/>
        </w:rPr>
        <w:t xml:space="preserve">However, </w:t>
      </w:r>
      <w:r w:rsidR="0079403F">
        <w:rPr>
          <w:noProof/>
        </w:rPr>
        <w:t>such</w:t>
      </w:r>
      <w:r w:rsidR="00851227">
        <w:rPr>
          <w:noProof/>
        </w:rPr>
        <w:t xml:space="preserve"> Member States need to ensure that at least one of the two systems is available to all investors and actually activated</w:t>
      </w:r>
      <w:r w:rsidR="00C57C32">
        <w:rPr>
          <w:noProof/>
        </w:rPr>
        <w:t xml:space="preserve"> and</w:t>
      </w:r>
      <w:r w:rsidR="000E64B0">
        <w:rPr>
          <w:noProof/>
        </w:rPr>
        <w:t>,</w:t>
      </w:r>
      <w:r w:rsidR="00C57C32">
        <w:rPr>
          <w:noProof/>
        </w:rPr>
        <w:t xml:space="preserve"> </w:t>
      </w:r>
      <w:r w:rsidR="00851227">
        <w:rPr>
          <w:noProof/>
        </w:rPr>
        <w:t>in all cases</w:t>
      </w:r>
      <w:r w:rsidR="000E64B0">
        <w:rPr>
          <w:noProof/>
        </w:rPr>
        <w:t>,</w:t>
      </w:r>
      <w:r w:rsidR="00851227">
        <w:rPr>
          <w:noProof/>
        </w:rPr>
        <w:t xml:space="preserve"> that the conditions set out by this Directive are met.</w:t>
      </w:r>
      <w:r w:rsidR="00E513A5">
        <w:rPr>
          <w:noProof/>
        </w:rPr>
        <w:t xml:space="preserve"> </w:t>
      </w:r>
      <w:r w:rsidR="00AE2357">
        <w:rPr>
          <w:noProof/>
        </w:rPr>
        <w:t xml:space="preserve">Within these two systems </w:t>
      </w:r>
      <w:r w:rsidR="00E513A5">
        <w:rPr>
          <w:noProof/>
        </w:rPr>
        <w:t xml:space="preserve">Member States have the </w:t>
      </w:r>
      <w:r w:rsidR="67B67B64">
        <w:rPr>
          <w:noProof/>
        </w:rPr>
        <w:t>discretion</w:t>
      </w:r>
      <w:r w:rsidR="00C57C32">
        <w:rPr>
          <w:noProof/>
        </w:rPr>
        <w:t>,</w:t>
      </w:r>
      <w:r w:rsidR="00E513A5">
        <w:rPr>
          <w:noProof/>
        </w:rPr>
        <w:t xml:space="preserve"> </w:t>
      </w:r>
      <w:r w:rsidR="00AE2357">
        <w:rPr>
          <w:noProof/>
        </w:rPr>
        <w:t>for instance</w:t>
      </w:r>
      <w:r w:rsidR="00C57C32">
        <w:rPr>
          <w:noProof/>
        </w:rPr>
        <w:t>,</w:t>
      </w:r>
      <w:r w:rsidR="00AE2357">
        <w:rPr>
          <w:noProof/>
        </w:rPr>
        <w:t xml:space="preserve"> </w:t>
      </w:r>
      <w:r w:rsidR="00C57C32">
        <w:rPr>
          <w:noProof/>
        </w:rPr>
        <w:t>to</w:t>
      </w:r>
      <w:r w:rsidR="00AE2357">
        <w:rPr>
          <w:noProof/>
        </w:rPr>
        <w:t xml:space="preserve"> only allow low risk taxpayers to </w:t>
      </w:r>
      <w:r w:rsidR="61D41722">
        <w:rPr>
          <w:noProof/>
        </w:rPr>
        <w:t>request</w:t>
      </w:r>
      <w:r w:rsidR="00AE2357">
        <w:rPr>
          <w:noProof/>
        </w:rPr>
        <w:t xml:space="preserve"> relief at source whilst </w:t>
      </w:r>
      <w:r w:rsidR="528EE33E">
        <w:rPr>
          <w:noProof/>
        </w:rPr>
        <w:t xml:space="preserve">other taxpayers </w:t>
      </w:r>
      <w:r w:rsidR="00AE2357">
        <w:rPr>
          <w:noProof/>
        </w:rPr>
        <w:t xml:space="preserve">can only </w:t>
      </w:r>
      <w:r w:rsidR="073D2575">
        <w:rPr>
          <w:noProof/>
        </w:rPr>
        <w:t>request a</w:t>
      </w:r>
      <w:r w:rsidR="00C7069B">
        <w:rPr>
          <w:noProof/>
        </w:rPr>
        <w:t xml:space="preserve"> </w:t>
      </w:r>
      <w:r w:rsidR="00AE2357">
        <w:rPr>
          <w:noProof/>
        </w:rPr>
        <w:t xml:space="preserve">quick refund. </w:t>
      </w:r>
      <w:r w:rsidR="0079403F">
        <w:rPr>
          <w:noProof/>
        </w:rPr>
        <w:t>Member States that do not use excess withholding tax relief procedures because they do not provide for withholding tax at all or they do not provide for different rates of withholding tax in different circumstances are not concerned by these systems and are not required to take action.</w:t>
      </w:r>
    </w:p>
    <w:p w14:paraId="40AD6D5E" w14:textId="77777777" w:rsidR="007A2CCF" w:rsidRDefault="006D1052" w:rsidP="007D3EBD">
      <w:pPr>
        <w:rPr>
          <w:noProof/>
        </w:rPr>
      </w:pPr>
      <w:r>
        <w:rPr>
          <w:noProof/>
        </w:rPr>
        <w:t xml:space="preserve">In </w:t>
      </w:r>
      <w:r w:rsidR="00C57C32">
        <w:rPr>
          <w:noProof/>
        </w:rPr>
        <w:t xml:space="preserve">all </w:t>
      </w:r>
      <w:r w:rsidR="009F2927">
        <w:rPr>
          <w:noProof/>
        </w:rPr>
        <w:t>case</w:t>
      </w:r>
      <w:r w:rsidR="00C57C32">
        <w:rPr>
          <w:noProof/>
        </w:rPr>
        <w:t>s</w:t>
      </w:r>
      <w:r w:rsidR="009F2927">
        <w:rPr>
          <w:noProof/>
        </w:rPr>
        <w:t>, with respect to evidence of</w:t>
      </w:r>
      <w:r>
        <w:rPr>
          <w:noProof/>
        </w:rPr>
        <w:t xml:space="preserve"> </w:t>
      </w:r>
      <w:r w:rsidR="00E51273">
        <w:rPr>
          <w:noProof/>
        </w:rPr>
        <w:t>the residence of the investors</w:t>
      </w:r>
      <w:r w:rsidR="009F2927">
        <w:rPr>
          <w:noProof/>
        </w:rPr>
        <w:t>,</w:t>
      </w:r>
      <w:r w:rsidR="00E51273">
        <w:rPr>
          <w:noProof/>
        </w:rPr>
        <w:t xml:space="preserve"> </w:t>
      </w:r>
      <w:r w:rsidRPr="00E06F4C">
        <w:rPr>
          <w:noProof/>
        </w:rPr>
        <w:t xml:space="preserve">Member States </w:t>
      </w:r>
      <w:r w:rsidR="009F2927">
        <w:rPr>
          <w:noProof/>
        </w:rPr>
        <w:t>should</w:t>
      </w:r>
      <w:r w:rsidRPr="00E06F4C">
        <w:rPr>
          <w:noProof/>
        </w:rPr>
        <w:t xml:space="preserve"> </w:t>
      </w:r>
      <w:r w:rsidR="007A2CCF">
        <w:rPr>
          <w:noProof/>
        </w:rPr>
        <w:t xml:space="preserve">rely </w:t>
      </w:r>
      <w:r w:rsidR="00690244">
        <w:rPr>
          <w:noProof/>
        </w:rPr>
        <w:t>primarily</w:t>
      </w:r>
      <w:r w:rsidR="007A2CCF">
        <w:rPr>
          <w:noProof/>
        </w:rPr>
        <w:t xml:space="preserve"> on the eTRC, as defined in article 4, or an </w:t>
      </w:r>
      <w:r w:rsidR="007A2CCF" w:rsidRPr="007A2CCF">
        <w:rPr>
          <w:noProof/>
        </w:rPr>
        <w:t xml:space="preserve">appropriate proof of tax residence </w:t>
      </w:r>
      <w:r w:rsidR="007A2CCF">
        <w:rPr>
          <w:noProof/>
        </w:rPr>
        <w:t>from</w:t>
      </w:r>
      <w:r w:rsidR="007A2CCF" w:rsidRPr="007A2CCF">
        <w:rPr>
          <w:noProof/>
        </w:rPr>
        <w:t xml:space="preserve"> a non-EU country</w:t>
      </w:r>
      <w:r w:rsidR="007A2CCF">
        <w:rPr>
          <w:noProof/>
        </w:rPr>
        <w:t>.</w:t>
      </w:r>
      <w:r w:rsidR="00690244">
        <w:rPr>
          <w:noProof/>
        </w:rPr>
        <w:t xml:space="preserve"> </w:t>
      </w:r>
    </w:p>
    <w:p w14:paraId="584996EC" w14:textId="77777777" w:rsidR="007D3EBD" w:rsidRPr="00E06F4C" w:rsidRDefault="009F2927" w:rsidP="2B607E20">
      <w:pPr>
        <w:rPr>
          <w:noProof/>
        </w:rPr>
      </w:pPr>
      <w:r>
        <w:rPr>
          <w:noProof/>
        </w:rPr>
        <w:t>A</w:t>
      </w:r>
      <w:r w:rsidR="007D3EBD" w:rsidRPr="00E06F4C">
        <w:rPr>
          <w:noProof/>
        </w:rPr>
        <w:t xml:space="preserve"> major goal of this Directive is to prevent abusive</w:t>
      </w:r>
      <w:r w:rsidR="0035140B">
        <w:rPr>
          <w:noProof/>
        </w:rPr>
        <w:t>/fraudulent</w:t>
      </w:r>
      <w:r w:rsidR="007D3EBD" w:rsidRPr="00E06F4C">
        <w:rPr>
          <w:noProof/>
        </w:rPr>
        <w:t xml:space="preserve"> tax </w:t>
      </w:r>
      <w:r>
        <w:rPr>
          <w:noProof/>
        </w:rPr>
        <w:t>practices and in particular</w:t>
      </w:r>
      <w:r w:rsidR="007D3EBD" w:rsidRPr="00E06F4C">
        <w:rPr>
          <w:noProof/>
        </w:rPr>
        <w:t xml:space="preserve"> Cum/Ex and Cum/Cum </w:t>
      </w:r>
      <w:r>
        <w:rPr>
          <w:noProof/>
        </w:rPr>
        <w:t>schemes</w:t>
      </w:r>
      <w:r w:rsidR="007D3EBD" w:rsidRPr="00E06F4C">
        <w:rPr>
          <w:noProof/>
        </w:rPr>
        <w:t xml:space="preserve">. </w:t>
      </w:r>
      <w:r>
        <w:rPr>
          <w:noProof/>
        </w:rPr>
        <w:t>Member States’</w:t>
      </w:r>
      <w:r w:rsidR="007D3EBD" w:rsidRPr="00E06F4C">
        <w:rPr>
          <w:noProof/>
        </w:rPr>
        <w:t xml:space="preserve"> tax administrations </w:t>
      </w:r>
      <w:r w:rsidR="1ED66CDA">
        <w:rPr>
          <w:noProof/>
        </w:rPr>
        <w:t xml:space="preserve">that </w:t>
      </w:r>
      <w:r w:rsidR="731DED57">
        <w:rPr>
          <w:noProof/>
        </w:rPr>
        <w:t xml:space="preserve">wish to have more </w:t>
      </w:r>
      <w:r w:rsidR="007D3EBD" w:rsidRPr="00E06F4C">
        <w:rPr>
          <w:noProof/>
        </w:rPr>
        <w:t xml:space="preserve">time </w:t>
      </w:r>
      <w:r w:rsidR="115F4B6A">
        <w:rPr>
          <w:noProof/>
        </w:rPr>
        <w:t xml:space="preserve">to do </w:t>
      </w:r>
      <w:r w:rsidR="5E055717">
        <w:rPr>
          <w:noProof/>
        </w:rPr>
        <w:t>some</w:t>
      </w:r>
      <w:r w:rsidR="007D3EBD" w:rsidRPr="00E06F4C">
        <w:rPr>
          <w:noProof/>
        </w:rPr>
        <w:t xml:space="preserve"> checks</w:t>
      </w:r>
      <w:r w:rsidR="13496B9E">
        <w:rPr>
          <w:noProof/>
        </w:rPr>
        <w:t xml:space="preserve"> before agreeing to give relief</w:t>
      </w:r>
      <w:r w:rsidR="79AD39E5">
        <w:rPr>
          <w:noProof/>
        </w:rPr>
        <w:t xml:space="preserve"> </w:t>
      </w:r>
      <w:r w:rsidR="6FBC8158">
        <w:rPr>
          <w:noProof/>
        </w:rPr>
        <w:t>have the possibility</w:t>
      </w:r>
      <w:r w:rsidR="79AD39E5">
        <w:rPr>
          <w:noProof/>
        </w:rPr>
        <w:t xml:space="preserve"> </w:t>
      </w:r>
      <w:r w:rsidR="6892F777">
        <w:rPr>
          <w:noProof/>
        </w:rPr>
        <w:t xml:space="preserve">to </w:t>
      </w:r>
      <w:r w:rsidR="79AD39E5">
        <w:rPr>
          <w:noProof/>
        </w:rPr>
        <w:t>not apply the</w:t>
      </w:r>
      <w:r w:rsidR="007D3EBD" w:rsidRPr="00E06F4C">
        <w:rPr>
          <w:noProof/>
        </w:rPr>
        <w:t xml:space="preserve"> relief at source or quick refund </w:t>
      </w:r>
      <w:r w:rsidR="594776BC">
        <w:rPr>
          <w:noProof/>
        </w:rPr>
        <w:t>system</w:t>
      </w:r>
      <w:r w:rsidR="3D91AFEA">
        <w:rPr>
          <w:noProof/>
        </w:rPr>
        <w:t>s</w:t>
      </w:r>
      <w:r w:rsidR="594776BC">
        <w:rPr>
          <w:noProof/>
        </w:rPr>
        <w:t xml:space="preserve"> </w:t>
      </w:r>
      <w:r w:rsidR="004B6594">
        <w:rPr>
          <w:noProof/>
        </w:rPr>
        <w:t xml:space="preserve">to be </w:t>
      </w:r>
      <w:r w:rsidR="00C7069B">
        <w:rPr>
          <w:noProof/>
        </w:rPr>
        <w:t>introduced</w:t>
      </w:r>
      <w:r w:rsidR="00C7069B" w:rsidRPr="00E06F4C">
        <w:rPr>
          <w:noProof/>
        </w:rPr>
        <w:t xml:space="preserve"> </w:t>
      </w:r>
      <w:r>
        <w:rPr>
          <w:noProof/>
        </w:rPr>
        <w:t xml:space="preserve">under this Directive </w:t>
      </w:r>
      <w:r w:rsidR="5DF05693">
        <w:rPr>
          <w:noProof/>
        </w:rPr>
        <w:t xml:space="preserve">in some </w:t>
      </w:r>
      <w:r w:rsidR="274264C6">
        <w:rPr>
          <w:noProof/>
        </w:rPr>
        <w:t xml:space="preserve">specific </w:t>
      </w:r>
      <w:r w:rsidR="5DF05693">
        <w:rPr>
          <w:noProof/>
        </w:rPr>
        <w:t>circumstances</w:t>
      </w:r>
      <w:r w:rsidR="5F2FCA7F">
        <w:rPr>
          <w:noProof/>
        </w:rPr>
        <w:t xml:space="preserve">. This possibility is specifically </w:t>
      </w:r>
      <w:r w:rsidR="00C7069B">
        <w:rPr>
          <w:noProof/>
        </w:rPr>
        <w:t xml:space="preserve">envisaged </w:t>
      </w:r>
      <w:r w:rsidR="5F2FCA7F">
        <w:rPr>
          <w:noProof/>
        </w:rPr>
        <w:t xml:space="preserve">in the case of a request for exemption and when </w:t>
      </w:r>
      <w:r w:rsidR="64C2792F">
        <w:rPr>
          <w:noProof/>
        </w:rPr>
        <w:t xml:space="preserve">information provided under heading E of Annex II </w:t>
      </w:r>
      <w:r w:rsidR="24C17C93">
        <w:rPr>
          <w:noProof/>
        </w:rPr>
        <w:t>indicates that</w:t>
      </w:r>
      <w:r w:rsidR="66A3E28F">
        <w:rPr>
          <w:noProof/>
        </w:rPr>
        <w:t xml:space="preserve"> </w:t>
      </w:r>
      <w:r w:rsidR="497A461D">
        <w:rPr>
          <w:noProof/>
        </w:rPr>
        <w:t xml:space="preserve">the underlying </w:t>
      </w:r>
      <w:r w:rsidR="21024BD3">
        <w:rPr>
          <w:noProof/>
        </w:rPr>
        <w:t>securities</w:t>
      </w:r>
      <w:r w:rsidR="00077614">
        <w:rPr>
          <w:noProof/>
        </w:rPr>
        <w:t xml:space="preserve"> </w:t>
      </w:r>
      <w:r>
        <w:rPr>
          <w:noProof/>
        </w:rPr>
        <w:t>have been</w:t>
      </w:r>
      <w:r w:rsidR="007D3EBD" w:rsidRPr="00E06F4C">
        <w:rPr>
          <w:noProof/>
        </w:rPr>
        <w:t xml:space="preserve"> acquired </w:t>
      </w:r>
      <w:r>
        <w:rPr>
          <w:noProof/>
        </w:rPr>
        <w:t xml:space="preserve">within </w:t>
      </w:r>
      <w:r w:rsidR="007D3EBD" w:rsidRPr="00E06F4C">
        <w:rPr>
          <w:noProof/>
        </w:rPr>
        <w:t xml:space="preserve">two calendar days </w:t>
      </w:r>
      <w:r w:rsidR="00007F35">
        <w:rPr>
          <w:noProof/>
        </w:rPr>
        <w:t>of</w:t>
      </w:r>
      <w:r w:rsidR="00007F35" w:rsidRPr="00E06F4C">
        <w:rPr>
          <w:noProof/>
        </w:rPr>
        <w:t xml:space="preserve"> </w:t>
      </w:r>
      <w:r w:rsidR="007D3EBD" w:rsidRPr="00E06F4C">
        <w:rPr>
          <w:noProof/>
        </w:rPr>
        <w:t>the ex-dividend date</w:t>
      </w:r>
      <w:r w:rsidR="001458E9">
        <w:rPr>
          <w:noProof/>
        </w:rPr>
        <w:t xml:space="preserve"> </w:t>
      </w:r>
      <w:r w:rsidR="76E6F943">
        <w:rPr>
          <w:noProof/>
        </w:rPr>
        <w:t>and/</w:t>
      </w:r>
      <w:r w:rsidR="05FE7838">
        <w:rPr>
          <w:noProof/>
        </w:rPr>
        <w:t xml:space="preserve">or that </w:t>
      </w:r>
      <w:r w:rsidR="524C1D73">
        <w:rPr>
          <w:noProof/>
        </w:rPr>
        <w:t xml:space="preserve">the financial intermediary reports being aware </w:t>
      </w:r>
      <w:r w:rsidR="524C1D73" w:rsidRPr="2B607E20">
        <w:rPr>
          <w:rFonts w:eastAsia="Times New Roman"/>
          <w:noProof/>
          <w:color w:val="000000" w:themeColor="text1"/>
        </w:rPr>
        <w:t xml:space="preserve">of a financial arrangement involving </w:t>
      </w:r>
      <w:r w:rsidR="524C1D73" w:rsidRPr="00750B08">
        <w:rPr>
          <w:noProof/>
        </w:rPr>
        <w:t>the underlying securities that has not been settled</w:t>
      </w:r>
      <w:r w:rsidR="75D2860F" w:rsidRPr="00750B08">
        <w:rPr>
          <w:noProof/>
        </w:rPr>
        <w:t>,</w:t>
      </w:r>
      <w:r w:rsidR="524C1D73">
        <w:rPr>
          <w:noProof/>
        </w:rPr>
        <w:t xml:space="preserve"> </w:t>
      </w:r>
      <w:r w:rsidR="2C1E8CBD" w:rsidRPr="00750B08">
        <w:rPr>
          <w:noProof/>
        </w:rPr>
        <w:t>expired or otherwise terminated at the ex-dividend date</w:t>
      </w:r>
      <w:r w:rsidR="38FAB1E5" w:rsidRPr="00750B08">
        <w:rPr>
          <w:noProof/>
        </w:rPr>
        <w:t>.</w:t>
      </w:r>
    </w:p>
    <w:p w14:paraId="1A2FCB88" w14:textId="77777777" w:rsidR="007D3EBD" w:rsidRPr="00E06F4C" w:rsidRDefault="009F2927" w:rsidP="007D3EBD">
      <w:pPr>
        <w:rPr>
          <w:noProof/>
        </w:rPr>
      </w:pPr>
      <w:r>
        <w:rPr>
          <w:noProof/>
        </w:rPr>
        <w:t xml:space="preserve">Where the </w:t>
      </w:r>
      <w:r w:rsidR="63FFA7D4">
        <w:rPr>
          <w:noProof/>
        </w:rPr>
        <w:t xml:space="preserve">relief at source and quick refund </w:t>
      </w:r>
      <w:r>
        <w:rPr>
          <w:noProof/>
        </w:rPr>
        <w:t>systems set out in this Directive do not apply</w:t>
      </w:r>
      <w:r w:rsidR="007D3EBD" w:rsidRPr="00E06F4C">
        <w:rPr>
          <w:noProof/>
        </w:rPr>
        <w:t>, a standard refund procedure will be applied</w:t>
      </w:r>
      <w:r w:rsidR="499DE037">
        <w:rPr>
          <w:noProof/>
        </w:rPr>
        <w:t>,</w:t>
      </w:r>
      <w:r w:rsidR="3DF5B85F">
        <w:rPr>
          <w:noProof/>
        </w:rPr>
        <w:t xml:space="preserve"> </w:t>
      </w:r>
      <w:r w:rsidR="2ACD4E89">
        <w:rPr>
          <w:noProof/>
        </w:rPr>
        <w:t>where the taxpayer or its appointed representative, which does not necessarily have to be a financial institution, are able to directly request a refund to the tax authority</w:t>
      </w:r>
      <w:r w:rsidR="748E06D9">
        <w:rPr>
          <w:noProof/>
        </w:rPr>
        <w:t>. T</w:t>
      </w:r>
      <w:r w:rsidR="499DE037">
        <w:rPr>
          <w:noProof/>
        </w:rPr>
        <w:t>h</w:t>
      </w:r>
      <w:r w:rsidR="5BB8364D">
        <w:rPr>
          <w:noProof/>
        </w:rPr>
        <w:t>is Direct</w:t>
      </w:r>
      <w:r w:rsidR="0CD78D1B">
        <w:rPr>
          <w:noProof/>
        </w:rPr>
        <w:t xml:space="preserve">ive </w:t>
      </w:r>
      <w:r w:rsidR="5BB8364D">
        <w:rPr>
          <w:noProof/>
        </w:rPr>
        <w:t xml:space="preserve">also </w:t>
      </w:r>
      <w:r w:rsidR="0055469A">
        <w:rPr>
          <w:noProof/>
        </w:rPr>
        <w:t xml:space="preserve">ensures </w:t>
      </w:r>
      <w:r w:rsidR="00AF29AA">
        <w:rPr>
          <w:noProof/>
        </w:rPr>
        <w:t>that</w:t>
      </w:r>
      <w:r w:rsidR="697FE456">
        <w:rPr>
          <w:noProof/>
        </w:rPr>
        <w:t xml:space="preserve"> </w:t>
      </w:r>
      <w:r w:rsidR="00AF29AA">
        <w:rPr>
          <w:noProof/>
        </w:rPr>
        <w:t xml:space="preserve">at least </w:t>
      </w:r>
      <w:r w:rsidR="5BB8364D">
        <w:rPr>
          <w:noProof/>
        </w:rPr>
        <w:t>th</w:t>
      </w:r>
      <w:r w:rsidR="499DE037">
        <w:rPr>
          <w:noProof/>
        </w:rPr>
        <w:t xml:space="preserve">e content of the information to be reported to the tax authority </w:t>
      </w:r>
      <w:r w:rsidR="00AF29AA">
        <w:rPr>
          <w:noProof/>
        </w:rPr>
        <w:t xml:space="preserve">will cover </w:t>
      </w:r>
      <w:r w:rsidR="432F9039">
        <w:rPr>
          <w:noProof/>
        </w:rPr>
        <w:t xml:space="preserve">the information </w:t>
      </w:r>
      <w:r w:rsidR="00AF29AA">
        <w:rPr>
          <w:noProof/>
        </w:rPr>
        <w:t xml:space="preserve">envisaged </w:t>
      </w:r>
      <w:r w:rsidR="432F9039">
        <w:rPr>
          <w:noProof/>
        </w:rPr>
        <w:t>under</w:t>
      </w:r>
      <w:r w:rsidR="00AF29AA">
        <w:rPr>
          <w:noProof/>
        </w:rPr>
        <w:t xml:space="preserve"> heading E of</w:t>
      </w:r>
      <w:r w:rsidR="432F9039">
        <w:rPr>
          <w:noProof/>
        </w:rPr>
        <w:t xml:space="preserve"> Annex II</w:t>
      </w:r>
      <w:r w:rsidR="007D3EBD" w:rsidRPr="00E06F4C">
        <w:rPr>
          <w:noProof/>
        </w:rPr>
        <w:t>.</w:t>
      </w:r>
    </w:p>
    <w:p w14:paraId="369FD42F" w14:textId="77777777" w:rsidR="00DD40D1" w:rsidRPr="00366B47" w:rsidRDefault="00DD40D1" w:rsidP="00DD40D1">
      <w:pPr>
        <w:rPr>
          <w:b/>
          <w:noProof/>
        </w:rPr>
      </w:pPr>
      <w:r w:rsidRPr="00366B47">
        <w:rPr>
          <w:b/>
          <w:noProof/>
        </w:rPr>
        <w:t>General Provisions</w:t>
      </w:r>
    </w:p>
    <w:p w14:paraId="2C9BD642" w14:textId="5B993260" w:rsidR="00977CF6" w:rsidRPr="002D6769" w:rsidRDefault="007D3EBD" w:rsidP="00896B16">
      <w:pPr>
        <w:spacing w:before="0" w:after="0"/>
        <w:rPr>
          <w:noProof/>
        </w:rPr>
        <w:sectPr w:rsidR="00977CF6" w:rsidRPr="002D6769" w:rsidSect="00B018F6">
          <w:footerReference w:type="default" r:id="rId15"/>
          <w:footerReference w:type="first" r:id="rId16"/>
          <w:pgSz w:w="11907" w:h="16839"/>
          <w:pgMar w:top="1134" w:right="1417" w:bottom="1134" w:left="1417" w:header="709" w:footer="709" w:gutter="0"/>
          <w:cols w:space="708"/>
          <w:docGrid w:linePitch="360"/>
        </w:sectPr>
      </w:pPr>
      <w:r w:rsidRPr="00E06F4C">
        <w:rPr>
          <w:noProof/>
        </w:rPr>
        <w:t>Chapter 4 deals with general and final provisions</w:t>
      </w:r>
      <w:r w:rsidR="009F2927">
        <w:rPr>
          <w:noProof/>
        </w:rPr>
        <w:t xml:space="preserve"> and</w:t>
      </w:r>
      <w:r w:rsidRPr="00E06F4C">
        <w:rPr>
          <w:noProof/>
        </w:rPr>
        <w:t xml:space="preserve"> in particular, implementing acts, evaluation and monitoring, data protection rules, transposition and entry into force.</w:t>
      </w:r>
      <w:r w:rsidR="00AF29AA">
        <w:rPr>
          <w:noProof/>
        </w:rPr>
        <w:t xml:space="preserve"> </w:t>
      </w:r>
      <w:r w:rsidR="000E64B0" w:rsidRPr="000E64B0">
        <w:rPr>
          <w:noProof/>
        </w:rPr>
        <w:t>This proposal, once adopted, should be transposed into Member States’ national law by 31</w:t>
      </w:r>
      <w:r w:rsidR="00AB36F3">
        <w:rPr>
          <w:noProof/>
        </w:rPr>
        <w:t> </w:t>
      </w:r>
      <w:r w:rsidR="000E64B0" w:rsidRPr="000E64B0">
        <w:rPr>
          <w:noProof/>
        </w:rPr>
        <w:t>December 2026. It should come into effect as of two years after the implementing acts have been adopted, which is expected to be by 1</w:t>
      </w:r>
      <w:r w:rsidR="00AB36F3">
        <w:rPr>
          <w:noProof/>
        </w:rPr>
        <w:t> </w:t>
      </w:r>
      <w:r w:rsidR="000E64B0" w:rsidRPr="000E64B0">
        <w:rPr>
          <w:noProof/>
        </w:rPr>
        <w:t>January</w:t>
      </w:r>
      <w:r w:rsidR="00AB36F3">
        <w:rPr>
          <w:noProof/>
        </w:rPr>
        <w:t> </w:t>
      </w:r>
      <w:r w:rsidR="000E64B0" w:rsidRPr="000E64B0">
        <w:rPr>
          <w:noProof/>
        </w:rPr>
        <w:t>2027.</w:t>
      </w:r>
    </w:p>
    <w:p w14:paraId="118A1802" w14:textId="32ABF116" w:rsidR="00D10B58" w:rsidRDefault="00D10B58" w:rsidP="00D10B58">
      <w:pPr>
        <w:pStyle w:val="Rfrenceinterinstitutionnelle"/>
        <w:rPr>
          <w:noProof/>
        </w:rPr>
      </w:pPr>
      <w:r w:rsidRPr="00D10B58">
        <w:t>2023/0187 (CNS)</w:t>
      </w:r>
    </w:p>
    <w:p w14:paraId="71776AE1" w14:textId="08DFECBF" w:rsidR="00977CF6" w:rsidRPr="002D6769" w:rsidRDefault="006F5450" w:rsidP="006F5450">
      <w:pPr>
        <w:pStyle w:val="Statut"/>
        <w:rPr>
          <w:noProof/>
        </w:rPr>
      </w:pPr>
      <w:r w:rsidRPr="006F5450">
        <w:rPr>
          <w:noProof/>
        </w:rPr>
        <w:t>Proposal for a</w:t>
      </w:r>
    </w:p>
    <w:p w14:paraId="0D4C2FD4" w14:textId="6D6C4ABE" w:rsidR="00A9081A" w:rsidRDefault="006F5450" w:rsidP="006F5450">
      <w:pPr>
        <w:pStyle w:val="Typedudocument"/>
        <w:rPr>
          <w:noProof/>
        </w:rPr>
      </w:pPr>
      <w:r w:rsidRPr="006F5450">
        <w:rPr>
          <w:noProof/>
        </w:rPr>
        <w:t>COUNCIL DIRECTIVE</w:t>
      </w:r>
    </w:p>
    <w:p w14:paraId="36B09FB7" w14:textId="2F46C58C" w:rsidR="003F5F62" w:rsidRPr="00CF3EFD" w:rsidRDefault="006F5450" w:rsidP="006F5450">
      <w:pPr>
        <w:pStyle w:val="Titreobjet"/>
        <w:rPr>
          <w:noProof/>
        </w:rPr>
      </w:pPr>
      <w:r w:rsidRPr="006F5450">
        <w:rPr>
          <w:noProof/>
        </w:rPr>
        <w:t>on Faster and Safer Relief of Excess Withholding Taxes</w:t>
      </w:r>
    </w:p>
    <w:p w14:paraId="562220DB" w14:textId="77777777" w:rsidR="00977CF6" w:rsidRPr="002D6769" w:rsidRDefault="00977CF6" w:rsidP="00977CF6">
      <w:pPr>
        <w:pStyle w:val="Institutionquiagit"/>
        <w:rPr>
          <w:noProof/>
        </w:rPr>
      </w:pPr>
      <w:r w:rsidRPr="002D6769">
        <w:rPr>
          <w:noProof/>
        </w:rPr>
        <w:t>THE COUNCIL OF THE EUROPEAN UNION,</w:t>
      </w:r>
    </w:p>
    <w:p w14:paraId="765359EE" w14:textId="77777777" w:rsidR="00977CF6" w:rsidRPr="002D6769" w:rsidRDefault="00977CF6" w:rsidP="00977CF6">
      <w:pPr>
        <w:rPr>
          <w:noProof/>
        </w:rPr>
      </w:pPr>
      <w:r w:rsidRPr="002D6769">
        <w:rPr>
          <w:noProof/>
        </w:rPr>
        <w:t xml:space="preserve">Having regard to the Treaty on the Functioning of the European Union, and in particular Article </w:t>
      </w:r>
      <w:r>
        <w:rPr>
          <w:noProof/>
        </w:rPr>
        <w:t>115</w:t>
      </w:r>
      <w:r w:rsidRPr="002D6769">
        <w:rPr>
          <w:noProof/>
        </w:rPr>
        <w:t xml:space="preserve"> thereof,</w:t>
      </w:r>
    </w:p>
    <w:p w14:paraId="76AE00A2" w14:textId="77777777" w:rsidR="00977CF6" w:rsidRPr="002D6769" w:rsidRDefault="00977CF6" w:rsidP="00977CF6">
      <w:pPr>
        <w:rPr>
          <w:noProof/>
        </w:rPr>
      </w:pPr>
      <w:r w:rsidRPr="002D6769">
        <w:rPr>
          <w:noProof/>
        </w:rPr>
        <w:t>Having regard to the proposal from the European Commission,</w:t>
      </w:r>
    </w:p>
    <w:p w14:paraId="0C5B4CC0" w14:textId="77777777" w:rsidR="00977CF6" w:rsidRPr="002D6769" w:rsidRDefault="00977CF6" w:rsidP="00977CF6">
      <w:pPr>
        <w:rPr>
          <w:noProof/>
        </w:rPr>
      </w:pPr>
      <w:r w:rsidRPr="002D6769">
        <w:rPr>
          <w:noProof/>
        </w:rPr>
        <w:t xml:space="preserve">After transmission of the draft legislative act to the national </w:t>
      </w:r>
      <w:r>
        <w:rPr>
          <w:noProof/>
        </w:rPr>
        <w:t>p</w:t>
      </w:r>
      <w:r w:rsidRPr="002D6769">
        <w:rPr>
          <w:noProof/>
        </w:rPr>
        <w:t>arliaments,</w:t>
      </w:r>
    </w:p>
    <w:p w14:paraId="259C2C02" w14:textId="77777777" w:rsidR="00977CF6" w:rsidRPr="002D6769" w:rsidRDefault="00977CF6" w:rsidP="00977CF6">
      <w:pPr>
        <w:rPr>
          <w:noProof/>
        </w:rPr>
      </w:pPr>
      <w:r w:rsidRPr="002D6769">
        <w:rPr>
          <w:noProof/>
        </w:rPr>
        <w:t>Having regard to the opinion of the European Parliament</w:t>
      </w:r>
      <w:r w:rsidRPr="002D6769">
        <w:rPr>
          <w:rStyle w:val="FootnoteReference"/>
          <w:noProof/>
        </w:rPr>
        <w:footnoteReference w:id="27"/>
      </w:r>
      <w:r w:rsidRPr="002D6769">
        <w:rPr>
          <w:noProof/>
        </w:rPr>
        <w:t xml:space="preserve">, </w:t>
      </w:r>
    </w:p>
    <w:p w14:paraId="7350FC6D" w14:textId="77777777" w:rsidR="00977CF6" w:rsidRPr="002D6769" w:rsidRDefault="00977CF6" w:rsidP="00977CF6">
      <w:pPr>
        <w:rPr>
          <w:noProof/>
        </w:rPr>
      </w:pPr>
      <w:r w:rsidRPr="002D6769">
        <w:rPr>
          <w:noProof/>
        </w:rPr>
        <w:t>Having regard to the opinion of the European Economic and Social Committee</w:t>
      </w:r>
      <w:r w:rsidRPr="002D6769">
        <w:rPr>
          <w:rStyle w:val="FootnoteReference"/>
          <w:noProof/>
        </w:rPr>
        <w:footnoteReference w:id="28"/>
      </w:r>
      <w:r w:rsidRPr="002D6769">
        <w:rPr>
          <w:noProof/>
        </w:rPr>
        <w:t xml:space="preserve">, </w:t>
      </w:r>
    </w:p>
    <w:p w14:paraId="04F0C82E" w14:textId="77777777" w:rsidR="00977CF6" w:rsidRPr="002D6769" w:rsidRDefault="00977CF6" w:rsidP="00977CF6">
      <w:pPr>
        <w:rPr>
          <w:noProof/>
        </w:rPr>
      </w:pPr>
      <w:r w:rsidRPr="002D6769">
        <w:rPr>
          <w:noProof/>
        </w:rPr>
        <w:t>Acting in accordance with a special legislative procedure,</w:t>
      </w:r>
    </w:p>
    <w:p w14:paraId="243C3373" w14:textId="77777777" w:rsidR="00977CF6" w:rsidRPr="002D6769" w:rsidRDefault="00977CF6" w:rsidP="00977CF6">
      <w:pPr>
        <w:rPr>
          <w:noProof/>
        </w:rPr>
      </w:pPr>
      <w:r w:rsidRPr="002D6769">
        <w:rPr>
          <w:noProof/>
        </w:rPr>
        <w:t>Whereas:</w:t>
      </w:r>
      <w:r w:rsidR="00B03B16">
        <w:rPr>
          <w:noProof/>
        </w:rPr>
        <w:t xml:space="preserve"> </w:t>
      </w:r>
    </w:p>
    <w:p w14:paraId="348E9919" w14:textId="77777777" w:rsidR="002B1027" w:rsidRPr="002B1027" w:rsidRDefault="00282923" w:rsidP="00282923">
      <w:pPr>
        <w:pStyle w:val="ManualConsidrant"/>
        <w:rPr>
          <w:noProof/>
        </w:rPr>
      </w:pPr>
      <w:r w:rsidRPr="00282923">
        <w:rPr>
          <w:noProof/>
        </w:rPr>
        <w:t>(1)</w:t>
      </w:r>
      <w:r w:rsidRPr="00282923">
        <w:rPr>
          <w:noProof/>
        </w:rPr>
        <w:tab/>
      </w:r>
      <w:r w:rsidR="00E00A2B">
        <w:rPr>
          <w:noProof/>
        </w:rPr>
        <w:t>Ensuring fair taxation in the internal market and the good function</w:t>
      </w:r>
      <w:r w:rsidR="00C75979">
        <w:rPr>
          <w:noProof/>
        </w:rPr>
        <w:t>ing</w:t>
      </w:r>
      <w:r w:rsidR="00E00A2B">
        <w:rPr>
          <w:noProof/>
        </w:rPr>
        <w:t xml:space="preserve"> of the Capital Markets Union</w:t>
      </w:r>
      <w:r w:rsidR="00310D30">
        <w:rPr>
          <w:noProof/>
        </w:rPr>
        <w:t xml:space="preserve"> (CMU)</w:t>
      </w:r>
      <w:r w:rsidR="00E00A2B">
        <w:rPr>
          <w:noProof/>
        </w:rPr>
        <w:t xml:space="preserve"> are political priorities </w:t>
      </w:r>
      <w:r w:rsidR="00B67ECD">
        <w:rPr>
          <w:noProof/>
        </w:rPr>
        <w:t xml:space="preserve">for </w:t>
      </w:r>
      <w:r w:rsidR="00E00A2B">
        <w:rPr>
          <w:noProof/>
        </w:rPr>
        <w:t xml:space="preserve">the </w:t>
      </w:r>
      <w:r w:rsidR="00B67ECD">
        <w:rPr>
          <w:noProof/>
        </w:rPr>
        <w:t>European</w:t>
      </w:r>
      <w:r w:rsidR="00E00A2B">
        <w:rPr>
          <w:noProof/>
        </w:rPr>
        <w:t xml:space="preserve"> Union</w:t>
      </w:r>
      <w:r w:rsidR="00AC75EF">
        <w:rPr>
          <w:noProof/>
        </w:rPr>
        <w:t xml:space="preserve"> (EU)</w:t>
      </w:r>
      <w:r w:rsidR="00E00A2B">
        <w:rPr>
          <w:noProof/>
        </w:rPr>
        <w:t>.</w:t>
      </w:r>
      <w:r w:rsidR="00C82523">
        <w:rPr>
          <w:noProof/>
        </w:rPr>
        <w:t xml:space="preserve"> </w:t>
      </w:r>
      <w:r w:rsidR="002E6EE2">
        <w:rPr>
          <w:noProof/>
        </w:rPr>
        <w:t>In this context</w:t>
      </w:r>
      <w:r w:rsidR="0013469B">
        <w:rPr>
          <w:noProof/>
        </w:rPr>
        <w:t>, r</w:t>
      </w:r>
      <w:r w:rsidR="00C82523">
        <w:rPr>
          <w:noProof/>
        </w:rPr>
        <w:t>emoving obstacles to cross-border investment</w:t>
      </w:r>
      <w:r w:rsidR="0013469B">
        <w:rPr>
          <w:noProof/>
        </w:rPr>
        <w:t xml:space="preserve">, </w:t>
      </w:r>
      <w:r w:rsidR="00C82523">
        <w:rPr>
          <w:noProof/>
        </w:rPr>
        <w:t xml:space="preserve">while </w:t>
      </w:r>
      <w:r w:rsidR="00B30D34">
        <w:rPr>
          <w:noProof/>
        </w:rPr>
        <w:t>combating</w:t>
      </w:r>
      <w:r w:rsidR="00C82523">
        <w:rPr>
          <w:noProof/>
        </w:rPr>
        <w:t xml:space="preserve"> tax </w:t>
      </w:r>
      <w:r w:rsidR="007B4421">
        <w:rPr>
          <w:noProof/>
        </w:rPr>
        <w:t>fraud and abuse</w:t>
      </w:r>
      <w:r w:rsidR="00C82523">
        <w:rPr>
          <w:noProof/>
        </w:rPr>
        <w:t xml:space="preserve"> </w:t>
      </w:r>
      <w:r w:rsidR="00430768">
        <w:rPr>
          <w:noProof/>
        </w:rPr>
        <w:t>is</w:t>
      </w:r>
      <w:r w:rsidR="00C82523">
        <w:rPr>
          <w:noProof/>
        </w:rPr>
        <w:t xml:space="preserve"> critical. </w:t>
      </w:r>
      <w:r w:rsidR="002E6EE2">
        <w:rPr>
          <w:noProof/>
        </w:rPr>
        <w:t xml:space="preserve">Such obstacles </w:t>
      </w:r>
      <w:r w:rsidR="0010322F">
        <w:rPr>
          <w:noProof/>
        </w:rPr>
        <w:t>exist</w:t>
      </w:r>
      <w:r w:rsidR="00B73677">
        <w:rPr>
          <w:noProof/>
        </w:rPr>
        <w:t>, for example,</w:t>
      </w:r>
      <w:r w:rsidR="0010322F">
        <w:rPr>
          <w:noProof/>
        </w:rPr>
        <w:t xml:space="preserve"> through</w:t>
      </w:r>
      <w:r w:rsidR="00C00D59">
        <w:rPr>
          <w:noProof/>
        </w:rPr>
        <w:t xml:space="preserve"> </w:t>
      </w:r>
      <w:r w:rsidR="002E6EE2">
        <w:rPr>
          <w:noProof/>
        </w:rPr>
        <w:t xml:space="preserve">inefficient and disproportionately burdensome procedures to relieve </w:t>
      </w:r>
      <w:r w:rsidR="00C00D59">
        <w:rPr>
          <w:noProof/>
        </w:rPr>
        <w:t xml:space="preserve">excess </w:t>
      </w:r>
      <w:r w:rsidR="008B725D">
        <w:rPr>
          <w:noProof/>
        </w:rPr>
        <w:t>taxes withheld</w:t>
      </w:r>
      <w:r w:rsidR="002E6EE2">
        <w:rPr>
          <w:noProof/>
        </w:rPr>
        <w:t xml:space="preserve"> at source </w:t>
      </w:r>
      <w:r w:rsidR="002E6EE2" w:rsidRPr="00AF7204">
        <w:rPr>
          <w:noProof/>
        </w:rPr>
        <w:t xml:space="preserve">on </w:t>
      </w:r>
      <w:r w:rsidR="008B725D" w:rsidRPr="00AF7204">
        <w:rPr>
          <w:noProof/>
        </w:rPr>
        <w:t xml:space="preserve">dividend </w:t>
      </w:r>
      <w:r w:rsidR="00DA7ECB" w:rsidRPr="00AF7204">
        <w:rPr>
          <w:noProof/>
        </w:rPr>
        <w:t>or interest</w:t>
      </w:r>
      <w:r w:rsidR="008B725D" w:rsidRPr="00AF7204">
        <w:rPr>
          <w:noProof/>
        </w:rPr>
        <w:t xml:space="preserve"> income</w:t>
      </w:r>
      <w:r w:rsidR="00BC0F4E" w:rsidRPr="00AF7204">
        <w:rPr>
          <w:noProof/>
        </w:rPr>
        <w:t xml:space="preserve"> paid </w:t>
      </w:r>
      <w:r w:rsidR="00DA7ECB" w:rsidRPr="00AF7204">
        <w:rPr>
          <w:noProof/>
        </w:rPr>
        <w:t>on shares or bonds</w:t>
      </w:r>
      <w:r w:rsidR="00BC0F4E" w:rsidRPr="00AF7204">
        <w:rPr>
          <w:noProof/>
        </w:rPr>
        <w:t xml:space="preserve"> traded publicly</w:t>
      </w:r>
      <w:r w:rsidR="005C75AA" w:rsidRPr="00AF7204">
        <w:rPr>
          <w:noProof/>
        </w:rPr>
        <w:t xml:space="preserve"> to non-resident investors</w:t>
      </w:r>
      <w:r w:rsidR="002E6EE2" w:rsidRPr="00AF7204">
        <w:rPr>
          <w:noProof/>
        </w:rPr>
        <w:t>.</w:t>
      </w:r>
      <w:r w:rsidR="002E6EE2">
        <w:rPr>
          <w:noProof/>
        </w:rPr>
        <w:t xml:space="preserve"> </w:t>
      </w:r>
      <w:r w:rsidR="008B725D">
        <w:rPr>
          <w:noProof/>
        </w:rPr>
        <w:t xml:space="preserve">In addition, </w:t>
      </w:r>
      <w:r w:rsidR="00712A05">
        <w:rPr>
          <w:noProof/>
        </w:rPr>
        <w:t xml:space="preserve">the </w:t>
      </w:r>
      <w:r w:rsidR="00F82941">
        <w:rPr>
          <w:noProof/>
        </w:rPr>
        <w:t>status quo</w:t>
      </w:r>
      <w:r w:rsidR="008B725D">
        <w:rPr>
          <w:noProof/>
        </w:rPr>
        <w:t xml:space="preserve"> </w:t>
      </w:r>
      <w:r w:rsidR="009B2CE7">
        <w:rPr>
          <w:noProof/>
        </w:rPr>
        <w:t>has</w:t>
      </w:r>
      <w:r w:rsidR="008B725D">
        <w:rPr>
          <w:noProof/>
        </w:rPr>
        <w:t xml:space="preserve"> </w:t>
      </w:r>
      <w:r w:rsidR="00C00D59">
        <w:rPr>
          <w:noProof/>
        </w:rPr>
        <w:t xml:space="preserve">proven </w:t>
      </w:r>
      <w:r w:rsidR="008B725D">
        <w:rPr>
          <w:noProof/>
        </w:rPr>
        <w:t xml:space="preserve">inadequate </w:t>
      </w:r>
      <w:r w:rsidR="009B2CE7">
        <w:rPr>
          <w:noProof/>
        </w:rPr>
        <w:t xml:space="preserve">in </w:t>
      </w:r>
      <w:r w:rsidR="008B725D">
        <w:rPr>
          <w:noProof/>
        </w:rPr>
        <w:t>prevent</w:t>
      </w:r>
      <w:r w:rsidR="009B2CE7">
        <w:rPr>
          <w:noProof/>
        </w:rPr>
        <w:t>ing recurring</w:t>
      </w:r>
      <w:r w:rsidR="008B725D">
        <w:rPr>
          <w:noProof/>
        </w:rPr>
        <w:t xml:space="preserve"> risk</w:t>
      </w:r>
      <w:r w:rsidR="009B2CE7">
        <w:rPr>
          <w:noProof/>
        </w:rPr>
        <w:t>s</w:t>
      </w:r>
      <w:r w:rsidR="008B725D">
        <w:rPr>
          <w:noProof/>
        </w:rPr>
        <w:t xml:space="preserve"> of tax fraud, </w:t>
      </w:r>
      <w:r w:rsidR="00C00D59">
        <w:rPr>
          <w:noProof/>
        </w:rPr>
        <w:t xml:space="preserve">evasion and </w:t>
      </w:r>
      <w:r w:rsidR="008B725D">
        <w:rPr>
          <w:noProof/>
        </w:rPr>
        <w:t xml:space="preserve">avoidance, </w:t>
      </w:r>
      <w:r w:rsidR="00C00D59">
        <w:rPr>
          <w:noProof/>
        </w:rPr>
        <w:t xml:space="preserve">as shown by </w:t>
      </w:r>
      <w:r w:rsidR="008B725D">
        <w:rPr>
          <w:noProof/>
        </w:rPr>
        <w:t>the recent Cum/</w:t>
      </w:r>
      <w:r w:rsidR="00C75979">
        <w:rPr>
          <w:noProof/>
        </w:rPr>
        <w:t>E</w:t>
      </w:r>
      <w:r w:rsidR="008B725D">
        <w:rPr>
          <w:noProof/>
        </w:rPr>
        <w:t xml:space="preserve">x </w:t>
      </w:r>
      <w:r w:rsidR="00C75979" w:rsidRPr="001B59BA">
        <w:rPr>
          <w:noProof/>
        </w:rPr>
        <w:t>and Cum/Cum</w:t>
      </w:r>
      <w:r w:rsidR="00C75979">
        <w:rPr>
          <w:noProof/>
        </w:rPr>
        <w:t xml:space="preserve"> </w:t>
      </w:r>
      <w:r w:rsidR="008B725D">
        <w:rPr>
          <w:noProof/>
        </w:rPr>
        <w:t>scandal</w:t>
      </w:r>
      <w:r w:rsidR="00C75979">
        <w:rPr>
          <w:noProof/>
        </w:rPr>
        <w:t>s</w:t>
      </w:r>
      <w:r w:rsidR="00D065C7">
        <w:rPr>
          <w:noProof/>
        </w:rPr>
        <w:t>.</w:t>
      </w:r>
      <w:r w:rsidR="008B725D">
        <w:rPr>
          <w:noProof/>
        </w:rPr>
        <w:t xml:space="preserve"> This proposal </w:t>
      </w:r>
      <w:r w:rsidR="002B1027">
        <w:rPr>
          <w:noProof/>
        </w:rPr>
        <w:t xml:space="preserve">seeks to </w:t>
      </w:r>
      <w:r w:rsidR="0081344C">
        <w:rPr>
          <w:noProof/>
        </w:rPr>
        <w:t>make</w:t>
      </w:r>
      <w:r w:rsidR="002B1027">
        <w:rPr>
          <w:noProof/>
        </w:rPr>
        <w:t xml:space="preserve"> </w:t>
      </w:r>
      <w:r w:rsidR="00102DA2">
        <w:rPr>
          <w:noProof/>
        </w:rPr>
        <w:t xml:space="preserve">EU </w:t>
      </w:r>
      <w:r w:rsidR="00BD0ADD">
        <w:rPr>
          <w:noProof/>
        </w:rPr>
        <w:t xml:space="preserve">withholding </w:t>
      </w:r>
      <w:r w:rsidR="00102DA2">
        <w:rPr>
          <w:noProof/>
        </w:rPr>
        <w:t xml:space="preserve">tax </w:t>
      </w:r>
      <w:r w:rsidR="008B725D">
        <w:rPr>
          <w:noProof/>
        </w:rPr>
        <w:t>procedures</w:t>
      </w:r>
      <w:r w:rsidR="0081344C">
        <w:rPr>
          <w:noProof/>
        </w:rPr>
        <w:t xml:space="preserve"> more efficient</w:t>
      </w:r>
      <w:r w:rsidR="00712A05">
        <w:rPr>
          <w:noProof/>
        </w:rPr>
        <w:t>,</w:t>
      </w:r>
      <w:r w:rsidR="00D065C7">
        <w:rPr>
          <w:noProof/>
        </w:rPr>
        <w:t xml:space="preserve"> </w:t>
      </w:r>
      <w:r w:rsidR="002B1027">
        <w:rPr>
          <w:noProof/>
        </w:rPr>
        <w:t xml:space="preserve">while </w:t>
      </w:r>
      <w:r w:rsidR="0081344C">
        <w:rPr>
          <w:noProof/>
        </w:rPr>
        <w:t xml:space="preserve">strengthening </w:t>
      </w:r>
      <w:r w:rsidR="002B1027">
        <w:rPr>
          <w:noProof/>
        </w:rPr>
        <w:t xml:space="preserve">them against the risk of </w:t>
      </w:r>
      <w:r w:rsidR="00BD0ADD">
        <w:rPr>
          <w:noProof/>
        </w:rPr>
        <w:t xml:space="preserve">tax </w:t>
      </w:r>
      <w:r w:rsidR="00DA7ECB">
        <w:rPr>
          <w:noProof/>
        </w:rPr>
        <w:t xml:space="preserve">fraud </w:t>
      </w:r>
      <w:r w:rsidR="008177D5">
        <w:rPr>
          <w:noProof/>
        </w:rPr>
        <w:t>and</w:t>
      </w:r>
      <w:r w:rsidR="00DA7ECB">
        <w:rPr>
          <w:noProof/>
        </w:rPr>
        <w:t xml:space="preserve"> abuse</w:t>
      </w:r>
      <w:r w:rsidR="002B1027">
        <w:rPr>
          <w:noProof/>
        </w:rPr>
        <w:t xml:space="preserve">. </w:t>
      </w:r>
      <w:r w:rsidR="00712A05">
        <w:rPr>
          <w:noProof/>
        </w:rPr>
        <w:t>It</w:t>
      </w:r>
      <w:r w:rsidR="002B1027">
        <w:rPr>
          <w:noProof/>
        </w:rPr>
        <w:t xml:space="preserve"> draws on relevant </w:t>
      </w:r>
      <w:r w:rsidR="00B54B6C">
        <w:rPr>
          <w:noProof/>
        </w:rPr>
        <w:t>previous</w:t>
      </w:r>
      <w:r w:rsidR="002B1027">
        <w:rPr>
          <w:noProof/>
        </w:rPr>
        <w:t xml:space="preserve"> </w:t>
      </w:r>
      <w:r w:rsidR="00C82523">
        <w:rPr>
          <w:noProof/>
        </w:rPr>
        <w:t xml:space="preserve">actions at EU and international level, such </w:t>
      </w:r>
      <w:r w:rsidR="00C75979">
        <w:rPr>
          <w:noProof/>
        </w:rPr>
        <w:t xml:space="preserve">as </w:t>
      </w:r>
      <w:r w:rsidR="00C82523">
        <w:rPr>
          <w:noProof/>
        </w:rPr>
        <w:t xml:space="preserve">the </w:t>
      </w:r>
      <w:r w:rsidR="00C82523" w:rsidRPr="00670559">
        <w:rPr>
          <w:noProof/>
        </w:rPr>
        <w:t>2009 Commission Recommendation</w:t>
      </w:r>
      <w:r w:rsidR="00C40F56">
        <w:rPr>
          <w:noProof/>
        </w:rPr>
        <w:t xml:space="preserve"> </w:t>
      </w:r>
      <w:r w:rsidR="00C82523" w:rsidRPr="00670559">
        <w:rPr>
          <w:noProof/>
        </w:rPr>
        <w:t>on the simplification of withholding tax procedures and the</w:t>
      </w:r>
      <w:r w:rsidR="00C82523" w:rsidRPr="00C82523">
        <w:rPr>
          <w:noProof/>
        </w:rPr>
        <w:t xml:space="preserve"> </w:t>
      </w:r>
      <w:r w:rsidR="00C82523" w:rsidRPr="00670559">
        <w:rPr>
          <w:noProof/>
        </w:rPr>
        <w:t>OECD’s Treaty Relief and Compliance Enhancement (TRACE) initiative</w:t>
      </w:r>
      <w:r w:rsidR="00505496">
        <w:rPr>
          <w:rStyle w:val="FootnoteReference"/>
          <w:noProof/>
        </w:rPr>
        <w:footnoteReference w:id="29"/>
      </w:r>
      <w:r w:rsidR="002B1027" w:rsidRPr="00670559">
        <w:rPr>
          <w:noProof/>
        </w:rPr>
        <w:t>.</w:t>
      </w:r>
    </w:p>
    <w:p w14:paraId="5D941126" w14:textId="77777777" w:rsidR="000C240F" w:rsidRDefault="00282923" w:rsidP="00282923">
      <w:pPr>
        <w:pStyle w:val="ManualConsidrant"/>
        <w:rPr>
          <w:noProof/>
        </w:rPr>
      </w:pPr>
      <w:r w:rsidRPr="00282923">
        <w:rPr>
          <w:noProof/>
        </w:rPr>
        <w:t>(</w:t>
      </w:r>
      <w:r w:rsidR="00FC7102">
        <w:rPr>
          <w:noProof/>
        </w:rPr>
        <w:t>2</w:t>
      </w:r>
      <w:r w:rsidRPr="00282923">
        <w:rPr>
          <w:noProof/>
        </w:rPr>
        <w:t>)</w:t>
      </w:r>
      <w:r w:rsidRPr="00282923">
        <w:rPr>
          <w:noProof/>
        </w:rPr>
        <w:tab/>
      </w:r>
      <w:r w:rsidR="00593E76">
        <w:rPr>
          <w:noProof/>
        </w:rPr>
        <w:t>In order to strengthen</w:t>
      </w:r>
      <w:r w:rsidR="00593E76" w:rsidRPr="009D2901">
        <w:rPr>
          <w:noProof/>
        </w:rPr>
        <w:t xml:space="preserve"> Member States’ </w:t>
      </w:r>
      <w:r w:rsidR="00593E76">
        <w:rPr>
          <w:noProof/>
        </w:rPr>
        <w:t xml:space="preserve">ability to prevent and fight </w:t>
      </w:r>
      <w:r w:rsidR="00593E76" w:rsidRPr="009D2901">
        <w:rPr>
          <w:noProof/>
        </w:rPr>
        <w:t xml:space="preserve">against </w:t>
      </w:r>
      <w:r w:rsidR="00593E76">
        <w:rPr>
          <w:noProof/>
        </w:rPr>
        <w:t>potential</w:t>
      </w:r>
      <w:r w:rsidR="00593E76" w:rsidRPr="009D2901">
        <w:rPr>
          <w:noProof/>
        </w:rPr>
        <w:t xml:space="preserve"> </w:t>
      </w:r>
      <w:r w:rsidR="00593E76">
        <w:rPr>
          <w:noProof/>
        </w:rPr>
        <w:t>fraud or</w:t>
      </w:r>
      <w:r w:rsidR="00593E76" w:rsidRPr="009D2901">
        <w:rPr>
          <w:noProof/>
        </w:rPr>
        <w:t xml:space="preserve"> </w:t>
      </w:r>
      <w:r w:rsidR="00593E76">
        <w:rPr>
          <w:noProof/>
        </w:rPr>
        <w:t>abuse, which is currently hampered by fragmentation and a general lack of reliable and timely information on investors, i</w:t>
      </w:r>
      <w:r w:rsidR="009D2901" w:rsidRPr="009D2901">
        <w:rPr>
          <w:noProof/>
        </w:rPr>
        <w:t xml:space="preserve">t is </w:t>
      </w:r>
      <w:r w:rsidR="1AD58AA9">
        <w:rPr>
          <w:noProof/>
        </w:rPr>
        <w:t xml:space="preserve">therefore </w:t>
      </w:r>
      <w:r w:rsidR="009D2901" w:rsidRPr="009D2901">
        <w:rPr>
          <w:noProof/>
        </w:rPr>
        <w:t xml:space="preserve">necessary to </w:t>
      </w:r>
      <w:r w:rsidR="2E9856FF">
        <w:rPr>
          <w:noProof/>
        </w:rPr>
        <w:t>put in place</w:t>
      </w:r>
      <w:r w:rsidR="009D2901" w:rsidRPr="009D2901">
        <w:rPr>
          <w:noProof/>
        </w:rPr>
        <w:t xml:space="preserve"> a common framework</w:t>
      </w:r>
      <w:r w:rsidR="009D2901">
        <w:rPr>
          <w:noProof/>
        </w:rPr>
        <w:t xml:space="preserve"> for the </w:t>
      </w:r>
      <w:r w:rsidR="00173769">
        <w:rPr>
          <w:noProof/>
        </w:rPr>
        <w:t>relief</w:t>
      </w:r>
      <w:r w:rsidR="00634A21">
        <w:rPr>
          <w:noProof/>
        </w:rPr>
        <w:t xml:space="preserve"> o</w:t>
      </w:r>
      <w:r w:rsidR="009D2901">
        <w:rPr>
          <w:noProof/>
        </w:rPr>
        <w:t xml:space="preserve">f excess withholding taxes on cross-border investments </w:t>
      </w:r>
      <w:r w:rsidR="00F449EF">
        <w:rPr>
          <w:noProof/>
        </w:rPr>
        <w:t>i</w:t>
      </w:r>
      <w:r w:rsidR="00F449EF" w:rsidRPr="00C301CD">
        <w:rPr>
          <w:noProof/>
        </w:rPr>
        <w:t xml:space="preserve">n </w:t>
      </w:r>
      <w:r w:rsidR="009D2901" w:rsidRPr="00C301CD">
        <w:rPr>
          <w:noProof/>
        </w:rPr>
        <w:t>securities</w:t>
      </w:r>
      <w:r w:rsidR="0076408D">
        <w:rPr>
          <w:noProof/>
        </w:rPr>
        <w:t xml:space="preserve"> that is resilient to </w:t>
      </w:r>
      <w:r w:rsidR="00A571A8">
        <w:rPr>
          <w:noProof/>
        </w:rPr>
        <w:t xml:space="preserve">a </w:t>
      </w:r>
      <w:r w:rsidR="0076408D">
        <w:rPr>
          <w:noProof/>
        </w:rPr>
        <w:t xml:space="preserve">risk of </w:t>
      </w:r>
      <w:r w:rsidR="00795E50">
        <w:rPr>
          <w:noProof/>
        </w:rPr>
        <w:t xml:space="preserve">tax </w:t>
      </w:r>
      <w:r w:rsidR="004220A8">
        <w:rPr>
          <w:noProof/>
        </w:rPr>
        <w:t>f</w:t>
      </w:r>
      <w:r w:rsidR="00A571A8">
        <w:rPr>
          <w:noProof/>
        </w:rPr>
        <w:t>raud</w:t>
      </w:r>
      <w:r w:rsidR="004220A8">
        <w:rPr>
          <w:noProof/>
        </w:rPr>
        <w:t xml:space="preserve"> or abuse</w:t>
      </w:r>
      <w:r w:rsidR="00FA1EA6">
        <w:rPr>
          <w:noProof/>
        </w:rPr>
        <w:t>.</w:t>
      </w:r>
      <w:r w:rsidR="001E1FD0">
        <w:rPr>
          <w:noProof/>
        </w:rPr>
        <w:t xml:space="preserve"> </w:t>
      </w:r>
      <w:r w:rsidR="00593E76">
        <w:rPr>
          <w:noProof/>
        </w:rPr>
        <w:t>This</w:t>
      </w:r>
      <w:r w:rsidR="00E37B2F">
        <w:rPr>
          <w:noProof/>
        </w:rPr>
        <w:t xml:space="preserve"> framework </w:t>
      </w:r>
      <w:r w:rsidR="002E6EE2">
        <w:rPr>
          <w:noProof/>
        </w:rPr>
        <w:t xml:space="preserve">should </w:t>
      </w:r>
      <w:r w:rsidR="00634A21">
        <w:rPr>
          <w:noProof/>
        </w:rPr>
        <w:t xml:space="preserve">lead to </w:t>
      </w:r>
      <w:r w:rsidR="002E6EE2">
        <w:rPr>
          <w:noProof/>
        </w:rPr>
        <w:t>converge</w:t>
      </w:r>
      <w:r w:rsidR="002124E2">
        <w:rPr>
          <w:noProof/>
        </w:rPr>
        <w:t>nce among</w:t>
      </w:r>
      <w:r w:rsidR="002E6EE2">
        <w:rPr>
          <w:noProof/>
        </w:rPr>
        <w:t xml:space="preserve"> </w:t>
      </w:r>
      <w:r w:rsidR="001E1FD0">
        <w:rPr>
          <w:noProof/>
        </w:rPr>
        <w:t xml:space="preserve">the various </w:t>
      </w:r>
      <w:r w:rsidR="002E6EE2">
        <w:rPr>
          <w:noProof/>
        </w:rPr>
        <w:t>relief</w:t>
      </w:r>
      <w:r w:rsidR="002124E2">
        <w:rPr>
          <w:noProof/>
        </w:rPr>
        <w:t xml:space="preserve"> procedures applied in the EU</w:t>
      </w:r>
      <w:r w:rsidR="002E6EE2">
        <w:rPr>
          <w:noProof/>
        </w:rPr>
        <w:t xml:space="preserve"> while ensuring</w:t>
      </w:r>
      <w:r w:rsidR="00E37B2F">
        <w:rPr>
          <w:noProof/>
        </w:rPr>
        <w:t xml:space="preserve"> transparency</w:t>
      </w:r>
      <w:r w:rsidR="001E1FD0">
        <w:rPr>
          <w:noProof/>
        </w:rPr>
        <w:t xml:space="preserve"> and certainty on investors’ identity for </w:t>
      </w:r>
      <w:r w:rsidR="00E37B2F">
        <w:rPr>
          <w:noProof/>
        </w:rPr>
        <w:t>securities’ issuers,</w:t>
      </w:r>
      <w:r w:rsidR="00575183">
        <w:rPr>
          <w:noProof/>
        </w:rPr>
        <w:t xml:space="preserve"> withholding tax agents</w:t>
      </w:r>
      <w:r w:rsidR="0076408D">
        <w:rPr>
          <w:noProof/>
        </w:rPr>
        <w:t>,</w:t>
      </w:r>
      <w:r w:rsidR="00575183">
        <w:rPr>
          <w:noProof/>
        </w:rPr>
        <w:t xml:space="preserve"> financial intermediaries</w:t>
      </w:r>
      <w:r w:rsidR="00A26F92">
        <w:rPr>
          <w:noProof/>
        </w:rPr>
        <w:t xml:space="preserve"> and Member States</w:t>
      </w:r>
      <w:r w:rsidR="00575183">
        <w:rPr>
          <w:noProof/>
        </w:rPr>
        <w:t>,</w:t>
      </w:r>
      <w:r w:rsidR="00E37B2F">
        <w:rPr>
          <w:noProof/>
        </w:rPr>
        <w:t xml:space="preserve"> as the case may be</w:t>
      </w:r>
      <w:r w:rsidR="001E1FD0">
        <w:rPr>
          <w:noProof/>
        </w:rPr>
        <w:t>.</w:t>
      </w:r>
      <w:r w:rsidR="00E37B2F">
        <w:rPr>
          <w:noProof/>
        </w:rPr>
        <w:t xml:space="preserve"> </w:t>
      </w:r>
      <w:r w:rsidR="001E1FD0">
        <w:rPr>
          <w:noProof/>
        </w:rPr>
        <w:t xml:space="preserve">To this effect, the framework should </w:t>
      </w:r>
      <w:r w:rsidR="00D5500A">
        <w:rPr>
          <w:noProof/>
        </w:rPr>
        <w:t>rely on</w:t>
      </w:r>
      <w:r w:rsidR="001E1FD0">
        <w:rPr>
          <w:noProof/>
        </w:rPr>
        <w:t xml:space="preserve"> automated </w:t>
      </w:r>
      <w:r w:rsidR="001E1FD0" w:rsidRPr="0054391B">
        <w:rPr>
          <w:noProof/>
        </w:rPr>
        <w:t xml:space="preserve">procedures, such as </w:t>
      </w:r>
      <w:r w:rsidR="00D5500A" w:rsidRPr="0054391B">
        <w:rPr>
          <w:noProof/>
        </w:rPr>
        <w:t xml:space="preserve">the </w:t>
      </w:r>
      <w:r w:rsidR="001E1FD0" w:rsidRPr="0054391B">
        <w:rPr>
          <w:noProof/>
        </w:rPr>
        <w:t>digitalisation of the certificate of tax residence</w:t>
      </w:r>
      <w:r w:rsidR="00A26F92" w:rsidRPr="0054391B">
        <w:rPr>
          <w:noProof/>
        </w:rPr>
        <w:t xml:space="preserve"> (</w:t>
      </w:r>
      <w:r w:rsidR="0076408D" w:rsidRPr="0054391B">
        <w:rPr>
          <w:noProof/>
        </w:rPr>
        <w:t xml:space="preserve">in terms of </w:t>
      </w:r>
      <w:r w:rsidR="00A26F92" w:rsidRPr="0054391B">
        <w:rPr>
          <w:noProof/>
        </w:rPr>
        <w:t>procedure and form)</w:t>
      </w:r>
      <w:r w:rsidR="001E1FD0" w:rsidRPr="0054391B">
        <w:rPr>
          <w:noProof/>
        </w:rPr>
        <w:t>, which is a pre-requisite</w:t>
      </w:r>
      <w:r w:rsidR="004270C4" w:rsidRPr="0054391B">
        <w:rPr>
          <w:noProof/>
        </w:rPr>
        <w:t xml:space="preserve"> for investors</w:t>
      </w:r>
      <w:r w:rsidR="001E1FD0" w:rsidRPr="0054391B">
        <w:rPr>
          <w:noProof/>
        </w:rPr>
        <w:t xml:space="preserve"> to </w:t>
      </w:r>
      <w:r w:rsidR="004A1B60" w:rsidRPr="0054391B">
        <w:rPr>
          <w:noProof/>
        </w:rPr>
        <w:t xml:space="preserve">have access to any </w:t>
      </w:r>
      <w:r w:rsidR="001E1FD0" w:rsidRPr="0054391B">
        <w:rPr>
          <w:noProof/>
        </w:rPr>
        <w:t>relief or refund</w:t>
      </w:r>
      <w:r w:rsidR="004A1B60" w:rsidRPr="0054391B">
        <w:rPr>
          <w:noProof/>
        </w:rPr>
        <w:t xml:space="preserve"> procedures</w:t>
      </w:r>
      <w:r w:rsidR="001E1FD0" w:rsidRPr="0054391B">
        <w:rPr>
          <w:noProof/>
        </w:rPr>
        <w:t>. Such</w:t>
      </w:r>
      <w:r w:rsidR="05C1E31B">
        <w:rPr>
          <w:noProof/>
        </w:rPr>
        <w:t xml:space="preserve"> a</w:t>
      </w:r>
      <w:r w:rsidR="001E1FD0">
        <w:rPr>
          <w:noProof/>
        </w:rPr>
        <w:t xml:space="preserve"> framework should </w:t>
      </w:r>
      <w:r w:rsidR="0054391B">
        <w:rPr>
          <w:noProof/>
        </w:rPr>
        <w:t xml:space="preserve">also </w:t>
      </w:r>
      <w:r w:rsidR="001E1FD0">
        <w:rPr>
          <w:noProof/>
        </w:rPr>
        <w:t>be flexible</w:t>
      </w:r>
      <w:r w:rsidR="004A1B60">
        <w:rPr>
          <w:noProof/>
        </w:rPr>
        <w:t xml:space="preserve"> enough to </w:t>
      </w:r>
      <w:r w:rsidR="05C1E31B">
        <w:rPr>
          <w:noProof/>
        </w:rPr>
        <w:t xml:space="preserve">duly </w:t>
      </w:r>
      <w:r w:rsidR="001E1FD0">
        <w:rPr>
          <w:noProof/>
        </w:rPr>
        <w:t>tak</w:t>
      </w:r>
      <w:r w:rsidR="004A1B60">
        <w:rPr>
          <w:noProof/>
        </w:rPr>
        <w:t>e</w:t>
      </w:r>
      <w:r w:rsidR="001E1FD0">
        <w:rPr>
          <w:noProof/>
        </w:rPr>
        <w:t xml:space="preserve"> into account the </w:t>
      </w:r>
      <w:r w:rsidR="0076408D">
        <w:rPr>
          <w:noProof/>
        </w:rPr>
        <w:t xml:space="preserve">various </w:t>
      </w:r>
      <w:r w:rsidR="001E1FD0">
        <w:rPr>
          <w:noProof/>
        </w:rPr>
        <w:t xml:space="preserve">systems applicable in different Member States </w:t>
      </w:r>
      <w:r w:rsidR="004A1B60">
        <w:rPr>
          <w:noProof/>
        </w:rPr>
        <w:t>while ensuring greater convergence and</w:t>
      </w:r>
      <w:r w:rsidR="00354521">
        <w:rPr>
          <w:noProof/>
        </w:rPr>
        <w:t xml:space="preserve"> </w:t>
      </w:r>
      <w:r w:rsidR="004A1B60">
        <w:rPr>
          <w:noProof/>
        </w:rPr>
        <w:t>providing</w:t>
      </w:r>
      <w:r w:rsidR="008F2CFC">
        <w:rPr>
          <w:noProof/>
        </w:rPr>
        <w:t xml:space="preserve"> appropriate anti-abuse </w:t>
      </w:r>
      <w:r w:rsidR="0060688B">
        <w:rPr>
          <w:noProof/>
        </w:rPr>
        <w:t>tool</w:t>
      </w:r>
      <w:r w:rsidR="008F2CFC">
        <w:rPr>
          <w:noProof/>
        </w:rPr>
        <w:t xml:space="preserve">s to </w:t>
      </w:r>
      <w:r w:rsidR="001E1FD0">
        <w:rPr>
          <w:noProof/>
        </w:rPr>
        <w:t>mitigate risks of</w:t>
      </w:r>
      <w:r w:rsidR="008F2CFC">
        <w:rPr>
          <w:noProof/>
        </w:rPr>
        <w:t xml:space="preserve"> tax fraud, evasion and avoidance. </w:t>
      </w:r>
    </w:p>
    <w:p w14:paraId="1462BA12" w14:textId="77777777" w:rsidR="002B75A3" w:rsidRDefault="00282923" w:rsidP="00282923">
      <w:pPr>
        <w:pStyle w:val="ManualConsidrant"/>
        <w:rPr>
          <w:noProof/>
        </w:rPr>
      </w:pPr>
      <w:r w:rsidRPr="00282923">
        <w:rPr>
          <w:noProof/>
        </w:rPr>
        <w:t>(</w:t>
      </w:r>
      <w:r w:rsidR="00FC7102">
        <w:rPr>
          <w:noProof/>
        </w:rPr>
        <w:t>3</w:t>
      </w:r>
      <w:r w:rsidRPr="00282923">
        <w:rPr>
          <w:noProof/>
        </w:rPr>
        <w:t>)</w:t>
      </w:r>
      <w:r w:rsidRPr="00282923">
        <w:rPr>
          <w:noProof/>
        </w:rPr>
        <w:tab/>
      </w:r>
      <w:r w:rsidR="003E4194">
        <w:rPr>
          <w:noProof/>
        </w:rPr>
        <w:t xml:space="preserve">To ensure a proportionate approach, rules </w:t>
      </w:r>
      <w:r w:rsidR="00461D40">
        <w:rPr>
          <w:noProof/>
        </w:rPr>
        <w:t xml:space="preserve">regarding </w:t>
      </w:r>
      <w:r w:rsidR="0060688B">
        <w:rPr>
          <w:noProof/>
        </w:rPr>
        <w:t>the procedures</w:t>
      </w:r>
      <w:r w:rsidR="0054391B">
        <w:rPr>
          <w:noProof/>
        </w:rPr>
        <w:t xml:space="preserve"> to relieve excess withholding taxes</w:t>
      </w:r>
      <w:r w:rsidR="00461D40">
        <w:rPr>
          <w:noProof/>
        </w:rPr>
        <w:t xml:space="preserve"> </w:t>
      </w:r>
      <w:r w:rsidR="003E4194">
        <w:rPr>
          <w:noProof/>
        </w:rPr>
        <w:t xml:space="preserve">should </w:t>
      </w:r>
      <w:r w:rsidR="0054391B">
        <w:rPr>
          <w:noProof/>
        </w:rPr>
        <w:t xml:space="preserve">be binding </w:t>
      </w:r>
      <w:r w:rsidR="003E4194">
        <w:rPr>
          <w:noProof/>
        </w:rPr>
        <w:t xml:space="preserve">only </w:t>
      </w:r>
      <w:r w:rsidR="00F449EF">
        <w:rPr>
          <w:noProof/>
        </w:rPr>
        <w:t xml:space="preserve">on </w:t>
      </w:r>
      <w:r w:rsidR="003E4194">
        <w:rPr>
          <w:noProof/>
        </w:rPr>
        <w:t>those Member States that apply withholding tax on dividends at different rates depending on the specific investor’s tax residence</w:t>
      </w:r>
      <w:r w:rsidR="00F906F2">
        <w:rPr>
          <w:noProof/>
        </w:rPr>
        <w:t>. In this case, Member States</w:t>
      </w:r>
      <w:r w:rsidR="0054391B">
        <w:rPr>
          <w:noProof/>
        </w:rPr>
        <w:t xml:space="preserve"> </w:t>
      </w:r>
      <w:r w:rsidR="007D13BD">
        <w:rPr>
          <w:noProof/>
        </w:rPr>
        <w:t>need to</w:t>
      </w:r>
      <w:r w:rsidR="0054391B">
        <w:rPr>
          <w:noProof/>
        </w:rPr>
        <w:t xml:space="preserve"> provide relief</w:t>
      </w:r>
      <w:r w:rsidR="007D13BD">
        <w:rPr>
          <w:noProof/>
        </w:rPr>
        <w:t xml:space="preserve"> where a higher rate has been applied in a situation for which a lower rate is </w:t>
      </w:r>
      <w:r w:rsidR="00AB0CBB">
        <w:rPr>
          <w:noProof/>
        </w:rPr>
        <w:t>applicable</w:t>
      </w:r>
      <w:r w:rsidR="003E4194">
        <w:rPr>
          <w:noProof/>
        </w:rPr>
        <w:t xml:space="preserve">. </w:t>
      </w:r>
      <w:r w:rsidR="00213246">
        <w:rPr>
          <w:noProof/>
        </w:rPr>
        <w:t xml:space="preserve">In addition, Member States should </w:t>
      </w:r>
      <w:r w:rsidR="0054391B">
        <w:rPr>
          <w:noProof/>
        </w:rPr>
        <w:t>have</w:t>
      </w:r>
      <w:r w:rsidR="00BE1018">
        <w:rPr>
          <w:noProof/>
        </w:rPr>
        <w:t xml:space="preserve"> the opportunity </w:t>
      </w:r>
      <w:r w:rsidR="00213246">
        <w:rPr>
          <w:noProof/>
        </w:rPr>
        <w:t>to implement similar procedures in relation to interest payments</w:t>
      </w:r>
      <w:r w:rsidR="004220A8">
        <w:rPr>
          <w:noProof/>
        </w:rPr>
        <w:t xml:space="preserve"> to non-residents</w:t>
      </w:r>
      <w:r w:rsidR="00774EB2" w:rsidRPr="00774EB2">
        <w:rPr>
          <w:noProof/>
        </w:rPr>
        <w:t xml:space="preserve"> </w:t>
      </w:r>
      <w:r w:rsidR="00774EB2">
        <w:rPr>
          <w:noProof/>
        </w:rPr>
        <w:t>on publicly traded bonds</w:t>
      </w:r>
      <w:r w:rsidR="00213246">
        <w:rPr>
          <w:noProof/>
        </w:rPr>
        <w:t xml:space="preserve">, </w:t>
      </w:r>
      <w:r w:rsidR="00AA5D65">
        <w:rPr>
          <w:noProof/>
        </w:rPr>
        <w:t xml:space="preserve">to improve the efficiency of the </w:t>
      </w:r>
      <w:r w:rsidR="0054391B">
        <w:rPr>
          <w:noProof/>
        </w:rPr>
        <w:t xml:space="preserve">relevant relief </w:t>
      </w:r>
      <w:r w:rsidR="00AA5D65">
        <w:rPr>
          <w:noProof/>
        </w:rPr>
        <w:t xml:space="preserve">procedure and </w:t>
      </w:r>
      <w:r w:rsidR="0098655E">
        <w:rPr>
          <w:noProof/>
        </w:rPr>
        <w:t xml:space="preserve">ensure </w:t>
      </w:r>
      <w:r w:rsidR="00AA5D65">
        <w:rPr>
          <w:noProof/>
        </w:rPr>
        <w:t xml:space="preserve">a higher level of </w:t>
      </w:r>
      <w:r w:rsidR="00AB3531">
        <w:rPr>
          <w:noProof/>
        </w:rPr>
        <w:t xml:space="preserve">taxpayers’ </w:t>
      </w:r>
      <w:r w:rsidR="00AA5D65">
        <w:rPr>
          <w:noProof/>
        </w:rPr>
        <w:t>compliance</w:t>
      </w:r>
      <w:r w:rsidR="00213246">
        <w:rPr>
          <w:noProof/>
        </w:rPr>
        <w:t>.</w:t>
      </w:r>
      <w:r w:rsidR="00774EB2">
        <w:rPr>
          <w:noProof/>
        </w:rPr>
        <w:t xml:space="preserve"> Member States that do not </w:t>
      </w:r>
      <w:r w:rsidR="001A386F" w:rsidRPr="00750B08">
        <w:rPr>
          <w:noProof/>
        </w:rPr>
        <w:t>need</w:t>
      </w:r>
      <w:r w:rsidR="00774EB2">
        <w:rPr>
          <w:noProof/>
        </w:rPr>
        <w:t xml:space="preserve"> relief procedures in relation to excess withholding taxes on dividends, and interest, as the case may be, are not concerned by the procedures set out in this Directive and therefore not bound</w:t>
      </w:r>
      <w:r w:rsidR="00382AB3">
        <w:rPr>
          <w:noProof/>
        </w:rPr>
        <w:t xml:space="preserve"> by these rules</w:t>
      </w:r>
      <w:r w:rsidR="00774EB2">
        <w:rPr>
          <w:noProof/>
        </w:rPr>
        <w:t>.</w:t>
      </w:r>
      <w:r w:rsidR="00213246">
        <w:rPr>
          <w:noProof/>
        </w:rPr>
        <w:t xml:space="preserve"> </w:t>
      </w:r>
      <w:r w:rsidR="003E4194">
        <w:rPr>
          <w:noProof/>
        </w:rPr>
        <w:t xml:space="preserve">Given that investors may be located in any Member State, rules for </w:t>
      </w:r>
      <w:r w:rsidR="00416A7F">
        <w:rPr>
          <w:noProof/>
        </w:rPr>
        <w:t xml:space="preserve">a common and digital </w:t>
      </w:r>
      <w:r w:rsidR="003E4194">
        <w:rPr>
          <w:noProof/>
        </w:rPr>
        <w:t xml:space="preserve">tax residence certificate </w:t>
      </w:r>
      <w:r w:rsidR="0097445D">
        <w:rPr>
          <w:noProof/>
        </w:rPr>
        <w:t xml:space="preserve">should </w:t>
      </w:r>
      <w:r w:rsidR="003E4194">
        <w:rPr>
          <w:noProof/>
        </w:rPr>
        <w:t>apply in all Member States</w:t>
      </w:r>
      <w:r w:rsidR="00F906F2">
        <w:rPr>
          <w:noProof/>
        </w:rPr>
        <w:t xml:space="preserve"> and the same is the case for general and final provisions</w:t>
      </w:r>
      <w:r w:rsidR="003E4194">
        <w:rPr>
          <w:noProof/>
        </w:rPr>
        <w:t xml:space="preserve">. </w:t>
      </w:r>
    </w:p>
    <w:p w14:paraId="2A890128" w14:textId="77777777" w:rsidR="002B75A3" w:rsidRDefault="00282923" w:rsidP="00282923">
      <w:pPr>
        <w:pStyle w:val="ManualConsidrant"/>
        <w:rPr>
          <w:noProof/>
        </w:rPr>
      </w:pPr>
      <w:r w:rsidRPr="00282923">
        <w:rPr>
          <w:noProof/>
        </w:rPr>
        <w:t>(</w:t>
      </w:r>
      <w:r w:rsidR="00FC7102">
        <w:rPr>
          <w:noProof/>
        </w:rPr>
        <w:t>4</w:t>
      </w:r>
      <w:r w:rsidRPr="00282923">
        <w:rPr>
          <w:noProof/>
        </w:rPr>
        <w:t>)</w:t>
      </w:r>
      <w:r w:rsidRPr="00282923">
        <w:rPr>
          <w:noProof/>
        </w:rPr>
        <w:tab/>
      </w:r>
      <w:r w:rsidR="00D4737D">
        <w:rPr>
          <w:noProof/>
        </w:rPr>
        <w:t xml:space="preserve">To ensure that all EU </w:t>
      </w:r>
      <w:r w:rsidR="00150DD6">
        <w:rPr>
          <w:noProof/>
        </w:rPr>
        <w:t>taxpayers</w:t>
      </w:r>
      <w:r w:rsidR="00A51023">
        <w:rPr>
          <w:noProof/>
        </w:rPr>
        <w:t xml:space="preserve"> have access to</w:t>
      </w:r>
      <w:r w:rsidR="00D4737D">
        <w:rPr>
          <w:noProof/>
        </w:rPr>
        <w:t xml:space="preserve"> a common, appropriate </w:t>
      </w:r>
      <w:r w:rsidR="06B17CC1">
        <w:rPr>
          <w:noProof/>
        </w:rPr>
        <w:t>and</w:t>
      </w:r>
      <w:r w:rsidR="5DC3ABCC">
        <w:rPr>
          <w:noProof/>
        </w:rPr>
        <w:t xml:space="preserve"> </w:t>
      </w:r>
      <w:r w:rsidR="00D4737D">
        <w:rPr>
          <w:noProof/>
        </w:rPr>
        <w:t>effective proof of their residence for tax purposes</w:t>
      </w:r>
      <w:r w:rsidR="26FFE982">
        <w:rPr>
          <w:noProof/>
        </w:rPr>
        <w:t>,</w:t>
      </w:r>
      <w:r w:rsidR="164F323B">
        <w:rPr>
          <w:noProof/>
        </w:rPr>
        <w:t xml:space="preserve"> </w:t>
      </w:r>
      <w:r w:rsidR="00D4737D">
        <w:rPr>
          <w:noProof/>
        </w:rPr>
        <w:t xml:space="preserve">Member States </w:t>
      </w:r>
      <w:r w:rsidR="00C56C05">
        <w:rPr>
          <w:noProof/>
        </w:rPr>
        <w:t>should</w:t>
      </w:r>
      <w:r w:rsidR="00D4737D">
        <w:rPr>
          <w:noProof/>
        </w:rPr>
        <w:t xml:space="preserve"> use automated procedures for the issuance of tax residence certificates in </w:t>
      </w:r>
      <w:r w:rsidR="004D0402">
        <w:rPr>
          <w:noProof/>
        </w:rPr>
        <w:t>the same</w:t>
      </w:r>
      <w:r w:rsidR="00D4737D">
        <w:rPr>
          <w:noProof/>
        </w:rPr>
        <w:t xml:space="preserve"> </w:t>
      </w:r>
      <w:r w:rsidR="01A47287">
        <w:rPr>
          <w:noProof/>
        </w:rPr>
        <w:t xml:space="preserve">recognisable and acceptable </w:t>
      </w:r>
      <w:r w:rsidR="00D4737D">
        <w:rPr>
          <w:noProof/>
        </w:rPr>
        <w:t>digital form</w:t>
      </w:r>
      <w:r w:rsidR="0054391B">
        <w:rPr>
          <w:noProof/>
        </w:rPr>
        <w:t xml:space="preserve"> and with the same content</w:t>
      </w:r>
      <w:r w:rsidR="00D4737D">
        <w:rPr>
          <w:noProof/>
        </w:rPr>
        <w:t xml:space="preserve">. To allow for </w:t>
      </w:r>
      <w:r w:rsidR="00751EFA">
        <w:rPr>
          <w:noProof/>
        </w:rPr>
        <w:t>greater efficiency</w:t>
      </w:r>
      <w:r w:rsidR="00D4737D">
        <w:rPr>
          <w:noProof/>
        </w:rPr>
        <w:t xml:space="preserve">, the certificate </w:t>
      </w:r>
      <w:r w:rsidR="00D4737D" w:rsidRPr="00AE424B">
        <w:rPr>
          <w:noProof/>
        </w:rPr>
        <w:t>should</w:t>
      </w:r>
      <w:r w:rsidR="00D4737D">
        <w:rPr>
          <w:noProof/>
        </w:rPr>
        <w:t xml:space="preserve"> be valid </w:t>
      </w:r>
      <w:r w:rsidR="0054391B">
        <w:rPr>
          <w:noProof/>
        </w:rPr>
        <w:t xml:space="preserve">at least </w:t>
      </w:r>
      <w:r w:rsidR="00D4737D">
        <w:rPr>
          <w:noProof/>
        </w:rPr>
        <w:t>for the whole year during which it has been issued</w:t>
      </w:r>
      <w:r w:rsidR="00F906F2">
        <w:rPr>
          <w:noProof/>
        </w:rPr>
        <w:t xml:space="preserve"> and recognised by other Member States for that period</w:t>
      </w:r>
      <w:r w:rsidR="008766AA">
        <w:rPr>
          <w:noProof/>
        </w:rPr>
        <w:t xml:space="preserve">. Member States </w:t>
      </w:r>
      <w:r w:rsidR="00AE424B">
        <w:rPr>
          <w:noProof/>
        </w:rPr>
        <w:t>can</w:t>
      </w:r>
      <w:r w:rsidR="008766AA">
        <w:rPr>
          <w:noProof/>
        </w:rPr>
        <w:t xml:space="preserve"> rescind an eTRC issued where the</w:t>
      </w:r>
      <w:r w:rsidR="00D4737D">
        <w:rPr>
          <w:noProof/>
        </w:rPr>
        <w:t xml:space="preserve"> tax administration has proof</w:t>
      </w:r>
      <w:r w:rsidR="00666CB2">
        <w:rPr>
          <w:noProof/>
        </w:rPr>
        <w:t xml:space="preserve"> </w:t>
      </w:r>
      <w:r w:rsidR="00F52842">
        <w:rPr>
          <w:noProof/>
        </w:rPr>
        <w:t xml:space="preserve">to the contrary </w:t>
      </w:r>
      <w:r w:rsidR="00666CB2">
        <w:rPr>
          <w:noProof/>
        </w:rPr>
        <w:t>of the tax residence for that year</w:t>
      </w:r>
      <w:r w:rsidR="00D4737D">
        <w:rPr>
          <w:noProof/>
        </w:rPr>
        <w:t xml:space="preserve">. In order to allow for an efficient identification of EU companies, the certificate should include information on the </w:t>
      </w:r>
      <w:r w:rsidR="00593E76">
        <w:rPr>
          <w:noProof/>
        </w:rPr>
        <w:t xml:space="preserve">European </w:t>
      </w:r>
      <w:r w:rsidR="00593E76" w:rsidRPr="007E6835">
        <w:rPr>
          <w:noProof/>
        </w:rPr>
        <w:t xml:space="preserve">Unique Identifier </w:t>
      </w:r>
      <w:r w:rsidR="00593E76">
        <w:rPr>
          <w:noProof/>
        </w:rPr>
        <w:t>(</w:t>
      </w:r>
      <w:r w:rsidR="00D4737D">
        <w:rPr>
          <w:noProof/>
        </w:rPr>
        <w:t>EUID</w:t>
      </w:r>
      <w:r w:rsidR="00593E76">
        <w:rPr>
          <w:noProof/>
        </w:rPr>
        <w:t>)</w:t>
      </w:r>
      <w:r w:rsidR="00916950">
        <w:rPr>
          <w:noProof/>
        </w:rPr>
        <w:t xml:space="preserve">. </w:t>
      </w:r>
    </w:p>
    <w:p w14:paraId="64FE3358" w14:textId="77777777" w:rsidR="0061507A" w:rsidRDefault="00282923" w:rsidP="00282923">
      <w:pPr>
        <w:pStyle w:val="ManualConsidrant"/>
        <w:rPr>
          <w:noProof/>
        </w:rPr>
      </w:pPr>
      <w:r w:rsidRPr="00282923">
        <w:rPr>
          <w:noProof/>
        </w:rPr>
        <w:t>(</w:t>
      </w:r>
      <w:r w:rsidR="00FC7102">
        <w:rPr>
          <w:noProof/>
        </w:rPr>
        <w:t>5</w:t>
      </w:r>
      <w:r w:rsidRPr="00282923">
        <w:rPr>
          <w:noProof/>
        </w:rPr>
        <w:t>)</w:t>
      </w:r>
      <w:r w:rsidRPr="00282923">
        <w:rPr>
          <w:noProof/>
        </w:rPr>
        <w:tab/>
      </w:r>
      <w:r w:rsidR="003A4595">
        <w:rPr>
          <w:noProof/>
        </w:rPr>
        <w:t>To fulfil the objective</w:t>
      </w:r>
      <w:r w:rsidR="001F3C79">
        <w:rPr>
          <w:noProof/>
        </w:rPr>
        <w:t xml:space="preserve"> of more efficient relief of excess withholding tax</w:t>
      </w:r>
      <w:r w:rsidR="00533938">
        <w:rPr>
          <w:noProof/>
        </w:rPr>
        <w:t xml:space="preserve">, </w:t>
      </w:r>
      <w:r w:rsidR="00F425C0">
        <w:rPr>
          <w:noProof/>
        </w:rPr>
        <w:t xml:space="preserve">common procedures </w:t>
      </w:r>
      <w:r w:rsidR="00396535">
        <w:rPr>
          <w:noProof/>
        </w:rPr>
        <w:t xml:space="preserve">should be implemented </w:t>
      </w:r>
      <w:r w:rsidR="00F425C0">
        <w:rPr>
          <w:noProof/>
        </w:rPr>
        <w:t xml:space="preserve">that allow </w:t>
      </w:r>
      <w:r w:rsidR="00463B96">
        <w:rPr>
          <w:noProof/>
        </w:rPr>
        <w:t>to quickly obtain</w:t>
      </w:r>
      <w:r w:rsidR="00F425C0">
        <w:rPr>
          <w:noProof/>
        </w:rPr>
        <w:t xml:space="preserve"> clear and secure information on the identity of the investor</w:t>
      </w:r>
      <w:r w:rsidR="00CC1741">
        <w:rPr>
          <w:noProof/>
        </w:rPr>
        <w:t xml:space="preserve"> especially in</w:t>
      </w:r>
      <w:r w:rsidR="003A4595">
        <w:rPr>
          <w:noProof/>
        </w:rPr>
        <w:t xml:space="preserve"> </w:t>
      </w:r>
      <w:r w:rsidR="00A64ADE">
        <w:rPr>
          <w:noProof/>
        </w:rPr>
        <w:t xml:space="preserve">the </w:t>
      </w:r>
      <w:r w:rsidR="003A4595">
        <w:rPr>
          <w:noProof/>
        </w:rPr>
        <w:t>case of large investor base</w:t>
      </w:r>
      <w:r w:rsidR="00533938">
        <w:rPr>
          <w:noProof/>
        </w:rPr>
        <w:t>s,</w:t>
      </w:r>
      <w:r w:rsidR="003A4595">
        <w:rPr>
          <w:noProof/>
        </w:rPr>
        <w:t xml:space="preserve"> </w:t>
      </w:r>
      <w:r w:rsidR="001441A2">
        <w:rPr>
          <w:noProof/>
        </w:rPr>
        <w:t xml:space="preserve">i.e., in relation to investment to publicly traded securities, </w:t>
      </w:r>
      <w:r w:rsidR="00CC1741">
        <w:rPr>
          <w:noProof/>
        </w:rPr>
        <w:t xml:space="preserve">where identifying the identity of the </w:t>
      </w:r>
      <w:r w:rsidR="008766AA">
        <w:rPr>
          <w:noProof/>
        </w:rPr>
        <w:t xml:space="preserve">individual </w:t>
      </w:r>
      <w:r w:rsidR="00CC1741">
        <w:rPr>
          <w:noProof/>
        </w:rPr>
        <w:t>investors is challenging</w:t>
      </w:r>
      <w:r w:rsidR="00F425C0">
        <w:rPr>
          <w:noProof/>
        </w:rPr>
        <w:t xml:space="preserve">. Such procedures </w:t>
      </w:r>
      <w:r w:rsidR="00F425C0" w:rsidRPr="00AE424B">
        <w:rPr>
          <w:noProof/>
        </w:rPr>
        <w:t>should</w:t>
      </w:r>
      <w:r w:rsidR="00F425C0">
        <w:rPr>
          <w:noProof/>
        </w:rPr>
        <w:t xml:space="preserve"> also, </w:t>
      </w:r>
      <w:r w:rsidR="0C491D78">
        <w:rPr>
          <w:noProof/>
        </w:rPr>
        <w:t xml:space="preserve">as </w:t>
      </w:r>
      <w:r w:rsidR="00F425C0">
        <w:rPr>
          <w:noProof/>
        </w:rPr>
        <w:t xml:space="preserve">a second step, allow </w:t>
      </w:r>
      <w:r w:rsidR="00C3144C">
        <w:rPr>
          <w:noProof/>
        </w:rPr>
        <w:t xml:space="preserve">for </w:t>
      </w:r>
      <w:r w:rsidR="00F425C0">
        <w:rPr>
          <w:noProof/>
        </w:rPr>
        <w:t xml:space="preserve">the application of </w:t>
      </w:r>
      <w:r w:rsidR="00C3144C">
        <w:rPr>
          <w:noProof/>
        </w:rPr>
        <w:t xml:space="preserve">the </w:t>
      </w:r>
      <w:r w:rsidR="00F425C0">
        <w:rPr>
          <w:noProof/>
        </w:rPr>
        <w:t xml:space="preserve">appropriate </w:t>
      </w:r>
      <w:r w:rsidR="166CD2FB">
        <w:rPr>
          <w:noProof/>
        </w:rPr>
        <w:t xml:space="preserve">tax </w:t>
      </w:r>
      <w:r w:rsidR="00F425C0">
        <w:rPr>
          <w:noProof/>
        </w:rPr>
        <w:t xml:space="preserve">rate at the time of </w:t>
      </w:r>
      <w:r w:rsidR="00F0716A">
        <w:rPr>
          <w:noProof/>
        </w:rPr>
        <w:t xml:space="preserve">payment </w:t>
      </w:r>
      <w:r w:rsidR="00F425C0">
        <w:rPr>
          <w:noProof/>
        </w:rPr>
        <w:t xml:space="preserve">(relief at source) or </w:t>
      </w:r>
      <w:r w:rsidR="00C3144C">
        <w:rPr>
          <w:noProof/>
        </w:rPr>
        <w:t xml:space="preserve">for </w:t>
      </w:r>
      <w:r w:rsidR="00F425C0">
        <w:rPr>
          <w:noProof/>
        </w:rPr>
        <w:t xml:space="preserve">the </w:t>
      </w:r>
      <w:r w:rsidR="00C3144C">
        <w:rPr>
          <w:noProof/>
        </w:rPr>
        <w:t>quick</w:t>
      </w:r>
      <w:r w:rsidR="00F425C0">
        <w:rPr>
          <w:noProof/>
        </w:rPr>
        <w:t xml:space="preserve"> reimbursement of any excess amount of tax</w:t>
      </w:r>
      <w:r w:rsidR="008C2438">
        <w:rPr>
          <w:noProof/>
        </w:rPr>
        <w:t xml:space="preserve"> paid</w:t>
      </w:r>
      <w:r w:rsidR="00F425C0">
        <w:rPr>
          <w:noProof/>
        </w:rPr>
        <w:t xml:space="preserve">. </w:t>
      </w:r>
      <w:r w:rsidR="0061507A">
        <w:rPr>
          <w:noProof/>
        </w:rPr>
        <w:t>Given that cross-border investment</w:t>
      </w:r>
      <w:r w:rsidR="00E212B9">
        <w:rPr>
          <w:noProof/>
        </w:rPr>
        <w:t>s</w:t>
      </w:r>
      <w:r w:rsidR="0061507A">
        <w:rPr>
          <w:noProof/>
        </w:rPr>
        <w:t xml:space="preserve"> usually involve a </w:t>
      </w:r>
      <w:r w:rsidR="00FC7D4E">
        <w:rPr>
          <w:noProof/>
        </w:rPr>
        <w:t xml:space="preserve">payment </w:t>
      </w:r>
      <w:r w:rsidR="0061507A">
        <w:rPr>
          <w:noProof/>
        </w:rPr>
        <w:t xml:space="preserve">chain of financial intermediaries, relevant procedures should </w:t>
      </w:r>
      <w:r w:rsidR="001F3C79">
        <w:rPr>
          <w:noProof/>
        </w:rPr>
        <w:t>equally</w:t>
      </w:r>
      <w:r w:rsidR="0061507A">
        <w:rPr>
          <w:noProof/>
        </w:rPr>
        <w:t xml:space="preserve"> allow </w:t>
      </w:r>
      <w:r w:rsidR="00C55984">
        <w:rPr>
          <w:noProof/>
        </w:rPr>
        <w:t xml:space="preserve">for </w:t>
      </w:r>
      <w:r w:rsidR="00FE64AD">
        <w:rPr>
          <w:noProof/>
        </w:rPr>
        <w:t>the tracing</w:t>
      </w:r>
      <w:r w:rsidR="00463B96">
        <w:rPr>
          <w:noProof/>
        </w:rPr>
        <w:t xml:space="preserve"> and </w:t>
      </w:r>
      <w:r w:rsidR="00C55984">
        <w:rPr>
          <w:noProof/>
        </w:rPr>
        <w:t>identification</w:t>
      </w:r>
      <w:r w:rsidR="00FE64AD">
        <w:rPr>
          <w:noProof/>
        </w:rPr>
        <w:t xml:space="preserve"> of</w:t>
      </w:r>
      <w:r w:rsidR="0061507A">
        <w:rPr>
          <w:noProof/>
        </w:rPr>
        <w:t xml:space="preserve"> the chain of intermediaries and hence of the income flow from the issuer of the security until the final recipient, i.e., the</w:t>
      </w:r>
      <w:r w:rsidR="04793EB4">
        <w:rPr>
          <w:noProof/>
        </w:rPr>
        <w:t xml:space="preserve"> sole</w:t>
      </w:r>
      <w:r w:rsidR="0061507A">
        <w:rPr>
          <w:noProof/>
        </w:rPr>
        <w:t xml:space="preserve"> investor </w:t>
      </w:r>
      <w:r w:rsidR="00D95DE4">
        <w:rPr>
          <w:noProof/>
        </w:rPr>
        <w:t>or registered owner</w:t>
      </w:r>
      <w:r w:rsidR="0061507A">
        <w:rPr>
          <w:noProof/>
        </w:rPr>
        <w:t xml:space="preserve">. </w:t>
      </w:r>
      <w:r w:rsidR="00463B96">
        <w:rPr>
          <w:noProof/>
        </w:rPr>
        <w:t>R</w:t>
      </w:r>
      <w:r w:rsidR="0061507A">
        <w:rPr>
          <w:noProof/>
        </w:rPr>
        <w:t>elevant Member States</w:t>
      </w:r>
      <w:r w:rsidR="0097540F">
        <w:rPr>
          <w:noProof/>
        </w:rPr>
        <w:t>, i.e., those applying withholding tax on income from securities and providing relief for excess tax,</w:t>
      </w:r>
      <w:r w:rsidR="0061507A">
        <w:rPr>
          <w:noProof/>
        </w:rPr>
        <w:t xml:space="preserve"> </w:t>
      </w:r>
      <w:r w:rsidR="00463B96">
        <w:rPr>
          <w:noProof/>
        </w:rPr>
        <w:t>should therefore</w:t>
      </w:r>
      <w:r w:rsidR="0061507A">
        <w:rPr>
          <w:noProof/>
        </w:rPr>
        <w:t xml:space="preserve"> establish and maintain a </w:t>
      </w:r>
      <w:r w:rsidR="00BA125F" w:rsidRPr="00AF29AA">
        <w:rPr>
          <w:noProof/>
        </w:rPr>
        <w:t xml:space="preserve">national </w:t>
      </w:r>
      <w:r w:rsidR="0061507A" w:rsidRPr="00AF29AA">
        <w:rPr>
          <w:noProof/>
        </w:rPr>
        <w:t>register</w:t>
      </w:r>
      <w:r w:rsidR="0061507A">
        <w:rPr>
          <w:noProof/>
        </w:rPr>
        <w:t xml:space="preserve"> of </w:t>
      </w:r>
      <w:r w:rsidR="19B47A3B">
        <w:rPr>
          <w:noProof/>
        </w:rPr>
        <w:t xml:space="preserve">those </w:t>
      </w:r>
      <w:r w:rsidR="0061507A">
        <w:rPr>
          <w:noProof/>
        </w:rPr>
        <w:t>financial intermediaries</w:t>
      </w:r>
      <w:r w:rsidR="0967E08D">
        <w:rPr>
          <w:noProof/>
        </w:rPr>
        <w:t xml:space="preserve"> that</w:t>
      </w:r>
      <w:r w:rsidR="00CD19BA">
        <w:rPr>
          <w:noProof/>
        </w:rPr>
        <w:t xml:space="preserve"> have </w:t>
      </w:r>
      <w:r w:rsidR="003D5866">
        <w:rPr>
          <w:noProof/>
        </w:rPr>
        <w:t>a significant role in the payment chain,</w:t>
      </w:r>
      <w:r w:rsidR="00B762A8">
        <w:rPr>
          <w:noProof/>
        </w:rPr>
        <w:t xml:space="preserve"> </w:t>
      </w:r>
      <w:r w:rsidR="0061507A">
        <w:rPr>
          <w:noProof/>
        </w:rPr>
        <w:t xml:space="preserve">and </w:t>
      </w:r>
      <w:r w:rsidR="62169378">
        <w:rPr>
          <w:noProof/>
        </w:rPr>
        <w:t>o</w:t>
      </w:r>
      <w:r w:rsidR="2FA25D60">
        <w:rPr>
          <w:noProof/>
        </w:rPr>
        <w:t>n</w:t>
      </w:r>
      <w:r w:rsidR="62169378">
        <w:rPr>
          <w:noProof/>
        </w:rPr>
        <w:t xml:space="preserve">ce registered </w:t>
      </w:r>
      <w:r w:rsidR="0061507A">
        <w:rPr>
          <w:noProof/>
        </w:rPr>
        <w:t xml:space="preserve">require </w:t>
      </w:r>
      <w:r w:rsidR="000D10A5">
        <w:rPr>
          <w:noProof/>
        </w:rPr>
        <w:t>them</w:t>
      </w:r>
      <w:r w:rsidR="00F14D19">
        <w:rPr>
          <w:noProof/>
        </w:rPr>
        <w:t xml:space="preserve"> to</w:t>
      </w:r>
      <w:r w:rsidR="0061507A">
        <w:rPr>
          <w:noProof/>
        </w:rPr>
        <w:t xml:space="preserve"> report</w:t>
      </w:r>
      <w:r w:rsidR="008C2438">
        <w:rPr>
          <w:noProof/>
        </w:rPr>
        <w:t xml:space="preserve"> </w:t>
      </w:r>
      <w:r w:rsidR="00C55984">
        <w:rPr>
          <w:noProof/>
        </w:rPr>
        <w:t>information</w:t>
      </w:r>
      <w:r w:rsidR="0061507A">
        <w:rPr>
          <w:noProof/>
        </w:rPr>
        <w:t xml:space="preserve"> </w:t>
      </w:r>
      <w:r w:rsidR="04C03660">
        <w:rPr>
          <w:noProof/>
        </w:rPr>
        <w:t xml:space="preserve">available to them </w:t>
      </w:r>
      <w:r w:rsidR="001441A2">
        <w:rPr>
          <w:noProof/>
        </w:rPr>
        <w:t>about the dividend or interest payments</w:t>
      </w:r>
      <w:r w:rsidR="00E877E0">
        <w:rPr>
          <w:noProof/>
        </w:rPr>
        <w:t>, if applicable,</w:t>
      </w:r>
      <w:r w:rsidR="001441A2">
        <w:rPr>
          <w:noProof/>
        </w:rPr>
        <w:t xml:space="preserve"> they handle</w:t>
      </w:r>
      <w:r w:rsidR="7112D1F1">
        <w:rPr>
          <w:noProof/>
        </w:rPr>
        <w:t xml:space="preserve">. </w:t>
      </w:r>
      <w:r w:rsidR="00A27C28">
        <w:rPr>
          <w:noProof/>
        </w:rPr>
        <w:t>The information required should be limited to information</w:t>
      </w:r>
      <w:r w:rsidR="2ADB1E2A">
        <w:rPr>
          <w:noProof/>
        </w:rPr>
        <w:t xml:space="preserve"> </w:t>
      </w:r>
      <w:r w:rsidR="0061507A">
        <w:rPr>
          <w:noProof/>
        </w:rPr>
        <w:t xml:space="preserve">that </w:t>
      </w:r>
      <w:r w:rsidR="00D95DE4">
        <w:rPr>
          <w:noProof/>
        </w:rPr>
        <w:t>is</w:t>
      </w:r>
      <w:r w:rsidR="0061507A">
        <w:rPr>
          <w:noProof/>
        </w:rPr>
        <w:t xml:space="preserve"> crucial to </w:t>
      </w:r>
      <w:r w:rsidR="000D10A5">
        <w:rPr>
          <w:noProof/>
        </w:rPr>
        <w:t xml:space="preserve">reconstruct the payment chain and </w:t>
      </w:r>
      <w:r w:rsidR="00A27C28">
        <w:rPr>
          <w:noProof/>
        </w:rPr>
        <w:t xml:space="preserve">therefore useful to </w:t>
      </w:r>
      <w:r w:rsidR="0061507A">
        <w:rPr>
          <w:noProof/>
        </w:rPr>
        <w:t xml:space="preserve">prevent risk of </w:t>
      </w:r>
      <w:r w:rsidR="00E41A9B">
        <w:rPr>
          <w:noProof/>
        </w:rPr>
        <w:t>fraud or</w:t>
      </w:r>
      <w:r w:rsidR="0061507A">
        <w:rPr>
          <w:noProof/>
        </w:rPr>
        <w:t xml:space="preserve"> abuse</w:t>
      </w:r>
      <w:r w:rsidR="00E212B9">
        <w:rPr>
          <w:noProof/>
        </w:rPr>
        <w:t xml:space="preserve">, </w:t>
      </w:r>
      <w:r w:rsidR="00A27C28">
        <w:rPr>
          <w:noProof/>
        </w:rPr>
        <w:t>to the extent that such information is available to the reporting intermediary</w:t>
      </w:r>
      <w:r w:rsidR="590F86BA">
        <w:rPr>
          <w:noProof/>
        </w:rPr>
        <w:t>.</w:t>
      </w:r>
      <w:r w:rsidR="46BFE878">
        <w:rPr>
          <w:noProof/>
        </w:rPr>
        <w:t xml:space="preserve"> </w:t>
      </w:r>
      <w:r w:rsidR="000D10A5" w:rsidRPr="009C6C29">
        <w:rPr>
          <w:noProof/>
        </w:rPr>
        <w:t xml:space="preserve">Member States that apply withholding tax on interest at varying rates and need to engage in similar relief procedures may also consider </w:t>
      </w:r>
      <w:r w:rsidR="00463799" w:rsidRPr="009C6C29">
        <w:rPr>
          <w:noProof/>
        </w:rPr>
        <w:t>using</w:t>
      </w:r>
      <w:r w:rsidR="4A80C67B">
        <w:rPr>
          <w:noProof/>
        </w:rPr>
        <w:t xml:space="preserve"> the</w:t>
      </w:r>
      <w:r w:rsidR="37BFB81E">
        <w:rPr>
          <w:noProof/>
        </w:rPr>
        <w:t xml:space="preserve"> </w:t>
      </w:r>
      <w:r w:rsidR="140D2DBF">
        <w:rPr>
          <w:noProof/>
        </w:rPr>
        <w:t>establish</w:t>
      </w:r>
      <w:r w:rsidR="4A80C67B">
        <w:rPr>
          <w:noProof/>
        </w:rPr>
        <w:t>ed</w:t>
      </w:r>
      <w:r w:rsidR="00E877E0">
        <w:rPr>
          <w:noProof/>
        </w:rPr>
        <w:t xml:space="preserve"> national</w:t>
      </w:r>
      <w:r w:rsidR="000D10A5" w:rsidRPr="009C6C29">
        <w:rPr>
          <w:noProof/>
        </w:rPr>
        <w:t xml:space="preserve"> register</w:t>
      </w:r>
      <w:r w:rsidR="140D2DBF">
        <w:rPr>
          <w:noProof/>
        </w:rPr>
        <w:t>,</w:t>
      </w:r>
      <w:r w:rsidR="4A80C67B">
        <w:rPr>
          <w:noProof/>
        </w:rPr>
        <w:t xml:space="preserve"> as the case may be</w:t>
      </w:r>
      <w:r w:rsidR="00750B08">
        <w:rPr>
          <w:noProof/>
        </w:rPr>
        <w:t>.</w:t>
      </w:r>
    </w:p>
    <w:p w14:paraId="0704B2AE" w14:textId="57741987" w:rsidR="00105E8D" w:rsidRDefault="00282923" w:rsidP="00282923">
      <w:pPr>
        <w:pStyle w:val="ManualConsidrant"/>
        <w:rPr>
          <w:noProof/>
        </w:rPr>
      </w:pPr>
      <w:r w:rsidRPr="00282923">
        <w:rPr>
          <w:noProof/>
        </w:rPr>
        <w:t>(</w:t>
      </w:r>
      <w:r w:rsidR="00FC7102">
        <w:rPr>
          <w:noProof/>
        </w:rPr>
        <w:t>6</w:t>
      </w:r>
      <w:r w:rsidRPr="00282923">
        <w:rPr>
          <w:noProof/>
        </w:rPr>
        <w:t>)</w:t>
      </w:r>
      <w:r w:rsidRPr="00282923">
        <w:rPr>
          <w:noProof/>
        </w:rPr>
        <w:tab/>
      </w:r>
      <w:r w:rsidR="00105E8D">
        <w:rPr>
          <w:noProof/>
        </w:rPr>
        <w:t xml:space="preserve">As the financial intermediaries most often engaged in </w:t>
      </w:r>
      <w:r w:rsidR="33453917">
        <w:rPr>
          <w:noProof/>
        </w:rPr>
        <w:t xml:space="preserve">the </w:t>
      </w:r>
      <w:r w:rsidR="5B041981">
        <w:rPr>
          <w:noProof/>
        </w:rPr>
        <w:t>securities</w:t>
      </w:r>
      <w:r w:rsidR="3B814F41">
        <w:rPr>
          <w:noProof/>
        </w:rPr>
        <w:t>’</w:t>
      </w:r>
      <w:r w:rsidR="00484ED8">
        <w:rPr>
          <w:noProof/>
        </w:rPr>
        <w:t xml:space="preserve"> </w:t>
      </w:r>
      <w:r w:rsidR="00896453">
        <w:rPr>
          <w:noProof/>
        </w:rPr>
        <w:t>payment</w:t>
      </w:r>
      <w:r w:rsidR="00105E8D">
        <w:rPr>
          <w:noProof/>
        </w:rPr>
        <w:t xml:space="preserve"> chains are </w:t>
      </w:r>
      <w:r w:rsidR="00C36AB2">
        <w:rPr>
          <w:noProof/>
        </w:rPr>
        <w:t xml:space="preserve">large institutions </w:t>
      </w:r>
      <w:r w:rsidR="0D9F07A0">
        <w:rPr>
          <w:noProof/>
        </w:rPr>
        <w:t>as defined in</w:t>
      </w:r>
      <w:r w:rsidR="5E036C1D">
        <w:rPr>
          <w:noProof/>
        </w:rPr>
        <w:t xml:space="preserve"> </w:t>
      </w:r>
      <w:r w:rsidR="00105E8D">
        <w:rPr>
          <w:noProof/>
        </w:rPr>
        <w:t xml:space="preserve">the </w:t>
      </w:r>
      <w:r w:rsidR="59D47141">
        <w:rPr>
          <w:noProof/>
        </w:rPr>
        <w:t>Capital</w:t>
      </w:r>
      <w:r w:rsidR="57A5D212">
        <w:rPr>
          <w:noProof/>
        </w:rPr>
        <w:t xml:space="preserve"> </w:t>
      </w:r>
      <w:r w:rsidR="00105E8D">
        <w:rPr>
          <w:noProof/>
        </w:rPr>
        <w:t>Requirements Regulation</w:t>
      </w:r>
      <w:r w:rsidR="00364DC7">
        <w:rPr>
          <w:noProof/>
        </w:rPr>
        <w:t xml:space="preserve"> </w:t>
      </w:r>
      <w:r w:rsidR="2C661A1D">
        <w:rPr>
          <w:noProof/>
        </w:rPr>
        <w:t>(CRR)</w:t>
      </w:r>
      <w:r w:rsidR="00505496">
        <w:rPr>
          <w:rStyle w:val="FootnoteReference"/>
          <w:noProof/>
        </w:rPr>
        <w:footnoteReference w:id="30"/>
      </w:r>
      <w:r w:rsidR="26719B83">
        <w:rPr>
          <w:noProof/>
        </w:rPr>
        <w:t xml:space="preserve"> </w:t>
      </w:r>
      <w:r w:rsidR="00C36AB2">
        <w:rPr>
          <w:noProof/>
        </w:rPr>
        <w:t xml:space="preserve">as well as </w:t>
      </w:r>
      <w:r w:rsidR="001240F3">
        <w:rPr>
          <w:noProof/>
        </w:rPr>
        <w:t>c</w:t>
      </w:r>
      <w:r w:rsidR="00C36AB2">
        <w:rPr>
          <w:noProof/>
        </w:rPr>
        <w:t xml:space="preserve">entral </w:t>
      </w:r>
      <w:r w:rsidR="001240F3">
        <w:rPr>
          <w:noProof/>
        </w:rPr>
        <w:t>s</w:t>
      </w:r>
      <w:r w:rsidR="00C36AB2">
        <w:rPr>
          <w:noProof/>
        </w:rPr>
        <w:t xml:space="preserve">ecurities </w:t>
      </w:r>
      <w:r w:rsidR="001240F3">
        <w:rPr>
          <w:noProof/>
        </w:rPr>
        <w:t>d</w:t>
      </w:r>
      <w:r w:rsidR="00C36AB2">
        <w:rPr>
          <w:noProof/>
        </w:rPr>
        <w:t xml:space="preserve">epositories providing </w:t>
      </w:r>
      <w:r w:rsidR="00C36AB2" w:rsidRPr="00C36AB2">
        <w:rPr>
          <w:noProof/>
        </w:rPr>
        <w:t>withholding tax agent services</w:t>
      </w:r>
      <w:r w:rsidR="000D10A5">
        <w:rPr>
          <w:noProof/>
        </w:rPr>
        <w:t>, these entities should be oblig</w:t>
      </w:r>
      <w:r w:rsidR="00E877E0">
        <w:rPr>
          <w:noProof/>
        </w:rPr>
        <w:t>ed</w:t>
      </w:r>
      <w:r w:rsidR="000D10A5">
        <w:rPr>
          <w:noProof/>
        </w:rPr>
        <w:t xml:space="preserve"> to request registration</w:t>
      </w:r>
      <w:r w:rsidR="0097720F">
        <w:rPr>
          <w:noProof/>
        </w:rPr>
        <w:t xml:space="preserve"> </w:t>
      </w:r>
      <w:r w:rsidR="00E877E0">
        <w:rPr>
          <w:noProof/>
        </w:rPr>
        <w:t xml:space="preserve">on </w:t>
      </w:r>
      <w:r w:rsidR="0097720F">
        <w:rPr>
          <w:noProof/>
        </w:rPr>
        <w:t>the national registers of Member States established as above</w:t>
      </w:r>
      <w:r w:rsidR="00105E8D">
        <w:rPr>
          <w:noProof/>
        </w:rPr>
        <w:t xml:space="preserve">. </w:t>
      </w:r>
      <w:r w:rsidR="000E7CF4">
        <w:rPr>
          <w:noProof/>
        </w:rPr>
        <w:t>Other financial intermediaries should be allowed to request registration at their discretion</w:t>
      </w:r>
      <w:r w:rsidR="0334E49F">
        <w:rPr>
          <w:noProof/>
        </w:rPr>
        <w:t>.</w:t>
      </w:r>
      <w:r w:rsidR="57A5D212">
        <w:rPr>
          <w:noProof/>
        </w:rPr>
        <w:t xml:space="preserve"> </w:t>
      </w:r>
      <w:r w:rsidR="6E85EF97">
        <w:rPr>
          <w:noProof/>
        </w:rPr>
        <w:t xml:space="preserve">Registration </w:t>
      </w:r>
      <w:r w:rsidR="6E85EF97" w:rsidRPr="00AE424B">
        <w:rPr>
          <w:noProof/>
        </w:rPr>
        <w:t>should</w:t>
      </w:r>
      <w:r w:rsidR="6E85EF97">
        <w:rPr>
          <w:noProof/>
        </w:rPr>
        <w:t xml:space="preserve"> be requested by the financial intermediary itself by submitting an application to the </w:t>
      </w:r>
      <w:r w:rsidR="00E877E0">
        <w:rPr>
          <w:noProof/>
        </w:rPr>
        <w:t xml:space="preserve">competent </w:t>
      </w:r>
      <w:r w:rsidR="6E85EF97">
        <w:rPr>
          <w:noProof/>
        </w:rPr>
        <w:t xml:space="preserve">authority designated by </w:t>
      </w:r>
      <w:r w:rsidR="67D60F2C">
        <w:rPr>
          <w:noProof/>
        </w:rPr>
        <w:t>the</w:t>
      </w:r>
      <w:r w:rsidR="6E85EF97">
        <w:rPr>
          <w:noProof/>
        </w:rPr>
        <w:t xml:space="preserve"> Member State</w:t>
      </w:r>
      <w:r w:rsidR="0097720F">
        <w:rPr>
          <w:noProof/>
        </w:rPr>
        <w:t xml:space="preserve">, including evidence that the </w:t>
      </w:r>
      <w:r w:rsidR="00D0792E">
        <w:rPr>
          <w:noProof/>
        </w:rPr>
        <w:t xml:space="preserve">financial </w:t>
      </w:r>
      <w:r w:rsidR="0097720F">
        <w:rPr>
          <w:noProof/>
        </w:rPr>
        <w:t>intermediary meets certain requirements</w:t>
      </w:r>
      <w:r w:rsidR="6E85EF97">
        <w:rPr>
          <w:noProof/>
        </w:rPr>
        <w:t>.</w:t>
      </w:r>
      <w:r w:rsidR="0097720F">
        <w:rPr>
          <w:noProof/>
        </w:rPr>
        <w:t xml:space="preserve"> </w:t>
      </w:r>
      <w:r w:rsidR="00BA125F">
        <w:rPr>
          <w:noProof/>
        </w:rPr>
        <w:t>The p</w:t>
      </w:r>
      <w:r w:rsidR="0097720F" w:rsidRPr="008864CE">
        <w:rPr>
          <w:noProof/>
        </w:rPr>
        <w:t xml:space="preserve">urpose of the requirements is to verify that the requesting intermediary </w:t>
      </w:r>
      <w:r w:rsidR="003160AD" w:rsidRPr="003160AD">
        <w:rPr>
          <w:rStyle w:val="normaltextrun"/>
          <w:noProof/>
          <w:szCs w:val="24"/>
          <w:shd w:val="clear" w:color="auto" w:fill="FFFFFF"/>
        </w:rPr>
        <w:t>meets the requirements of relevant</w:t>
      </w:r>
      <w:r w:rsidR="003160AD">
        <w:rPr>
          <w:rStyle w:val="normaltextrun"/>
          <w:noProof/>
          <w:color w:val="D13438"/>
          <w:szCs w:val="24"/>
          <w:shd w:val="clear" w:color="auto" w:fill="FFFFFF"/>
        </w:rPr>
        <w:t xml:space="preserve"> </w:t>
      </w:r>
      <w:r w:rsidR="0097720F" w:rsidRPr="008864CE">
        <w:rPr>
          <w:noProof/>
        </w:rPr>
        <w:t xml:space="preserve">EU regulation and supervised for compliance therewith. </w:t>
      </w:r>
      <w:r w:rsidR="003160AD" w:rsidRPr="003160AD">
        <w:rPr>
          <w:noProof/>
        </w:rPr>
        <w:t xml:space="preserve">Where the financial intermediary is established outside the EU, it is required to be subject to legislation in the third country of its residence that is comparable for the purposes of this Directive and </w:t>
      </w:r>
      <w:r w:rsidR="000447CC">
        <w:rPr>
          <w:noProof/>
        </w:rPr>
        <w:t xml:space="preserve">the </w:t>
      </w:r>
      <w:r w:rsidR="003160AD" w:rsidRPr="003160AD">
        <w:rPr>
          <w:noProof/>
        </w:rPr>
        <w:t xml:space="preserve">third country </w:t>
      </w:r>
      <w:r w:rsidR="000447CC">
        <w:rPr>
          <w:noProof/>
        </w:rPr>
        <w:t xml:space="preserve">of residence </w:t>
      </w:r>
      <w:r w:rsidR="003160AD" w:rsidRPr="003160AD">
        <w:rPr>
          <w:noProof/>
        </w:rPr>
        <w:t>is neither on Annex I of the EU list of non-cooperative jurisdictions nor on the EU list of high-risk third countries (anti-money laundering list). Compliance of a third count</w:t>
      </w:r>
      <w:r w:rsidR="00CF0C12">
        <w:rPr>
          <w:noProof/>
        </w:rPr>
        <w:t>r</w:t>
      </w:r>
      <w:r w:rsidR="003160AD" w:rsidRPr="003160AD">
        <w:rPr>
          <w:noProof/>
        </w:rPr>
        <w:t>y financial intermediary with the relevant EU requirements relates solely for the purposes set out in this Directive and has no impact on the exercising or application of any other rights and obligations under other EU legislation</w:t>
      </w:r>
      <w:r w:rsidR="003160AD">
        <w:rPr>
          <w:noProof/>
        </w:rPr>
        <w:t xml:space="preserve">. </w:t>
      </w:r>
      <w:r w:rsidR="4BF6E1C3" w:rsidRPr="008864CE">
        <w:rPr>
          <w:noProof/>
        </w:rPr>
        <w:t xml:space="preserve">Once </w:t>
      </w:r>
      <w:r w:rsidR="7FA3CC1A" w:rsidRPr="008864CE">
        <w:rPr>
          <w:noProof/>
        </w:rPr>
        <w:t>registered</w:t>
      </w:r>
      <w:r w:rsidR="007D303A" w:rsidRPr="008864CE">
        <w:rPr>
          <w:noProof/>
        </w:rPr>
        <w:t xml:space="preserve">, </w:t>
      </w:r>
      <w:r w:rsidR="57005EAC" w:rsidRPr="008864CE">
        <w:rPr>
          <w:noProof/>
        </w:rPr>
        <w:t>financial intermediaries</w:t>
      </w:r>
      <w:r w:rsidR="007D303A" w:rsidRPr="008864CE">
        <w:rPr>
          <w:noProof/>
        </w:rPr>
        <w:t xml:space="preserve"> should be considered “</w:t>
      </w:r>
      <w:r w:rsidR="001240F3">
        <w:rPr>
          <w:noProof/>
        </w:rPr>
        <w:t>c</w:t>
      </w:r>
      <w:r w:rsidR="007D303A" w:rsidRPr="008864CE">
        <w:rPr>
          <w:noProof/>
        </w:rPr>
        <w:t xml:space="preserve">ertified </w:t>
      </w:r>
      <w:r w:rsidR="001240F3">
        <w:rPr>
          <w:noProof/>
        </w:rPr>
        <w:t>f</w:t>
      </w:r>
      <w:r w:rsidR="007D303A" w:rsidRPr="008864CE">
        <w:rPr>
          <w:noProof/>
        </w:rPr>
        <w:t xml:space="preserve">inancial </w:t>
      </w:r>
      <w:r w:rsidR="001240F3">
        <w:rPr>
          <w:noProof/>
        </w:rPr>
        <w:t>i</w:t>
      </w:r>
      <w:r w:rsidR="007D303A" w:rsidRPr="008864CE">
        <w:rPr>
          <w:noProof/>
        </w:rPr>
        <w:t>ntermediaries</w:t>
      </w:r>
      <w:r w:rsidR="007D303A">
        <w:rPr>
          <w:noProof/>
        </w:rPr>
        <w:t>”</w:t>
      </w:r>
      <w:r w:rsidR="00364DC7">
        <w:rPr>
          <w:noProof/>
        </w:rPr>
        <w:t xml:space="preserve"> </w:t>
      </w:r>
      <w:r w:rsidR="00F75225">
        <w:rPr>
          <w:noProof/>
        </w:rPr>
        <w:t xml:space="preserve">in </w:t>
      </w:r>
      <w:r w:rsidR="00143E8A">
        <w:rPr>
          <w:noProof/>
        </w:rPr>
        <w:t>the respective Member State</w:t>
      </w:r>
      <w:r w:rsidR="00364DC7">
        <w:rPr>
          <w:noProof/>
        </w:rPr>
        <w:t xml:space="preserve"> and be subject to the relevant reporting and notification obligations under this Directive</w:t>
      </w:r>
      <w:r w:rsidR="0029661B">
        <w:rPr>
          <w:noProof/>
        </w:rPr>
        <w:t xml:space="preserve"> while granted the right to request application of the relief procedures set out in this Directive</w:t>
      </w:r>
      <w:r w:rsidR="007D303A">
        <w:rPr>
          <w:noProof/>
        </w:rPr>
        <w:t>.</w:t>
      </w:r>
      <w:r w:rsidR="009B51AA">
        <w:rPr>
          <w:noProof/>
        </w:rPr>
        <w:t xml:space="preserve"> </w:t>
      </w:r>
      <w:r w:rsidR="00364DC7">
        <w:rPr>
          <w:noProof/>
        </w:rPr>
        <w:t>The</w:t>
      </w:r>
      <w:r w:rsidR="0058142F">
        <w:rPr>
          <w:noProof/>
        </w:rPr>
        <w:t xml:space="preserve"> Member States </w:t>
      </w:r>
      <w:r w:rsidR="00A50E7B">
        <w:rPr>
          <w:noProof/>
        </w:rPr>
        <w:t xml:space="preserve">that </w:t>
      </w:r>
      <w:r w:rsidR="007D61E3">
        <w:rPr>
          <w:noProof/>
        </w:rPr>
        <w:t xml:space="preserve">maintain a </w:t>
      </w:r>
      <w:r w:rsidR="0097445D">
        <w:rPr>
          <w:noProof/>
        </w:rPr>
        <w:t>n</w:t>
      </w:r>
      <w:r w:rsidR="007D61E3">
        <w:rPr>
          <w:noProof/>
        </w:rPr>
        <w:t xml:space="preserve">ational </w:t>
      </w:r>
      <w:r w:rsidR="0097445D">
        <w:rPr>
          <w:noProof/>
        </w:rPr>
        <w:t>r</w:t>
      </w:r>
      <w:r w:rsidR="007D61E3">
        <w:rPr>
          <w:noProof/>
        </w:rPr>
        <w:t xml:space="preserve">egister </w:t>
      </w:r>
      <w:r w:rsidR="0058142F">
        <w:rPr>
          <w:noProof/>
        </w:rPr>
        <w:t>should</w:t>
      </w:r>
      <w:r w:rsidR="00364DC7">
        <w:rPr>
          <w:noProof/>
        </w:rPr>
        <w:t xml:space="preserve"> also</w:t>
      </w:r>
      <w:r w:rsidR="0058142F">
        <w:rPr>
          <w:noProof/>
        </w:rPr>
        <w:t xml:space="preserve"> take action to remove </w:t>
      </w:r>
      <w:r w:rsidR="007D61E3">
        <w:rPr>
          <w:noProof/>
        </w:rPr>
        <w:t>there</w:t>
      </w:r>
      <w:r w:rsidR="0058142F">
        <w:rPr>
          <w:noProof/>
        </w:rPr>
        <w:t xml:space="preserve">from </w:t>
      </w:r>
      <w:r w:rsidR="00364DC7">
        <w:rPr>
          <w:noProof/>
        </w:rPr>
        <w:t xml:space="preserve">any </w:t>
      </w:r>
      <w:r w:rsidR="001240F3">
        <w:rPr>
          <w:noProof/>
        </w:rPr>
        <w:t>c</w:t>
      </w:r>
      <w:r w:rsidR="00574D81">
        <w:rPr>
          <w:noProof/>
        </w:rPr>
        <w:t xml:space="preserve">ertified </w:t>
      </w:r>
      <w:r w:rsidR="001240F3">
        <w:rPr>
          <w:noProof/>
        </w:rPr>
        <w:t>f</w:t>
      </w:r>
      <w:r w:rsidR="00574D81">
        <w:rPr>
          <w:noProof/>
        </w:rPr>
        <w:t xml:space="preserve">inancial </w:t>
      </w:r>
      <w:r w:rsidR="001240F3">
        <w:rPr>
          <w:noProof/>
        </w:rPr>
        <w:t>i</w:t>
      </w:r>
      <w:r w:rsidR="00F75225">
        <w:rPr>
          <w:noProof/>
        </w:rPr>
        <w:t xml:space="preserve">ntermediary </w:t>
      </w:r>
      <w:r w:rsidR="0058142F">
        <w:rPr>
          <w:noProof/>
        </w:rPr>
        <w:t>that so request</w:t>
      </w:r>
      <w:r w:rsidR="00F75225">
        <w:rPr>
          <w:noProof/>
        </w:rPr>
        <w:t>s</w:t>
      </w:r>
      <w:r w:rsidR="0058142F">
        <w:rPr>
          <w:noProof/>
        </w:rPr>
        <w:t xml:space="preserve"> or no longer meet</w:t>
      </w:r>
      <w:r w:rsidR="00F75225">
        <w:rPr>
          <w:noProof/>
        </w:rPr>
        <w:t>s</w:t>
      </w:r>
      <w:r w:rsidR="0058142F">
        <w:rPr>
          <w:noProof/>
        </w:rPr>
        <w:t xml:space="preserve"> </w:t>
      </w:r>
      <w:r w:rsidR="00E65656">
        <w:rPr>
          <w:noProof/>
        </w:rPr>
        <w:t xml:space="preserve">the </w:t>
      </w:r>
      <w:r w:rsidR="00364DC7">
        <w:rPr>
          <w:noProof/>
        </w:rPr>
        <w:t>respective</w:t>
      </w:r>
      <w:r w:rsidR="0058142F">
        <w:rPr>
          <w:noProof/>
        </w:rPr>
        <w:t xml:space="preserve"> requirements</w:t>
      </w:r>
      <w:r w:rsidR="0097720F">
        <w:rPr>
          <w:noProof/>
        </w:rPr>
        <w:t xml:space="preserve">. Furthermore, these Member States can decide to provide for the removal from their </w:t>
      </w:r>
      <w:r w:rsidR="0097445D">
        <w:rPr>
          <w:noProof/>
        </w:rPr>
        <w:t>n</w:t>
      </w:r>
      <w:r w:rsidR="0097720F">
        <w:rPr>
          <w:noProof/>
        </w:rPr>
        <w:t xml:space="preserve">ational </w:t>
      </w:r>
      <w:r w:rsidR="0097445D">
        <w:rPr>
          <w:noProof/>
        </w:rPr>
        <w:t>r</w:t>
      </w:r>
      <w:r w:rsidR="0097720F">
        <w:rPr>
          <w:noProof/>
        </w:rPr>
        <w:t xml:space="preserve">egister of </w:t>
      </w:r>
      <w:r w:rsidR="001240F3">
        <w:rPr>
          <w:noProof/>
        </w:rPr>
        <w:t>c</w:t>
      </w:r>
      <w:r w:rsidR="009C234D">
        <w:rPr>
          <w:noProof/>
        </w:rPr>
        <w:t xml:space="preserve">ertified </w:t>
      </w:r>
      <w:r w:rsidR="001240F3">
        <w:rPr>
          <w:noProof/>
        </w:rPr>
        <w:t>f</w:t>
      </w:r>
      <w:r w:rsidR="009C234D">
        <w:rPr>
          <w:noProof/>
        </w:rPr>
        <w:t xml:space="preserve">inancial </w:t>
      </w:r>
      <w:r w:rsidR="001240F3">
        <w:rPr>
          <w:noProof/>
        </w:rPr>
        <w:t>i</w:t>
      </w:r>
      <w:r w:rsidR="009C234D">
        <w:rPr>
          <w:noProof/>
        </w:rPr>
        <w:t xml:space="preserve">ntermediaries found to </w:t>
      </w:r>
      <w:r w:rsidR="00C373DB">
        <w:rPr>
          <w:noProof/>
        </w:rPr>
        <w:t xml:space="preserve">have </w:t>
      </w:r>
      <w:r w:rsidR="00364DC7">
        <w:rPr>
          <w:noProof/>
        </w:rPr>
        <w:t>violated</w:t>
      </w:r>
      <w:r w:rsidR="00C373DB">
        <w:rPr>
          <w:noProof/>
        </w:rPr>
        <w:t xml:space="preserve"> their obligations</w:t>
      </w:r>
      <w:r w:rsidR="009C234D">
        <w:rPr>
          <w:noProof/>
        </w:rPr>
        <w:t xml:space="preserve"> </w:t>
      </w:r>
      <w:r w:rsidR="00E65656">
        <w:rPr>
          <w:noProof/>
        </w:rPr>
        <w:t>a number of times</w:t>
      </w:r>
      <w:r w:rsidR="00C373DB">
        <w:rPr>
          <w:noProof/>
        </w:rPr>
        <w:t xml:space="preserve">. Where a </w:t>
      </w:r>
      <w:r w:rsidR="00C373DB" w:rsidRPr="00C373DB">
        <w:rPr>
          <w:noProof/>
        </w:rPr>
        <w:t>Member Stat</w:t>
      </w:r>
      <w:r w:rsidR="00C373DB">
        <w:rPr>
          <w:noProof/>
        </w:rPr>
        <w:t xml:space="preserve">e takes such action </w:t>
      </w:r>
      <w:r w:rsidR="00E65656">
        <w:rPr>
          <w:noProof/>
        </w:rPr>
        <w:t xml:space="preserve">of </w:t>
      </w:r>
      <w:r w:rsidR="00C373DB">
        <w:rPr>
          <w:noProof/>
        </w:rPr>
        <w:t xml:space="preserve">removal, it </w:t>
      </w:r>
      <w:r w:rsidR="00C373DB" w:rsidRPr="002C62A8">
        <w:rPr>
          <w:noProof/>
        </w:rPr>
        <w:t>should</w:t>
      </w:r>
      <w:r w:rsidR="00C373DB">
        <w:rPr>
          <w:noProof/>
        </w:rPr>
        <w:t xml:space="preserve"> inform other Member States </w:t>
      </w:r>
      <w:r w:rsidR="009C234D">
        <w:rPr>
          <w:noProof/>
        </w:rPr>
        <w:t xml:space="preserve">that maintain a </w:t>
      </w:r>
      <w:r w:rsidR="0097445D">
        <w:rPr>
          <w:noProof/>
        </w:rPr>
        <w:t>n</w:t>
      </w:r>
      <w:r w:rsidR="009C234D">
        <w:rPr>
          <w:noProof/>
        </w:rPr>
        <w:t xml:space="preserve">ational </w:t>
      </w:r>
      <w:r w:rsidR="0097445D">
        <w:rPr>
          <w:noProof/>
        </w:rPr>
        <w:t>r</w:t>
      </w:r>
      <w:r w:rsidR="009C234D">
        <w:rPr>
          <w:noProof/>
        </w:rPr>
        <w:t>egister</w:t>
      </w:r>
      <w:r w:rsidR="00C373DB">
        <w:rPr>
          <w:noProof/>
        </w:rPr>
        <w:t xml:space="preserve"> </w:t>
      </w:r>
      <w:r w:rsidR="22C58981">
        <w:rPr>
          <w:noProof/>
        </w:rPr>
        <w:t>accordingly</w:t>
      </w:r>
      <w:r w:rsidR="7C1E99BE">
        <w:rPr>
          <w:noProof/>
        </w:rPr>
        <w:t xml:space="preserve"> </w:t>
      </w:r>
      <w:r w:rsidR="00C373DB">
        <w:rPr>
          <w:noProof/>
        </w:rPr>
        <w:t xml:space="preserve">in order to allow them </w:t>
      </w:r>
      <w:r w:rsidR="00C373DB" w:rsidRPr="00C373DB">
        <w:rPr>
          <w:noProof/>
        </w:rPr>
        <w:t xml:space="preserve">to assess </w:t>
      </w:r>
      <w:r w:rsidR="0067177E">
        <w:rPr>
          <w:noProof/>
        </w:rPr>
        <w:t xml:space="preserve">the </w:t>
      </w:r>
      <w:r w:rsidR="009C234D">
        <w:rPr>
          <w:noProof/>
        </w:rPr>
        <w:t>removal of the same</w:t>
      </w:r>
      <w:r w:rsidR="0067177E">
        <w:rPr>
          <w:noProof/>
        </w:rPr>
        <w:t xml:space="preserve"> </w:t>
      </w:r>
      <w:r w:rsidR="001240F3">
        <w:rPr>
          <w:noProof/>
        </w:rPr>
        <w:t>c</w:t>
      </w:r>
      <w:r w:rsidR="0097445D">
        <w:rPr>
          <w:noProof/>
        </w:rPr>
        <w:t xml:space="preserve">ertified </w:t>
      </w:r>
      <w:r w:rsidR="001240F3">
        <w:rPr>
          <w:noProof/>
        </w:rPr>
        <w:t>f</w:t>
      </w:r>
      <w:r w:rsidR="0097445D">
        <w:rPr>
          <w:noProof/>
        </w:rPr>
        <w:t xml:space="preserve">inancial </w:t>
      </w:r>
      <w:r w:rsidR="001240F3">
        <w:rPr>
          <w:noProof/>
        </w:rPr>
        <w:t>i</w:t>
      </w:r>
      <w:r w:rsidR="0097445D">
        <w:rPr>
          <w:noProof/>
        </w:rPr>
        <w:t>ntermediary</w:t>
      </w:r>
      <w:r w:rsidR="009C234D">
        <w:rPr>
          <w:noProof/>
        </w:rPr>
        <w:t xml:space="preserve"> from their own </w:t>
      </w:r>
      <w:r w:rsidR="0097445D">
        <w:rPr>
          <w:noProof/>
        </w:rPr>
        <w:t>n</w:t>
      </w:r>
      <w:r w:rsidR="009C234D">
        <w:rPr>
          <w:noProof/>
        </w:rPr>
        <w:t xml:space="preserve">ational </w:t>
      </w:r>
      <w:r w:rsidR="0097445D">
        <w:rPr>
          <w:noProof/>
        </w:rPr>
        <w:t>r</w:t>
      </w:r>
      <w:r w:rsidR="009C234D">
        <w:rPr>
          <w:noProof/>
        </w:rPr>
        <w:t>egister</w:t>
      </w:r>
      <w:r w:rsidR="00C373DB" w:rsidRPr="00C373DB">
        <w:rPr>
          <w:noProof/>
        </w:rPr>
        <w:t>.</w:t>
      </w:r>
      <w:r w:rsidR="00A50E7B">
        <w:rPr>
          <w:noProof/>
        </w:rPr>
        <w:t xml:space="preserve"> National legislation of the Member States concerned </w:t>
      </w:r>
      <w:r w:rsidR="00751299">
        <w:rPr>
          <w:noProof/>
        </w:rPr>
        <w:t>applies to</w:t>
      </w:r>
      <w:r w:rsidR="00A50E7B">
        <w:rPr>
          <w:noProof/>
        </w:rPr>
        <w:t xml:space="preserve"> the rights and obligations of </w:t>
      </w:r>
      <w:r w:rsidR="00574D81">
        <w:rPr>
          <w:noProof/>
        </w:rPr>
        <w:t>parties concerned</w:t>
      </w:r>
      <w:r w:rsidR="00A50E7B">
        <w:rPr>
          <w:noProof/>
        </w:rPr>
        <w:t xml:space="preserve">, including for appeal, in relation to any decision taken by a Member State in connection with registration and removal from </w:t>
      </w:r>
      <w:r w:rsidR="0067177E">
        <w:rPr>
          <w:noProof/>
        </w:rPr>
        <w:t xml:space="preserve">their </w:t>
      </w:r>
      <w:r w:rsidR="0097445D">
        <w:rPr>
          <w:noProof/>
        </w:rPr>
        <w:t>n</w:t>
      </w:r>
      <w:r w:rsidR="00A50E7B">
        <w:rPr>
          <w:noProof/>
        </w:rPr>
        <w:t xml:space="preserve">ational </w:t>
      </w:r>
      <w:r w:rsidR="0097445D">
        <w:rPr>
          <w:noProof/>
        </w:rPr>
        <w:t>r</w:t>
      </w:r>
      <w:r w:rsidR="00A50E7B">
        <w:rPr>
          <w:noProof/>
        </w:rPr>
        <w:t>egister.</w:t>
      </w:r>
    </w:p>
    <w:p w14:paraId="5A476C6A" w14:textId="77777777" w:rsidR="00D0444B" w:rsidRDefault="00282923" w:rsidP="00282923">
      <w:pPr>
        <w:pStyle w:val="ManualConsidrant"/>
        <w:rPr>
          <w:noProof/>
        </w:rPr>
      </w:pPr>
      <w:r w:rsidRPr="00282923">
        <w:rPr>
          <w:noProof/>
        </w:rPr>
        <w:t>(</w:t>
      </w:r>
      <w:r w:rsidR="00FC7102">
        <w:rPr>
          <w:noProof/>
        </w:rPr>
        <w:t>7</w:t>
      </w:r>
      <w:r w:rsidRPr="00282923">
        <w:rPr>
          <w:noProof/>
        </w:rPr>
        <w:t>)</w:t>
      </w:r>
      <w:r w:rsidRPr="00282923">
        <w:rPr>
          <w:noProof/>
        </w:rPr>
        <w:tab/>
      </w:r>
      <w:r w:rsidR="00F22FC3">
        <w:rPr>
          <w:noProof/>
        </w:rPr>
        <w:t xml:space="preserve">To </w:t>
      </w:r>
      <w:r w:rsidR="00CD5E7E">
        <w:rPr>
          <w:noProof/>
        </w:rPr>
        <w:t>ensure</w:t>
      </w:r>
      <w:r w:rsidR="007D303A">
        <w:rPr>
          <w:noProof/>
        </w:rPr>
        <w:t xml:space="preserve"> </w:t>
      </w:r>
      <w:r w:rsidR="001D3463">
        <w:rPr>
          <w:noProof/>
        </w:rPr>
        <w:t xml:space="preserve">greater </w:t>
      </w:r>
      <w:r w:rsidR="007D303A">
        <w:rPr>
          <w:noProof/>
        </w:rPr>
        <w:t>transparency on the identi</w:t>
      </w:r>
      <w:r w:rsidR="00D33B49">
        <w:rPr>
          <w:noProof/>
        </w:rPr>
        <w:t>ty</w:t>
      </w:r>
      <w:r w:rsidR="007D303A">
        <w:rPr>
          <w:noProof/>
        </w:rPr>
        <w:t xml:space="preserve"> and the circumstances of the investor receiving a dividend </w:t>
      </w:r>
      <w:r w:rsidR="001F24D0">
        <w:rPr>
          <w:noProof/>
        </w:rPr>
        <w:t xml:space="preserve">or interest </w:t>
      </w:r>
      <w:r w:rsidR="007D303A">
        <w:rPr>
          <w:noProof/>
        </w:rPr>
        <w:t xml:space="preserve">payment as well as on the flow of the payment from the issuer, </w:t>
      </w:r>
      <w:r w:rsidR="000447CC">
        <w:rPr>
          <w:noProof/>
        </w:rPr>
        <w:t>c</w:t>
      </w:r>
      <w:r w:rsidR="007D303A">
        <w:rPr>
          <w:noProof/>
        </w:rPr>
        <w:t xml:space="preserve">ertified </w:t>
      </w:r>
      <w:r w:rsidR="001240F3">
        <w:rPr>
          <w:noProof/>
        </w:rPr>
        <w:t>f</w:t>
      </w:r>
      <w:r w:rsidR="007D303A">
        <w:rPr>
          <w:noProof/>
        </w:rPr>
        <w:t xml:space="preserve">inancial </w:t>
      </w:r>
      <w:r w:rsidR="001240F3">
        <w:rPr>
          <w:noProof/>
        </w:rPr>
        <w:t>i</w:t>
      </w:r>
      <w:r w:rsidR="007D303A">
        <w:rPr>
          <w:noProof/>
        </w:rPr>
        <w:t xml:space="preserve">ntermediaries should report </w:t>
      </w:r>
      <w:r w:rsidR="00847235">
        <w:rPr>
          <w:noProof/>
        </w:rPr>
        <w:t xml:space="preserve">to the authority designated to maintain the </w:t>
      </w:r>
      <w:r w:rsidR="001240F3">
        <w:rPr>
          <w:noProof/>
        </w:rPr>
        <w:t>n</w:t>
      </w:r>
      <w:r w:rsidR="00847235">
        <w:rPr>
          <w:noProof/>
        </w:rPr>
        <w:t xml:space="preserve">ational </w:t>
      </w:r>
      <w:r w:rsidR="001240F3">
        <w:rPr>
          <w:noProof/>
        </w:rPr>
        <w:t>r</w:t>
      </w:r>
      <w:r w:rsidR="00847235">
        <w:rPr>
          <w:noProof/>
        </w:rPr>
        <w:t>egister,</w:t>
      </w:r>
      <w:r w:rsidR="007D303A">
        <w:rPr>
          <w:noProof/>
        </w:rPr>
        <w:t xml:space="preserve"> </w:t>
      </w:r>
      <w:r w:rsidR="00143E8A">
        <w:rPr>
          <w:noProof/>
        </w:rPr>
        <w:t>within specific timelines</w:t>
      </w:r>
      <w:r w:rsidR="00847235">
        <w:rPr>
          <w:noProof/>
        </w:rPr>
        <w:t>,</w:t>
      </w:r>
      <w:r w:rsidR="00143E8A">
        <w:rPr>
          <w:noProof/>
        </w:rPr>
        <w:t xml:space="preserve"> </w:t>
      </w:r>
      <w:r w:rsidR="007D303A">
        <w:rPr>
          <w:noProof/>
        </w:rPr>
        <w:t>a relevant set of information</w:t>
      </w:r>
      <w:r w:rsidR="00847235">
        <w:rPr>
          <w:noProof/>
        </w:rPr>
        <w:t xml:space="preserve">. This information should also </w:t>
      </w:r>
      <w:r w:rsidR="00D0792E">
        <w:rPr>
          <w:noProof/>
        </w:rPr>
        <w:t xml:space="preserve">be </w:t>
      </w:r>
      <w:r w:rsidR="00847235">
        <w:rPr>
          <w:noProof/>
        </w:rPr>
        <w:t>reported</w:t>
      </w:r>
      <w:r w:rsidR="007D303A">
        <w:rPr>
          <w:noProof/>
        </w:rPr>
        <w:t xml:space="preserve"> to the withholding tax agent, where relief at source is possible</w:t>
      </w:r>
      <w:r w:rsidR="00847235">
        <w:rPr>
          <w:noProof/>
        </w:rPr>
        <w:t>.</w:t>
      </w:r>
      <w:r w:rsidR="00D0444B">
        <w:rPr>
          <w:noProof/>
        </w:rPr>
        <w:t xml:space="preserve"> </w:t>
      </w:r>
      <w:r w:rsidR="78AC4D93">
        <w:rPr>
          <w:noProof/>
        </w:rPr>
        <w:t>Th</w:t>
      </w:r>
      <w:r w:rsidR="32BB737F">
        <w:rPr>
          <w:noProof/>
        </w:rPr>
        <w:t>is</w:t>
      </w:r>
      <w:r w:rsidR="0063252B">
        <w:rPr>
          <w:noProof/>
        </w:rPr>
        <w:t xml:space="preserve"> data </w:t>
      </w:r>
      <w:r w:rsidR="0063252B" w:rsidRPr="002C62A8">
        <w:rPr>
          <w:noProof/>
        </w:rPr>
        <w:t>should</w:t>
      </w:r>
      <w:r w:rsidR="0063252B">
        <w:rPr>
          <w:noProof/>
        </w:rPr>
        <w:t xml:space="preserve"> include information on the eligibility of the investor concerned</w:t>
      </w:r>
      <w:r w:rsidR="0004240A">
        <w:rPr>
          <w:noProof/>
        </w:rPr>
        <w:t xml:space="preserve">, </w:t>
      </w:r>
      <w:r w:rsidR="0095464C">
        <w:rPr>
          <w:noProof/>
        </w:rPr>
        <w:t>but should be limited to</w:t>
      </w:r>
      <w:r w:rsidR="005160CB">
        <w:rPr>
          <w:noProof/>
        </w:rPr>
        <w:t xml:space="preserve"> the information </w:t>
      </w:r>
      <w:r w:rsidR="002941C6">
        <w:rPr>
          <w:noProof/>
        </w:rPr>
        <w:t xml:space="preserve">that is </w:t>
      </w:r>
      <w:r w:rsidR="005160CB">
        <w:rPr>
          <w:noProof/>
        </w:rPr>
        <w:t xml:space="preserve">available to the reporting </w:t>
      </w:r>
      <w:r w:rsidR="002941C6">
        <w:rPr>
          <w:noProof/>
        </w:rPr>
        <w:t>c</w:t>
      </w:r>
      <w:r w:rsidR="005160CB">
        <w:rPr>
          <w:noProof/>
        </w:rPr>
        <w:t xml:space="preserve">ertified </w:t>
      </w:r>
      <w:r w:rsidR="002941C6">
        <w:rPr>
          <w:noProof/>
        </w:rPr>
        <w:t>f</w:t>
      </w:r>
      <w:r w:rsidR="005160CB">
        <w:rPr>
          <w:noProof/>
        </w:rPr>
        <w:t xml:space="preserve">inancial </w:t>
      </w:r>
      <w:r w:rsidR="002941C6">
        <w:rPr>
          <w:noProof/>
        </w:rPr>
        <w:t>i</w:t>
      </w:r>
      <w:r w:rsidR="005160CB">
        <w:rPr>
          <w:noProof/>
        </w:rPr>
        <w:t>ntermediary</w:t>
      </w:r>
      <w:r w:rsidR="00D0444B">
        <w:rPr>
          <w:noProof/>
        </w:rPr>
        <w:t xml:space="preserve">. </w:t>
      </w:r>
      <w:r w:rsidR="00014317">
        <w:rPr>
          <w:noProof/>
        </w:rPr>
        <w:t>F</w:t>
      </w:r>
      <w:r w:rsidR="00324E89">
        <w:rPr>
          <w:noProof/>
        </w:rPr>
        <w:t xml:space="preserve">inancial intermediaries that are not under an obligation to register as </w:t>
      </w:r>
      <w:r w:rsidR="002941C6">
        <w:rPr>
          <w:noProof/>
        </w:rPr>
        <w:t>c</w:t>
      </w:r>
      <w:r w:rsidR="00324E89">
        <w:rPr>
          <w:noProof/>
        </w:rPr>
        <w:t xml:space="preserve">ertified </w:t>
      </w:r>
      <w:r w:rsidR="002941C6">
        <w:rPr>
          <w:noProof/>
        </w:rPr>
        <w:t>f</w:t>
      </w:r>
      <w:r w:rsidR="00324E89">
        <w:rPr>
          <w:noProof/>
        </w:rPr>
        <w:t xml:space="preserve">inancial </w:t>
      </w:r>
      <w:r w:rsidR="002941C6">
        <w:rPr>
          <w:noProof/>
        </w:rPr>
        <w:t>i</w:t>
      </w:r>
      <w:r w:rsidR="00324E89">
        <w:rPr>
          <w:noProof/>
        </w:rPr>
        <w:t xml:space="preserve">ntermediaries and have also opted not to register as such, </w:t>
      </w:r>
      <w:r w:rsidR="00014317">
        <w:rPr>
          <w:noProof/>
        </w:rPr>
        <w:t xml:space="preserve">do not have reporting obligations under this Directive. Nevertheless, </w:t>
      </w:r>
      <w:r w:rsidR="00185AAF">
        <w:rPr>
          <w:noProof/>
        </w:rPr>
        <w:t xml:space="preserve">information on the payments handled by such intermediaries that are not </w:t>
      </w:r>
      <w:r w:rsidR="00463799">
        <w:rPr>
          <w:noProof/>
        </w:rPr>
        <w:t>certified</w:t>
      </w:r>
      <w:r w:rsidR="00185AAF">
        <w:rPr>
          <w:noProof/>
        </w:rPr>
        <w:t xml:space="preserve"> </w:t>
      </w:r>
      <w:r w:rsidR="002941C6">
        <w:rPr>
          <w:noProof/>
        </w:rPr>
        <w:t>f</w:t>
      </w:r>
      <w:r w:rsidR="00185AAF">
        <w:rPr>
          <w:noProof/>
        </w:rPr>
        <w:t xml:space="preserve">inancial </w:t>
      </w:r>
      <w:r w:rsidR="002941C6">
        <w:rPr>
          <w:noProof/>
        </w:rPr>
        <w:t>i</w:t>
      </w:r>
      <w:r w:rsidR="00185AAF">
        <w:rPr>
          <w:noProof/>
        </w:rPr>
        <w:t xml:space="preserve">ntermediaries remains </w:t>
      </w:r>
      <w:r w:rsidR="00491F84">
        <w:rPr>
          <w:noProof/>
        </w:rPr>
        <w:t>relevant and</w:t>
      </w:r>
      <w:r w:rsidR="00185AAF">
        <w:rPr>
          <w:noProof/>
        </w:rPr>
        <w:t xml:space="preserve"> </w:t>
      </w:r>
      <w:r w:rsidR="00671ABB">
        <w:rPr>
          <w:noProof/>
        </w:rPr>
        <w:t xml:space="preserve">may be considered </w:t>
      </w:r>
      <w:r w:rsidR="00491F84">
        <w:rPr>
          <w:noProof/>
        </w:rPr>
        <w:t>necessary</w:t>
      </w:r>
      <w:r w:rsidR="00185AAF">
        <w:rPr>
          <w:noProof/>
        </w:rPr>
        <w:t xml:space="preserve"> </w:t>
      </w:r>
      <w:r w:rsidR="00671ABB">
        <w:rPr>
          <w:noProof/>
        </w:rPr>
        <w:t>by a Member State, at its discretion</w:t>
      </w:r>
      <w:r w:rsidR="00014317">
        <w:rPr>
          <w:noProof/>
        </w:rPr>
        <w:t xml:space="preserve">, to ensure transparency and to allow for the proper reconstruction of the payment chain before </w:t>
      </w:r>
      <w:r w:rsidR="0097445D">
        <w:rPr>
          <w:noProof/>
        </w:rPr>
        <w:t xml:space="preserve">applying </w:t>
      </w:r>
      <w:r w:rsidR="00014317">
        <w:rPr>
          <w:noProof/>
        </w:rPr>
        <w:t xml:space="preserve">the </w:t>
      </w:r>
      <w:r w:rsidR="00C53EB4">
        <w:rPr>
          <w:noProof/>
        </w:rPr>
        <w:t>relief</w:t>
      </w:r>
      <w:r w:rsidR="00014317">
        <w:rPr>
          <w:noProof/>
        </w:rPr>
        <w:t xml:space="preserve"> procedures set out in this Directive</w:t>
      </w:r>
      <w:r w:rsidR="00C53EB4">
        <w:rPr>
          <w:noProof/>
        </w:rPr>
        <w:t xml:space="preserve"> (relief at source or quick refund)</w:t>
      </w:r>
      <w:r w:rsidR="00185AAF">
        <w:rPr>
          <w:noProof/>
        </w:rPr>
        <w:t>. Therefore</w:t>
      </w:r>
      <w:r w:rsidR="00463799">
        <w:rPr>
          <w:noProof/>
        </w:rPr>
        <w:t>,</w:t>
      </w:r>
      <w:r w:rsidR="00014317">
        <w:rPr>
          <w:noProof/>
        </w:rPr>
        <w:t xml:space="preserve"> </w:t>
      </w:r>
      <w:r w:rsidR="00671ABB">
        <w:rPr>
          <w:noProof/>
        </w:rPr>
        <w:t>Member States may request that</w:t>
      </w:r>
      <w:r w:rsidR="00014317">
        <w:rPr>
          <w:noProof/>
        </w:rPr>
        <w:t xml:space="preserve"> </w:t>
      </w:r>
      <w:r w:rsidR="002941C6">
        <w:rPr>
          <w:noProof/>
        </w:rPr>
        <w:t>c</w:t>
      </w:r>
      <w:r w:rsidR="00014317">
        <w:rPr>
          <w:noProof/>
        </w:rPr>
        <w:t xml:space="preserve">ertified </w:t>
      </w:r>
      <w:r w:rsidR="002941C6">
        <w:rPr>
          <w:noProof/>
        </w:rPr>
        <w:t>f</w:t>
      </w:r>
      <w:r w:rsidR="00014317">
        <w:rPr>
          <w:noProof/>
        </w:rPr>
        <w:t xml:space="preserve">inancial </w:t>
      </w:r>
      <w:r w:rsidR="002941C6">
        <w:rPr>
          <w:noProof/>
        </w:rPr>
        <w:t>i</w:t>
      </w:r>
      <w:r w:rsidR="00014317">
        <w:rPr>
          <w:noProof/>
        </w:rPr>
        <w:t xml:space="preserve">ntermediaries </w:t>
      </w:r>
      <w:r w:rsidR="00185AAF">
        <w:rPr>
          <w:noProof/>
        </w:rPr>
        <w:t xml:space="preserve">obtain </w:t>
      </w:r>
      <w:r w:rsidR="00927A8D">
        <w:rPr>
          <w:noProof/>
        </w:rPr>
        <w:t xml:space="preserve">this </w:t>
      </w:r>
      <w:r w:rsidR="00185AAF">
        <w:rPr>
          <w:noProof/>
        </w:rPr>
        <w:t xml:space="preserve">information from such intermediaries and </w:t>
      </w:r>
      <w:r w:rsidR="00014317">
        <w:rPr>
          <w:noProof/>
        </w:rPr>
        <w:t xml:space="preserve">report </w:t>
      </w:r>
      <w:r w:rsidR="00185AAF">
        <w:rPr>
          <w:noProof/>
        </w:rPr>
        <w:t xml:space="preserve">accordingly </w:t>
      </w:r>
      <w:r w:rsidR="00F64917">
        <w:rPr>
          <w:noProof/>
        </w:rPr>
        <w:t>in order for the relief procedures laid out in this Directive to be applicable</w:t>
      </w:r>
      <w:r w:rsidDel="60B61A60">
        <w:rPr>
          <w:noProof/>
        </w:rPr>
        <w:t>.</w:t>
      </w:r>
    </w:p>
    <w:p w14:paraId="011708FC" w14:textId="0DDC5C6A" w:rsidR="00AD6ED5" w:rsidRDefault="00282923" w:rsidP="00282923">
      <w:pPr>
        <w:pStyle w:val="ManualConsidrant"/>
        <w:rPr>
          <w:noProof/>
        </w:rPr>
      </w:pPr>
      <w:r w:rsidRPr="00282923">
        <w:rPr>
          <w:noProof/>
        </w:rPr>
        <w:t>(</w:t>
      </w:r>
      <w:r w:rsidR="00FC7102">
        <w:rPr>
          <w:noProof/>
        </w:rPr>
        <w:t>8</w:t>
      </w:r>
      <w:r w:rsidRPr="00282923">
        <w:rPr>
          <w:noProof/>
        </w:rPr>
        <w:t>)</w:t>
      </w:r>
      <w:r w:rsidRPr="00282923">
        <w:rPr>
          <w:noProof/>
        </w:rPr>
        <w:tab/>
      </w:r>
      <w:r w:rsidR="00D0444B">
        <w:rPr>
          <w:noProof/>
        </w:rPr>
        <w:t xml:space="preserve">In order to render the Capital Markets Union more effective and competitive, procedures for relief of excess withholding taxes on </w:t>
      </w:r>
      <w:r w:rsidR="46630781">
        <w:rPr>
          <w:noProof/>
        </w:rPr>
        <w:t>securities’ income</w:t>
      </w:r>
      <w:r w:rsidR="00D0444B">
        <w:rPr>
          <w:noProof/>
        </w:rPr>
        <w:t xml:space="preserve"> should be facilitated and accelerated, where adequate information has been provided by relevant </w:t>
      </w:r>
      <w:r w:rsidR="00B26AB7">
        <w:rPr>
          <w:noProof/>
        </w:rPr>
        <w:t>c</w:t>
      </w:r>
      <w:r w:rsidR="00D0444B">
        <w:rPr>
          <w:noProof/>
        </w:rPr>
        <w:t xml:space="preserve">ertified </w:t>
      </w:r>
      <w:r w:rsidR="00B26AB7">
        <w:rPr>
          <w:noProof/>
        </w:rPr>
        <w:t>f</w:t>
      </w:r>
      <w:r w:rsidR="00D0444B">
        <w:rPr>
          <w:noProof/>
        </w:rPr>
        <w:t xml:space="preserve">inancial </w:t>
      </w:r>
      <w:r w:rsidR="00B26AB7">
        <w:rPr>
          <w:noProof/>
        </w:rPr>
        <w:t>i</w:t>
      </w:r>
      <w:r w:rsidR="00D0444B">
        <w:rPr>
          <w:noProof/>
        </w:rPr>
        <w:t>ntermediaries</w:t>
      </w:r>
      <w:r w:rsidR="001D3463">
        <w:rPr>
          <w:noProof/>
        </w:rPr>
        <w:t>, including</w:t>
      </w:r>
      <w:r w:rsidR="00D0444B">
        <w:rPr>
          <w:noProof/>
        </w:rPr>
        <w:t xml:space="preserve"> on the identity of the investor. </w:t>
      </w:r>
      <w:r w:rsidR="001D3463">
        <w:rPr>
          <w:noProof/>
        </w:rPr>
        <w:t>The r</w:t>
      </w:r>
      <w:r w:rsidR="00D0444B">
        <w:rPr>
          <w:noProof/>
        </w:rPr>
        <w:t xml:space="preserve">elevant </w:t>
      </w:r>
      <w:r w:rsidR="00B26AB7">
        <w:rPr>
          <w:noProof/>
        </w:rPr>
        <w:t>c</w:t>
      </w:r>
      <w:r w:rsidR="00D0444B">
        <w:rPr>
          <w:noProof/>
        </w:rPr>
        <w:t xml:space="preserve">ertified </w:t>
      </w:r>
      <w:r w:rsidR="00B26AB7">
        <w:rPr>
          <w:noProof/>
        </w:rPr>
        <w:t>f</w:t>
      </w:r>
      <w:r w:rsidR="00D0444B">
        <w:rPr>
          <w:noProof/>
        </w:rPr>
        <w:t xml:space="preserve">inancial </w:t>
      </w:r>
      <w:r w:rsidR="00B26AB7">
        <w:rPr>
          <w:noProof/>
        </w:rPr>
        <w:t>i</w:t>
      </w:r>
      <w:r w:rsidR="00D0444B">
        <w:rPr>
          <w:noProof/>
        </w:rPr>
        <w:t xml:space="preserve">ntermediaries </w:t>
      </w:r>
      <w:r w:rsidR="001D3463">
        <w:rPr>
          <w:noProof/>
        </w:rPr>
        <w:t xml:space="preserve">consist </w:t>
      </w:r>
      <w:r w:rsidR="00F71E9D">
        <w:rPr>
          <w:noProof/>
        </w:rPr>
        <w:t>of</w:t>
      </w:r>
      <w:r w:rsidR="001D3463">
        <w:rPr>
          <w:noProof/>
        </w:rPr>
        <w:t xml:space="preserve"> </w:t>
      </w:r>
      <w:r w:rsidR="00D0444B">
        <w:rPr>
          <w:noProof/>
        </w:rPr>
        <w:t>all th</w:t>
      </w:r>
      <w:r w:rsidR="001D3463">
        <w:rPr>
          <w:noProof/>
        </w:rPr>
        <w:t>e</w:t>
      </w:r>
      <w:r w:rsidR="00D0444B">
        <w:rPr>
          <w:noProof/>
        </w:rPr>
        <w:t xml:space="preserve"> </w:t>
      </w:r>
      <w:r w:rsidR="00B26AB7">
        <w:rPr>
          <w:noProof/>
        </w:rPr>
        <w:t>c</w:t>
      </w:r>
      <w:r w:rsidR="00D0444B">
        <w:rPr>
          <w:noProof/>
        </w:rPr>
        <w:t xml:space="preserve">ertified </w:t>
      </w:r>
      <w:r w:rsidR="00B26AB7">
        <w:rPr>
          <w:noProof/>
        </w:rPr>
        <w:t>f</w:t>
      </w:r>
      <w:r w:rsidR="00D0444B">
        <w:rPr>
          <w:noProof/>
        </w:rPr>
        <w:t xml:space="preserve">inancial </w:t>
      </w:r>
      <w:r w:rsidR="00B26AB7">
        <w:rPr>
          <w:noProof/>
        </w:rPr>
        <w:t>i</w:t>
      </w:r>
      <w:r w:rsidR="00D0444B">
        <w:rPr>
          <w:noProof/>
        </w:rPr>
        <w:t xml:space="preserve">ntermediaries in the </w:t>
      </w:r>
      <w:r w:rsidR="00DB1610">
        <w:rPr>
          <w:noProof/>
        </w:rPr>
        <w:t xml:space="preserve">payment </w:t>
      </w:r>
      <w:r w:rsidR="00D0444B">
        <w:rPr>
          <w:noProof/>
        </w:rPr>
        <w:t>chain between the investor and the issuer of the securities</w:t>
      </w:r>
      <w:r w:rsidR="009A1541">
        <w:rPr>
          <w:noProof/>
        </w:rPr>
        <w:t>, which might be required to also provide information on payments effected by non</w:t>
      </w:r>
      <w:r w:rsidR="00D0792E">
        <w:rPr>
          <w:noProof/>
        </w:rPr>
        <w:t>-</w:t>
      </w:r>
      <w:r w:rsidR="00B26AB7">
        <w:rPr>
          <w:noProof/>
        </w:rPr>
        <w:t>c</w:t>
      </w:r>
      <w:r w:rsidR="009A1541">
        <w:rPr>
          <w:noProof/>
        </w:rPr>
        <w:t xml:space="preserve">ertified </w:t>
      </w:r>
      <w:r w:rsidR="00B26AB7">
        <w:rPr>
          <w:noProof/>
        </w:rPr>
        <w:t>f</w:t>
      </w:r>
      <w:r w:rsidR="009A1541">
        <w:rPr>
          <w:noProof/>
        </w:rPr>
        <w:t xml:space="preserve">inancial </w:t>
      </w:r>
      <w:r w:rsidR="00B26AB7">
        <w:rPr>
          <w:noProof/>
        </w:rPr>
        <w:t>i</w:t>
      </w:r>
      <w:r w:rsidR="009A1541">
        <w:rPr>
          <w:noProof/>
        </w:rPr>
        <w:t xml:space="preserve">ntermediaries in the chain, as per the </w:t>
      </w:r>
      <w:r w:rsidR="005107A4">
        <w:rPr>
          <w:noProof/>
        </w:rPr>
        <w:t>policy choice</w:t>
      </w:r>
      <w:r w:rsidR="009A1541">
        <w:rPr>
          <w:noProof/>
        </w:rPr>
        <w:t xml:space="preserve"> of each Member State</w:t>
      </w:r>
      <w:r w:rsidR="00D0444B">
        <w:rPr>
          <w:noProof/>
        </w:rPr>
        <w:t xml:space="preserve">. </w:t>
      </w:r>
      <w:r w:rsidR="00CA5656">
        <w:rPr>
          <w:noProof/>
        </w:rPr>
        <w:t>T</w:t>
      </w:r>
      <w:r w:rsidR="00D0444B">
        <w:rPr>
          <w:noProof/>
        </w:rPr>
        <w:t xml:space="preserve">aking into account the different </w:t>
      </w:r>
      <w:r w:rsidR="00710E9B">
        <w:rPr>
          <w:noProof/>
        </w:rPr>
        <w:t xml:space="preserve">approaches </w:t>
      </w:r>
      <w:r w:rsidR="00D0444B">
        <w:rPr>
          <w:noProof/>
        </w:rPr>
        <w:t>in Member States</w:t>
      </w:r>
      <w:r w:rsidR="000D2E9B">
        <w:rPr>
          <w:noProof/>
        </w:rPr>
        <w:t>,</w:t>
      </w:r>
      <w:r w:rsidR="00D0444B">
        <w:rPr>
          <w:noProof/>
        </w:rPr>
        <w:t xml:space="preserve"> two types of procedures </w:t>
      </w:r>
      <w:r w:rsidR="7252B68D">
        <w:rPr>
          <w:noProof/>
        </w:rPr>
        <w:t>are</w:t>
      </w:r>
      <w:r w:rsidR="00D0444B">
        <w:rPr>
          <w:noProof/>
        </w:rPr>
        <w:t xml:space="preserve"> envisaged: (i) relief at source by direct application of the appropriate tax rate at the time of withholding and (ii) quick refund within a maximum of </w:t>
      </w:r>
      <w:r w:rsidR="00A164B9">
        <w:rPr>
          <w:noProof/>
        </w:rPr>
        <w:t>50</w:t>
      </w:r>
      <w:r w:rsidR="00D0444B">
        <w:rPr>
          <w:noProof/>
        </w:rPr>
        <w:t xml:space="preserve"> days of </w:t>
      </w:r>
      <w:r w:rsidR="00746F5E">
        <w:rPr>
          <w:noProof/>
        </w:rPr>
        <w:t>the date</w:t>
      </w:r>
      <w:r w:rsidR="007E7CE4">
        <w:rPr>
          <w:noProof/>
        </w:rPr>
        <w:t xml:space="preserve"> </w:t>
      </w:r>
      <w:r w:rsidR="007833AA">
        <w:rPr>
          <w:noProof/>
        </w:rPr>
        <w:t xml:space="preserve">of payment of the dividend </w:t>
      </w:r>
      <w:r w:rsidR="007E7CE4">
        <w:rPr>
          <w:noProof/>
        </w:rPr>
        <w:t>or</w:t>
      </w:r>
      <w:r w:rsidR="673E0CA4">
        <w:rPr>
          <w:noProof/>
        </w:rPr>
        <w:t>, as the case may be,</w:t>
      </w:r>
      <w:r w:rsidR="007E7CE4">
        <w:rPr>
          <w:noProof/>
        </w:rPr>
        <w:t xml:space="preserve"> </w:t>
      </w:r>
      <w:r w:rsidR="0014365F">
        <w:rPr>
          <w:noProof/>
        </w:rPr>
        <w:t xml:space="preserve">of </w:t>
      </w:r>
      <w:r w:rsidR="007E7CE4">
        <w:rPr>
          <w:noProof/>
        </w:rPr>
        <w:t>the date when the bond issuer must pay interest to the bond holder (coupon date)</w:t>
      </w:r>
      <w:r w:rsidR="00D0444B">
        <w:rPr>
          <w:noProof/>
        </w:rPr>
        <w:t xml:space="preserve">. Member States should be free to introduce any of the two or </w:t>
      </w:r>
      <w:r w:rsidR="5D3F9115">
        <w:rPr>
          <w:noProof/>
        </w:rPr>
        <w:t xml:space="preserve">a combination of </w:t>
      </w:r>
      <w:r w:rsidR="00D0444B">
        <w:rPr>
          <w:noProof/>
        </w:rPr>
        <w:t xml:space="preserve">both procedures, as they deem appropriate while ensuring that at least one is available </w:t>
      </w:r>
      <w:r w:rsidR="002E6E9C">
        <w:rPr>
          <w:noProof/>
        </w:rPr>
        <w:t>for all</w:t>
      </w:r>
      <w:r w:rsidR="00D0444B">
        <w:rPr>
          <w:noProof/>
        </w:rPr>
        <w:t xml:space="preserve"> investors, where the requirements of this Directive have been met.</w:t>
      </w:r>
      <w:r w:rsidR="00AD6ED5">
        <w:rPr>
          <w:noProof/>
        </w:rPr>
        <w:t xml:space="preserve"> </w:t>
      </w:r>
      <w:r w:rsidR="004F125A">
        <w:rPr>
          <w:noProof/>
        </w:rPr>
        <w:t xml:space="preserve">To </w:t>
      </w:r>
      <w:r w:rsidR="003D11DE">
        <w:rPr>
          <w:noProof/>
        </w:rPr>
        <w:t xml:space="preserve">ensure </w:t>
      </w:r>
      <w:r w:rsidR="004F125A">
        <w:rPr>
          <w:noProof/>
        </w:rPr>
        <w:t xml:space="preserve">the proper </w:t>
      </w:r>
      <w:r w:rsidR="003D11DE">
        <w:rPr>
          <w:noProof/>
        </w:rPr>
        <w:t xml:space="preserve">and timely </w:t>
      </w:r>
      <w:r w:rsidR="004F125A">
        <w:rPr>
          <w:noProof/>
        </w:rPr>
        <w:t>implementation of the</w:t>
      </w:r>
      <w:r w:rsidR="00FE4F91">
        <w:rPr>
          <w:noProof/>
        </w:rPr>
        <w:t>se</w:t>
      </w:r>
      <w:r w:rsidR="004F125A">
        <w:rPr>
          <w:noProof/>
        </w:rPr>
        <w:t xml:space="preserve"> procedures by the Member States concerned, it </w:t>
      </w:r>
      <w:r w:rsidR="003D11DE">
        <w:rPr>
          <w:noProof/>
        </w:rPr>
        <w:t>is</w:t>
      </w:r>
      <w:r w:rsidR="004F125A">
        <w:rPr>
          <w:noProof/>
        </w:rPr>
        <w:t xml:space="preserve"> appropriate to </w:t>
      </w:r>
      <w:r w:rsidR="00B26AB7">
        <w:rPr>
          <w:noProof/>
        </w:rPr>
        <w:t>apply</w:t>
      </w:r>
      <w:r w:rsidR="004F125A">
        <w:rPr>
          <w:noProof/>
        </w:rPr>
        <w:t xml:space="preserve"> interest on</w:t>
      </w:r>
      <w:r w:rsidR="4C686EFD">
        <w:rPr>
          <w:noProof/>
        </w:rPr>
        <w:t xml:space="preserve"> late </w:t>
      </w:r>
      <w:r w:rsidR="36616B5D">
        <w:rPr>
          <w:noProof/>
        </w:rPr>
        <w:t>refund</w:t>
      </w:r>
      <w:r w:rsidR="37B7047A">
        <w:rPr>
          <w:noProof/>
        </w:rPr>
        <w:t>s</w:t>
      </w:r>
      <w:r w:rsidR="004F125A">
        <w:rPr>
          <w:noProof/>
        </w:rPr>
        <w:t xml:space="preserve"> of excess withholding taxes </w:t>
      </w:r>
      <w:r w:rsidR="0014365F">
        <w:rPr>
          <w:noProof/>
        </w:rPr>
        <w:t xml:space="preserve">that are </w:t>
      </w:r>
      <w:r w:rsidR="00B26AB7">
        <w:rPr>
          <w:noProof/>
        </w:rPr>
        <w:t>covered by</w:t>
      </w:r>
      <w:r w:rsidR="004F125A">
        <w:rPr>
          <w:noProof/>
        </w:rPr>
        <w:t xml:space="preserve"> this Directive and meet the conditions to benefit from </w:t>
      </w:r>
      <w:r w:rsidR="00B26AB7">
        <w:rPr>
          <w:noProof/>
        </w:rPr>
        <w:t xml:space="preserve">these </w:t>
      </w:r>
      <w:r w:rsidR="004F125A">
        <w:rPr>
          <w:noProof/>
        </w:rPr>
        <w:t>procedures.</w:t>
      </w:r>
      <w:r w:rsidR="00AD6ED5">
        <w:rPr>
          <w:noProof/>
        </w:rPr>
        <w:t xml:space="preserve"> Where relevant requirements are not met, or the investor concerned so desires, </w:t>
      </w:r>
      <w:r w:rsidR="009B51AA">
        <w:rPr>
          <w:noProof/>
        </w:rPr>
        <w:t xml:space="preserve">Member States </w:t>
      </w:r>
      <w:r w:rsidR="0097445D">
        <w:rPr>
          <w:noProof/>
        </w:rPr>
        <w:t xml:space="preserve">should </w:t>
      </w:r>
      <w:r w:rsidR="009B51AA">
        <w:rPr>
          <w:noProof/>
        </w:rPr>
        <w:t>apply</w:t>
      </w:r>
      <w:r w:rsidR="00AD6ED5">
        <w:rPr>
          <w:noProof/>
        </w:rPr>
        <w:t xml:space="preserve"> their</w:t>
      </w:r>
      <w:r w:rsidR="009B51AA">
        <w:rPr>
          <w:noProof/>
        </w:rPr>
        <w:t xml:space="preserve"> existing </w:t>
      </w:r>
      <w:r w:rsidR="009C02A4">
        <w:rPr>
          <w:noProof/>
        </w:rPr>
        <w:t xml:space="preserve">standard refund </w:t>
      </w:r>
      <w:r w:rsidR="009B51AA">
        <w:rPr>
          <w:noProof/>
        </w:rPr>
        <w:t xml:space="preserve">procedures to relieve excess withholding taxes. </w:t>
      </w:r>
      <w:r w:rsidR="00474334">
        <w:rPr>
          <w:noProof/>
        </w:rPr>
        <w:t>In any case, registered owners, in particular retail investors, and their authorized representatives, should preserve the right to reclaim excess withholding tax paid in a Member State where they provide proof of meeting the conditions set out in national law.</w:t>
      </w:r>
    </w:p>
    <w:p w14:paraId="6BC0634B" w14:textId="77777777" w:rsidR="002B75A3" w:rsidRDefault="00282923" w:rsidP="00282923">
      <w:pPr>
        <w:pStyle w:val="ManualConsidrant"/>
        <w:rPr>
          <w:noProof/>
        </w:rPr>
      </w:pPr>
      <w:r w:rsidRPr="00282923">
        <w:rPr>
          <w:noProof/>
        </w:rPr>
        <w:t>(</w:t>
      </w:r>
      <w:r w:rsidR="00FC7102">
        <w:rPr>
          <w:noProof/>
        </w:rPr>
        <w:t>9</w:t>
      </w:r>
      <w:r w:rsidRPr="00282923">
        <w:rPr>
          <w:noProof/>
        </w:rPr>
        <w:t>)</w:t>
      </w:r>
      <w:r w:rsidRPr="00282923">
        <w:rPr>
          <w:noProof/>
        </w:rPr>
        <w:tab/>
      </w:r>
      <w:r w:rsidR="00AD6ED5">
        <w:rPr>
          <w:noProof/>
        </w:rPr>
        <w:t xml:space="preserve">In order to safeguard the systems for relief of excess withholding taxes, Member States </w:t>
      </w:r>
      <w:r w:rsidR="00AD6807">
        <w:rPr>
          <w:noProof/>
        </w:rPr>
        <w:t xml:space="preserve">maintaining a </w:t>
      </w:r>
      <w:r w:rsidR="005E4C10">
        <w:rPr>
          <w:noProof/>
        </w:rPr>
        <w:t xml:space="preserve">national </w:t>
      </w:r>
      <w:r w:rsidR="00AD6807">
        <w:rPr>
          <w:noProof/>
        </w:rPr>
        <w:t>register</w:t>
      </w:r>
      <w:r w:rsidR="00AD6ED5">
        <w:rPr>
          <w:noProof/>
        </w:rPr>
        <w:t xml:space="preserve"> </w:t>
      </w:r>
      <w:r w:rsidR="00223739">
        <w:rPr>
          <w:noProof/>
        </w:rPr>
        <w:t>should</w:t>
      </w:r>
      <w:r w:rsidR="00AD6ED5">
        <w:rPr>
          <w:noProof/>
        </w:rPr>
        <w:t xml:space="preserve"> </w:t>
      </w:r>
      <w:r w:rsidR="006A58CB">
        <w:rPr>
          <w:noProof/>
        </w:rPr>
        <w:t>also</w:t>
      </w:r>
      <w:r w:rsidR="00AD6ED5">
        <w:rPr>
          <w:noProof/>
        </w:rPr>
        <w:t xml:space="preserve"> require </w:t>
      </w:r>
      <w:r w:rsidR="009F3059">
        <w:rPr>
          <w:noProof/>
        </w:rPr>
        <w:t>c</w:t>
      </w:r>
      <w:r w:rsidR="00AD6ED5">
        <w:rPr>
          <w:noProof/>
        </w:rPr>
        <w:t xml:space="preserve">ertified </w:t>
      </w:r>
      <w:r w:rsidR="009F3059">
        <w:rPr>
          <w:noProof/>
        </w:rPr>
        <w:t>f</w:t>
      </w:r>
      <w:r w:rsidR="00AD6ED5">
        <w:rPr>
          <w:noProof/>
        </w:rPr>
        <w:t xml:space="preserve">inancial </w:t>
      </w:r>
      <w:r w:rsidR="009F3059">
        <w:rPr>
          <w:noProof/>
        </w:rPr>
        <w:t>i</w:t>
      </w:r>
      <w:r w:rsidR="00AD6ED5">
        <w:rPr>
          <w:noProof/>
        </w:rPr>
        <w:t xml:space="preserve">ntermediaries to verify the eligibility of investors </w:t>
      </w:r>
      <w:r w:rsidR="00D0792E">
        <w:rPr>
          <w:noProof/>
        </w:rPr>
        <w:t xml:space="preserve">that wish to claim </w:t>
      </w:r>
      <w:r w:rsidR="00AD6ED5">
        <w:rPr>
          <w:noProof/>
        </w:rPr>
        <w:t>a relief. In particular</w:t>
      </w:r>
      <w:r w:rsidR="00463799">
        <w:rPr>
          <w:noProof/>
        </w:rPr>
        <w:t>,</w:t>
      </w:r>
      <w:r w:rsidR="00AD6807">
        <w:rPr>
          <w:noProof/>
        </w:rPr>
        <w:t xml:space="preserve"> </w:t>
      </w:r>
      <w:r w:rsidR="00463799">
        <w:rPr>
          <w:noProof/>
        </w:rPr>
        <w:t>ce</w:t>
      </w:r>
      <w:r w:rsidR="00AD6ED5">
        <w:rPr>
          <w:noProof/>
        </w:rPr>
        <w:t xml:space="preserve">rtified </w:t>
      </w:r>
      <w:r w:rsidR="009F3059">
        <w:rPr>
          <w:noProof/>
        </w:rPr>
        <w:t>f</w:t>
      </w:r>
      <w:r w:rsidR="00AD6ED5">
        <w:rPr>
          <w:noProof/>
        </w:rPr>
        <w:t xml:space="preserve">inancial </w:t>
      </w:r>
      <w:r w:rsidR="009F3059">
        <w:rPr>
          <w:noProof/>
        </w:rPr>
        <w:t>i</w:t>
      </w:r>
      <w:r w:rsidR="00AD6ED5">
        <w:rPr>
          <w:noProof/>
        </w:rPr>
        <w:t xml:space="preserve">ntermediaries </w:t>
      </w:r>
      <w:r w:rsidR="006A58CB">
        <w:rPr>
          <w:noProof/>
        </w:rPr>
        <w:t xml:space="preserve">should </w:t>
      </w:r>
      <w:r w:rsidR="00AD6ED5">
        <w:rPr>
          <w:noProof/>
        </w:rPr>
        <w:t xml:space="preserve">collect the tax residence certificate of the relevant investor, </w:t>
      </w:r>
      <w:r w:rsidR="0071291A">
        <w:rPr>
          <w:noProof/>
        </w:rPr>
        <w:t>a</w:t>
      </w:r>
      <w:r w:rsidR="006E3E2B">
        <w:rPr>
          <w:noProof/>
        </w:rPr>
        <w:t xml:space="preserve">nd </w:t>
      </w:r>
      <w:r w:rsidR="0071291A">
        <w:rPr>
          <w:noProof/>
        </w:rPr>
        <w:t>a declaration</w:t>
      </w:r>
      <w:r w:rsidR="00AD6ED5">
        <w:rPr>
          <w:noProof/>
        </w:rPr>
        <w:t xml:space="preserve"> that such investor is the beneficial owner of the payment</w:t>
      </w:r>
      <w:r w:rsidR="00893B1E">
        <w:rPr>
          <w:noProof/>
        </w:rPr>
        <w:t xml:space="preserve"> according to the legislation of the source Member State</w:t>
      </w:r>
      <w:r w:rsidR="401E6539">
        <w:rPr>
          <w:noProof/>
        </w:rPr>
        <w:t>.</w:t>
      </w:r>
      <w:r w:rsidR="33454580">
        <w:rPr>
          <w:noProof/>
        </w:rPr>
        <w:t xml:space="preserve"> </w:t>
      </w:r>
      <w:r w:rsidR="00456FCB">
        <w:rPr>
          <w:noProof/>
        </w:rPr>
        <w:t>T</w:t>
      </w:r>
      <w:r w:rsidR="006A58CB">
        <w:rPr>
          <w:noProof/>
        </w:rPr>
        <w:t>hey should</w:t>
      </w:r>
      <w:r w:rsidR="00456FCB">
        <w:rPr>
          <w:noProof/>
        </w:rPr>
        <w:t xml:space="preserve"> also</w:t>
      </w:r>
      <w:r w:rsidR="006E3E2B">
        <w:rPr>
          <w:noProof/>
        </w:rPr>
        <w:t xml:space="preserve"> verify</w:t>
      </w:r>
      <w:r w:rsidR="00AD6ED5">
        <w:rPr>
          <w:noProof/>
        </w:rPr>
        <w:t xml:space="preserve"> the applicable withholding tax rate based on the investor’s specific circumstances </w:t>
      </w:r>
      <w:r w:rsidR="07E1EB35">
        <w:rPr>
          <w:noProof/>
        </w:rPr>
        <w:t xml:space="preserve">and indicate if they are aware of </w:t>
      </w:r>
      <w:r w:rsidR="03C40CDF">
        <w:rPr>
          <w:noProof/>
        </w:rPr>
        <w:t>a</w:t>
      </w:r>
      <w:r w:rsidR="33764D96">
        <w:rPr>
          <w:noProof/>
        </w:rPr>
        <w:t>ny</w:t>
      </w:r>
      <w:r w:rsidR="00AD6ED5">
        <w:rPr>
          <w:noProof/>
        </w:rPr>
        <w:t xml:space="preserve"> financial arrangement</w:t>
      </w:r>
      <w:r w:rsidR="08A0430B" w:rsidRPr="562C66DC">
        <w:rPr>
          <w:rFonts w:eastAsia="Times New Roman"/>
          <w:noProof/>
          <w:color w:val="000000" w:themeColor="text1"/>
        </w:rPr>
        <w:t xml:space="preserve"> involving</w:t>
      </w:r>
      <w:r w:rsidR="37ABF9A7" w:rsidRPr="562C66DC">
        <w:rPr>
          <w:rFonts w:eastAsia="Times New Roman"/>
          <w:noProof/>
          <w:color w:val="000000" w:themeColor="text1"/>
        </w:rPr>
        <w:t xml:space="preserve"> </w:t>
      </w:r>
      <w:r w:rsidR="37ABF9A7" w:rsidRPr="00D0792E">
        <w:rPr>
          <w:noProof/>
        </w:rPr>
        <w:t xml:space="preserve">the </w:t>
      </w:r>
      <w:r w:rsidR="08A0430B" w:rsidRPr="00D0792E">
        <w:rPr>
          <w:noProof/>
        </w:rPr>
        <w:t>underlying securities that has not been settled, expired or otherwise terminated</w:t>
      </w:r>
      <w:r w:rsidR="1BE1CC38" w:rsidRPr="00D0792E">
        <w:rPr>
          <w:noProof/>
        </w:rPr>
        <w:t xml:space="preserve"> </w:t>
      </w:r>
      <w:r w:rsidR="60FFA017" w:rsidRPr="00D0792E">
        <w:rPr>
          <w:noProof/>
        </w:rPr>
        <w:t xml:space="preserve">at </w:t>
      </w:r>
      <w:r w:rsidR="08A0430B" w:rsidRPr="00D0792E">
        <w:rPr>
          <w:noProof/>
        </w:rPr>
        <w:t>the ex-dividend dat</w:t>
      </w:r>
      <w:r w:rsidR="755008A0" w:rsidRPr="00D0792E">
        <w:rPr>
          <w:noProof/>
        </w:rPr>
        <w:t xml:space="preserve">e. </w:t>
      </w:r>
      <w:r w:rsidR="00AD6ED5">
        <w:rPr>
          <w:noProof/>
        </w:rPr>
        <w:t xml:space="preserve">Certified </w:t>
      </w:r>
      <w:r w:rsidR="009F3059">
        <w:rPr>
          <w:noProof/>
        </w:rPr>
        <w:t>f</w:t>
      </w:r>
      <w:r w:rsidR="00AD6ED5">
        <w:rPr>
          <w:noProof/>
        </w:rPr>
        <w:t xml:space="preserve">inancial </w:t>
      </w:r>
      <w:r w:rsidR="009F3059">
        <w:rPr>
          <w:noProof/>
        </w:rPr>
        <w:t>i</w:t>
      </w:r>
      <w:r w:rsidR="00AD6ED5">
        <w:rPr>
          <w:noProof/>
        </w:rPr>
        <w:t xml:space="preserve">ntermediaries should be held liable </w:t>
      </w:r>
      <w:r w:rsidR="006A58CB">
        <w:rPr>
          <w:noProof/>
        </w:rPr>
        <w:t>for</w:t>
      </w:r>
      <w:r w:rsidR="00AD6ED5">
        <w:rPr>
          <w:noProof/>
        </w:rPr>
        <w:t xml:space="preserve"> tax revenue losses </w:t>
      </w:r>
      <w:r w:rsidR="002F4C67">
        <w:rPr>
          <w:noProof/>
        </w:rPr>
        <w:t xml:space="preserve">that </w:t>
      </w:r>
      <w:r w:rsidR="009F3059">
        <w:rPr>
          <w:noProof/>
        </w:rPr>
        <w:t>have</w:t>
      </w:r>
      <w:r w:rsidR="002F4C67">
        <w:rPr>
          <w:noProof/>
        </w:rPr>
        <w:t xml:space="preserve"> </w:t>
      </w:r>
      <w:r w:rsidR="000447CC">
        <w:rPr>
          <w:noProof/>
        </w:rPr>
        <w:t xml:space="preserve">been </w:t>
      </w:r>
      <w:r w:rsidR="006A58CB">
        <w:rPr>
          <w:noProof/>
        </w:rPr>
        <w:t xml:space="preserve">incurred </w:t>
      </w:r>
      <w:r w:rsidR="00AD6ED5">
        <w:rPr>
          <w:noProof/>
        </w:rPr>
        <w:t xml:space="preserve">due to </w:t>
      </w:r>
      <w:r w:rsidR="002F4C67">
        <w:rPr>
          <w:noProof/>
        </w:rPr>
        <w:t xml:space="preserve">the </w:t>
      </w:r>
      <w:r w:rsidR="00AD6ED5">
        <w:rPr>
          <w:noProof/>
        </w:rPr>
        <w:t xml:space="preserve">inadequate fulfilment of </w:t>
      </w:r>
      <w:r w:rsidR="009F3059">
        <w:rPr>
          <w:noProof/>
        </w:rPr>
        <w:t>these</w:t>
      </w:r>
      <w:r w:rsidR="00AD6ED5">
        <w:rPr>
          <w:noProof/>
        </w:rPr>
        <w:t xml:space="preserve"> obligations</w:t>
      </w:r>
      <w:r w:rsidR="002F4C67">
        <w:rPr>
          <w:noProof/>
        </w:rPr>
        <w:t>,</w:t>
      </w:r>
      <w:r w:rsidR="00CF457F">
        <w:rPr>
          <w:noProof/>
        </w:rPr>
        <w:t xml:space="preserve"> to the extent </w:t>
      </w:r>
      <w:r w:rsidR="002F4C67">
        <w:rPr>
          <w:noProof/>
        </w:rPr>
        <w:t xml:space="preserve">that </w:t>
      </w:r>
      <w:r w:rsidR="00CF457F">
        <w:rPr>
          <w:noProof/>
        </w:rPr>
        <w:t xml:space="preserve">national law of the Member State </w:t>
      </w:r>
      <w:r w:rsidR="009F3059">
        <w:rPr>
          <w:noProof/>
        </w:rPr>
        <w:t>where the loss incurred</w:t>
      </w:r>
      <w:r w:rsidR="00CF457F">
        <w:rPr>
          <w:noProof/>
        </w:rPr>
        <w:t xml:space="preserve"> so provides</w:t>
      </w:r>
      <w:r w:rsidR="00AD6ED5">
        <w:rPr>
          <w:noProof/>
        </w:rPr>
        <w:t xml:space="preserve">. </w:t>
      </w:r>
      <w:r w:rsidR="006A58CB">
        <w:rPr>
          <w:noProof/>
        </w:rPr>
        <w:t>In orde</w:t>
      </w:r>
      <w:r w:rsidR="001F5D74">
        <w:rPr>
          <w:noProof/>
        </w:rPr>
        <w:t>r</w:t>
      </w:r>
      <w:r w:rsidR="006A58CB">
        <w:rPr>
          <w:noProof/>
        </w:rPr>
        <w:t xml:space="preserve"> to ensure proportionality of the burden </w:t>
      </w:r>
      <w:r w:rsidR="00CF457F">
        <w:rPr>
          <w:noProof/>
        </w:rPr>
        <w:t xml:space="preserve">and liability </w:t>
      </w:r>
      <w:r w:rsidR="006A58CB">
        <w:rPr>
          <w:noProof/>
        </w:rPr>
        <w:t xml:space="preserve">imposed on </w:t>
      </w:r>
      <w:r w:rsidR="009F3059">
        <w:rPr>
          <w:noProof/>
        </w:rPr>
        <w:t>c</w:t>
      </w:r>
      <w:r w:rsidR="006A58CB">
        <w:rPr>
          <w:noProof/>
        </w:rPr>
        <w:t xml:space="preserve">ertified </w:t>
      </w:r>
      <w:r w:rsidR="009F3059">
        <w:rPr>
          <w:noProof/>
        </w:rPr>
        <w:t>f</w:t>
      </w:r>
      <w:r w:rsidR="006A58CB">
        <w:rPr>
          <w:noProof/>
        </w:rPr>
        <w:t xml:space="preserve">inancial </w:t>
      </w:r>
      <w:r w:rsidR="009F3059">
        <w:rPr>
          <w:noProof/>
        </w:rPr>
        <w:t>i</w:t>
      </w:r>
      <w:r w:rsidR="006A58CB">
        <w:rPr>
          <w:noProof/>
        </w:rPr>
        <w:t xml:space="preserve">ntermediaries, </w:t>
      </w:r>
      <w:r w:rsidR="00AD6ED5">
        <w:rPr>
          <w:noProof/>
        </w:rPr>
        <w:t xml:space="preserve">reduced verification obligations should apply to all relief procedures, </w:t>
      </w:r>
      <w:r w:rsidR="00CA5656">
        <w:rPr>
          <w:noProof/>
        </w:rPr>
        <w:t xml:space="preserve">where the risk of abuse is low and in particular where the </w:t>
      </w:r>
      <w:r w:rsidR="00227B9F">
        <w:rPr>
          <w:noProof/>
        </w:rPr>
        <w:t xml:space="preserve">total </w:t>
      </w:r>
      <w:r w:rsidR="00CA5656">
        <w:rPr>
          <w:noProof/>
        </w:rPr>
        <w:t>amount</w:t>
      </w:r>
      <w:r w:rsidR="00A47B6C">
        <w:rPr>
          <w:noProof/>
        </w:rPr>
        <w:t xml:space="preserve"> of the dividend</w:t>
      </w:r>
      <w:r w:rsidR="00CA5656">
        <w:rPr>
          <w:noProof/>
        </w:rPr>
        <w:t xml:space="preserve"> paid </w:t>
      </w:r>
      <w:r w:rsidR="00227B9F">
        <w:rPr>
          <w:noProof/>
        </w:rPr>
        <w:t>to the investor</w:t>
      </w:r>
      <w:r w:rsidR="00CA5656">
        <w:rPr>
          <w:noProof/>
        </w:rPr>
        <w:t xml:space="preserve"> </w:t>
      </w:r>
      <w:r w:rsidR="00227B9F">
        <w:rPr>
          <w:noProof/>
        </w:rPr>
        <w:t xml:space="preserve">for a shareholding in a company </w:t>
      </w:r>
      <w:r w:rsidR="00CA5656">
        <w:rPr>
          <w:noProof/>
        </w:rPr>
        <w:t xml:space="preserve">is lower than </w:t>
      </w:r>
      <w:r w:rsidR="005E4C10">
        <w:rPr>
          <w:noProof/>
        </w:rPr>
        <w:t xml:space="preserve">EUR </w:t>
      </w:r>
      <w:r w:rsidR="00CA5656">
        <w:rPr>
          <w:noProof/>
        </w:rPr>
        <w:t>1000</w:t>
      </w:r>
      <w:r w:rsidR="00286F1F">
        <w:rPr>
          <w:noProof/>
        </w:rPr>
        <w:t>.</w:t>
      </w:r>
      <w:r w:rsidR="009402D1">
        <w:rPr>
          <w:noProof/>
        </w:rPr>
        <w:t xml:space="preserve"> Should such abuse be proven otherwise, Member States can however apply consequences under national law, including denying the systems of relief provided in this Directive, but they cannot hold </w:t>
      </w:r>
      <w:r w:rsidR="009F3059">
        <w:rPr>
          <w:noProof/>
        </w:rPr>
        <w:t>c</w:t>
      </w:r>
      <w:r w:rsidR="009402D1">
        <w:rPr>
          <w:noProof/>
        </w:rPr>
        <w:t xml:space="preserve">ertified </w:t>
      </w:r>
      <w:r w:rsidR="009F3059">
        <w:rPr>
          <w:noProof/>
        </w:rPr>
        <w:t>f</w:t>
      </w:r>
      <w:r w:rsidR="009402D1">
        <w:rPr>
          <w:noProof/>
        </w:rPr>
        <w:t xml:space="preserve">inancial </w:t>
      </w:r>
      <w:r w:rsidR="00463799">
        <w:rPr>
          <w:noProof/>
        </w:rPr>
        <w:t>i</w:t>
      </w:r>
      <w:r w:rsidR="009402D1">
        <w:rPr>
          <w:noProof/>
        </w:rPr>
        <w:t xml:space="preserve">ntermediaries </w:t>
      </w:r>
      <w:r w:rsidR="005E4C10">
        <w:rPr>
          <w:noProof/>
        </w:rPr>
        <w:t xml:space="preserve">liable </w:t>
      </w:r>
      <w:r w:rsidR="009402D1">
        <w:rPr>
          <w:noProof/>
        </w:rPr>
        <w:t>for absence of verification.</w:t>
      </w:r>
    </w:p>
    <w:p w14:paraId="4EAE137B" w14:textId="50A90538" w:rsidR="006E3E2B" w:rsidRDefault="00282923" w:rsidP="00282923">
      <w:pPr>
        <w:pStyle w:val="ManualConsidrant"/>
        <w:rPr>
          <w:noProof/>
        </w:rPr>
      </w:pPr>
      <w:r w:rsidRPr="00282923">
        <w:rPr>
          <w:noProof/>
        </w:rPr>
        <w:t>(1</w:t>
      </w:r>
      <w:r w:rsidR="00FC7102">
        <w:rPr>
          <w:noProof/>
        </w:rPr>
        <w:t>0</w:t>
      </w:r>
      <w:r w:rsidRPr="00282923">
        <w:rPr>
          <w:noProof/>
        </w:rPr>
        <w:t>)</w:t>
      </w:r>
      <w:r w:rsidRPr="00282923">
        <w:rPr>
          <w:noProof/>
        </w:rPr>
        <w:tab/>
      </w:r>
      <w:r w:rsidR="006E3E2B">
        <w:rPr>
          <w:noProof/>
        </w:rPr>
        <w:t xml:space="preserve">It is acknowledged that financial </w:t>
      </w:r>
      <w:r w:rsidR="00286A83">
        <w:rPr>
          <w:noProof/>
        </w:rPr>
        <w:t xml:space="preserve">arrangements </w:t>
      </w:r>
      <w:r w:rsidR="006E3E2B">
        <w:rPr>
          <w:noProof/>
        </w:rPr>
        <w:t>can be used to shift the economic ownership</w:t>
      </w:r>
      <w:r w:rsidR="00E2606C">
        <w:rPr>
          <w:noProof/>
        </w:rPr>
        <w:t>,</w:t>
      </w:r>
      <w:r w:rsidR="006E3E2B">
        <w:rPr>
          <w:noProof/>
        </w:rPr>
        <w:t xml:space="preserve"> in whole or in part</w:t>
      </w:r>
      <w:r w:rsidR="00E2606C">
        <w:rPr>
          <w:noProof/>
        </w:rPr>
        <w:t>,</w:t>
      </w:r>
      <w:r w:rsidR="006E3E2B">
        <w:rPr>
          <w:noProof/>
        </w:rPr>
        <w:t xml:space="preserve"> of a security and/or relevant investment risks. It has also been evidenced that such </w:t>
      </w:r>
      <w:r w:rsidR="004B1E5B">
        <w:rPr>
          <w:noProof/>
        </w:rPr>
        <w:t>arrangements</w:t>
      </w:r>
      <w:r w:rsidR="006E3E2B">
        <w:rPr>
          <w:noProof/>
        </w:rPr>
        <w:t xml:space="preserve"> have been used in </w:t>
      </w:r>
      <w:r w:rsidR="00DC57C9">
        <w:rPr>
          <w:noProof/>
        </w:rPr>
        <w:t xml:space="preserve">dividend arbitrage and dividend stripping schemes such as </w:t>
      </w:r>
      <w:r w:rsidR="006E3E2B">
        <w:rPr>
          <w:noProof/>
        </w:rPr>
        <w:t>the Cum/Ex and Cum/Cum schemes</w:t>
      </w:r>
      <w:r w:rsidR="004220A8">
        <w:rPr>
          <w:noProof/>
        </w:rPr>
        <w:t xml:space="preserve">, </w:t>
      </w:r>
      <w:r w:rsidR="006E3E2B">
        <w:rPr>
          <w:noProof/>
        </w:rPr>
        <w:t xml:space="preserve">with </w:t>
      </w:r>
      <w:r w:rsidR="00B9581D">
        <w:rPr>
          <w:noProof/>
        </w:rPr>
        <w:t xml:space="preserve">the </w:t>
      </w:r>
      <w:r w:rsidR="006E3E2B">
        <w:rPr>
          <w:noProof/>
        </w:rPr>
        <w:t xml:space="preserve">sole purpose to obtain refunds when there was no entitlement thereto or to increase the amount of refund to which an investor was </w:t>
      </w:r>
      <w:r w:rsidR="006A58CB">
        <w:rPr>
          <w:noProof/>
        </w:rPr>
        <w:t>actually</w:t>
      </w:r>
      <w:r w:rsidR="00296E7C">
        <w:rPr>
          <w:noProof/>
        </w:rPr>
        <w:t xml:space="preserve"> </w:t>
      </w:r>
      <w:r w:rsidR="006E3E2B">
        <w:rPr>
          <w:noProof/>
        </w:rPr>
        <w:t xml:space="preserve">entitled. </w:t>
      </w:r>
      <w:r w:rsidR="006A58CB">
        <w:rPr>
          <w:noProof/>
        </w:rPr>
        <w:t>I</w:t>
      </w:r>
      <w:r w:rsidR="006E3E2B">
        <w:rPr>
          <w:noProof/>
        </w:rPr>
        <w:t xml:space="preserve">nformation </w:t>
      </w:r>
      <w:r w:rsidR="006A58CB">
        <w:rPr>
          <w:noProof/>
        </w:rPr>
        <w:t>on</w:t>
      </w:r>
      <w:r w:rsidR="006E3E2B">
        <w:rPr>
          <w:noProof/>
        </w:rPr>
        <w:t xml:space="preserve"> </w:t>
      </w:r>
      <w:r w:rsidR="006A58CB">
        <w:rPr>
          <w:noProof/>
        </w:rPr>
        <w:t>such</w:t>
      </w:r>
      <w:r w:rsidR="006E3E2B">
        <w:rPr>
          <w:noProof/>
        </w:rPr>
        <w:t xml:space="preserve"> financial arrangements</w:t>
      </w:r>
      <w:r w:rsidR="00E9514F">
        <w:rPr>
          <w:noProof/>
        </w:rPr>
        <w:t>,</w:t>
      </w:r>
      <w:r w:rsidR="006E3E2B">
        <w:rPr>
          <w:noProof/>
        </w:rPr>
        <w:t xml:space="preserve"> </w:t>
      </w:r>
      <w:r w:rsidR="00E9514F">
        <w:rPr>
          <w:noProof/>
        </w:rPr>
        <w:t xml:space="preserve">which encompass </w:t>
      </w:r>
      <w:r w:rsidR="2B9780F5">
        <w:rPr>
          <w:noProof/>
        </w:rPr>
        <w:t xml:space="preserve">ordinarily </w:t>
      </w:r>
      <w:r w:rsidR="7B32FA7B">
        <w:rPr>
          <w:noProof/>
        </w:rPr>
        <w:t xml:space="preserve">legitimate </w:t>
      </w:r>
      <w:r w:rsidR="00E9514F">
        <w:rPr>
          <w:noProof/>
        </w:rPr>
        <w:t xml:space="preserve">securities transactions such as repurchase agreements or securities lending, and also derivative products such as single stock futures, </w:t>
      </w:r>
      <w:r w:rsidR="006E3E2B">
        <w:rPr>
          <w:noProof/>
        </w:rPr>
        <w:t xml:space="preserve">is therefore </w:t>
      </w:r>
      <w:r w:rsidR="4A1F1390">
        <w:rPr>
          <w:noProof/>
        </w:rPr>
        <w:t>necessary</w:t>
      </w:r>
      <w:r w:rsidR="006E3E2B">
        <w:rPr>
          <w:noProof/>
        </w:rPr>
        <w:t xml:space="preserve"> </w:t>
      </w:r>
      <w:r w:rsidR="006A58CB">
        <w:rPr>
          <w:noProof/>
        </w:rPr>
        <w:t xml:space="preserve">for </w:t>
      </w:r>
      <w:r w:rsidR="10BF585A">
        <w:rPr>
          <w:noProof/>
        </w:rPr>
        <w:t xml:space="preserve">tax </w:t>
      </w:r>
      <w:r w:rsidR="04E5311D">
        <w:rPr>
          <w:noProof/>
        </w:rPr>
        <w:t>administrations to fight tax abuse.</w:t>
      </w:r>
      <w:r w:rsidR="006E3E2B">
        <w:rPr>
          <w:noProof/>
        </w:rPr>
        <w:t xml:space="preserve"> </w:t>
      </w:r>
      <w:r w:rsidR="004578B2">
        <w:rPr>
          <w:noProof/>
        </w:rPr>
        <w:t xml:space="preserve">To ensure a proportionate approach, </w:t>
      </w:r>
      <w:r w:rsidR="002D4137">
        <w:rPr>
          <w:noProof/>
        </w:rPr>
        <w:t xml:space="preserve">reporting </w:t>
      </w:r>
      <w:r w:rsidR="00226C14">
        <w:rPr>
          <w:noProof/>
        </w:rPr>
        <w:t>on this</w:t>
      </w:r>
      <w:r w:rsidR="004578B2">
        <w:rPr>
          <w:noProof/>
        </w:rPr>
        <w:t xml:space="preserve"> information should only be required by those </w:t>
      </w:r>
      <w:r w:rsidR="00226C14">
        <w:rPr>
          <w:noProof/>
        </w:rPr>
        <w:t>c</w:t>
      </w:r>
      <w:r w:rsidR="004220A8">
        <w:rPr>
          <w:noProof/>
        </w:rPr>
        <w:t xml:space="preserve">ertified </w:t>
      </w:r>
      <w:r w:rsidR="00226C14">
        <w:rPr>
          <w:noProof/>
        </w:rPr>
        <w:t>f</w:t>
      </w:r>
      <w:r w:rsidR="004578B2">
        <w:rPr>
          <w:noProof/>
        </w:rPr>
        <w:t xml:space="preserve">inancial </w:t>
      </w:r>
      <w:r w:rsidR="00226C14">
        <w:rPr>
          <w:noProof/>
        </w:rPr>
        <w:t>i</w:t>
      </w:r>
      <w:r w:rsidR="004578B2">
        <w:rPr>
          <w:noProof/>
        </w:rPr>
        <w:t xml:space="preserve">ntermediaries that, due to their position within the chain, may have been </w:t>
      </w:r>
      <w:r w:rsidR="6202C186">
        <w:rPr>
          <w:noProof/>
        </w:rPr>
        <w:t xml:space="preserve">directly </w:t>
      </w:r>
      <w:r w:rsidR="004578B2">
        <w:rPr>
          <w:noProof/>
        </w:rPr>
        <w:t>involved in the relevant financial arrangement</w:t>
      </w:r>
      <w:r w:rsidR="004220A8">
        <w:rPr>
          <w:noProof/>
        </w:rPr>
        <w:t>.</w:t>
      </w:r>
      <w:r w:rsidR="309D463B">
        <w:rPr>
          <w:noProof/>
        </w:rPr>
        <w:t xml:space="preserve"> </w:t>
      </w:r>
      <w:r w:rsidR="3B6AD83E">
        <w:rPr>
          <w:noProof/>
        </w:rPr>
        <w:t>S</w:t>
      </w:r>
      <w:r w:rsidR="309D463B">
        <w:rPr>
          <w:noProof/>
        </w:rPr>
        <w:t>uch</w:t>
      </w:r>
      <w:r w:rsidR="0094458B">
        <w:rPr>
          <w:noProof/>
        </w:rPr>
        <w:t xml:space="preserve"> reporting </w:t>
      </w:r>
      <w:r w:rsidR="00FB3F12">
        <w:rPr>
          <w:noProof/>
        </w:rPr>
        <w:t xml:space="preserve">is </w:t>
      </w:r>
      <w:r w:rsidR="0094458B">
        <w:rPr>
          <w:noProof/>
        </w:rPr>
        <w:t xml:space="preserve">not required in the case of </w:t>
      </w:r>
      <w:r w:rsidR="16C3E038">
        <w:rPr>
          <w:noProof/>
        </w:rPr>
        <w:t xml:space="preserve">bonds and </w:t>
      </w:r>
      <w:r w:rsidR="309D463B">
        <w:rPr>
          <w:noProof/>
        </w:rPr>
        <w:t>interest</w:t>
      </w:r>
      <w:r w:rsidR="0094458B">
        <w:rPr>
          <w:noProof/>
        </w:rPr>
        <w:t xml:space="preserve"> payments.</w:t>
      </w:r>
    </w:p>
    <w:p w14:paraId="072E35F8" w14:textId="77777777" w:rsidR="00771E52" w:rsidRDefault="00282923" w:rsidP="00282923">
      <w:pPr>
        <w:pStyle w:val="ManualConsidrant"/>
        <w:rPr>
          <w:noProof/>
        </w:rPr>
      </w:pPr>
      <w:r w:rsidRPr="00282923">
        <w:rPr>
          <w:noProof/>
        </w:rPr>
        <w:t>(1</w:t>
      </w:r>
      <w:r w:rsidR="00FC7102">
        <w:rPr>
          <w:noProof/>
        </w:rPr>
        <w:t>1</w:t>
      </w:r>
      <w:r w:rsidRPr="00282923">
        <w:rPr>
          <w:noProof/>
        </w:rPr>
        <w:t>)</w:t>
      </w:r>
      <w:r w:rsidRPr="00282923">
        <w:rPr>
          <w:noProof/>
        </w:rPr>
        <w:tab/>
      </w:r>
      <w:r w:rsidR="00771E52">
        <w:rPr>
          <w:noProof/>
        </w:rPr>
        <w:t xml:space="preserve">In order to </w:t>
      </w:r>
      <w:r w:rsidR="00BA5B05">
        <w:rPr>
          <w:noProof/>
        </w:rPr>
        <w:t xml:space="preserve">ensure </w:t>
      </w:r>
      <w:r w:rsidR="00771E52">
        <w:rPr>
          <w:noProof/>
        </w:rPr>
        <w:t xml:space="preserve">effectiveness, Member States should </w:t>
      </w:r>
      <w:r w:rsidR="1BFA51C9">
        <w:rPr>
          <w:noProof/>
        </w:rPr>
        <w:t>establish</w:t>
      </w:r>
      <w:r w:rsidR="00771E52">
        <w:rPr>
          <w:noProof/>
        </w:rPr>
        <w:t xml:space="preserve"> penalties </w:t>
      </w:r>
      <w:r w:rsidR="223D5A82">
        <w:rPr>
          <w:noProof/>
        </w:rPr>
        <w:t>regime</w:t>
      </w:r>
      <w:r w:rsidR="4F022F05">
        <w:rPr>
          <w:noProof/>
        </w:rPr>
        <w:t xml:space="preserve"> </w:t>
      </w:r>
      <w:r w:rsidR="0D2B923F">
        <w:rPr>
          <w:noProof/>
        </w:rPr>
        <w:t>for</w:t>
      </w:r>
      <w:r w:rsidR="4F022F05">
        <w:rPr>
          <w:noProof/>
        </w:rPr>
        <w:t xml:space="preserve"> violation</w:t>
      </w:r>
      <w:r w:rsidR="0D2B923F">
        <w:rPr>
          <w:noProof/>
        </w:rPr>
        <w:t>s</w:t>
      </w:r>
      <w:r w:rsidR="00771E52">
        <w:rPr>
          <w:noProof/>
        </w:rPr>
        <w:t xml:space="preserve"> of the national rules </w:t>
      </w:r>
      <w:r w:rsidR="0037415E">
        <w:rPr>
          <w:noProof/>
        </w:rPr>
        <w:t>transposing</w:t>
      </w:r>
      <w:r w:rsidR="00771E52">
        <w:rPr>
          <w:noProof/>
        </w:rPr>
        <w:t xml:space="preserve"> this Directive. Such penalties should be effective, proportionate and dissuasive.</w:t>
      </w:r>
      <w:r w:rsidR="0094458B">
        <w:rPr>
          <w:noProof/>
        </w:rPr>
        <w:t xml:space="preserve"> </w:t>
      </w:r>
    </w:p>
    <w:p w14:paraId="12D92E3C" w14:textId="77777777" w:rsidR="00771E52" w:rsidRDefault="00282923" w:rsidP="00282923">
      <w:pPr>
        <w:pStyle w:val="ManualConsidrant"/>
        <w:rPr>
          <w:noProof/>
        </w:rPr>
      </w:pPr>
      <w:r w:rsidRPr="00282923">
        <w:rPr>
          <w:noProof/>
        </w:rPr>
        <w:t>(1</w:t>
      </w:r>
      <w:r w:rsidR="00FC7102">
        <w:rPr>
          <w:noProof/>
        </w:rPr>
        <w:t>2</w:t>
      </w:r>
      <w:r w:rsidRPr="00282923">
        <w:rPr>
          <w:noProof/>
        </w:rPr>
        <w:t>)</w:t>
      </w:r>
      <w:r w:rsidRPr="00282923">
        <w:rPr>
          <w:noProof/>
        </w:rPr>
        <w:tab/>
      </w:r>
      <w:r w:rsidR="009D741F">
        <w:rPr>
          <w:noProof/>
        </w:rPr>
        <w:t>T</w:t>
      </w:r>
      <w:r w:rsidR="00771E52">
        <w:rPr>
          <w:noProof/>
        </w:rPr>
        <w:t xml:space="preserve">he proper implementation and enforcement of the proposed rules in each Member State concerned is critical for the promotion of the CMU as a whole as well as for the protection of the tax base of </w:t>
      </w:r>
      <w:r w:rsidR="004D6AB1">
        <w:rPr>
          <w:noProof/>
        </w:rPr>
        <w:t>Member States</w:t>
      </w:r>
      <w:r w:rsidR="009D741F">
        <w:rPr>
          <w:noProof/>
        </w:rPr>
        <w:t xml:space="preserve"> and should therefore</w:t>
      </w:r>
      <w:r w:rsidR="00771E52">
        <w:rPr>
          <w:noProof/>
        </w:rPr>
        <w:t xml:space="preserve"> be monitored by the Commission. Member States should therefore communicate to the Commission on a regular basis, information</w:t>
      </w:r>
      <w:r w:rsidR="002759D2" w:rsidRPr="002759D2">
        <w:rPr>
          <w:noProof/>
        </w:rPr>
        <w:t xml:space="preserve"> </w:t>
      </w:r>
      <w:r w:rsidR="002759D2">
        <w:rPr>
          <w:noProof/>
        </w:rPr>
        <w:t xml:space="preserve">as specified </w:t>
      </w:r>
      <w:r w:rsidR="00E71FD3">
        <w:rPr>
          <w:noProof/>
        </w:rPr>
        <w:t>by means of</w:t>
      </w:r>
      <w:r w:rsidR="002759D2">
        <w:rPr>
          <w:noProof/>
        </w:rPr>
        <w:t xml:space="preserve"> implementing act</w:t>
      </w:r>
      <w:r w:rsidR="00771E52">
        <w:rPr>
          <w:noProof/>
        </w:rPr>
        <w:t xml:space="preserve">, on the implementation and enforcement in their territory of national measures adopted pursuant to this Directive. </w:t>
      </w:r>
      <w:r w:rsidR="00CC1348">
        <w:rPr>
          <w:noProof/>
        </w:rPr>
        <w:t>T</w:t>
      </w:r>
      <w:r w:rsidR="00771E52">
        <w:rPr>
          <w:noProof/>
        </w:rPr>
        <w:t>he Commission should prepare an evaluation on the basis of the information provided by Member States and other available data</w:t>
      </w:r>
      <w:r w:rsidR="00CC1348" w:rsidRPr="00CC1348">
        <w:rPr>
          <w:noProof/>
        </w:rPr>
        <w:t xml:space="preserve"> </w:t>
      </w:r>
      <w:r w:rsidR="00CC1348">
        <w:rPr>
          <w:noProof/>
        </w:rPr>
        <w:t>to evaluate the effectiveness of the proposed new rules</w:t>
      </w:r>
      <w:r w:rsidR="00771E52">
        <w:rPr>
          <w:noProof/>
        </w:rPr>
        <w:t xml:space="preserve">. </w:t>
      </w:r>
      <w:r w:rsidR="00BA5B05">
        <w:rPr>
          <w:noProof/>
        </w:rPr>
        <w:t>In this context the Commission should consider the need to update the rules introduced by virtue of this Directive.</w:t>
      </w:r>
      <w:r w:rsidR="00771E52">
        <w:rPr>
          <w:noProof/>
        </w:rPr>
        <w:t xml:space="preserve">  </w:t>
      </w:r>
    </w:p>
    <w:p w14:paraId="30CF5DAF" w14:textId="77777777" w:rsidR="00771E52" w:rsidRDefault="00282923" w:rsidP="00282923">
      <w:pPr>
        <w:pStyle w:val="ManualConsidrant"/>
        <w:rPr>
          <w:noProof/>
        </w:rPr>
      </w:pPr>
      <w:r w:rsidRPr="00282923">
        <w:rPr>
          <w:noProof/>
        </w:rPr>
        <w:t>(1</w:t>
      </w:r>
      <w:r w:rsidR="00FC7102">
        <w:rPr>
          <w:noProof/>
        </w:rPr>
        <w:t>3</w:t>
      </w:r>
      <w:r w:rsidRPr="00282923">
        <w:rPr>
          <w:noProof/>
        </w:rPr>
        <w:t>)</w:t>
      </w:r>
      <w:r w:rsidRPr="00282923">
        <w:rPr>
          <w:noProof/>
        </w:rPr>
        <w:tab/>
      </w:r>
      <w:r w:rsidR="00771E52">
        <w:rPr>
          <w:noProof/>
        </w:rPr>
        <w:t xml:space="preserve">In order to ensure uniform conditions for the implementation of this Directive, in particular for </w:t>
      </w:r>
      <w:r w:rsidR="00937F32">
        <w:rPr>
          <w:noProof/>
        </w:rPr>
        <w:t xml:space="preserve">(i) </w:t>
      </w:r>
      <w:r w:rsidR="00771E52">
        <w:rPr>
          <w:noProof/>
        </w:rPr>
        <w:t xml:space="preserve">the </w:t>
      </w:r>
      <w:r w:rsidR="008C5928">
        <w:rPr>
          <w:noProof/>
        </w:rPr>
        <w:t xml:space="preserve">digital tax residence certificate, </w:t>
      </w:r>
      <w:r w:rsidR="00937F32">
        <w:rPr>
          <w:noProof/>
        </w:rPr>
        <w:t xml:space="preserve">(ii) </w:t>
      </w:r>
      <w:r w:rsidR="008C5928">
        <w:rPr>
          <w:noProof/>
        </w:rPr>
        <w:t xml:space="preserve">the </w:t>
      </w:r>
      <w:r w:rsidR="00771E52">
        <w:rPr>
          <w:noProof/>
        </w:rPr>
        <w:t>reporting of financial intermediaries</w:t>
      </w:r>
      <w:r w:rsidR="008C5928">
        <w:rPr>
          <w:noProof/>
        </w:rPr>
        <w:t xml:space="preserve"> and </w:t>
      </w:r>
      <w:r w:rsidR="00937F32">
        <w:rPr>
          <w:noProof/>
        </w:rPr>
        <w:t xml:space="preserve">(iii) </w:t>
      </w:r>
      <w:r w:rsidR="008C5928">
        <w:rPr>
          <w:noProof/>
        </w:rPr>
        <w:t xml:space="preserve">the request for </w:t>
      </w:r>
      <w:r w:rsidR="00937F32">
        <w:rPr>
          <w:noProof/>
        </w:rPr>
        <w:t>relief</w:t>
      </w:r>
      <w:r w:rsidR="008C5928">
        <w:rPr>
          <w:noProof/>
        </w:rPr>
        <w:t xml:space="preserve"> under this Directive</w:t>
      </w:r>
      <w:r w:rsidR="00771E52">
        <w:rPr>
          <w:noProof/>
        </w:rPr>
        <w:t>, implementing powers should be conferred on the Commission to adopt standard form</w:t>
      </w:r>
      <w:r w:rsidR="00937F32">
        <w:rPr>
          <w:noProof/>
        </w:rPr>
        <w:t>s</w:t>
      </w:r>
      <w:r w:rsidR="00771E52">
        <w:rPr>
          <w:noProof/>
        </w:rPr>
        <w:t xml:space="preserve"> with a limited number of components, including the linguistic arrangements. Those powers should be exercised in accordance with Regulation (EU) No 182/2011 of the European Parliament and of the Council</w:t>
      </w:r>
      <w:r w:rsidR="00771E52" w:rsidRPr="00F26004">
        <w:rPr>
          <w:rStyle w:val="FootnoteReference"/>
          <w:noProof/>
        </w:rPr>
        <w:footnoteReference w:id="31"/>
      </w:r>
      <w:r w:rsidR="00771E52">
        <w:rPr>
          <w:noProof/>
        </w:rPr>
        <w:t xml:space="preserve">.  </w:t>
      </w:r>
    </w:p>
    <w:p w14:paraId="1E49CAA8" w14:textId="77777777" w:rsidR="00771E52" w:rsidRDefault="00282923" w:rsidP="00282923">
      <w:pPr>
        <w:pStyle w:val="ManualConsidrant"/>
        <w:rPr>
          <w:noProof/>
        </w:rPr>
      </w:pPr>
      <w:r w:rsidRPr="00282923">
        <w:rPr>
          <w:noProof/>
        </w:rPr>
        <w:t>(1</w:t>
      </w:r>
      <w:r w:rsidR="00FC7102">
        <w:rPr>
          <w:noProof/>
        </w:rPr>
        <w:t>4</w:t>
      </w:r>
      <w:r w:rsidRPr="00282923">
        <w:rPr>
          <w:noProof/>
        </w:rPr>
        <w:t>)</w:t>
      </w:r>
      <w:r w:rsidRPr="00282923">
        <w:rPr>
          <w:noProof/>
        </w:rPr>
        <w:tab/>
      </w:r>
      <w:r w:rsidR="00771E52">
        <w:rPr>
          <w:noProof/>
        </w:rPr>
        <w:t xml:space="preserve">Any processing of personal data carried out within the framework of </w:t>
      </w:r>
      <w:r w:rsidR="008C5928">
        <w:rPr>
          <w:noProof/>
        </w:rPr>
        <w:t xml:space="preserve">this </w:t>
      </w:r>
      <w:r w:rsidR="00771E52">
        <w:rPr>
          <w:noProof/>
        </w:rPr>
        <w:t>Directive should comply with Regulation (EU) 2016/679 of the European Parliament and of the Council</w:t>
      </w:r>
      <w:r w:rsidR="00771E52" w:rsidRPr="00F26004">
        <w:rPr>
          <w:rStyle w:val="FootnoteReference"/>
          <w:noProof/>
        </w:rPr>
        <w:footnoteReference w:id="32"/>
      </w:r>
      <w:r w:rsidR="00771E52">
        <w:rPr>
          <w:noProof/>
        </w:rPr>
        <w:t xml:space="preserve">. </w:t>
      </w:r>
      <w:r w:rsidR="00603C4A">
        <w:rPr>
          <w:noProof/>
        </w:rPr>
        <w:t>Financial</w:t>
      </w:r>
      <w:r w:rsidR="00916881">
        <w:rPr>
          <w:noProof/>
        </w:rPr>
        <w:t xml:space="preserve"> intermediaries and Member States </w:t>
      </w:r>
      <w:r w:rsidR="00526624">
        <w:rPr>
          <w:noProof/>
        </w:rPr>
        <w:t xml:space="preserve">may process personal data under this Directive </w:t>
      </w:r>
      <w:r w:rsidR="00771E52">
        <w:rPr>
          <w:noProof/>
        </w:rPr>
        <w:t xml:space="preserve">solely with the objective of serving a general public interest, namely </w:t>
      </w:r>
      <w:r w:rsidR="00552C80">
        <w:rPr>
          <w:noProof/>
        </w:rPr>
        <w:t>for</w:t>
      </w:r>
      <w:r w:rsidR="00771E52">
        <w:rPr>
          <w:noProof/>
        </w:rPr>
        <w:t xml:space="preserve"> the purposes of combating tax fraud, tax evasion and tax avoidance, safeguarding tax revenues and promoting fair taxation, which strengthen opportunities for social, political and economic inclusion in Member States. </w:t>
      </w:r>
      <w:r w:rsidR="006A1A86">
        <w:rPr>
          <w:noProof/>
        </w:rPr>
        <w:t xml:space="preserve">To allow the effective pursuit of this objective, it is necessary to restrict certain rights of individuals provided by the aforementioned Regulation, especially the right to be notified on the processing of their data and the scope thereof as well as the right to consent on certain types of data processing.  </w:t>
      </w:r>
    </w:p>
    <w:p w14:paraId="0FF05ED5" w14:textId="77777777" w:rsidR="00552C80" w:rsidRDefault="00282923" w:rsidP="00282923">
      <w:pPr>
        <w:pStyle w:val="ManualConsidrant"/>
        <w:rPr>
          <w:noProof/>
        </w:rPr>
      </w:pPr>
      <w:r w:rsidRPr="00282923">
        <w:rPr>
          <w:noProof/>
        </w:rPr>
        <w:t>(1</w:t>
      </w:r>
      <w:r w:rsidR="00FC7102">
        <w:rPr>
          <w:noProof/>
        </w:rPr>
        <w:t>5</w:t>
      </w:r>
      <w:r w:rsidRPr="00282923">
        <w:rPr>
          <w:noProof/>
        </w:rPr>
        <w:t>)</w:t>
      </w:r>
      <w:r w:rsidRPr="00282923">
        <w:rPr>
          <w:noProof/>
        </w:rPr>
        <w:tab/>
      </w:r>
      <w:r w:rsidR="00771E52">
        <w:rPr>
          <w:noProof/>
        </w:rPr>
        <w:t xml:space="preserve">Since the objective of this Directive cannot sufficiently be achieved by the Member States but can rather, by reason of the cross-border nature of the transactions concerned and the need to reduce compliance costs in the internal market as a whole,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 </w:t>
      </w:r>
    </w:p>
    <w:p w14:paraId="1372D604" w14:textId="77777777" w:rsidR="00771E52" w:rsidRDefault="00552C80" w:rsidP="00282923">
      <w:pPr>
        <w:pStyle w:val="ManualConsidrant"/>
        <w:rPr>
          <w:noProof/>
        </w:rPr>
      </w:pPr>
      <w:r>
        <w:rPr>
          <w:noProof/>
        </w:rPr>
        <w:t>(1</w:t>
      </w:r>
      <w:r w:rsidR="00FC7102">
        <w:rPr>
          <w:noProof/>
        </w:rPr>
        <w:t>6</w:t>
      </w:r>
      <w:r>
        <w:rPr>
          <w:noProof/>
        </w:rPr>
        <w:t xml:space="preserve">) </w:t>
      </w:r>
      <w:r w:rsidR="00020C6F">
        <w:rPr>
          <w:noProof/>
        </w:rPr>
        <w:tab/>
      </w:r>
      <w:r>
        <w:rPr>
          <w:noProof/>
        </w:rPr>
        <w:t>The European Data Protection Supervisor was consulted in accordance with Article 42 of Regulation (EU) 2018/1725 of the European Parliament and of the Council</w:t>
      </w:r>
      <w:r w:rsidRPr="00F26004">
        <w:rPr>
          <w:rStyle w:val="FootnoteReference"/>
          <w:noProof/>
        </w:rPr>
        <w:footnoteReference w:id="33"/>
      </w:r>
      <w:r>
        <w:rPr>
          <w:noProof/>
        </w:rPr>
        <w:t xml:space="preserve">.  </w:t>
      </w:r>
    </w:p>
    <w:p w14:paraId="3789199E" w14:textId="77777777" w:rsidR="00977CF6" w:rsidRDefault="00977CF6" w:rsidP="000430BD">
      <w:pPr>
        <w:pStyle w:val="Formuledadoption"/>
        <w:rPr>
          <w:noProof/>
        </w:rPr>
      </w:pPr>
      <w:r w:rsidRPr="002D6769">
        <w:rPr>
          <w:noProof/>
        </w:rPr>
        <w:t>HAS ADOPTED THIS DIRECTIVE:</w:t>
      </w:r>
    </w:p>
    <w:p w14:paraId="21A884C9" w14:textId="77777777" w:rsidR="00977CF6" w:rsidRPr="00977CF6" w:rsidRDefault="00977CF6" w:rsidP="00977CF6">
      <w:pPr>
        <w:jc w:val="center"/>
        <w:rPr>
          <w:b/>
          <w:bCs/>
          <w:i/>
          <w:noProof/>
          <w:lang w:val="en-IE"/>
        </w:rPr>
      </w:pPr>
      <w:r w:rsidRPr="00977CF6">
        <w:rPr>
          <w:b/>
          <w:bCs/>
          <w:noProof/>
          <w:lang w:val="en-IE"/>
        </w:rPr>
        <w:t>CHAPTER I</w:t>
      </w:r>
    </w:p>
    <w:p w14:paraId="58FAEA4F" w14:textId="77777777" w:rsidR="00977CF6" w:rsidRPr="00977CF6" w:rsidRDefault="00977CF6" w:rsidP="00977CF6">
      <w:pPr>
        <w:jc w:val="center"/>
        <w:rPr>
          <w:b/>
          <w:bCs/>
          <w:noProof/>
          <w:lang w:val="en-IE"/>
        </w:rPr>
      </w:pPr>
      <w:r w:rsidRPr="00977CF6">
        <w:rPr>
          <w:b/>
          <w:bCs/>
          <w:noProof/>
          <w:lang w:val="en-IE"/>
        </w:rPr>
        <w:t>GENERAL PROVISIONS</w:t>
      </w:r>
    </w:p>
    <w:p w14:paraId="2CFBC9FE" w14:textId="77777777" w:rsidR="00977CF6" w:rsidRDefault="00977CF6" w:rsidP="000430BD">
      <w:pPr>
        <w:pStyle w:val="Titrearticle"/>
        <w:rPr>
          <w:b/>
          <w:bCs/>
          <w:i w:val="0"/>
          <w:iCs/>
          <w:noProof/>
          <w:lang w:val="en-IE"/>
        </w:rPr>
      </w:pPr>
      <w:bookmarkStart w:id="2" w:name="_Hlk132965149"/>
      <w:r w:rsidRPr="002D6769">
        <w:rPr>
          <w:noProof/>
        </w:rPr>
        <w:t>Article 1</w:t>
      </w:r>
      <w:r>
        <w:rPr>
          <w:noProof/>
        </w:rPr>
        <w:br/>
      </w:r>
      <w:r w:rsidRPr="001956AF">
        <w:rPr>
          <w:b/>
          <w:bCs/>
          <w:i w:val="0"/>
          <w:iCs/>
          <w:noProof/>
          <w:lang w:val="en-IE"/>
        </w:rPr>
        <w:t>Subject matter</w:t>
      </w:r>
    </w:p>
    <w:bookmarkEnd w:id="2"/>
    <w:p w14:paraId="5280E153" w14:textId="77777777" w:rsidR="001956AF" w:rsidRDefault="001956AF" w:rsidP="001956AF">
      <w:pPr>
        <w:rPr>
          <w:noProof/>
          <w:lang w:val="en-IE"/>
        </w:rPr>
      </w:pPr>
      <w:r w:rsidRPr="001956AF">
        <w:rPr>
          <w:noProof/>
          <w:lang w:val="en-IE"/>
        </w:rPr>
        <w:t xml:space="preserve">This Directive lays down rules on the issuance of a digital tax residence certificate by Member States and the procedure to </w:t>
      </w:r>
      <w:r w:rsidR="004202B9">
        <w:rPr>
          <w:noProof/>
          <w:lang w:val="en-IE"/>
        </w:rPr>
        <w:t>relieve</w:t>
      </w:r>
      <w:r w:rsidRPr="001956AF">
        <w:rPr>
          <w:noProof/>
          <w:lang w:val="en-IE"/>
        </w:rPr>
        <w:t xml:space="preserve"> </w:t>
      </w:r>
      <w:r w:rsidR="000556D6">
        <w:rPr>
          <w:noProof/>
          <w:lang w:val="en-IE"/>
        </w:rPr>
        <w:t xml:space="preserve">any </w:t>
      </w:r>
      <w:r w:rsidR="00ED6673">
        <w:rPr>
          <w:noProof/>
          <w:lang w:val="en-IE"/>
        </w:rPr>
        <w:t xml:space="preserve">excess </w:t>
      </w:r>
      <w:r w:rsidR="000B4C83">
        <w:rPr>
          <w:noProof/>
          <w:lang w:val="en-IE"/>
        </w:rPr>
        <w:t xml:space="preserve">withholding </w:t>
      </w:r>
      <w:r w:rsidRPr="001956AF">
        <w:rPr>
          <w:noProof/>
          <w:lang w:val="en-IE"/>
        </w:rPr>
        <w:t xml:space="preserve">tax </w:t>
      </w:r>
      <w:r w:rsidR="000556D6">
        <w:rPr>
          <w:noProof/>
          <w:lang w:val="en-IE"/>
        </w:rPr>
        <w:t xml:space="preserve">that can be </w:t>
      </w:r>
      <w:r w:rsidR="00ED6673" w:rsidRPr="001956AF">
        <w:rPr>
          <w:noProof/>
          <w:lang w:val="en-IE"/>
        </w:rPr>
        <w:t xml:space="preserve">withheld </w:t>
      </w:r>
      <w:r w:rsidRPr="001956AF">
        <w:rPr>
          <w:noProof/>
          <w:lang w:val="en-IE"/>
        </w:rPr>
        <w:t xml:space="preserve">by a Member State on dividends </w:t>
      </w:r>
      <w:r w:rsidR="00FD0AB4">
        <w:rPr>
          <w:noProof/>
          <w:lang w:val="en-IE"/>
        </w:rPr>
        <w:t xml:space="preserve">from </w:t>
      </w:r>
      <w:r w:rsidRPr="001956AF">
        <w:rPr>
          <w:noProof/>
          <w:lang w:val="en-IE"/>
        </w:rPr>
        <w:t xml:space="preserve">publicly traded </w:t>
      </w:r>
      <w:r w:rsidR="005F7AA9">
        <w:rPr>
          <w:noProof/>
          <w:lang w:val="en-IE"/>
        </w:rPr>
        <w:t>shares</w:t>
      </w:r>
      <w:r w:rsidR="00AE45C7" w:rsidRPr="00AE45C7">
        <w:rPr>
          <w:noProof/>
          <w:lang w:val="en-IE"/>
        </w:rPr>
        <w:t xml:space="preserve"> </w:t>
      </w:r>
      <w:r w:rsidR="0048446A">
        <w:rPr>
          <w:noProof/>
          <w:lang w:val="en-IE"/>
        </w:rPr>
        <w:t>and</w:t>
      </w:r>
      <w:r w:rsidR="006006E2">
        <w:rPr>
          <w:noProof/>
          <w:lang w:val="en-IE"/>
        </w:rPr>
        <w:t>, where applicable</w:t>
      </w:r>
      <w:r w:rsidR="00FD0AB4">
        <w:rPr>
          <w:noProof/>
          <w:lang w:val="en-IE"/>
        </w:rPr>
        <w:t>,</w:t>
      </w:r>
      <w:r w:rsidR="0054149A">
        <w:rPr>
          <w:noProof/>
          <w:lang w:val="en-IE"/>
        </w:rPr>
        <w:t xml:space="preserve"> interest </w:t>
      </w:r>
      <w:r w:rsidR="00FD0AB4">
        <w:rPr>
          <w:noProof/>
          <w:lang w:val="en-IE"/>
        </w:rPr>
        <w:t xml:space="preserve">from </w:t>
      </w:r>
      <w:r w:rsidR="0054149A">
        <w:rPr>
          <w:noProof/>
          <w:lang w:val="en-IE"/>
        </w:rPr>
        <w:t>publicly traded bonds</w:t>
      </w:r>
      <w:r w:rsidR="7C27E971" w:rsidRPr="7226F9AD">
        <w:rPr>
          <w:noProof/>
          <w:lang w:val="en-IE"/>
        </w:rPr>
        <w:t xml:space="preserve"> </w:t>
      </w:r>
      <w:r w:rsidR="00FD0AB4">
        <w:rPr>
          <w:noProof/>
          <w:lang w:val="en-IE"/>
        </w:rPr>
        <w:t xml:space="preserve">paid </w:t>
      </w:r>
      <w:r w:rsidR="00AE45C7" w:rsidRPr="0061178F">
        <w:rPr>
          <w:noProof/>
          <w:lang w:val="en-IE"/>
        </w:rPr>
        <w:t xml:space="preserve">to </w:t>
      </w:r>
      <w:r w:rsidR="000C0442">
        <w:rPr>
          <w:noProof/>
          <w:lang w:val="en-IE"/>
        </w:rPr>
        <w:t>registered owners</w:t>
      </w:r>
      <w:r w:rsidR="000C0442" w:rsidRPr="0061178F">
        <w:rPr>
          <w:noProof/>
          <w:lang w:val="en-IE"/>
        </w:rPr>
        <w:t xml:space="preserve"> </w:t>
      </w:r>
      <w:r w:rsidR="00DB306A">
        <w:rPr>
          <w:noProof/>
          <w:lang w:val="en-IE"/>
        </w:rPr>
        <w:t xml:space="preserve">who are </w:t>
      </w:r>
      <w:r w:rsidR="00AE45C7" w:rsidRPr="0061178F">
        <w:rPr>
          <w:noProof/>
          <w:lang w:val="en-IE"/>
        </w:rPr>
        <w:t xml:space="preserve">resident </w:t>
      </w:r>
      <w:r w:rsidR="00DB306A">
        <w:rPr>
          <w:noProof/>
          <w:lang w:val="en-IE"/>
        </w:rPr>
        <w:t>for tax purposes</w:t>
      </w:r>
      <w:r w:rsidR="00AE45C7" w:rsidRPr="0061178F">
        <w:rPr>
          <w:noProof/>
          <w:lang w:val="en-IE"/>
        </w:rPr>
        <w:t xml:space="preserve"> outside that Member State</w:t>
      </w:r>
      <w:r w:rsidRPr="001956AF">
        <w:rPr>
          <w:noProof/>
          <w:lang w:val="en-IE"/>
        </w:rPr>
        <w:t>.</w:t>
      </w:r>
    </w:p>
    <w:p w14:paraId="35511501" w14:textId="77777777" w:rsidR="00AE45C7" w:rsidRPr="0061178F" w:rsidRDefault="00AE45C7" w:rsidP="00AE45C7">
      <w:pPr>
        <w:pStyle w:val="Titrearticle"/>
        <w:rPr>
          <w:b/>
          <w:i w:val="0"/>
          <w:noProof/>
          <w:lang w:val="en-IE"/>
        </w:rPr>
      </w:pPr>
      <w:r w:rsidRPr="0061178F">
        <w:rPr>
          <w:noProof/>
          <w:lang w:val="en-IE"/>
        </w:rPr>
        <w:t>Article 2</w:t>
      </w:r>
      <w:r w:rsidRPr="0061178F">
        <w:rPr>
          <w:noProof/>
          <w:lang w:val="en-IE"/>
        </w:rPr>
        <w:br/>
      </w:r>
      <w:r w:rsidRPr="0061178F">
        <w:rPr>
          <w:b/>
          <w:i w:val="0"/>
          <w:noProof/>
          <w:lang w:val="en-IE"/>
        </w:rPr>
        <w:t xml:space="preserve">Scope </w:t>
      </w:r>
    </w:p>
    <w:p w14:paraId="029F97C4" w14:textId="77777777" w:rsidR="00DC73B0" w:rsidRDefault="005443A7" w:rsidP="001956AF">
      <w:pPr>
        <w:rPr>
          <w:noProof/>
          <w:lang w:val="en-IE"/>
        </w:rPr>
      </w:pPr>
      <w:r>
        <w:rPr>
          <w:noProof/>
          <w:lang w:val="en-IE"/>
        </w:rPr>
        <w:t xml:space="preserve">Chapters I and IV shall apply to all Member States. </w:t>
      </w:r>
      <w:r w:rsidR="00E314A6">
        <w:rPr>
          <w:noProof/>
          <w:lang w:val="en-IE"/>
        </w:rPr>
        <w:t>Chapter II</w:t>
      </w:r>
      <w:r w:rsidR="00DC73B0">
        <w:rPr>
          <w:noProof/>
          <w:lang w:val="en-IE"/>
        </w:rPr>
        <w:t xml:space="preserve"> </w:t>
      </w:r>
      <w:r w:rsidR="00651A4D">
        <w:rPr>
          <w:noProof/>
          <w:lang w:val="en-IE"/>
        </w:rPr>
        <w:t xml:space="preserve">shall </w:t>
      </w:r>
      <w:r w:rsidR="00DC73B0">
        <w:rPr>
          <w:noProof/>
          <w:lang w:val="en-IE"/>
        </w:rPr>
        <w:t>apply</w:t>
      </w:r>
      <w:r w:rsidR="00AE45C7">
        <w:rPr>
          <w:noProof/>
          <w:lang w:val="en-IE"/>
        </w:rPr>
        <w:t xml:space="preserve"> to all </w:t>
      </w:r>
      <w:r w:rsidR="002D785B">
        <w:rPr>
          <w:noProof/>
          <w:lang w:val="en-IE"/>
        </w:rPr>
        <w:t xml:space="preserve">Member States with regards to all </w:t>
      </w:r>
      <w:r w:rsidR="00AE45C7">
        <w:rPr>
          <w:noProof/>
          <w:lang w:val="en-IE"/>
        </w:rPr>
        <w:t xml:space="preserve">persons that are resident for tax purposes in </w:t>
      </w:r>
      <w:r w:rsidR="002D785B">
        <w:rPr>
          <w:noProof/>
          <w:lang w:val="en-IE"/>
        </w:rPr>
        <w:t>their jurisdiction</w:t>
      </w:r>
      <w:r w:rsidR="00DC73B0">
        <w:rPr>
          <w:noProof/>
          <w:lang w:val="en-IE"/>
        </w:rPr>
        <w:t>.</w:t>
      </w:r>
    </w:p>
    <w:p w14:paraId="3F8DE9DC" w14:textId="13738E61" w:rsidR="005F7AA9" w:rsidRDefault="00DC0DFA" w:rsidP="001956AF">
      <w:pPr>
        <w:rPr>
          <w:noProof/>
          <w:lang w:val="en-IE"/>
        </w:rPr>
      </w:pPr>
      <w:r>
        <w:rPr>
          <w:noProof/>
          <w:lang w:val="en-IE"/>
        </w:rPr>
        <w:t xml:space="preserve">The procedures laid down in </w:t>
      </w:r>
      <w:r w:rsidR="00E314A6">
        <w:rPr>
          <w:noProof/>
          <w:lang w:val="en-IE"/>
        </w:rPr>
        <w:t xml:space="preserve">Chapter III </w:t>
      </w:r>
      <w:r w:rsidR="00DF4D59">
        <w:rPr>
          <w:noProof/>
          <w:lang w:val="en-IE"/>
        </w:rPr>
        <w:t xml:space="preserve">shall </w:t>
      </w:r>
      <w:r w:rsidR="00E314A6">
        <w:rPr>
          <w:noProof/>
          <w:lang w:val="en-IE"/>
        </w:rPr>
        <w:t>appl</w:t>
      </w:r>
      <w:r>
        <w:rPr>
          <w:noProof/>
          <w:lang w:val="en-IE"/>
        </w:rPr>
        <w:t>y</w:t>
      </w:r>
      <w:r w:rsidR="00DC73B0">
        <w:rPr>
          <w:noProof/>
          <w:lang w:val="en-IE"/>
        </w:rPr>
        <w:t xml:space="preserve"> to all Member States </w:t>
      </w:r>
      <w:r w:rsidR="7F292B7F" w:rsidRPr="1F977705">
        <w:rPr>
          <w:noProof/>
          <w:lang w:val="en-IE"/>
        </w:rPr>
        <w:t>that</w:t>
      </w:r>
      <w:r w:rsidR="4BD46F22">
        <w:rPr>
          <w:noProof/>
        </w:rPr>
        <w:t xml:space="preserve"> provide relief of excess withholding tax</w:t>
      </w:r>
      <w:r w:rsidR="00E314A6">
        <w:rPr>
          <w:noProof/>
        </w:rPr>
        <w:t xml:space="preserve"> on dividends paid for publicly traded shares</w:t>
      </w:r>
      <w:r w:rsidR="003106BB">
        <w:rPr>
          <w:noProof/>
        </w:rPr>
        <w:t xml:space="preserve">. </w:t>
      </w:r>
      <w:r w:rsidR="00106BE4">
        <w:rPr>
          <w:noProof/>
          <w:lang w:val="en-IE"/>
        </w:rPr>
        <w:t xml:space="preserve">Member States </w:t>
      </w:r>
      <w:r w:rsidR="00E314A6">
        <w:rPr>
          <w:noProof/>
          <w:lang w:val="en-IE"/>
        </w:rPr>
        <w:t>that</w:t>
      </w:r>
      <w:r w:rsidR="00DF4D59">
        <w:rPr>
          <w:noProof/>
          <w:lang w:val="en-IE"/>
        </w:rPr>
        <w:t xml:space="preserve"> </w:t>
      </w:r>
      <w:r w:rsidR="00E314A6">
        <w:rPr>
          <w:noProof/>
          <w:lang w:val="en-IE"/>
        </w:rPr>
        <w:t>provide relief of excess withholding tax on interest paid for publicly traded bonds</w:t>
      </w:r>
      <w:r w:rsidR="003106BB">
        <w:rPr>
          <w:noProof/>
          <w:lang w:val="en-IE"/>
        </w:rPr>
        <w:t xml:space="preserve"> may apply Chapter III.</w:t>
      </w:r>
    </w:p>
    <w:p w14:paraId="4251647B" w14:textId="77777777" w:rsidR="001956AF" w:rsidRPr="0081536F" w:rsidRDefault="001956AF" w:rsidP="008A5257">
      <w:pPr>
        <w:pStyle w:val="Titrearticle"/>
        <w:rPr>
          <w:noProof/>
          <w:lang w:val="en-IE"/>
        </w:rPr>
      </w:pPr>
      <w:r w:rsidRPr="0081536F">
        <w:rPr>
          <w:noProof/>
          <w:lang w:val="en-IE"/>
        </w:rPr>
        <w:t xml:space="preserve">Article </w:t>
      </w:r>
      <w:r w:rsidR="00AE45C7" w:rsidRPr="0081536F">
        <w:rPr>
          <w:noProof/>
          <w:lang w:val="en-IE"/>
        </w:rPr>
        <w:t>3</w:t>
      </w:r>
      <w:r w:rsidR="008A5257" w:rsidRPr="0081536F">
        <w:rPr>
          <w:noProof/>
          <w:lang w:val="en-IE"/>
        </w:rPr>
        <w:br/>
      </w:r>
      <w:r w:rsidRPr="0081536F">
        <w:rPr>
          <w:b/>
          <w:bCs/>
          <w:i w:val="0"/>
          <w:iCs/>
          <w:noProof/>
          <w:lang w:val="en-IE"/>
        </w:rPr>
        <w:t>Definitions</w:t>
      </w:r>
    </w:p>
    <w:p w14:paraId="47889F12" w14:textId="77777777" w:rsidR="001956AF" w:rsidRDefault="001956AF" w:rsidP="008A5257">
      <w:pPr>
        <w:rPr>
          <w:noProof/>
        </w:rPr>
      </w:pPr>
      <w:r w:rsidRPr="00746FBD">
        <w:rPr>
          <w:noProof/>
        </w:rPr>
        <w:t xml:space="preserve">For the purposes of this Directive the following definitions shall apply: </w:t>
      </w:r>
    </w:p>
    <w:p w14:paraId="66FA705E" w14:textId="377A1DE0" w:rsidR="002B5330" w:rsidRDefault="00412FF6" w:rsidP="00412FF6">
      <w:pPr>
        <w:pStyle w:val="Point0"/>
        <w:rPr>
          <w:noProof/>
        </w:rPr>
      </w:pPr>
      <w:r w:rsidRPr="00412FF6">
        <w:t>(1)</w:t>
      </w:r>
      <w:r w:rsidRPr="00412FF6">
        <w:tab/>
      </w:r>
      <w:r w:rsidR="002B5330" w:rsidRPr="003206F3">
        <w:rPr>
          <w:noProof/>
        </w:rPr>
        <w:t>‘</w:t>
      </w:r>
      <w:r w:rsidR="006D106C">
        <w:rPr>
          <w:noProof/>
        </w:rPr>
        <w:t>e</w:t>
      </w:r>
      <w:r w:rsidR="002B5330" w:rsidRPr="003206F3">
        <w:rPr>
          <w:noProof/>
        </w:rPr>
        <w:t xml:space="preserve">xcess </w:t>
      </w:r>
      <w:r w:rsidR="006D106C">
        <w:rPr>
          <w:noProof/>
        </w:rPr>
        <w:t>w</w:t>
      </w:r>
      <w:r w:rsidR="002B5330">
        <w:rPr>
          <w:noProof/>
        </w:rPr>
        <w:t>ithholding</w:t>
      </w:r>
      <w:r w:rsidR="002B5330" w:rsidRPr="003206F3">
        <w:rPr>
          <w:noProof/>
        </w:rPr>
        <w:t xml:space="preserve"> </w:t>
      </w:r>
      <w:r w:rsidR="006D106C">
        <w:rPr>
          <w:noProof/>
        </w:rPr>
        <w:t>t</w:t>
      </w:r>
      <w:r w:rsidR="002B5330" w:rsidRPr="003206F3">
        <w:rPr>
          <w:noProof/>
        </w:rPr>
        <w:t xml:space="preserve">ax’ means the difference between the amount of withholding tax levied by a Member State on payments to non-resident </w:t>
      </w:r>
      <w:r w:rsidR="000C0442">
        <w:rPr>
          <w:noProof/>
        </w:rPr>
        <w:t>owner</w:t>
      </w:r>
      <w:r w:rsidR="000C0442" w:rsidRPr="003206F3">
        <w:rPr>
          <w:noProof/>
        </w:rPr>
        <w:t xml:space="preserve">s </w:t>
      </w:r>
      <w:r w:rsidR="002B5330" w:rsidRPr="003206F3">
        <w:rPr>
          <w:noProof/>
        </w:rPr>
        <w:t xml:space="preserve">of dividends or interest from securities by applying the general domestic rate and the lower amount of withholding tax applicable by that Member State on the same dividends or interest in line with a </w:t>
      </w:r>
      <w:r w:rsidR="006D106C">
        <w:rPr>
          <w:noProof/>
        </w:rPr>
        <w:t>d</w:t>
      </w:r>
      <w:r w:rsidR="002B5330" w:rsidRPr="003206F3">
        <w:rPr>
          <w:noProof/>
        </w:rPr>
        <w:t xml:space="preserve">ouble </w:t>
      </w:r>
      <w:r w:rsidR="006D106C">
        <w:rPr>
          <w:noProof/>
        </w:rPr>
        <w:t>t</w:t>
      </w:r>
      <w:r w:rsidR="002B5330" w:rsidRPr="003206F3">
        <w:rPr>
          <w:noProof/>
        </w:rPr>
        <w:t xml:space="preserve">ax </w:t>
      </w:r>
      <w:r w:rsidR="006D106C">
        <w:rPr>
          <w:noProof/>
        </w:rPr>
        <w:t>t</w:t>
      </w:r>
      <w:r w:rsidR="002B5330" w:rsidRPr="003206F3">
        <w:rPr>
          <w:noProof/>
        </w:rPr>
        <w:t>reaty or specific national legislation, as the case may be.</w:t>
      </w:r>
    </w:p>
    <w:p w14:paraId="30B5A11D" w14:textId="25E75A26" w:rsidR="002B5330" w:rsidRDefault="00412FF6" w:rsidP="00412FF6">
      <w:pPr>
        <w:pStyle w:val="Point0"/>
        <w:rPr>
          <w:noProof/>
        </w:rPr>
      </w:pPr>
      <w:r w:rsidRPr="00412FF6">
        <w:t>(2)</w:t>
      </w:r>
      <w:r w:rsidRPr="00412FF6">
        <w:tab/>
      </w:r>
      <w:r w:rsidR="002B5330">
        <w:rPr>
          <w:noProof/>
        </w:rPr>
        <w:t>‘</w:t>
      </w:r>
      <w:r w:rsidR="006D106C">
        <w:rPr>
          <w:noProof/>
        </w:rPr>
        <w:t>p</w:t>
      </w:r>
      <w:r w:rsidR="002B5330">
        <w:rPr>
          <w:noProof/>
        </w:rPr>
        <w:t>ublicly traded share’ means share admitted to trading on a regulated market or multilateral trading facility as defined under points 21 and 22 of Article 4 of Directive 2014/65/EU of 15 May 2014</w:t>
      </w:r>
      <w:r w:rsidR="002B5330">
        <w:rPr>
          <w:rStyle w:val="FootnoteReference"/>
          <w:noProof/>
        </w:rPr>
        <w:footnoteReference w:id="34"/>
      </w:r>
      <w:r w:rsidR="002B5330">
        <w:rPr>
          <w:noProof/>
        </w:rPr>
        <w:t>.</w:t>
      </w:r>
    </w:p>
    <w:p w14:paraId="42F29CA4" w14:textId="21B4888D" w:rsidR="00EE72EC" w:rsidRDefault="00412FF6" w:rsidP="00412FF6">
      <w:pPr>
        <w:pStyle w:val="Point0"/>
        <w:rPr>
          <w:noProof/>
        </w:rPr>
      </w:pPr>
      <w:r w:rsidRPr="00412FF6">
        <w:t>(3)</w:t>
      </w:r>
      <w:r w:rsidRPr="00412FF6">
        <w:tab/>
      </w:r>
      <w:r w:rsidR="002B5330">
        <w:rPr>
          <w:noProof/>
        </w:rPr>
        <w:t>‘</w:t>
      </w:r>
      <w:r w:rsidR="006D106C">
        <w:rPr>
          <w:noProof/>
        </w:rPr>
        <w:t>p</w:t>
      </w:r>
      <w:r w:rsidR="002B5330">
        <w:rPr>
          <w:noProof/>
        </w:rPr>
        <w:t xml:space="preserve">ublicly traded bond’ means a bond admitted to trading on a regulated market or multilateral trading facility or organised trading facility as defined under points 21, 22 and 23 of Article 4 of Directive 2014/65/EU of 15 May 2014 respectively. </w:t>
      </w:r>
    </w:p>
    <w:p w14:paraId="707027E0" w14:textId="6234E14F" w:rsidR="002B5330" w:rsidRDefault="00412FF6" w:rsidP="00412FF6">
      <w:pPr>
        <w:pStyle w:val="Point0"/>
        <w:rPr>
          <w:noProof/>
        </w:rPr>
      </w:pPr>
      <w:r w:rsidRPr="00412FF6">
        <w:t>(4)</w:t>
      </w:r>
      <w:r w:rsidRPr="00412FF6">
        <w:tab/>
      </w:r>
      <w:r w:rsidR="002B5330">
        <w:rPr>
          <w:noProof/>
        </w:rPr>
        <w:t>‘</w:t>
      </w:r>
      <w:r w:rsidR="006D106C">
        <w:rPr>
          <w:noProof/>
        </w:rPr>
        <w:t>f</w:t>
      </w:r>
      <w:r w:rsidR="002B5330">
        <w:rPr>
          <w:noProof/>
        </w:rPr>
        <w:t xml:space="preserve">inancial </w:t>
      </w:r>
      <w:r w:rsidR="00EE72EC">
        <w:rPr>
          <w:noProof/>
        </w:rPr>
        <w:t>i</w:t>
      </w:r>
      <w:r w:rsidR="002B5330">
        <w:rPr>
          <w:noProof/>
        </w:rPr>
        <w:t>ntermediary’ means a central securities depository</w:t>
      </w:r>
      <w:r w:rsidR="0081686D" w:rsidRPr="0081686D">
        <w:rPr>
          <w:rFonts w:eastAsiaTheme="minorEastAsia"/>
          <w:noProof/>
        </w:rPr>
        <w:t xml:space="preserve"> </w:t>
      </w:r>
      <w:r w:rsidR="0081686D" w:rsidRPr="00B9581D">
        <w:rPr>
          <w:rFonts w:eastAsiaTheme="minorEastAsia"/>
          <w:noProof/>
        </w:rPr>
        <w:t>as defined in Article 2 (1) of Regulation (EU) 909/2014 of 23 July 2014</w:t>
      </w:r>
      <w:r w:rsidR="00A70F42">
        <w:rPr>
          <w:rStyle w:val="FootnoteReference"/>
          <w:rFonts w:eastAsiaTheme="minorEastAsia"/>
          <w:noProof/>
        </w:rPr>
        <w:footnoteReference w:id="35"/>
      </w:r>
      <w:r w:rsidR="002B5330">
        <w:rPr>
          <w:noProof/>
        </w:rPr>
        <w:t xml:space="preserve">, </w:t>
      </w:r>
      <w:r w:rsidR="0081686D">
        <w:rPr>
          <w:noProof/>
        </w:rPr>
        <w:t xml:space="preserve">a </w:t>
      </w:r>
      <w:r w:rsidR="002B5330">
        <w:rPr>
          <w:noProof/>
        </w:rPr>
        <w:t xml:space="preserve">credit institution </w:t>
      </w:r>
      <w:r w:rsidR="0081686D" w:rsidRPr="532A30B0">
        <w:rPr>
          <w:noProof/>
          <w:color w:val="333333"/>
        </w:rPr>
        <w:t>as defined in point (1) of Article 4(1) of Regulation (EU) No 575/2013</w:t>
      </w:r>
      <w:r w:rsidR="002C02BA">
        <w:rPr>
          <w:rStyle w:val="FootnoteReference"/>
          <w:noProof/>
          <w:color w:val="333333"/>
        </w:rPr>
        <w:footnoteReference w:id="36"/>
      </w:r>
      <w:r w:rsidR="0081686D">
        <w:rPr>
          <w:noProof/>
          <w:color w:val="333333"/>
        </w:rPr>
        <w:t xml:space="preserve"> </w:t>
      </w:r>
      <w:r w:rsidR="002B5330">
        <w:rPr>
          <w:noProof/>
        </w:rPr>
        <w:t xml:space="preserve">or </w:t>
      </w:r>
      <w:r w:rsidR="0081686D">
        <w:rPr>
          <w:noProof/>
        </w:rPr>
        <w:t xml:space="preserve">an investment firm, </w:t>
      </w:r>
      <w:r w:rsidR="0081686D" w:rsidRPr="41442711">
        <w:rPr>
          <w:noProof/>
          <w:color w:val="333333"/>
        </w:rPr>
        <w:t>as defined in point (1) of Article 4(1) in Directive 2014/65/EU</w:t>
      </w:r>
      <w:r w:rsidR="006A10B8">
        <w:rPr>
          <w:noProof/>
          <w:color w:val="333333"/>
        </w:rPr>
        <w:t xml:space="preserve"> </w:t>
      </w:r>
      <w:r w:rsidR="00051BC3" w:rsidRPr="00051BC3">
        <w:rPr>
          <w:noProof/>
          <w:color w:val="333333"/>
        </w:rPr>
        <w:t>or a third country legal person that has been authorised to provide services comparable to those provided by</w:t>
      </w:r>
      <w:r w:rsidR="00EE72EC">
        <w:rPr>
          <w:noProof/>
          <w:color w:val="333333"/>
        </w:rPr>
        <w:t xml:space="preserve"> </w:t>
      </w:r>
      <w:r w:rsidR="00051BC3" w:rsidRPr="00051BC3">
        <w:rPr>
          <w:noProof/>
          <w:color w:val="333333"/>
        </w:rPr>
        <w:t>a central securities depository, a credit institution or an investment firm under comparable legislation of a third country of residence,</w:t>
      </w:r>
      <w:r w:rsidR="00051BC3">
        <w:rPr>
          <w:noProof/>
          <w:color w:val="333333"/>
        </w:rPr>
        <w:t xml:space="preserve"> which is part of </w:t>
      </w:r>
      <w:r w:rsidR="006A10B8">
        <w:rPr>
          <w:noProof/>
        </w:rPr>
        <w:t xml:space="preserve">the securities payment chain between the entity issuing securities and the </w:t>
      </w:r>
      <w:r w:rsidR="000C0442">
        <w:rPr>
          <w:noProof/>
        </w:rPr>
        <w:t xml:space="preserve">registered owner </w:t>
      </w:r>
      <w:r w:rsidR="006A10B8">
        <w:rPr>
          <w:noProof/>
        </w:rPr>
        <w:t>receiving payments on such securities</w:t>
      </w:r>
      <w:r w:rsidR="002B5330">
        <w:rPr>
          <w:rFonts w:ascii="Arial" w:hAnsi="Arial" w:cs="Arial"/>
          <w:noProof/>
          <w:color w:val="0000FF"/>
        </w:rPr>
        <w:t>.</w:t>
      </w:r>
      <w:r w:rsidR="002B5330">
        <w:rPr>
          <w:noProof/>
        </w:rPr>
        <w:t xml:space="preserve"> </w:t>
      </w:r>
    </w:p>
    <w:p w14:paraId="19B6B696" w14:textId="07FF24D6" w:rsidR="002B5330" w:rsidRDefault="00412FF6" w:rsidP="00412FF6">
      <w:pPr>
        <w:pStyle w:val="Point0"/>
        <w:rPr>
          <w:noProof/>
        </w:rPr>
      </w:pPr>
      <w:r w:rsidRPr="00412FF6">
        <w:t>(5)</w:t>
      </w:r>
      <w:r w:rsidRPr="00412FF6">
        <w:tab/>
      </w:r>
      <w:r w:rsidR="002B5330" w:rsidRPr="00935F84">
        <w:rPr>
          <w:noProof/>
        </w:rPr>
        <w:t>‘</w:t>
      </w:r>
      <w:r w:rsidR="002B5330" w:rsidRPr="00C715CE">
        <w:rPr>
          <w:noProof/>
          <w:lang w:val="en-IE"/>
        </w:rPr>
        <w:t xml:space="preserve">EUID’ means the European Unique Identifier for companies </w:t>
      </w:r>
      <w:r w:rsidR="000A07B7">
        <w:rPr>
          <w:noProof/>
          <w:lang w:val="en-IE"/>
        </w:rPr>
        <w:t xml:space="preserve">as </w:t>
      </w:r>
      <w:r w:rsidR="002B5330" w:rsidRPr="00C715CE">
        <w:rPr>
          <w:noProof/>
          <w:lang w:val="en-IE"/>
        </w:rPr>
        <w:t>referred to in Article 16 of Directive (EU) 2017/1132</w:t>
      </w:r>
      <w:r w:rsidR="000A07B7" w:rsidRPr="000A07B7">
        <w:rPr>
          <w:noProof/>
          <w:lang w:val="en-IE"/>
        </w:rPr>
        <w:t xml:space="preserve"> </w:t>
      </w:r>
      <w:r w:rsidR="000A07B7">
        <w:rPr>
          <w:noProof/>
          <w:lang w:val="en-IE"/>
        </w:rPr>
        <w:t>of the European Parliament and of the Council</w:t>
      </w:r>
      <w:r w:rsidR="000A07B7" w:rsidRPr="00F26004">
        <w:rPr>
          <w:rStyle w:val="FootnoteReference"/>
          <w:noProof/>
        </w:rPr>
        <w:t xml:space="preserve"> </w:t>
      </w:r>
      <w:r w:rsidR="002B5330" w:rsidRPr="00F26004">
        <w:rPr>
          <w:rStyle w:val="FootnoteReference"/>
          <w:noProof/>
        </w:rPr>
        <w:footnoteReference w:id="37"/>
      </w:r>
      <w:r w:rsidR="002B5330" w:rsidRPr="00C715CE">
        <w:rPr>
          <w:noProof/>
          <w:lang w:val="en-IE"/>
        </w:rPr>
        <w:t>.</w:t>
      </w:r>
      <w:r w:rsidR="002B5330">
        <w:rPr>
          <w:noProof/>
        </w:rPr>
        <w:t xml:space="preserve"> </w:t>
      </w:r>
    </w:p>
    <w:p w14:paraId="118755DD" w14:textId="006A45A9" w:rsidR="002B5330" w:rsidRDefault="00412FF6" w:rsidP="00412FF6">
      <w:pPr>
        <w:pStyle w:val="Point0"/>
        <w:rPr>
          <w:noProof/>
        </w:rPr>
      </w:pPr>
      <w:r w:rsidRPr="00412FF6">
        <w:t>(6)</w:t>
      </w:r>
      <w:r w:rsidRPr="00412FF6">
        <w:tab/>
      </w:r>
      <w:r w:rsidR="002B5330" w:rsidRPr="00935F84">
        <w:rPr>
          <w:noProof/>
        </w:rPr>
        <w:t>‘</w:t>
      </w:r>
      <w:r w:rsidR="006D106C">
        <w:rPr>
          <w:noProof/>
        </w:rPr>
        <w:t>t</w:t>
      </w:r>
      <w:r w:rsidR="002B5330" w:rsidRPr="00935F84">
        <w:rPr>
          <w:noProof/>
        </w:rPr>
        <w:t xml:space="preserve">ax identification number or TIN’ means </w:t>
      </w:r>
      <w:r w:rsidR="002B5330">
        <w:rPr>
          <w:noProof/>
        </w:rPr>
        <w:t>the</w:t>
      </w:r>
      <w:r w:rsidR="002B5330" w:rsidRPr="00935F84">
        <w:rPr>
          <w:noProof/>
        </w:rPr>
        <w:t xml:space="preserve"> unique identifier </w:t>
      </w:r>
      <w:r w:rsidR="00EE72EC">
        <w:rPr>
          <w:noProof/>
        </w:rPr>
        <w:t xml:space="preserve">for tax purposes </w:t>
      </w:r>
      <w:r w:rsidR="002B5330">
        <w:rPr>
          <w:noProof/>
        </w:rPr>
        <w:t xml:space="preserve">of a </w:t>
      </w:r>
      <w:r w:rsidR="000C0442">
        <w:rPr>
          <w:noProof/>
        </w:rPr>
        <w:t xml:space="preserve">registered owner </w:t>
      </w:r>
      <w:r w:rsidR="002B5330">
        <w:rPr>
          <w:noProof/>
        </w:rPr>
        <w:t>as such in a Member State.</w:t>
      </w:r>
    </w:p>
    <w:p w14:paraId="0FF5A9B3" w14:textId="6A600344" w:rsidR="002F4419" w:rsidRDefault="00412FF6" w:rsidP="00412FF6">
      <w:pPr>
        <w:pStyle w:val="Point0"/>
        <w:rPr>
          <w:noProof/>
        </w:rPr>
      </w:pPr>
      <w:r w:rsidRPr="00412FF6">
        <w:t>(7)</w:t>
      </w:r>
      <w:r w:rsidRPr="00412FF6">
        <w:tab/>
      </w:r>
      <w:r w:rsidR="002F4419" w:rsidRPr="000C742A">
        <w:rPr>
          <w:noProof/>
        </w:rPr>
        <w:t>‘</w:t>
      </w:r>
      <w:r w:rsidR="006D106C">
        <w:rPr>
          <w:noProof/>
        </w:rPr>
        <w:t>w</w:t>
      </w:r>
      <w:r w:rsidR="002F4419" w:rsidRPr="000C742A">
        <w:rPr>
          <w:noProof/>
        </w:rPr>
        <w:t xml:space="preserve">ithholding </w:t>
      </w:r>
      <w:r w:rsidR="002F4419">
        <w:rPr>
          <w:noProof/>
        </w:rPr>
        <w:t>t</w:t>
      </w:r>
      <w:r w:rsidR="002F4419" w:rsidRPr="000C742A">
        <w:rPr>
          <w:noProof/>
        </w:rPr>
        <w:t xml:space="preserve">ax </w:t>
      </w:r>
      <w:r w:rsidR="002F4419" w:rsidRPr="000C742A" w:rsidDel="0081536F">
        <w:rPr>
          <w:noProof/>
        </w:rPr>
        <w:t>r</w:t>
      </w:r>
      <w:r w:rsidR="002F4419">
        <w:rPr>
          <w:noProof/>
        </w:rPr>
        <w:t>elief</w:t>
      </w:r>
      <w:r w:rsidR="002F4419" w:rsidRPr="000C742A">
        <w:rPr>
          <w:noProof/>
        </w:rPr>
        <w:t xml:space="preserve"> procedure’ means </w:t>
      </w:r>
      <w:r w:rsidR="002F4419">
        <w:rPr>
          <w:noProof/>
        </w:rPr>
        <w:t xml:space="preserve">a procedure whereby </w:t>
      </w:r>
      <w:r w:rsidR="002F4419" w:rsidRPr="000C742A">
        <w:rPr>
          <w:noProof/>
        </w:rPr>
        <w:t xml:space="preserve">a </w:t>
      </w:r>
      <w:r w:rsidR="002F4419">
        <w:rPr>
          <w:noProof/>
        </w:rPr>
        <w:t>registered owner</w:t>
      </w:r>
      <w:r w:rsidR="002F4419" w:rsidRPr="000C742A">
        <w:rPr>
          <w:noProof/>
        </w:rPr>
        <w:t xml:space="preserve"> receiving dividends </w:t>
      </w:r>
      <w:r w:rsidR="002F4419">
        <w:rPr>
          <w:noProof/>
        </w:rPr>
        <w:t>or interest from securities</w:t>
      </w:r>
      <w:r w:rsidR="002F4419" w:rsidRPr="000C742A">
        <w:rPr>
          <w:noProof/>
        </w:rPr>
        <w:t xml:space="preserve"> </w:t>
      </w:r>
      <w:r w:rsidR="002F4419">
        <w:rPr>
          <w:noProof/>
        </w:rPr>
        <w:t xml:space="preserve">that can be </w:t>
      </w:r>
      <w:r w:rsidR="002F4419" w:rsidRPr="000C742A">
        <w:rPr>
          <w:noProof/>
        </w:rPr>
        <w:t xml:space="preserve">subject to </w:t>
      </w:r>
      <w:r w:rsidR="002F4419">
        <w:rPr>
          <w:noProof/>
        </w:rPr>
        <w:t xml:space="preserve">excess </w:t>
      </w:r>
      <w:r w:rsidR="002F4419" w:rsidRPr="000C742A">
        <w:rPr>
          <w:noProof/>
        </w:rPr>
        <w:t xml:space="preserve">withholding tax </w:t>
      </w:r>
      <w:r w:rsidR="002F4419">
        <w:rPr>
          <w:noProof/>
        </w:rPr>
        <w:t xml:space="preserve">is relieved or </w:t>
      </w:r>
      <w:r w:rsidR="00463799">
        <w:rPr>
          <w:noProof/>
        </w:rPr>
        <w:t>reimbursed</w:t>
      </w:r>
      <w:r w:rsidR="002F4419">
        <w:rPr>
          <w:noProof/>
        </w:rPr>
        <w:t xml:space="preserve"> for such excess tax.</w:t>
      </w:r>
    </w:p>
    <w:p w14:paraId="5E7BE429" w14:textId="22F9F606" w:rsidR="0054149A" w:rsidRDefault="00412FF6" w:rsidP="00412FF6">
      <w:pPr>
        <w:pStyle w:val="Point0"/>
        <w:rPr>
          <w:noProof/>
        </w:rPr>
      </w:pPr>
      <w:r w:rsidRPr="00412FF6">
        <w:t>(8)</w:t>
      </w:r>
      <w:r w:rsidRPr="00412FF6">
        <w:tab/>
      </w:r>
      <w:r w:rsidR="00A5262D" w:rsidRPr="00BD790B">
        <w:rPr>
          <w:noProof/>
        </w:rPr>
        <w:t>‘</w:t>
      </w:r>
      <w:r w:rsidR="006D106C">
        <w:rPr>
          <w:noProof/>
        </w:rPr>
        <w:t>c</w:t>
      </w:r>
      <w:r w:rsidR="00A5262D" w:rsidRPr="00BD790B">
        <w:rPr>
          <w:noProof/>
        </w:rPr>
        <w:t xml:space="preserve">ompetent authority’ means the authority which has been designated by </w:t>
      </w:r>
      <w:r w:rsidR="00A5262D">
        <w:rPr>
          <w:noProof/>
        </w:rPr>
        <w:t>a</w:t>
      </w:r>
      <w:r w:rsidR="00A5262D" w:rsidRPr="00BD790B">
        <w:rPr>
          <w:noProof/>
        </w:rPr>
        <w:t xml:space="preserve"> Member State</w:t>
      </w:r>
      <w:r w:rsidR="00A5262D">
        <w:rPr>
          <w:noProof/>
        </w:rPr>
        <w:t xml:space="preserve"> </w:t>
      </w:r>
      <w:r w:rsidR="00A5262D" w:rsidRPr="003206F3">
        <w:rPr>
          <w:noProof/>
        </w:rPr>
        <w:t xml:space="preserve">in accordance with </w:t>
      </w:r>
      <w:r w:rsidR="002C5799">
        <w:rPr>
          <w:noProof/>
        </w:rPr>
        <w:t>A</w:t>
      </w:r>
      <w:r w:rsidR="002C5799" w:rsidRPr="003206F3">
        <w:rPr>
          <w:noProof/>
        </w:rPr>
        <w:t xml:space="preserve">rticle </w:t>
      </w:r>
      <w:r w:rsidR="00A5262D" w:rsidRPr="003206F3">
        <w:rPr>
          <w:noProof/>
        </w:rPr>
        <w:t xml:space="preserve">5 </w:t>
      </w:r>
      <w:r w:rsidR="00A5262D">
        <w:rPr>
          <w:noProof/>
        </w:rPr>
        <w:t xml:space="preserve">and includes any person authorised </w:t>
      </w:r>
      <w:r w:rsidR="00B9759E">
        <w:rPr>
          <w:noProof/>
        </w:rPr>
        <w:t xml:space="preserve">in accordance with national rules </w:t>
      </w:r>
      <w:r w:rsidR="00A5262D">
        <w:rPr>
          <w:noProof/>
        </w:rPr>
        <w:t>by such authority to act on its behalf for the purposes of this Directive</w:t>
      </w:r>
      <w:r w:rsidR="00A5262D" w:rsidRPr="00BD790B">
        <w:rPr>
          <w:noProof/>
        </w:rPr>
        <w:t>.</w:t>
      </w:r>
      <w:r w:rsidR="00A5262D">
        <w:rPr>
          <w:noProof/>
        </w:rPr>
        <w:t xml:space="preserve"> </w:t>
      </w:r>
    </w:p>
    <w:p w14:paraId="51ECD235" w14:textId="38EE2479" w:rsidR="00AF47B6" w:rsidRDefault="00412FF6" w:rsidP="00412FF6">
      <w:pPr>
        <w:pStyle w:val="Point0"/>
        <w:rPr>
          <w:noProof/>
        </w:rPr>
      </w:pPr>
      <w:r w:rsidRPr="00412FF6">
        <w:t>(9)</w:t>
      </w:r>
      <w:r w:rsidRPr="00412FF6">
        <w:tab/>
      </w:r>
      <w:r w:rsidR="00AF47B6">
        <w:rPr>
          <w:noProof/>
        </w:rPr>
        <w:t>‘</w:t>
      </w:r>
      <w:r w:rsidR="006D106C">
        <w:rPr>
          <w:noProof/>
        </w:rPr>
        <w:t>s</w:t>
      </w:r>
      <w:r w:rsidR="00AF47B6">
        <w:rPr>
          <w:noProof/>
        </w:rPr>
        <w:t>ecurity’ means a publicly traded share or a publicly traded bond.</w:t>
      </w:r>
    </w:p>
    <w:p w14:paraId="054928E1" w14:textId="41A02D14" w:rsidR="00930848" w:rsidRPr="00875F7C" w:rsidRDefault="00412FF6" w:rsidP="00412FF6">
      <w:pPr>
        <w:pStyle w:val="Point0"/>
        <w:rPr>
          <w:noProof/>
          <w:color w:val="333333"/>
        </w:rPr>
      </w:pPr>
      <w:r w:rsidRPr="00412FF6">
        <w:t>(10)</w:t>
      </w:r>
      <w:r w:rsidRPr="00412FF6">
        <w:tab/>
      </w:r>
      <w:r w:rsidR="00930848" w:rsidRPr="532A30B0">
        <w:rPr>
          <w:noProof/>
          <w:color w:val="333333"/>
        </w:rPr>
        <w:t>‘</w:t>
      </w:r>
      <w:r w:rsidR="006D106C">
        <w:rPr>
          <w:noProof/>
        </w:rPr>
        <w:t>l</w:t>
      </w:r>
      <w:r w:rsidR="00D95A9E" w:rsidRPr="00A526F4">
        <w:rPr>
          <w:noProof/>
        </w:rPr>
        <w:t xml:space="preserve">arge institution’ </w:t>
      </w:r>
      <w:r w:rsidR="00D95A9E">
        <w:rPr>
          <w:noProof/>
        </w:rPr>
        <w:t xml:space="preserve">means a large institution as </w:t>
      </w:r>
      <w:r w:rsidR="00D95A9E" w:rsidRPr="00A526F4">
        <w:rPr>
          <w:noProof/>
        </w:rPr>
        <w:t xml:space="preserve">defined in point </w:t>
      </w:r>
      <w:r w:rsidR="00D95A9E">
        <w:rPr>
          <w:noProof/>
        </w:rPr>
        <w:t>(</w:t>
      </w:r>
      <w:r w:rsidR="00D95A9E" w:rsidRPr="00A526F4">
        <w:rPr>
          <w:noProof/>
        </w:rPr>
        <w:t>146</w:t>
      </w:r>
      <w:r w:rsidR="00D95A9E">
        <w:rPr>
          <w:noProof/>
        </w:rPr>
        <w:t xml:space="preserve">) </w:t>
      </w:r>
      <w:r w:rsidR="00D95A9E" w:rsidRPr="00A526F4">
        <w:rPr>
          <w:noProof/>
        </w:rPr>
        <w:t>of Article 4(1) of Regulation (EU) No 575/2013</w:t>
      </w:r>
      <w:r w:rsidR="00930848" w:rsidRPr="532A30B0">
        <w:rPr>
          <w:noProof/>
          <w:color w:val="333333"/>
        </w:rPr>
        <w:t>.</w:t>
      </w:r>
    </w:p>
    <w:p w14:paraId="62B1E93F" w14:textId="02819E3D" w:rsidR="00826CE9" w:rsidRDefault="00412FF6" w:rsidP="00412FF6">
      <w:pPr>
        <w:pStyle w:val="Point0"/>
        <w:rPr>
          <w:noProof/>
        </w:rPr>
      </w:pPr>
      <w:r w:rsidRPr="00412FF6">
        <w:t>(11)</w:t>
      </w:r>
      <w:r w:rsidRPr="00412FF6">
        <w:tab/>
      </w:r>
      <w:r w:rsidR="00826CE9" w:rsidRPr="007C0BD5">
        <w:rPr>
          <w:noProof/>
        </w:rPr>
        <w:t>‘</w:t>
      </w:r>
      <w:r w:rsidR="006D106C">
        <w:rPr>
          <w:noProof/>
        </w:rPr>
        <w:t>w</w:t>
      </w:r>
      <w:r w:rsidR="00826CE9" w:rsidRPr="000956AC">
        <w:rPr>
          <w:noProof/>
        </w:rPr>
        <w:t>ithholding</w:t>
      </w:r>
      <w:r w:rsidR="00826CE9" w:rsidRPr="00375D4D">
        <w:rPr>
          <w:noProof/>
        </w:rPr>
        <w:t xml:space="preserve"> </w:t>
      </w:r>
      <w:r w:rsidR="00826CE9">
        <w:rPr>
          <w:noProof/>
        </w:rPr>
        <w:t>tax</w:t>
      </w:r>
      <w:r w:rsidR="00826CE9" w:rsidRPr="000956AC">
        <w:rPr>
          <w:noProof/>
        </w:rPr>
        <w:t xml:space="preserve"> agent’ </w:t>
      </w:r>
      <w:r w:rsidR="00826CE9" w:rsidRPr="00D11B41">
        <w:rPr>
          <w:noProof/>
        </w:rPr>
        <w:t xml:space="preserve">means an entity authorised by the source Member State to assume responsibility for the deduction of withholding tax from payment </w:t>
      </w:r>
      <w:r w:rsidR="00826CE9">
        <w:rPr>
          <w:noProof/>
        </w:rPr>
        <w:t xml:space="preserve">of dividends or interest from securities </w:t>
      </w:r>
      <w:r w:rsidR="00826CE9" w:rsidRPr="00D11B41">
        <w:rPr>
          <w:noProof/>
        </w:rPr>
        <w:t xml:space="preserve">and the transfer of </w:t>
      </w:r>
      <w:r w:rsidR="00826CE9">
        <w:rPr>
          <w:noProof/>
        </w:rPr>
        <w:t>such</w:t>
      </w:r>
      <w:r w:rsidR="00826CE9" w:rsidRPr="00D11B41">
        <w:rPr>
          <w:noProof/>
        </w:rPr>
        <w:t xml:space="preserve"> withholding tax to the tax authority of the source Member State</w:t>
      </w:r>
      <w:r w:rsidR="00826CE9">
        <w:rPr>
          <w:noProof/>
        </w:rPr>
        <w:t>.</w:t>
      </w:r>
    </w:p>
    <w:p w14:paraId="5E4E07DA" w14:textId="49B6BD1B" w:rsidR="00930848" w:rsidRDefault="00412FF6" w:rsidP="00412FF6">
      <w:pPr>
        <w:pStyle w:val="Point0"/>
        <w:rPr>
          <w:noProof/>
        </w:rPr>
      </w:pPr>
      <w:r w:rsidRPr="00412FF6">
        <w:t>(12)</w:t>
      </w:r>
      <w:r w:rsidRPr="00412FF6">
        <w:tab/>
      </w:r>
      <w:r w:rsidR="00930848">
        <w:rPr>
          <w:noProof/>
        </w:rPr>
        <w:t>‘</w:t>
      </w:r>
      <w:r w:rsidR="006D106C">
        <w:rPr>
          <w:noProof/>
        </w:rPr>
        <w:t>r</w:t>
      </w:r>
      <w:r w:rsidR="00930848">
        <w:rPr>
          <w:noProof/>
        </w:rPr>
        <w:t xml:space="preserve">ecord date’ means the date set by the issuer of a security, on which the </w:t>
      </w:r>
      <w:r w:rsidR="00930848" w:rsidRPr="00D524A0">
        <w:rPr>
          <w:noProof/>
        </w:rPr>
        <w:t>identity of the holder of such security and the rights flowing therefrom, including the right to participate and vote in a general meeting, where relevant, shall be determined</w:t>
      </w:r>
      <w:r w:rsidR="00930848">
        <w:rPr>
          <w:noProof/>
        </w:rPr>
        <w:t xml:space="preserve">, based on the settled positions struck in the books of the financial intermediary by book-entry at the close of its business as defined in Article 1 (7) of Regulation </w:t>
      </w:r>
      <w:r w:rsidR="00930848" w:rsidRPr="003168D6">
        <w:rPr>
          <w:noProof/>
        </w:rPr>
        <w:t>2018/1212</w:t>
      </w:r>
      <w:r w:rsidR="00930848">
        <w:rPr>
          <w:rStyle w:val="FootnoteReference"/>
          <w:noProof/>
        </w:rPr>
        <w:footnoteReference w:id="38"/>
      </w:r>
      <w:r w:rsidR="00930848">
        <w:rPr>
          <w:noProof/>
        </w:rPr>
        <w:t xml:space="preserve">. </w:t>
      </w:r>
    </w:p>
    <w:p w14:paraId="72901A99" w14:textId="277B8C01" w:rsidR="00AF47B6" w:rsidRDefault="00412FF6" w:rsidP="00412FF6">
      <w:pPr>
        <w:pStyle w:val="Point0"/>
        <w:rPr>
          <w:noProof/>
        </w:rPr>
      </w:pPr>
      <w:r w:rsidRPr="00412FF6">
        <w:t>(13)</w:t>
      </w:r>
      <w:r w:rsidRPr="00412FF6">
        <w:tab/>
      </w:r>
      <w:r w:rsidR="00AF47B6">
        <w:rPr>
          <w:noProof/>
        </w:rPr>
        <w:t>‘</w:t>
      </w:r>
      <w:r w:rsidR="000A07B7">
        <w:rPr>
          <w:noProof/>
        </w:rPr>
        <w:t>s</w:t>
      </w:r>
      <w:r w:rsidR="00AF47B6">
        <w:rPr>
          <w:noProof/>
        </w:rPr>
        <w:t xml:space="preserve">ettlement’ means </w:t>
      </w:r>
      <w:r w:rsidR="00AF47B6" w:rsidRPr="00B03B16">
        <w:rPr>
          <w:noProof/>
        </w:rPr>
        <w:t xml:space="preserve">the completion of a securities transaction where it is concluded with the aim of discharging the obligation of the parties to that transaction through the transfer of cash or securities or both, as defined in point </w:t>
      </w:r>
      <w:r w:rsidR="00AF47B6">
        <w:rPr>
          <w:noProof/>
        </w:rPr>
        <w:t>7</w:t>
      </w:r>
      <w:r w:rsidR="00AF47B6" w:rsidRPr="00B03B16">
        <w:rPr>
          <w:noProof/>
        </w:rPr>
        <w:t xml:space="preserve"> of Article 2 of the Regulation (EU) 909/2014 of 23 July 2014</w:t>
      </w:r>
      <w:r w:rsidR="00374E81">
        <w:rPr>
          <w:noProof/>
        </w:rPr>
        <w:t>.</w:t>
      </w:r>
    </w:p>
    <w:p w14:paraId="1D5948B5" w14:textId="2286C68B" w:rsidR="00826CE9" w:rsidRDefault="00412FF6" w:rsidP="00412FF6">
      <w:pPr>
        <w:pStyle w:val="Point0"/>
        <w:rPr>
          <w:noProof/>
        </w:rPr>
      </w:pPr>
      <w:r w:rsidRPr="00412FF6">
        <w:t>(14)</w:t>
      </w:r>
      <w:r w:rsidRPr="00412FF6">
        <w:tab/>
      </w:r>
      <w:r w:rsidR="00826CE9">
        <w:rPr>
          <w:noProof/>
        </w:rPr>
        <w:t>‘</w:t>
      </w:r>
      <w:r w:rsidR="000A07B7">
        <w:rPr>
          <w:noProof/>
        </w:rPr>
        <w:t>r</w:t>
      </w:r>
      <w:r w:rsidR="00826CE9">
        <w:rPr>
          <w:noProof/>
        </w:rPr>
        <w:t>egistered owner</w:t>
      </w:r>
      <w:r w:rsidR="00826CE9" w:rsidRPr="000C742A">
        <w:rPr>
          <w:noProof/>
        </w:rPr>
        <w:t xml:space="preserve">’ means </w:t>
      </w:r>
      <w:r w:rsidR="00826CE9" w:rsidRPr="000C742A" w:rsidDel="00AC6CFA">
        <w:rPr>
          <w:noProof/>
        </w:rPr>
        <w:t xml:space="preserve">any natural or legal person </w:t>
      </w:r>
      <w:r w:rsidR="00826CE9" w:rsidRPr="000C742A">
        <w:rPr>
          <w:noProof/>
        </w:rPr>
        <w:t>that is entitled to receive</w:t>
      </w:r>
      <w:r w:rsidR="00826CE9">
        <w:rPr>
          <w:noProof/>
        </w:rPr>
        <w:t xml:space="preserve"> </w:t>
      </w:r>
      <w:r w:rsidR="00826CE9" w:rsidRPr="000C742A">
        <w:rPr>
          <w:noProof/>
        </w:rPr>
        <w:t xml:space="preserve">dividend </w:t>
      </w:r>
      <w:r w:rsidR="00826CE9">
        <w:rPr>
          <w:noProof/>
        </w:rPr>
        <w:t xml:space="preserve">or interest </w:t>
      </w:r>
      <w:r w:rsidR="00826CE9" w:rsidRPr="000C742A">
        <w:rPr>
          <w:noProof/>
        </w:rPr>
        <w:t xml:space="preserve">income from </w:t>
      </w:r>
      <w:r w:rsidR="00826CE9">
        <w:rPr>
          <w:noProof/>
        </w:rPr>
        <w:t>securities</w:t>
      </w:r>
      <w:r w:rsidR="00826CE9" w:rsidRPr="000C742A">
        <w:rPr>
          <w:noProof/>
        </w:rPr>
        <w:t xml:space="preserve"> subject to tax withheld at source</w:t>
      </w:r>
      <w:r w:rsidR="00826CE9">
        <w:rPr>
          <w:noProof/>
        </w:rPr>
        <w:t xml:space="preserve"> in a Member State</w:t>
      </w:r>
      <w:r w:rsidR="00826CE9" w:rsidRPr="000C742A">
        <w:rPr>
          <w:noProof/>
        </w:rPr>
        <w:t>.</w:t>
      </w:r>
    </w:p>
    <w:p w14:paraId="05471B9A" w14:textId="565F5683" w:rsidR="002F4419" w:rsidRDefault="00412FF6" w:rsidP="00412FF6">
      <w:pPr>
        <w:pStyle w:val="Point0"/>
        <w:rPr>
          <w:noProof/>
        </w:rPr>
      </w:pPr>
      <w:r w:rsidRPr="00412FF6">
        <w:t>(15)</w:t>
      </w:r>
      <w:r w:rsidRPr="00412FF6">
        <w:tab/>
      </w:r>
      <w:r w:rsidR="002F4419">
        <w:rPr>
          <w:noProof/>
        </w:rPr>
        <w:t>‘</w:t>
      </w:r>
      <w:r w:rsidR="000A07B7">
        <w:rPr>
          <w:noProof/>
        </w:rPr>
        <w:t>i</w:t>
      </w:r>
      <w:r w:rsidR="002F4419">
        <w:rPr>
          <w:noProof/>
        </w:rPr>
        <w:t xml:space="preserve">nvestment account’ means the account or accounts provided by financial intermediaries to </w:t>
      </w:r>
      <w:r w:rsidR="000C0442">
        <w:rPr>
          <w:noProof/>
        </w:rPr>
        <w:t xml:space="preserve">registered owners </w:t>
      </w:r>
      <w:r w:rsidR="002F4419">
        <w:rPr>
          <w:noProof/>
        </w:rPr>
        <w:t>via which their securities are held or registered and to which the payments related to these securities are made.</w:t>
      </w:r>
    </w:p>
    <w:p w14:paraId="13FAA03D" w14:textId="554515BA" w:rsidR="002F4419" w:rsidRDefault="00412FF6" w:rsidP="00412FF6">
      <w:pPr>
        <w:pStyle w:val="Point0"/>
        <w:rPr>
          <w:noProof/>
        </w:rPr>
      </w:pPr>
      <w:r w:rsidRPr="00412FF6">
        <w:t>(16)</w:t>
      </w:r>
      <w:r w:rsidRPr="00412FF6">
        <w:tab/>
      </w:r>
      <w:r w:rsidR="002F4419">
        <w:rPr>
          <w:noProof/>
        </w:rPr>
        <w:t>‘</w:t>
      </w:r>
      <w:r w:rsidR="000A07B7">
        <w:rPr>
          <w:noProof/>
        </w:rPr>
        <w:t>e</w:t>
      </w:r>
      <w:r w:rsidR="002F4419" w:rsidRPr="000F4B71">
        <w:rPr>
          <w:noProof/>
        </w:rPr>
        <w:t>x-dividend date</w:t>
      </w:r>
      <w:r w:rsidR="002F4419">
        <w:rPr>
          <w:noProof/>
        </w:rPr>
        <w:t>’ means the date as from which the shares are traded without the rights flowing from the shares, including the right to participate and vote in a general meeting, where relevant.</w:t>
      </w:r>
    </w:p>
    <w:p w14:paraId="10E20DF8" w14:textId="535DEC75" w:rsidR="002F4419" w:rsidRDefault="00412FF6" w:rsidP="00412FF6">
      <w:pPr>
        <w:pStyle w:val="Point0"/>
        <w:rPr>
          <w:noProof/>
        </w:rPr>
      </w:pPr>
      <w:r w:rsidRPr="00412FF6">
        <w:t>(17)</w:t>
      </w:r>
      <w:r w:rsidRPr="00412FF6">
        <w:tab/>
      </w:r>
      <w:r w:rsidR="002F4419">
        <w:rPr>
          <w:noProof/>
        </w:rPr>
        <w:t>‘</w:t>
      </w:r>
      <w:r w:rsidR="000A07B7">
        <w:rPr>
          <w:noProof/>
        </w:rPr>
        <w:t>f</w:t>
      </w:r>
      <w:r w:rsidR="002F4419" w:rsidRPr="00AE21DD">
        <w:rPr>
          <w:noProof/>
        </w:rPr>
        <w:t xml:space="preserve">inancial arrangement’ means any </w:t>
      </w:r>
      <w:r w:rsidR="002F4419">
        <w:rPr>
          <w:noProof/>
        </w:rPr>
        <w:t xml:space="preserve">arrangement or </w:t>
      </w:r>
      <w:r w:rsidR="002F4419" w:rsidRPr="00AE21DD">
        <w:rPr>
          <w:noProof/>
        </w:rPr>
        <w:t xml:space="preserve">contractual obligation whereby </w:t>
      </w:r>
      <w:r w:rsidR="002F4419">
        <w:rPr>
          <w:noProof/>
        </w:rPr>
        <w:t>any</w:t>
      </w:r>
      <w:r w:rsidR="002F4419" w:rsidRPr="00AE21DD">
        <w:rPr>
          <w:noProof/>
        </w:rPr>
        <w:t xml:space="preserve"> </w:t>
      </w:r>
      <w:r w:rsidR="002F4419" w:rsidRPr="004B1E5B">
        <w:rPr>
          <w:noProof/>
        </w:rPr>
        <w:t xml:space="preserve">part of the ownership of the publicly traded share, on which a dividend is paid, </w:t>
      </w:r>
      <w:r w:rsidR="00EC289A" w:rsidRPr="004B1E5B">
        <w:rPr>
          <w:noProof/>
        </w:rPr>
        <w:t>is</w:t>
      </w:r>
      <w:r w:rsidR="002F4419" w:rsidRPr="004B1E5B">
        <w:rPr>
          <w:noProof/>
        </w:rPr>
        <w:t xml:space="preserve"> </w:t>
      </w:r>
      <w:r w:rsidR="0055350D" w:rsidRPr="004B1E5B">
        <w:rPr>
          <w:noProof/>
        </w:rPr>
        <w:t xml:space="preserve">or could be, </w:t>
      </w:r>
      <w:r w:rsidR="002F4419" w:rsidRPr="004B1E5B">
        <w:rPr>
          <w:noProof/>
        </w:rPr>
        <w:t>either</w:t>
      </w:r>
      <w:r w:rsidR="002F4419" w:rsidRPr="00AE21DD">
        <w:rPr>
          <w:noProof/>
        </w:rPr>
        <w:t xml:space="preserve"> permanently or temporarily transferred to another party</w:t>
      </w:r>
      <w:r w:rsidR="002F4419">
        <w:rPr>
          <w:noProof/>
        </w:rPr>
        <w:t>.</w:t>
      </w:r>
    </w:p>
    <w:p w14:paraId="4B3E9359" w14:textId="268B919D" w:rsidR="002F4419" w:rsidRDefault="00412FF6" w:rsidP="00412FF6">
      <w:pPr>
        <w:pStyle w:val="Point0"/>
        <w:rPr>
          <w:noProof/>
        </w:rPr>
      </w:pPr>
      <w:r w:rsidRPr="00412FF6">
        <w:t>(18)</w:t>
      </w:r>
      <w:r w:rsidRPr="00412FF6">
        <w:tab/>
      </w:r>
      <w:r w:rsidR="002F4419">
        <w:rPr>
          <w:noProof/>
        </w:rPr>
        <w:t>‘</w:t>
      </w:r>
      <w:r w:rsidR="000A07B7">
        <w:rPr>
          <w:noProof/>
        </w:rPr>
        <w:t>s</w:t>
      </w:r>
      <w:r w:rsidR="002F4419">
        <w:rPr>
          <w:noProof/>
        </w:rPr>
        <w:t xml:space="preserve">ecurities payment chain’ means the sequence of </w:t>
      </w:r>
      <w:r w:rsidR="002F4419" w:rsidDel="00625110">
        <w:rPr>
          <w:noProof/>
        </w:rPr>
        <w:t xml:space="preserve">financial intermediaries </w:t>
      </w:r>
      <w:r w:rsidR="002F4419">
        <w:rPr>
          <w:noProof/>
        </w:rPr>
        <w:t>handling the payment of dividends or interest on securities between</w:t>
      </w:r>
      <w:r w:rsidR="002F4419" w:rsidDel="00625110">
        <w:rPr>
          <w:noProof/>
        </w:rPr>
        <w:t xml:space="preserve"> </w:t>
      </w:r>
      <w:r w:rsidR="002F4419">
        <w:rPr>
          <w:noProof/>
        </w:rPr>
        <w:t xml:space="preserve">the securities’ issuer and a </w:t>
      </w:r>
      <w:r w:rsidR="000C0442">
        <w:rPr>
          <w:noProof/>
        </w:rPr>
        <w:t xml:space="preserve">registered owner </w:t>
      </w:r>
      <w:r w:rsidR="002F4419">
        <w:rPr>
          <w:noProof/>
        </w:rPr>
        <w:t>to whom dividends or interest from such securities are</w:t>
      </w:r>
      <w:r w:rsidR="002F4419" w:rsidDel="00625110">
        <w:rPr>
          <w:noProof/>
        </w:rPr>
        <w:t xml:space="preserve"> </w:t>
      </w:r>
      <w:r w:rsidR="002F4419">
        <w:rPr>
          <w:noProof/>
        </w:rPr>
        <w:t>paid.</w:t>
      </w:r>
    </w:p>
    <w:p w14:paraId="3AA79646" w14:textId="51BBA3E6" w:rsidR="00626934" w:rsidRDefault="00412FF6" w:rsidP="00412FF6">
      <w:pPr>
        <w:pStyle w:val="Point0"/>
        <w:rPr>
          <w:noProof/>
        </w:rPr>
      </w:pPr>
      <w:r w:rsidRPr="00412FF6">
        <w:t>(19)</w:t>
      </w:r>
      <w:r w:rsidRPr="00412FF6">
        <w:tab/>
      </w:r>
      <w:r w:rsidR="00A5262D">
        <w:rPr>
          <w:noProof/>
        </w:rPr>
        <w:t>‘</w:t>
      </w:r>
      <w:r w:rsidR="000A07B7">
        <w:rPr>
          <w:noProof/>
        </w:rPr>
        <w:t>d</w:t>
      </w:r>
      <w:r w:rsidR="00A5262D">
        <w:rPr>
          <w:noProof/>
        </w:rPr>
        <w:t xml:space="preserve">ouble </w:t>
      </w:r>
      <w:r w:rsidR="000A07B7">
        <w:rPr>
          <w:noProof/>
        </w:rPr>
        <w:t>t</w:t>
      </w:r>
      <w:r w:rsidR="00A5262D">
        <w:rPr>
          <w:noProof/>
        </w:rPr>
        <w:t xml:space="preserve">ax </w:t>
      </w:r>
      <w:r w:rsidR="000A07B7">
        <w:rPr>
          <w:noProof/>
        </w:rPr>
        <w:t>t</w:t>
      </w:r>
      <w:r w:rsidR="00A5262D">
        <w:rPr>
          <w:noProof/>
        </w:rPr>
        <w:t xml:space="preserve">reaty’ means an agreement or convention that provides for the elimination of double taxation of income, and where applicable, capital, in force </w:t>
      </w:r>
      <w:r w:rsidR="00A5262D" w:rsidRPr="00A04FC2">
        <w:rPr>
          <w:noProof/>
        </w:rPr>
        <w:t>between two (or more) countries</w:t>
      </w:r>
      <w:r w:rsidR="00A5262D">
        <w:rPr>
          <w:noProof/>
        </w:rPr>
        <w:t xml:space="preserve">. </w:t>
      </w:r>
    </w:p>
    <w:p w14:paraId="4A3CC635" w14:textId="0BE7ABEF" w:rsidR="002F4419" w:rsidRDefault="00412FF6" w:rsidP="00412FF6">
      <w:pPr>
        <w:pStyle w:val="Point0"/>
        <w:rPr>
          <w:noProof/>
        </w:rPr>
      </w:pPr>
      <w:r w:rsidRPr="00412FF6">
        <w:t>(20)</w:t>
      </w:r>
      <w:r w:rsidRPr="00412FF6">
        <w:tab/>
      </w:r>
      <w:r w:rsidR="002F4419" w:rsidRPr="001064D6">
        <w:rPr>
          <w:noProof/>
        </w:rPr>
        <w:t>‘</w:t>
      </w:r>
      <w:r w:rsidR="000A07B7">
        <w:rPr>
          <w:noProof/>
        </w:rPr>
        <w:t>s</w:t>
      </w:r>
      <w:r w:rsidR="002F4419" w:rsidRPr="001064D6">
        <w:rPr>
          <w:noProof/>
        </w:rPr>
        <w:t>ource Member State’ means the Member State of residence of the issuer of the security paying dividend or interest.</w:t>
      </w:r>
    </w:p>
    <w:p w14:paraId="188CC3BC" w14:textId="162B083C" w:rsidR="002F4419" w:rsidRDefault="00412FF6" w:rsidP="00412FF6">
      <w:pPr>
        <w:pStyle w:val="Point0"/>
        <w:rPr>
          <w:noProof/>
        </w:rPr>
      </w:pPr>
      <w:r w:rsidRPr="00412FF6">
        <w:t>(21)</w:t>
      </w:r>
      <w:r w:rsidRPr="00412FF6">
        <w:tab/>
      </w:r>
      <w:r w:rsidR="002F4419">
        <w:rPr>
          <w:noProof/>
        </w:rPr>
        <w:t>‘</w:t>
      </w:r>
      <w:r w:rsidR="000A07B7">
        <w:rPr>
          <w:noProof/>
        </w:rPr>
        <w:t>q</w:t>
      </w:r>
      <w:r w:rsidR="002F4419">
        <w:rPr>
          <w:noProof/>
        </w:rPr>
        <w:t xml:space="preserve">uick </w:t>
      </w:r>
      <w:r w:rsidR="000A07B7">
        <w:rPr>
          <w:noProof/>
        </w:rPr>
        <w:t>r</w:t>
      </w:r>
      <w:r w:rsidR="002F4419">
        <w:rPr>
          <w:noProof/>
        </w:rPr>
        <w:t xml:space="preserve">efund system’ means a system where a payment of dividend or interest is made taking into account the general domestic withholding tax rate followed by a request for refund of the </w:t>
      </w:r>
      <w:r w:rsidR="000A07B7">
        <w:rPr>
          <w:noProof/>
        </w:rPr>
        <w:t>e</w:t>
      </w:r>
      <w:r w:rsidR="002F4419">
        <w:rPr>
          <w:noProof/>
        </w:rPr>
        <w:t>xcess</w:t>
      </w:r>
      <w:r w:rsidR="000310D7">
        <w:rPr>
          <w:noProof/>
        </w:rPr>
        <w:t xml:space="preserve"> </w:t>
      </w:r>
      <w:r w:rsidR="000A07B7">
        <w:rPr>
          <w:noProof/>
        </w:rPr>
        <w:t>w</w:t>
      </w:r>
      <w:r w:rsidR="000310D7" w:rsidRPr="00B9581D">
        <w:rPr>
          <w:noProof/>
        </w:rPr>
        <w:t>ithholding</w:t>
      </w:r>
      <w:r w:rsidR="002F4419">
        <w:rPr>
          <w:noProof/>
        </w:rPr>
        <w:t xml:space="preserve"> </w:t>
      </w:r>
      <w:r w:rsidR="000A07B7">
        <w:rPr>
          <w:noProof/>
        </w:rPr>
        <w:t>t</w:t>
      </w:r>
      <w:r w:rsidR="002F4419">
        <w:rPr>
          <w:noProof/>
        </w:rPr>
        <w:t>ax within the timeframe set in Article</w:t>
      </w:r>
      <w:r w:rsidR="009469E8">
        <w:rPr>
          <w:noProof/>
        </w:rPr>
        <w:t> </w:t>
      </w:r>
      <w:r w:rsidR="002F4419">
        <w:rPr>
          <w:noProof/>
        </w:rPr>
        <w:t xml:space="preserve">13. </w:t>
      </w:r>
    </w:p>
    <w:p w14:paraId="6B3DCD06" w14:textId="4079A7E6" w:rsidR="002F4419" w:rsidRDefault="00412FF6" w:rsidP="00412FF6">
      <w:pPr>
        <w:pStyle w:val="Point0"/>
        <w:rPr>
          <w:noProof/>
        </w:rPr>
      </w:pPr>
      <w:r w:rsidRPr="00412FF6">
        <w:t>(22)</w:t>
      </w:r>
      <w:r w:rsidRPr="00412FF6">
        <w:tab/>
      </w:r>
      <w:r w:rsidR="002F4419">
        <w:rPr>
          <w:noProof/>
        </w:rPr>
        <w:t>‘</w:t>
      </w:r>
      <w:r w:rsidR="000A07B7">
        <w:rPr>
          <w:noProof/>
        </w:rPr>
        <w:t>r</w:t>
      </w:r>
      <w:r w:rsidR="002F4419">
        <w:rPr>
          <w:noProof/>
        </w:rPr>
        <w:t xml:space="preserve">elief at </w:t>
      </w:r>
      <w:r w:rsidR="000A07B7">
        <w:rPr>
          <w:noProof/>
        </w:rPr>
        <w:t>s</w:t>
      </w:r>
      <w:r w:rsidR="002F4419">
        <w:rPr>
          <w:noProof/>
        </w:rPr>
        <w:t xml:space="preserve">ource system’ means a system where the appropriate withholding tax rate, in accordance with the applicable domestic rules and/or international agreements, such as the relevant </w:t>
      </w:r>
      <w:r w:rsidR="000A07B7">
        <w:rPr>
          <w:noProof/>
        </w:rPr>
        <w:t>d</w:t>
      </w:r>
      <w:r w:rsidR="002F4419">
        <w:rPr>
          <w:noProof/>
        </w:rPr>
        <w:t xml:space="preserve">ouble </w:t>
      </w:r>
      <w:r w:rsidR="000A07B7">
        <w:rPr>
          <w:noProof/>
        </w:rPr>
        <w:t>t</w:t>
      </w:r>
      <w:r w:rsidR="002F4419">
        <w:rPr>
          <w:noProof/>
        </w:rPr>
        <w:t xml:space="preserve">ax </w:t>
      </w:r>
      <w:r w:rsidR="000A07B7">
        <w:rPr>
          <w:noProof/>
        </w:rPr>
        <w:t>t</w:t>
      </w:r>
      <w:r w:rsidR="002F4419">
        <w:rPr>
          <w:noProof/>
        </w:rPr>
        <w:t xml:space="preserve">reaty, is applied at the moment of payment of dividends or interest. </w:t>
      </w:r>
    </w:p>
    <w:p w14:paraId="3CEF5531" w14:textId="63F1709A" w:rsidR="002F4419" w:rsidRDefault="00412FF6" w:rsidP="00412FF6">
      <w:pPr>
        <w:pStyle w:val="Point0"/>
        <w:rPr>
          <w:noProof/>
        </w:rPr>
      </w:pPr>
      <w:r w:rsidRPr="00412FF6">
        <w:t>(23)</w:t>
      </w:r>
      <w:r w:rsidRPr="00412FF6">
        <w:tab/>
      </w:r>
      <w:r w:rsidR="002F4419">
        <w:rPr>
          <w:noProof/>
        </w:rPr>
        <w:t>‘</w:t>
      </w:r>
      <w:r w:rsidR="000A07B7">
        <w:rPr>
          <w:noProof/>
        </w:rPr>
        <w:t>s</w:t>
      </w:r>
      <w:r w:rsidR="002F4419">
        <w:rPr>
          <w:noProof/>
        </w:rPr>
        <w:t xml:space="preserve">tandard </w:t>
      </w:r>
      <w:r w:rsidR="000A07B7">
        <w:rPr>
          <w:noProof/>
        </w:rPr>
        <w:t>r</w:t>
      </w:r>
      <w:r w:rsidR="002F4419">
        <w:rPr>
          <w:noProof/>
        </w:rPr>
        <w:t xml:space="preserve">efund system’ means a system where a payment of dividends or interest is made taking into account the general domestic withholding tax rate followed by a request for refund of the </w:t>
      </w:r>
      <w:r w:rsidR="000A07B7">
        <w:rPr>
          <w:noProof/>
        </w:rPr>
        <w:t>e</w:t>
      </w:r>
      <w:r w:rsidR="002F4419">
        <w:rPr>
          <w:noProof/>
        </w:rPr>
        <w:t xml:space="preserve">xcess </w:t>
      </w:r>
      <w:r w:rsidR="000A07B7">
        <w:rPr>
          <w:noProof/>
        </w:rPr>
        <w:t>w</w:t>
      </w:r>
      <w:r w:rsidR="002F4419">
        <w:rPr>
          <w:noProof/>
        </w:rPr>
        <w:t xml:space="preserve">ithholding </w:t>
      </w:r>
      <w:r w:rsidR="000A07B7">
        <w:rPr>
          <w:noProof/>
        </w:rPr>
        <w:t>t</w:t>
      </w:r>
      <w:r w:rsidR="002F4419">
        <w:rPr>
          <w:noProof/>
        </w:rPr>
        <w:t xml:space="preserve">ax outside the procedure set out in Article 13. </w:t>
      </w:r>
    </w:p>
    <w:p w14:paraId="44A415F0" w14:textId="57474365" w:rsidR="00AF037C" w:rsidRDefault="00412FF6" w:rsidP="00412FF6">
      <w:pPr>
        <w:pStyle w:val="Point0"/>
        <w:rPr>
          <w:noProof/>
        </w:rPr>
      </w:pPr>
      <w:r w:rsidRPr="00412FF6">
        <w:t>(24)</w:t>
      </w:r>
      <w:r w:rsidRPr="00412FF6">
        <w:tab/>
      </w:r>
      <w:r w:rsidR="624166C1">
        <w:rPr>
          <w:noProof/>
        </w:rPr>
        <w:t xml:space="preserve">‘euro short-term rate’ means </w:t>
      </w:r>
      <w:r w:rsidR="6A57659A">
        <w:rPr>
          <w:noProof/>
        </w:rPr>
        <w:t xml:space="preserve">the euro short-term rate as defined in </w:t>
      </w:r>
      <w:r w:rsidR="0722A5E3">
        <w:rPr>
          <w:noProof/>
        </w:rPr>
        <w:t>Guideline (EU) 2019/1265 of the European Central Bank of 10 July 2019</w:t>
      </w:r>
      <w:r w:rsidR="009B5531">
        <w:rPr>
          <w:rStyle w:val="FootnoteReference"/>
          <w:noProof/>
        </w:rPr>
        <w:footnoteReference w:id="39"/>
      </w:r>
      <w:r w:rsidR="0722A5E3">
        <w:rPr>
          <w:noProof/>
        </w:rPr>
        <w:t>.</w:t>
      </w:r>
    </w:p>
    <w:p w14:paraId="65EA698F" w14:textId="77777777" w:rsidR="004D12F8" w:rsidRPr="00C35221" w:rsidRDefault="004D12F8" w:rsidP="004D12F8">
      <w:pPr>
        <w:rPr>
          <w:noProof/>
        </w:rPr>
      </w:pPr>
    </w:p>
    <w:p w14:paraId="6CE076D4" w14:textId="77777777" w:rsidR="001956AF" w:rsidRPr="00673DBF" w:rsidRDefault="001956AF" w:rsidP="008A5257">
      <w:pPr>
        <w:jc w:val="center"/>
        <w:rPr>
          <w:b/>
          <w:bCs/>
          <w:i/>
          <w:noProof/>
          <w:lang w:val="en-IE"/>
        </w:rPr>
      </w:pPr>
      <w:r w:rsidRPr="00673DBF">
        <w:rPr>
          <w:b/>
          <w:bCs/>
          <w:noProof/>
          <w:lang w:val="en-IE"/>
        </w:rPr>
        <w:t>CHAPTER II</w:t>
      </w:r>
    </w:p>
    <w:p w14:paraId="7A3B81B9" w14:textId="77777777" w:rsidR="001956AF" w:rsidRPr="00CF3EFD" w:rsidRDefault="001956AF" w:rsidP="008A5257">
      <w:pPr>
        <w:jc w:val="center"/>
        <w:rPr>
          <w:noProof/>
        </w:rPr>
      </w:pPr>
      <w:r w:rsidRPr="00673DBF">
        <w:rPr>
          <w:b/>
          <w:bCs/>
          <w:noProof/>
          <w:lang w:val="en-IE"/>
        </w:rPr>
        <w:t>DIGITAL TAX RESIDENCE CERTIFICATE</w:t>
      </w:r>
    </w:p>
    <w:p w14:paraId="57EC86D3" w14:textId="77777777" w:rsidR="001956AF" w:rsidRPr="004D634E" w:rsidRDefault="001956AF" w:rsidP="008A5257">
      <w:pPr>
        <w:pStyle w:val="Titrearticle"/>
        <w:rPr>
          <w:b/>
          <w:i w:val="0"/>
          <w:noProof/>
          <w:lang w:val="en-IE"/>
        </w:rPr>
      </w:pPr>
      <w:r w:rsidRPr="004D634E">
        <w:rPr>
          <w:noProof/>
          <w:lang w:val="en-IE"/>
        </w:rPr>
        <w:t xml:space="preserve">Article </w:t>
      </w:r>
      <w:r w:rsidR="00356ED6" w:rsidRPr="004D634E">
        <w:rPr>
          <w:noProof/>
          <w:lang w:val="en-IE"/>
        </w:rPr>
        <w:t>4</w:t>
      </w:r>
      <w:r w:rsidR="008A5257" w:rsidRPr="004D634E">
        <w:rPr>
          <w:noProof/>
          <w:lang w:val="en-IE"/>
        </w:rPr>
        <w:br/>
      </w:r>
      <w:r w:rsidRPr="004D634E">
        <w:rPr>
          <w:b/>
          <w:i w:val="0"/>
          <w:noProof/>
          <w:lang w:val="en-IE"/>
        </w:rPr>
        <w:t xml:space="preserve">Digital </w:t>
      </w:r>
      <w:r w:rsidR="00C83FCC" w:rsidRPr="004D634E">
        <w:rPr>
          <w:b/>
          <w:i w:val="0"/>
          <w:noProof/>
          <w:lang w:val="en-IE"/>
        </w:rPr>
        <w:t>t</w:t>
      </w:r>
      <w:r w:rsidRPr="004D634E">
        <w:rPr>
          <w:b/>
          <w:i w:val="0"/>
          <w:noProof/>
          <w:lang w:val="en-IE"/>
        </w:rPr>
        <w:t xml:space="preserve">ax </w:t>
      </w:r>
      <w:r w:rsidR="00C83FCC" w:rsidRPr="004D634E">
        <w:rPr>
          <w:b/>
          <w:i w:val="0"/>
          <w:noProof/>
          <w:lang w:val="en-IE"/>
        </w:rPr>
        <w:t>r</w:t>
      </w:r>
      <w:r w:rsidRPr="004D634E">
        <w:rPr>
          <w:b/>
          <w:i w:val="0"/>
          <w:noProof/>
          <w:lang w:val="en-IE"/>
        </w:rPr>
        <w:t xml:space="preserve">esidence </w:t>
      </w:r>
      <w:r w:rsidR="00C83FCC" w:rsidRPr="004D634E">
        <w:rPr>
          <w:b/>
          <w:i w:val="0"/>
          <w:noProof/>
          <w:lang w:val="en-IE"/>
        </w:rPr>
        <w:t>c</w:t>
      </w:r>
      <w:r w:rsidRPr="004D634E">
        <w:rPr>
          <w:b/>
          <w:i w:val="0"/>
          <w:noProof/>
          <w:lang w:val="en-IE"/>
        </w:rPr>
        <w:t>ertificate (eTRC)</w:t>
      </w:r>
    </w:p>
    <w:p w14:paraId="27FD26CB" w14:textId="25415ADB" w:rsidR="001956AF" w:rsidRPr="008A5257" w:rsidRDefault="00412FF6" w:rsidP="00412FF6">
      <w:pPr>
        <w:pStyle w:val="ManualNumPar1"/>
        <w:rPr>
          <w:noProof/>
          <w:lang w:val="en-IE"/>
        </w:rPr>
      </w:pPr>
      <w:r w:rsidRPr="00412FF6">
        <w:t>1.</w:t>
      </w:r>
      <w:r w:rsidRPr="00412FF6">
        <w:tab/>
      </w:r>
      <w:r w:rsidR="001956AF" w:rsidRPr="008A5257">
        <w:rPr>
          <w:noProof/>
          <w:lang w:val="en-IE"/>
        </w:rPr>
        <w:t xml:space="preserve">Member States shall provide </w:t>
      </w:r>
      <w:r w:rsidR="3220832C" w:rsidRPr="1F977705">
        <w:rPr>
          <w:noProof/>
          <w:lang w:val="en-IE"/>
        </w:rPr>
        <w:t xml:space="preserve">for </w:t>
      </w:r>
      <w:r w:rsidR="001956AF" w:rsidRPr="008A5257">
        <w:rPr>
          <w:noProof/>
          <w:lang w:val="en-IE"/>
        </w:rPr>
        <w:t xml:space="preserve">an automated process to issue digital tax residence certificates </w:t>
      </w:r>
      <w:r w:rsidR="00C87090">
        <w:rPr>
          <w:noProof/>
          <w:lang w:val="en-IE"/>
        </w:rPr>
        <w:t xml:space="preserve">(eTRC) </w:t>
      </w:r>
      <w:r w:rsidR="002C5710">
        <w:rPr>
          <w:noProof/>
          <w:lang w:val="en-IE"/>
        </w:rPr>
        <w:t>to</w:t>
      </w:r>
      <w:r w:rsidR="001956AF" w:rsidRPr="008A5257">
        <w:rPr>
          <w:noProof/>
          <w:lang w:val="en-IE"/>
        </w:rPr>
        <w:t xml:space="preserve"> </w:t>
      </w:r>
      <w:r w:rsidR="00C92E46">
        <w:rPr>
          <w:noProof/>
          <w:lang w:val="en-IE"/>
        </w:rPr>
        <w:t xml:space="preserve">a </w:t>
      </w:r>
      <w:r w:rsidR="001956AF" w:rsidRPr="008A5257">
        <w:rPr>
          <w:noProof/>
          <w:lang w:val="en-IE"/>
        </w:rPr>
        <w:t xml:space="preserve">person </w:t>
      </w:r>
      <w:r w:rsidR="2DDF5729" w:rsidRPr="1F977705">
        <w:rPr>
          <w:noProof/>
          <w:lang w:val="en-IE"/>
        </w:rPr>
        <w:t xml:space="preserve">deemed </w:t>
      </w:r>
      <w:r w:rsidR="001956AF" w:rsidRPr="008A5257">
        <w:rPr>
          <w:noProof/>
          <w:lang w:val="en-IE"/>
        </w:rPr>
        <w:t>resident in their jurisdiction for tax purposes.</w:t>
      </w:r>
      <w:r w:rsidR="001956AF" w:rsidRPr="008A5257" w:rsidDel="002E3AEC">
        <w:rPr>
          <w:noProof/>
          <w:lang w:val="en-IE"/>
        </w:rPr>
        <w:t xml:space="preserve"> </w:t>
      </w:r>
    </w:p>
    <w:p w14:paraId="35C600EE" w14:textId="1725EEA8" w:rsidR="001956AF" w:rsidRPr="008A5257" w:rsidRDefault="00412FF6" w:rsidP="00412FF6">
      <w:pPr>
        <w:pStyle w:val="ManualNumPar1"/>
        <w:rPr>
          <w:noProof/>
          <w:lang w:val="en-IE"/>
        </w:rPr>
      </w:pPr>
      <w:r w:rsidRPr="00412FF6">
        <w:t>2.</w:t>
      </w:r>
      <w:r w:rsidRPr="00412FF6">
        <w:tab/>
      </w:r>
      <w:r w:rsidR="00B0739F">
        <w:rPr>
          <w:noProof/>
          <w:lang w:val="en-IE"/>
        </w:rPr>
        <w:t>Member States shall issue the eTRC</w:t>
      </w:r>
      <w:r w:rsidR="001956AF" w:rsidRPr="008A5257">
        <w:rPr>
          <w:noProof/>
          <w:lang w:val="en-IE"/>
        </w:rPr>
        <w:t xml:space="preserve"> within one working day </w:t>
      </w:r>
      <w:r w:rsidR="00B0739F">
        <w:rPr>
          <w:noProof/>
          <w:lang w:val="en-IE"/>
        </w:rPr>
        <w:t>from</w:t>
      </w:r>
      <w:r w:rsidR="001956AF" w:rsidRPr="008A5257">
        <w:rPr>
          <w:noProof/>
          <w:lang w:val="en-IE"/>
        </w:rPr>
        <w:t xml:space="preserve"> submission of a request</w:t>
      </w:r>
      <w:r w:rsidR="005226AB">
        <w:rPr>
          <w:noProof/>
          <w:lang w:val="en-IE"/>
        </w:rPr>
        <w:t>, subject to paragraph 4</w:t>
      </w:r>
      <w:r w:rsidR="00B0739F">
        <w:rPr>
          <w:noProof/>
          <w:lang w:val="en-IE"/>
        </w:rPr>
        <w:t>. The eTRC</w:t>
      </w:r>
      <w:r w:rsidR="005226AB">
        <w:rPr>
          <w:noProof/>
          <w:lang w:val="en-IE"/>
        </w:rPr>
        <w:t xml:space="preserve"> shall comply with the technical requirements of Annex I</w:t>
      </w:r>
      <w:r w:rsidR="001956AF" w:rsidRPr="008A5257">
        <w:rPr>
          <w:noProof/>
          <w:lang w:val="en-IE"/>
        </w:rPr>
        <w:t xml:space="preserve"> and shall include the following information:</w:t>
      </w:r>
    </w:p>
    <w:p w14:paraId="081E735F" w14:textId="1624A6F6" w:rsidR="001C7FE6" w:rsidRDefault="00412FF6" w:rsidP="00412FF6">
      <w:pPr>
        <w:pStyle w:val="Point1"/>
        <w:rPr>
          <w:noProof/>
        </w:rPr>
      </w:pPr>
      <w:r w:rsidRPr="00412FF6">
        <w:t>(a)</w:t>
      </w:r>
      <w:r w:rsidRPr="00412FF6">
        <w:tab/>
      </w:r>
      <w:r w:rsidR="001956AF" w:rsidRPr="004E7F3C">
        <w:rPr>
          <w:noProof/>
        </w:rPr>
        <w:t xml:space="preserve">the first and last name of the taxpayer </w:t>
      </w:r>
      <w:r w:rsidR="003E6F6D">
        <w:rPr>
          <w:noProof/>
        </w:rPr>
        <w:t xml:space="preserve">and the date and place of birth, if the taxpayer </w:t>
      </w:r>
      <w:r w:rsidR="001956AF" w:rsidRPr="004E7F3C">
        <w:rPr>
          <w:noProof/>
        </w:rPr>
        <w:t xml:space="preserve">is an individual, </w:t>
      </w:r>
      <w:r w:rsidR="003E6F6D">
        <w:rPr>
          <w:noProof/>
        </w:rPr>
        <w:t xml:space="preserve">or its name and </w:t>
      </w:r>
      <w:r w:rsidR="005D645B">
        <w:rPr>
          <w:noProof/>
        </w:rPr>
        <w:t xml:space="preserve">its </w:t>
      </w:r>
      <w:r w:rsidR="003E6F6D">
        <w:rPr>
          <w:noProof/>
        </w:rPr>
        <w:t>European Unique Identifier number (EUID)</w:t>
      </w:r>
      <w:r w:rsidR="1DA41A6E">
        <w:rPr>
          <w:noProof/>
        </w:rPr>
        <w:t>, if the taxpayer is an entity</w:t>
      </w:r>
    </w:p>
    <w:p w14:paraId="133CACE0" w14:textId="4FA55E6F" w:rsidR="001956AF" w:rsidRDefault="00412FF6" w:rsidP="00412FF6">
      <w:pPr>
        <w:pStyle w:val="Point1"/>
        <w:rPr>
          <w:noProof/>
        </w:rPr>
      </w:pPr>
      <w:r w:rsidRPr="00412FF6">
        <w:t>(b)</w:t>
      </w:r>
      <w:r w:rsidRPr="00412FF6">
        <w:tab/>
      </w:r>
      <w:r w:rsidR="000E768E">
        <w:rPr>
          <w:noProof/>
        </w:rPr>
        <w:t>t</w:t>
      </w:r>
      <w:r w:rsidR="001956AF" w:rsidRPr="003B1BBB">
        <w:rPr>
          <w:noProof/>
        </w:rPr>
        <w:t>ax identification number</w:t>
      </w:r>
      <w:r w:rsidR="00F678B6">
        <w:rPr>
          <w:noProof/>
        </w:rPr>
        <w:t>;</w:t>
      </w:r>
      <w:r w:rsidR="001956AF" w:rsidRPr="003B1BBB">
        <w:rPr>
          <w:noProof/>
        </w:rPr>
        <w:t xml:space="preserve"> </w:t>
      </w:r>
    </w:p>
    <w:p w14:paraId="19C0CB0B" w14:textId="7233FE08" w:rsidR="001956AF" w:rsidRDefault="00412FF6" w:rsidP="00412FF6">
      <w:pPr>
        <w:pStyle w:val="Point1"/>
        <w:rPr>
          <w:noProof/>
        </w:rPr>
      </w:pPr>
      <w:r w:rsidRPr="00412FF6">
        <w:t>(c)</w:t>
      </w:r>
      <w:r w:rsidRPr="00412FF6">
        <w:tab/>
      </w:r>
      <w:r w:rsidR="008E56AC">
        <w:rPr>
          <w:noProof/>
        </w:rPr>
        <w:t>a</w:t>
      </w:r>
      <w:r w:rsidR="001956AF" w:rsidRPr="003B1BBB">
        <w:rPr>
          <w:noProof/>
        </w:rPr>
        <w:t>ddress of the taxpayer;</w:t>
      </w:r>
    </w:p>
    <w:p w14:paraId="143A2B48" w14:textId="4B2F5746" w:rsidR="001956AF" w:rsidRDefault="00412FF6" w:rsidP="00412FF6">
      <w:pPr>
        <w:pStyle w:val="Point1"/>
        <w:rPr>
          <w:noProof/>
        </w:rPr>
      </w:pPr>
      <w:r w:rsidRPr="00412FF6">
        <w:t>(d)</w:t>
      </w:r>
      <w:r w:rsidRPr="00412FF6">
        <w:tab/>
      </w:r>
      <w:r w:rsidR="008E56AC">
        <w:rPr>
          <w:noProof/>
        </w:rPr>
        <w:t>d</w:t>
      </w:r>
      <w:r w:rsidR="001956AF" w:rsidRPr="003B1BBB">
        <w:rPr>
          <w:noProof/>
        </w:rPr>
        <w:t>ate of issuance;</w:t>
      </w:r>
    </w:p>
    <w:p w14:paraId="169B2B2C" w14:textId="1C6E368C" w:rsidR="001956AF" w:rsidRPr="003B1BBB" w:rsidRDefault="00412FF6" w:rsidP="00412FF6">
      <w:pPr>
        <w:pStyle w:val="Point1"/>
        <w:rPr>
          <w:noProof/>
        </w:rPr>
      </w:pPr>
      <w:r w:rsidRPr="00412FF6">
        <w:t>(e)</w:t>
      </w:r>
      <w:r w:rsidRPr="00412FF6">
        <w:tab/>
      </w:r>
      <w:r w:rsidR="008E56AC">
        <w:rPr>
          <w:noProof/>
        </w:rPr>
        <w:t>t</w:t>
      </w:r>
      <w:r w:rsidR="001956AF" w:rsidRPr="003B1BBB">
        <w:rPr>
          <w:noProof/>
        </w:rPr>
        <w:t xml:space="preserve">he </w:t>
      </w:r>
      <w:r w:rsidR="001956AF" w:rsidRPr="003B1BBB" w:rsidDel="00912C46">
        <w:rPr>
          <w:noProof/>
        </w:rPr>
        <w:t xml:space="preserve">covered </w:t>
      </w:r>
      <w:r w:rsidR="001956AF" w:rsidRPr="003B1BBB">
        <w:rPr>
          <w:noProof/>
        </w:rPr>
        <w:t xml:space="preserve">period; </w:t>
      </w:r>
    </w:p>
    <w:p w14:paraId="59D3EB6F" w14:textId="3C301A50" w:rsidR="0013507F" w:rsidRDefault="00412FF6" w:rsidP="00412FF6">
      <w:pPr>
        <w:pStyle w:val="Point1"/>
        <w:rPr>
          <w:noProof/>
        </w:rPr>
      </w:pPr>
      <w:r w:rsidRPr="00412FF6">
        <w:t>(f)</w:t>
      </w:r>
      <w:r w:rsidRPr="00412FF6">
        <w:tab/>
      </w:r>
      <w:r w:rsidR="00292952">
        <w:rPr>
          <w:noProof/>
        </w:rPr>
        <w:t>identification of the tax authority issuing the certificate;</w:t>
      </w:r>
    </w:p>
    <w:p w14:paraId="31FBE0DC" w14:textId="5C7629D8" w:rsidR="0013507F" w:rsidRDefault="00412FF6" w:rsidP="00412FF6">
      <w:pPr>
        <w:pStyle w:val="Point1"/>
        <w:rPr>
          <w:noProof/>
        </w:rPr>
      </w:pPr>
      <w:r w:rsidRPr="00412FF6">
        <w:t>(g)</w:t>
      </w:r>
      <w:r w:rsidRPr="00412FF6">
        <w:tab/>
      </w:r>
      <w:r w:rsidR="003539B3">
        <w:rPr>
          <w:noProof/>
        </w:rPr>
        <w:t>any additional information that may be relevant where the certificate is issued to serve purposes other than relief of withholding tax under this Directive</w:t>
      </w:r>
      <w:r w:rsidR="00146A52">
        <w:rPr>
          <w:noProof/>
        </w:rPr>
        <w:t xml:space="preserve"> or information required to be included in a tax residence certificate under EU law</w:t>
      </w:r>
      <w:r w:rsidR="00AF46FA">
        <w:rPr>
          <w:noProof/>
        </w:rPr>
        <w:t>.</w:t>
      </w:r>
    </w:p>
    <w:p w14:paraId="26EE221A" w14:textId="7EDF6D6F" w:rsidR="001956AF" w:rsidRPr="00350D94" w:rsidRDefault="00412FF6" w:rsidP="00412FF6">
      <w:pPr>
        <w:pStyle w:val="ManualNumPar1"/>
        <w:rPr>
          <w:noProof/>
          <w:lang w:val="en-IE"/>
        </w:rPr>
      </w:pPr>
      <w:r w:rsidRPr="00412FF6">
        <w:t>3.</w:t>
      </w:r>
      <w:r w:rsidRPr="00412FF6">
        <w:tab/>
      </w:r>
      <w:r w:rsidR="001956AF" w:rsidRPr="00350D94">
        <w:rPr>
          <w:noProof/>
          <w:lang w:val="en-IE"/>
        </w:rPr>
        <w:t>A</w:t>
      </w:r>
      <w:r w:rsidR="00003FD1">
        <w:rPr>
          <w:noProof/>
          <w:lang w:val="en-IE"/>
        </w:rPr>
        <w:t>n</w:t>
      </w:r>
      <w:r w:rsidR="001956AF" w:rsidRPr="00350D94">
        <w:rPr>
          <w:noProof/>
          <w:lang w:val="en-IE"/>
        </w:rPr>
        <w:t xml:space="preserve"> </w:t>
      </w:r>
      <w:r w:rsidR="00C87090">
        <w:rPr>
          <w:noProof/>
          <w:lang w:val="en-IE"/>
        </w:rPr>
        <w:t>eTRC</w:t>
      </w:r>
      <w:r w:rsidR="001956AF" w:rsidRPr="00350D94">
        <w:rPr>
          <w:noProof/>
          <w:lang w:val="en-IE"/>
        </w:rPr>
        <w:t xml:space="preserve"> shall cover </w:t>
      </w:r>
      <w:r w:rsidR="00C87090">
        <w:rPr>
          <w:noProof/>
          <w:lang w:val="en-IE"/>
        </w:rPr>
        <w:t xml:space="preserve">at least </w:t>
      </w:r>
      <w:r w:rsidR="001956AF" w:rsidRPr="00350D94">
        <w:rPr>
          <w:noProof/>
          <w:lang w:val="en-IE"/>
        </w:rPr>
        <w:t xml:space="preserve">the whole calendar year in which the request </w:t>
      </w:r>
      <w:r w:rsidR="00F319EE">
        <w:rPr>
          <w:noProof/>
          <w:lang w:val="en-IE"/>
        </w:rPr>
        <w:t xml:space="preserve">for such certificate </w:t>
      </w:r>
      <w:r w:rsidR="001956AF" w:rsidRPr="00350D94">
        <w:rPr>
          <w:noProof/>
          <w:lang w:val="en-IE"/>
        </w:rPr>
        <w:t>is made</w:t>
      </w:r>
      <w:r w:rsidR="005B2DC2">
        <w:rPr>
          <w:noProof/>
          <w:lang w:val="en-IE"/>
        </w:rPr>
        <w:t xml:space="preserve"> and shall be valid for such covered period</w:t>
      </w:r>
      <w:r w:rsidR="00146A52">
        <w:rPr>
          <w:noProof/>
          <w:lang w:val="en-IE"/>
        </w:rPr>
        <w:t xml:space="preserve"> unless and until the Member State issuing the eTRC has evidence that the person to which the eTRC refers is not resident in its jurisdiction</w:t>
      </w:r>
      <w:r w:rsidR="001956AF" w:rsidRPr="00350D94">
        <w:rPr>
          <w:noProof/>
          <w:lang w:val="en-IE"/>
        </w:rPr>
        <w:t xml:space="preserve">. </w:t>
      </w:r>
    </w:p>
    <w:p w14:paraId="189F128B" w14:textId="6E48EE00" w:rsidR="001956AF" w:rsidRPr="00350D94" w:rsidRDefault="00412FF6" w:rsidP="00412FF6">
      <w:pPr>
        <w:pStyle w:val="ManualNumPar1"/>
        <w:rPr>
          <w:noProof/>
          <w:lang w:val="en-IE"/>
        </w:rPr>
      </w:pPr>
      <w:r w:rsidRPr="00412FF6">
        <w:t>4.</w:t>
      </w:r>
      <w:r w:rsidRPr="00412FF6">
        <w:tab/>
      </w:r>
      <w:r w:rsidR="005226AB">
        <w:rPr>
          <w:noProof/>
          <w:lang w:val="en-IE"/>
        </w:rPr>
        <w:t>If</w:t>
      </w:r>
      <w:r w:rsidR="007D7D7C">
        <w:rPr>
          <w:noProof/>
          <w:lang w:val="en-IE"/>
        </w:rPr>
        <w:t xml:space="preserve"> more than one working day is required to </w:t>
      </w:r>
      <w:r w:rsidR="007D7D7C" w:rsidRPr="007D7D7C">
        <w:rPr>
          <w:noProof/>
          <w:lang w:val="en-IE"/>
        </w:rPr>
        <w:t xml:space="preserve">verify the tax residency of a specific taxpayer, the Member State shall inform the person requesting the certificate of the additional time needed and the reasons for the delay. </w:t>
      </w:r>
    </w:p>
    <w:p w14:paraId="299722D5" w14:textId="438206BA" w:rsidR="001956AF" w:rsidRPr="00350D94" w:rsidRDefault="00412FF6" w:rsidP="00412FF6">
      <w:pPr>
        <w:pStyle w:val="ManualNumPar1"/>
        <w:rPr>
          <w:noProof/>
          <w:lang w:val="en-IE"/>
        </w:rPr>
      </w:pPr>
      <w:r w:rsidRPr="00412FF6">
        <w:t>5.</w:t>
      </w:r>
      <w:r w:rsidRPr="00412FF6">
        <w:tab/>
      </w:r>
      <w:r w:rsidR="001956AF" w:rsidRPr="00350D94">
        <w:rPr>
          <w:noProof/>
          <w:lang w:val="en-IE"/>
        </w:rPr>
        <w:t xml:space="preserve">Member States shall </w:t>
      </w:r>
      <w:r w:rsidR="001C7FE6">
        <w:rPr>
          <w:noProof/>
          <w:lang w:val="en-IE"/>
        </w:rPr>
        <w:t>recognise</w:t>
      </w:r>
      <w:r w:rsidR="001C7FE6" w:rsidRPr="00350D94">
        <w:rPr>
          <w:noProof/>
          <w:lang w:val="en-IE"/>
        </w:rPr>
        <w:t xml:space="preserve"> </w:t>
      </w:r>
      <w:r w:rsidR="00AD6C29">
        <w:rPr>
          <w:noProof/>
          <w:lang w:val="en-IE"/>
        </w:rPr>
        <w:t>an</w:t>
      </w:r>
      <w:r w:rsidR="00AD6C29" w:rsidRPr="00350D94">
        <w:rPr>
          <w:noProof/>
          <w:lang w:val="en-IE"/>
        </w:rPr>
        <w:t xml:space="preserve"> </w:t>
      </w:r>
      <w:r w:rsidR="00C87090">
        <w:rPr>
          <w:noProof/>
          <w:lang w:val="en-IE"/>
        </w:rPr>
        <w:t>eTRC</w:t>
      </w:r>
      <w:r w:rsidR="001956AF" w:rsidRPr="00350D94">
        <w:rPr>
          <w:noProof/>
          <w:lang w:val="en-IE"/>
        </w:rPr>
        <w:t xml:space="preserve"> issued by another Member State as adequate proof of residence of a taxpayer in that </w:t>
      </w:r>
      <w:r w:rsidR="001C7FE6">
        <w:rPr>
          <w:noProof/>
          <w:lang w:val="en-IE"/>
        </w:rPr>
        <w:t xml:space="preserve">other </w:t>
      </w:r>
      <w:r w:rsidR="001956AF" w:rsidRPr="00350D94">
        <w:rPr>
          <w:noProof/>
          <w:lang w:val="en-IE"/>
        </w:rPr>
        <w:t>Member State</w:t>
      </w:r>
      <w:r w:rsidR="00E86B87">
        <w:rPr>
          <w:noProof/>
          <w:lang w:val="en-IE"/>
        </w:rPr>
        <w:t xml:space="preserve"> in accordance with paragraph 3</w:t>
      </w:r>
      <w:r w:rsidR="001956AF" w:rsidRPr="00350D94">
        <w:rPr>
          <w:noProof/>
          <w:lang w:val="en-IE"/>
        </w:rPr>
        <w:t>.</w:t>
      </w:r>
    </w:p>
    <w:p w14:paraId="26201208" w14:textId="7BAD5425" w:rsidR="001956AF" w:rsidRDefault="00412FF6" w:rsidP="00412FF6">
      <w:pPr>
        <w:pStyle w:val="ManualNumPar1"/>
        <w:rPr>
          <w:noProof/>
          <w:lang w:val="en-IE"/>
        </w:rPr>
      </w:pPr>
      <w:r w:rsidRPr="00412FF6">
        <w:t>6.</w:t>
      </w:r>
      <w:r w:rsidRPr="00412FF6">
        <w:tab/>
      </w:r>
      <w:r w:rsidR="001956AF" w:rsidRPr="00350D94">
        <w:rPr>
          <w:noProof/>
          <w:lang w:val="en-IE"/>
        </w:rPr>
        <w:t xml:space="preserve">The Commission shall adopt implementing acts laying down standard computerised forms, including the linguistic arrangements, and technical protocols, including security standards, for </w:t>
      </w:r>
      <w:r w:rsidR="005226AB">
        <w:rPr>
          <w:noProof/>
          <w:lang w:val="en-IE"/>
        </w:rPr>
        <w:t>the</w:t>
      </w:r>
      <w:r w:rsidR="001956AF" w:rsidRPr="00350D94">
        <w:rPr>
          <w:noProof/>
          <w:lang w:val="en-IE"/>
        </w:rPr>
        <w:t xml:space="preserve"> issuance of </w:t>
      </w:r>
      <w:r w:rsidR="00CE1DEA">
        <w:rPr>
          <w:noProof/>
          <w:lang w:val="en-IE"/>
        </w:rPr>
        <w:t xml:space="preserve">an </w:t>
      </w:r>
      <w:r w:rsidR="00C87090">
        <w:rPr>
          <w:noProof/>
          <w:lang w:val="en-IE"/>
        </w:rPr>
        <w:t>eTRC</w:t>
      </w:r>
      <w:r w:rsidR="005226AB">
        <w:rPr>
          <w:noProof/>
          <w:lang w:val="en-IE"/>
        </w:rPr>
        <w:t>. Those implementing acts shall be adopted</w:t>
      </w:r>
      <w:r w:rsidR="001956AF" w:rsidRPr="00350D94">
        <w:rPr>
          <w:noProof/>
          <w:lang w:val="en-IE"/>
        </w:rPr>
        <w:t xml:space="preserve"> in accordance with the </w:t>
      </w:r>
      <w:r w:rsidR="005226AB">
        <w:rPr>
          <w:noProof/>
          <w:lang w:val="en-IE"/>
        </w:rPr>
        <w:t xml:space="preserve">examination </w:t>
      </w:r>
      <w:r w:rsidR="001956AF" w:rsidRPr="00350D94">
        <w:rPr>
          <w:noProof/>
          <w:lang w:val="en-IE"/>
        </w:rPr>
        <w:t>procedure referred to in Article 1</w:t>
      </w:r>
      <w:r w:rsidR="00940064">
        <w:rPr>
          <w:noProof/>
          <w:lang w:val="en-IE"/>
        </w:rPr>
        <w:t>8</w:t>
      </w:r>
      <w:r w:rsidR="001956AF" w:rsidRPr="00350D94">
        <w:rPr>
          <w:noProof/>
          <w:lang w:val="en-IE"/>
        </w:rPr>
        <w:t>.</w:t>
      </w:r>
    </w:p>
    <w:p w14:paraId="37608FC7" w14:textId="77777777" w:rsidR="004D12F8" w:rsidRPr="00350D94" w:rsidRDefault="004D12F8" w:rsidP="004D12F8">
      <w:pPr>
        <w:rPr>
          <w:noProof/>
          <w:lang w:val="en-IE"/>
        </w:rPr>
      </w:pPr>
    </w:p>
    <w:p w14:paraId="0E789B17" w14:textId="77777777" w:rsidR="001956AF" w:rsidRPr="00350D94" w:rsidRDefault="001956AF" w:rsidP="00350D94">
      <w:pPr>
        <w:jc w:val="center"/>
        <w:rPr>
          <w:b/>
          <w:bCs/>
          <w:i/>
          <w:noProof/>
          <w:lang w:val="en-IE"/>
        </w:rPr>
      </w:pPr>
      <w:bookmarkStart w:id="3" w:name="_Hlk119933448"/>
      <w:r w:rsidRPr="00350D94">
        <w:rPr>
          <w:b/>
          <w:bCs/>
          <w:noProof/>
          <w:lang w:val="en-IE"/>
        </w:rPr>
        <w:t>CHAPTER III</w:t>
      </w:r>
    </w:p>
    <w:bookmarkEnd w:id="3"/>
    <w:p w14:paraId="43E27402" w14:textId="77777777" w:rsidR="001956AF" w:rsidRPr="00350D94" w:rsidRDefault="001956AF" w:rsidP="00350D94">
      <w:pPr>
        <w:jc w:val="center"/>
        <w:rPr>
          <w:b/>
          <w:bCs/>
          <w:noProof/>
          <w:lang w:val="en-IE"/>
        </w:rPr>
      </w:pPr>
      <w:r w:rsidRPr="00350D94">
        <w:rPr>
          <w:b/>
          <w:bCs/>
          <w:noProof/>
          <w:lang w:val="en-IE"/>
        </w:rPr>
        <w:t>WITHHOLDING TAX RE</w:t>
      </w:r>
      <w:r w:rsidR="001C7FE6">
        <w:rPr>
          <w:b/>
          <w:bCs/>
          <w:noProof/>
          <w:lang w:val="en-IE"/>
        </w:rPr>
        <w:t>LIEF</w:t>
      </w:r>
      <w:r w:rsidRPr="00350D94">
        <w:rPr>
          <w:b/>
          <w:bCs/>
          <w:noProof/>
          <w:lang w:val="en-IE"/>
        </w:rPr>
        <w:t xml:space="preserve"> PROCEDURE</w:t>
      </w:r>
    </w:p>
    <w:p w14:paraId="61894279" w14:textId="77777777" w:rsidR="001956AF" w:rsidRPr="00350D94" w:rsidRDefault="001956AF" w:rsidP="00350D94">
      <w:pPr>
        <w:jc w:val="center"/>
        <w:rPr>
          <w:b/>
          <w:bCs/>
          <w:i/>
          <w:noProof/>
        </w:rPr>
      </w:pPr>
    </w:p>
    <w:p w14:paraId="69C7FC50" w14:textId="77777777" w:rsidR="001956AF" w:rsidRPr="00350D94" w:rsidRDefault="001956AF" w:rsidP="00350D94">
      <w:pPr>
        <w:jc w:val="center"/>
        <w:rPr>
          <w:b/>
          <w:bCs/>
          <w:i/>
          <w:noProof/>
        </w:rPr>
      </w:pPr>
      <w:r w:rsidRPr="00350D94">
        <w:rPr>
          <w:b/>
          <w:bCs/>
          <w:i/>
          <w:noProof/>
        </w:rPr>
        <w:t>SECTION 1</w:t>
      </w:r>
    </w:p>
    <w:p w14:paraId="38277988" w14:textId="77777777" w:rsidR="001956AF" w:rsidRPr="00350D94" w:rsidRDefault="00F319EE" w:rsidP="00350D94">
      <w:pPr>
        <w:jc w:val="center"/>
        <w:rPr>
          <w:b/>
          <w:bCs/>
          <w:i/>
          <w:noProof/>
        </w:rPr>
      </w:pPr>
      <w:r>
        <w:rPr>
          <w:b/>
          <w:bCs/>
          <w:noProof/>
        </w:rPr>
        <w:t>CERTIFIED</w:t>
      </w:r>
      <w:r w:rsidR="001956AF" w:rsidRPr="00350D94">
        <w:rPr>
          <w:b/>
          <w:bCs/>
          <w:noProof/>
        </w:rPr>
        <w:t xml:space="preserve"> FINANCIAL INTERMEDIARIES</w:t>
      </w:r>
    </w:p>
    <w:p w14:paraId="5D6E2288" w14:textId="77777777" w:rsidR="001956AF" w:rsidRDefault="001956AF" w:rsidP="00350D94">
      <w:pPr>
        <w:pStyle w:val="Titrearticle"/>
        <w:rPr>
          <w:b/>
          <w:bCs/>
          <w:i w:val="0"/>
          <w:iCs/>
          <w:noProof/>
        </w:rPr>
      </w:pPr>
      <w:r>
        <w:rPr>
          <w:noProof/>
        </w:rPr>
        <w:t xml:space="preserve">Article </w:t>
      </w:r>
      <w:r w:rsidR="00B55DAB">
        <w:rPr>
          <w:noProof/>
        </w:rPr>
        <w:t>5</w:t>
      </w:r>
      <w:r w:rsidR="00350D94">
        <w:rPr>
          <w:noProof/>
        </w:rPr>
        <w:br/>
      </w:r>
      <w:r w:rsidR="00F319EE">
        <w:rPr>
          <w:b/>
          <w:bCs/>
          <w:i w:val="0"/>
          <w:iCs/>
          <w:noProof/>
        </w:rPr>
        <w:t xml:space="preserve">National </w:t>
      </w:r>
      <w:r w:rsidR="006479BA">
        <w:rPr>
          <w:b/>
          <w:bCs/>
          <w:i w:val="0"/>
          <w:iCs/>
          <w:noProof/>
        </w:rPr>
        <w:t>r</w:t>
      </w:r>
      <w:r w:rsidR="00F319EE">
        <w:rPr>
          <w:b/>
          <w:bCs/>
          <w:i w:val="0"/>
          <w:iCs/>
          <w:noProof/>
        </w:rPr>
        <w:t>egister</w:t>
      </w:r>
      <w:r w:rsidR="000D1985">
        <w:rPr>
          <w:b/>
          <w:bCs/>
          <w:i w:val="0"/>
          <w:iCs/>
          <w:noProof/>
        </w:rPr>
        <w:t xml:space="preserve"> of </w:t>
      </w:r>
      <w:r w:rsidR="006479BA">
        <w:rPr>
          <w:b/>
          <w:bCs/>
          <w:i w:val="0"/>
          <w:iCs/>
          <w:noProof/>
        </w:rPr>
        <w:t>c</w:t>
      </w:r>
      <w:r w:rsidR="000D1985">
        <w:rPr>
          <w:b/>
          <w:bCs/>
          <w:i w:val="0"/>
          <w:iCs/>
          <w:noProof/>
        </w:rPr>
        <w:t xml:space="preserve">ertified </w:t>
      </w:r>
      <w:r w:rsidR="006479BA">
        <w:rPr>
          <w:b/>
          <w:bCs/>
          <w:i w:val="0"/>
          <w:iCs/>
          <w:noProof/>
        </w:rPr>
        <w:t>f</w:t>
      </w:r>
      <w:r w:rsidR="000D1985">
        <w:rPr>
          <w:b/>
          <w:bCs/>
          <w:i w:val="0"/>
          <w:iCs/>
          <w:noProof/>
        </w:rPr>
        <w:t xml:space="preserve">inancial </w:t>
      </w:r>
      <w:r w:rsidR="006479BA">
        <w:rPr>
          <w:b/>
          <w:bCs/>
          <w:i w:val="0"/>
          <w:iCs/>
          <w:noProof/>
        </w:rPr>
        <w:t>i</w:t>
      </w:r>
      <w:r w:rsidR="000D1985">
        <w:rPr>
          <w:b/>
          <w:bCs/>
          <w:i w:val="0"/>
          <w:iCs/>
          <w:noProof/>
        </w:rPr>
        <w:t xml:space="preserve">ntermediaries </w:t>
      </w:r>
    </w:p>
    <w:p w14:paraId="652FAA39" w14:textId="3FF6D745" w:rsidR="00F737CA" w:rsidRDefault="00412FF6" w:rsidP="00412FF6">
      <w:pPr>
        <w:pStyle w:val="ManualNumPar1"/>
        <w:rPr>
          <w:noProof/>
        </w:rPr>
      </w:pPr>
      <w:r w:rsidRPr="00412FF6">
        <w:t>1.</w:t>
      </w:r>
      <w:r w:rsidRPr="00412FF6">
        <w:tab/>
      </w:r>
      <w:r w:rsidR="00EB7A3E">
        <w:rPr>
          <w:noProof/>
        </w:rPr>
        <w:t xml:space="preserve">Member States that levy </w:t>
      </w:r>
      <w:r w:rsidR="00EB7A3E" w:rsidRPr="118763D6">
        <w:rPr>
          <w:noProof/>
        </w:rPr>
        <w:t xml:space="preserve">a </w:t>
      </w:r>
      <w:r w:rsidR="00EB7A3E">
        <w:rPr>
          <w:noProof/>
        </w:rPr>
        <w:t>withholding tax on dividends from publicly traded shares paid to registered owners resident for tax purposes outside that Member State and that provide relief of excess withholding tax shall establish a national register of certified financial intermediaries. Member States may opt to use this national register also in relation to relief of excess withholding tax on interest from publicly traded bonds, if applicable</w:t>
      </w:r>
      <w:r w:rsidR="00D925B4">
        <w:rPr>
          <w:noProof/>
        </w:rPr>
        <w:t>.</w:t>
      </w:r>
      <w:r w:rsidR="00F737CA">
        <w:rPr>
          <w:noProof/>
        </w:rPr>
        <w:t xml:space="preserve"> </w:t>
      </w:r>
    </w:p>
    <w:p w14:paraId="70A23F58" w14:textId="50469CB6" w:rsidR="00F319EE" w:rsidRPr="006A0DC3" w:rsidRDefault="00412FF6" w:rsidP="00412FF6">
      <w:pPr>
        <w:pStyle w:val="ManualNumPar1"/>
        <w:rPr>
          <w:noProof/>
        </w:rPr>
      </w:pPr>
      <w:r w:rsidRPr="00412FF6">
        <w:t>2.</w:t>
      </w:r>
      <w:r w:rsidRPr="00412FF6">
        <w:tab/>
      </w:r>
      <w:r w:rsidR="000D1985" w:rsidRPr="006A0DC3" w:rsidDel="00D925B4">
        <w:rPr>
          <w:noProof/>
        </w:rPr>
        <w:t>Member States</w:t>
      </w:r>
      <w:r w:rsidR="00435F6A" w:rsidDel="00D925B4">
        <w:rPr>
          <w:noProof/>
        </w:rPr>
        <w:t xml:space="preserve"> </w:t>
      </w:r>
      <w:r w:rsidR="004131CF" w:rsidDel="00D925B4">
        <w:rPr>
          <w:noProof/>
        </w:rPr>
        <w:t>that levy a withholding tax on interest from publicly traded bonds</w:t>
      </w:r>
      <w:r w:rsidR="00417CB2">
        <w:rPr>
          <w:noProof/>
        </w:rPr>
        <w:t xml:space="preserve"> </w:t>
      </w:r>
      <w:r w:rsidR="00F95B4F">
        <w:rPr>
          <w:noProof/>
        </w:rPr>
        <w:t>while they do not levy withholding tax on dividends from publicly traded shares</w:t>
      </w:r>
      <w:r w:rsidR="00F95B4F" w:rsidDel="00D925B4">
        <w:rPr>
          <w:noProof/>
        </w:rPr>
        <w:t xml:space="preserve"> </w:t>
      </w:r>
      <w:r w:rsidR="0122C0A8" w:rsidDel="00D925B4">
        <w:rPr>
          <w:noProof/>
        </w:rPr>
        <w:t xml:space="preserve">may opt to </w:t>
      </w:r>
      <w:r w:rsidR="000D1985" w:rsidRPr="006A0DC3">
        <w:rPr>
          <w:noProof/>
        </w:rPr>
        <w:t>establish</w:t>
      </w:r>
      <w:r w:rsidR="00A01504" w:rsidDel="00D925B4">
        <w:rPr>
          <w:noProof/>
        </w:rPr>
        <w:t xml:space="preserve"> a </w:t>
      </w:r>
      <w:r w:rsidR="002955A0">
        <w:rPr>
          <w:noProof/>
        </w:rPr>
        <w:t>n</w:t>
      </w:r>
      <w:r w:rsidR="000D1985" w:rsidRPr="00003FD1" w:rsidDel="00D925B4">
        <w:rPr>
          <w:noProof/>
        </w:rPr>
        <w:t xml:space="preserve">ational </w:t>
      </w:r>
      <w:r w:rsidR="002955A0">
        <w:rPr>
          <w:noProof/>
        </w:rPr>
        <w:t>r</w:t>
      </w:r>
      <w:r w:rsidR="000D1985" w:rsidRPr="00003FD1" w:rsidDel="00D925B4">
        <w:rPr>
          <w:noProof/>
        </w:rPr>
        <w:t>egister</w:t>
      </w:r>
      <w:r w:rsidR="00765DBA">
        <w:rPr>
          <w:noProof/>
        </w:rPr>
        <w:t>.</w:t>
      </w:r>
    </w:p>
    <w:p w14:paraId="1B650FBA" w14:textId="1719B522" w:rsidR="00F319EE" w:rsidRPr="006A0DC3" w:rsidRDefault="00412FF6" w:rsidP="00412FF6">
      <w:pPr>
        <w:pStyle w:val="ManualNumPar1"/>
        <w:rPr>
          <w:noProof/>
          <w:lang w:val="en-IE"/>
        </w:rPr>
      </w:pPr>
      <w:r w:rsidRPr="00412FF6">
        <w:t>3.</w:t>
      </w:r>
      <w:r w:rsidRPr="00412FF6">
        <w:tab/>
      </w:r>
      <w:r w:rsidR="00F319EE">
        <w:rPr>
          <w:noProof/>
        </w:rPr>
        <w:t xml:space="preserve">Member States establishing a </w:t>
      </w:r>
      <w:r w:rsidR="002955A0">
        <w:rPr>
          <w:noProof/>
        </w:rPr>
        <w:t>n</w:t>
      </w:r>
      <w:r w:rsidR="00F319EE">
        <w:rPr>
          <w:noProof/>
        </w:rPr>
        <w:t xml:space="preserve">ational </w:t>
      </w:r>
      <w:r w:rsidR="002955A0">
        <w:rPr>
          <w:noProof/>
        </w:rPr>
        <w:t>r</w:t>
      </w:r>
      <w:r w:rsidR="00F319EE">
        <w:rPr>
          <w:noProof/>
        </w:rPr>
        <w:t xml:space="preserve">egister </w:t>
      </w:r>
      <w:r w:rsidR="00D925B4">
        <w:rPr>
          <w:noProof/>
        </w:rPr>
        <w:t>according to paragraph 1</w:t>
      </w:r>
      <w:r w:rsidR="00F319EE">
        <w:rPr>
          <w:noProof/>
        </w:rPr>
        <w:t xml:space="preserve"> </w:t>
      </w:r>
      <w:r w:rsidR="00765DBA">
        <w:rPr>
          <w:noProof/>
        </w:rPr>
        <w:t>and 2</w:t>
      </w:r>
      <w:r w:rsidR="00F319EE">
        <w:rPr>
          <w:noProof/>
        </w:rPr>
        <w:t xml:space="preserve"> shall designate a competent authority responsible </w:t>
      </w:r>
      <w:r w:rsidR="00685CB1">
        <w:rPr>
          <w:noProof/>
        </w:rPr>
        <w:t>for</w:t>
      </w:r>
      <w:r w:rsidR="00F319EE">
        <w:rPr>
          <w:noProof/>
        </w:rPr>
        <w:t xml:space="preserve"> maintain</w:t>
      </w:r>
      <w:r w:rsidR="00685CB1">
        <w:rPr>
          <w:noProof/>
        </w:rPr>
        <w:t>ing</w:t>
      </w:r>
      <w:r w:rsidR="00F319EE">
        <w:rPr>
          <w:noProof/>
        </w:rPr>
        <w:t xml:space="preserve"> and updat</w:t>
      </w:r>
      <w:r w:rsidR="00685CB1">
        <w:rPr>
          <w:noProof/>
        </w:rPr>
        <w:t>ing</w:t>
      </w:r>
      <w:r w:rsidR="00F319EE">
        <w:rPr>
          <w:noProof/>
        </w:rPr>
        <w:t xml:space="preserve"> </w:t>
      </w:r>
      <w:r w:rsidR="00685CB1">
        <w:rPr>
          <w:noProof/>
        </w:rPr>
        <w:t>that</w:t>
      </w:r>
      <w:r w:rsidR="00F319EE">
        <w:rPr>
          <w:noProof/>
        </w:rPr>
        <w:t xml:space="preserve"> register.</w:t>
      </w:r>
    </w:p>
    <w:p w14:paraId="0F1916AF" w14:textId="233DDB7B" w:rsidR="00F319EE" w:rsidRPr="006A0DC3" w:rsidRDefault="00412FF6" w:rsidP="00412FF6">
      <w:pPr>
        <w:pStyle w:val="ManualNumPar1"/>
        <w:rPr>
          <w:noProof/>
          <w:lang w:val="en-IE"/>
        </w:rPr>
      </w:pPr>
      <w:r w:rsidRPr="00412FF6">
        <w:t>4.</w:t>
      </w:r>
      <w:r w:rsidRPr="00412FF6">
        <w:tab/>
      </w:r>
      <w:r w:rsidR="00F319EE" w:rsidRPr="006A0DC3">
        <w:rPr>
          <w:noProof/>
          <w:lang w:val="en-IE"/>
        </w:rPr>
        <w:t xml:space="preserve">The </w:t>
      </w:r>
      <w:r w:rsidR="002955A0">
        <w:rPr>
          <w:noProof/>
          <w:lang w:val="en-IE"/>
        </w:rPr>
        <w:t>n</w:t>
      </w:r>
      <w:r w:rsidR="00F319EE" w:rsidRPr="006A0DC3">
        <w:rPr>
          <w:noProof/>
          <w:lang w:val="en-IE"/>
        </w:rPr>
        <w:t xml:space="preserve">ational </w:t>
      </w:r>
      <w:r w:rsidR="002955A0">
        <w:rPr>
          <w:noProof/>
          <w:lang w:val="en-IE"/>
        </w:rPr>
        <w:t>r</w:t>
      </w:r>
      <w:r w:rsidR="00F319EE" w:rsidRPr="006A0DC3">
        <w:rPr>
          <w:noProof/>
          <w:lang w:val="en-IE"/>
        </w:rPr>
        <w:t xml:space="preserve">egister shall include the following information on the </w:t>
      </w:r>
      <w:r w:rsidR="002955A0">
        <w:rPr>
          <w:noProof/>
          <w:lang w:val="en-IE"/>
        </w:rPr>
        <w:t>c</w:t>
      </w:r>
      <w:r w:rsidR="00F319EE" w:rsidRPr="006A0DC3">
        <w:rPr>
          <w:noProof/>
          <w:lang w:val="en-IE"/>
        </w:rPr>
        <w:t xml:space="preserve">ertified </w:t>
      </w:r>
      <w:r w:rsidR="002955A0">
        <w:rPr>
          <w:noProof/>
          <w:lang w:val="en-IE"/>
        </w:rPr>
        <w:t>f</w:t>
      </w:r>
      <w:r w:rsidR="00F319EE" w:rsidRPr="006A0DC3">
        <w:rPr>
          <w:noProof/>
          <w:lang w:val="en-IE"/>
        </w:rPr>
        <w:t xml:space="preserve">inancial </w:t>
      </w:r>
      <w:r w:rsidR="002955A0">
        <w:rPr>
          <w:noProof/>
          <w:lang w:val="en-IE"/>
        </w:rPr>
        <w:t>i</w:t>
      </w:r>
      <w:r w:rsidR="00F319EE" w:rsidRPr="006A0DC3">
        <w:rPr>
          <w:noProof/>
          <w:lang w:val="en-IE"/>
        </w:rPr>
        <w:t>ntermediaries:</w:t>
      </w:r>
    </w:p>
    <w:p w14:paraId="5087EF52" w14:textId="2F1DBF3A" w:rsidR="00F319EE" w:rsidRPr="004D12F8" w:rsidRDefault="00412FF6" w:rsidP="00412FF6">
      <w:pPr>
        <w:pStyle w:val="Point1"/>
        <w:rPr>
          <w:noProof/>
          <w:lang w:val="en-IE"/>
        </w:rPr>
      </w:pPr>
      <w:r w:rsidRPr="00412FF6">
        <w:t>(a)</w:t>
      </w:r>
      <w:r w:rsidRPr="00412FF6">
        <w:tab/>
      </w:r>
      <w:r w:rsidR="00F319EE">
        <w:rPr>
          <w:noProof/>
        </w:rPr>
        <w:t>n</w:t>
      </w:r>
      <w:r w:rsidR="00F319EE" w:rsidRPr="004D12F8">
        <w:rPr>
          <w:noProof/>
          <w:lang w:val="en-IE"/>
        </w:rPr>
        <w:t>ame</w:t>
      </w:r>
      <w:r w:rsidR="00F319EE" w:rsidRPr="004D12F8" w:rsidDel="00981818">
        <w:rPr>
          <w:noProof/>
          <w:lang w:val="en-IE"/>
        </w:rPr>
        <w:t xml:space="preserve"> </w:t>
      </w:r>
      <w:r w:rsidR="00F319EE" w:rsidRPr="004D12F8">
        <w:rPr>
          <w:noProof/>
          <w:lang w:val="en-IE"/>
        </w:rPr>
        <w:t xml:space="preserve">of the </w:t>
      </w:r>
      <w:r w:rsidR="002955A0" w:rsidRPr="004D12F8">
        <w:rPr>
          <w:noProof/>
          <w:lang w:val="en-IE"/>
        </w:rPr>
        <w:t>c</w:t>
      </w:r>
      <w:r w:rsidR="00F319EE" w:rsidRPr="004D12F8">
        <w:rPr>
          <w:noProof/>
          <w:lang w:val="en-IE"/>
        </w:rPr>
        <w:t xml:space="preserve">ertified </w:t>
      </w:r>
      <w:r w:rsidR="002955A0" w:rsidRPr="004D12F8">
        <w:rPr>
          <w:noProof/>
          <w:lang w:val="en-IE"/>
        </w:rPr>
        <w:t>f</w:t>
      </w:r>
      <w:r w:rsidR="00F319EE" w:rsidRPr="004D12F8">
        <w:rPr>
          <w:noProof/>
          <w:lang w:val="en-IE"/>
        </w:rPr>
        <w:t xml:space="preserve">inancial </w:t>
      </w:r>
      <w:r w:rsidR="002955A0" w:rsidRPr="004D12F8">
        <w:rPr>
          <w:noProof/>
          <w:lang w:val="en-IE"/>
        </w:rPr>
        <w:t>i</w:t>
      </w:r>
      <w:r w:rsidR="00F319EE" w:rsidRPr="004D12F8">
        <w:rPr>
          <w:noProof/>
          <w:lang w:val="en-IE"/>
        </w:rPr>
        <w:t>ntermediary;</w:t>
      </w:r>
    </w:p>
    <w:p w14:paraId="09F4FC07" w14:textId="2DC30EDB" w:rsidR="00F319EE" w:rsidRPr="004D12F8" w:rsidRDefault="00412FF6" w:rsidP="00412FF6">
      <w:pPr>
        <w:pStyle w:val="Point1"/>
        <w:rPr>
          <w:noProof/>
          <w:lang w:val="en-IE"/>
        </w:rPr>
      </w:pPr>
      <w:r w:rsidRPr="00412FF6">
        <w:t>(b)</w:t>
      </w:r>
      <w:r w:rsidRPr="00412FF6">
        <w:tab/>
      </w:r>
      <w:r w:rsidR="00F319EE" w:rsidRPr="004D12F8">
        <w:rPr>
          <w:noProof/>
          <w:lang w:val="en-IE"/>
        </w:rPr>
        <w:t>date of registration;</w:t>
      </w:r>
    </w:p>
    <w:p w14:paraId="167546DA" w14:textId="15C47B83" w:rsidR="00F319EE" w:rsidRPr="004D12F8" w:rsidRDefault="00412FF6" w:rsidP="00412FF6">
      <w:pPr>
        <w:pStyle w:val="Point1"/>
        <w:rPr>
          <w:noProof/>
          <w:lang w:val="en-IE"/>
        </w:rPr>
      </w:pPr>
      <w:r w:rsidRPr="00412FF6">
        <w:t>(c)</w:t>
      </w:r>
      <w:r w:rsidRPr="00412FF6">
        <w:tab/>
      </w:r>
      <w:r w:rsidR="00F319EE" w:rsidRPr="004D12F8">
        <w:rPr>
          <w:noProof/>
          <w:lang w:val="en-IE"/>
        </w:rPr>
        <w:t xml:space="preserve">contact details and any existing website of the </w:t>
      </w:r>
      <w:r w:rsidR="002955A0" w:rsidRPr="004D12F8">
        <w:rPr>
          <w:noProof/>
          <w:lang w:val="en-IE"/>
        </w:rPr>
        <w:t>c</w:t>
      </w:r>
      <w:r w:rsidR="00F319EE" w:rsidRPr="004D12F8">
        <w:rPr>
          <w:noProof/>
          <w:lang w:val="en-IE"/>
        </w:rPr>
        <w:t xml:space="preserve">ertified </w:t>
      </w:r>
      <w:r w:rsidR="002955A0" w:rsidRPr="004D12F8">
        <w:rPr>
          <w:noProof/>
          <w:lang w:val="en-IE"/>
        </w:rPr>
        <w:t>f</w:t>
      </w:r>
      <w:r w:rsidR="00F319EE" w:rsidRPr="004D12F8">
        <w:rPr>
          <w:noProof/>
          <w:lang w:val="en-IE"/>
        </w:rPr>
        <w:t xml:space="preserve">inancial </w:t>
      </w:r>
      <w:r w:rsidR="002955A0" w:rsidRPr="004D12F8">
        <w:rPr>
          <w:noProof/>
          <w:lang w:val="en-IE"/>
        </w:rPr>
        <w:t>i</w:t>
      </w:r>
      <w:r w:rsidR="00F319EE" w:rsidRPr="004D12F8">
        <w:rPr>
          <w:noProof/>
          <w:lang w:val="en-IE"/>
        </w:rPr>
        <w:t>ntermediary;</w:t>
      </w:r>
    </w:p>
    <w:p w14:paraId="2C2BD66A" w14:textId="7AB891F6" w:rsidR="00F319EE" w:rsidRPr="004D12F8" w:rsidRDefault="00412FF6" w:rsidP="00412FF6">
      <w:pPr>
        <w:pStyle w:val="Point1"/>
        <w:rPr>
          <w:noProof/>
          <w:lang w:val="en-IE"/>
        </w:rPr>
      </w:pPr>
      <w:r w:rsidRPr="00412FF6">
        <w:t>(d)</w:t>
      </w:r>
      <w:r w:rsidRPr="00412FF6">
        <w:tab/>
      </w:r>
      <w:r w:rsidR="00F319EE">
        <w:rPr>
          <w:noProof/>
        </w:rPr>
        <w:t>t</w:t>
      </w:r>
      <w:r w:rsidR="00F319EE" w:rsidRPr="00981818">
        <w:rPr>
          <w:noProof/>
        </w:rPr>
        <w:t xml:space="preserve">he </w:t>
      </w:r>
      <w:r w:rsidR="00D53ECF">
        <w:rPr>
          <w:noProof/>
        </w:rPr>
        <w:t>EUID</w:t>
      </w:r>
      <w:r w:rsidR="00F319EE">
        <w:rPr>
          <w:noProof/>
        </w:rPr>
        <w:t xml:space="preserve">, or, </w:t>
      </w:r>
      <w:r w:rsidR="00685CB1">
        <w:rPr>
          <w:noProof/>
        </w:rPr>
        <w:t>where</w:t>
      </w:r>
      <w:r w:rsidR="00F319EE">
        <w:rPr>
          <w:noProof/>
        </w:rPr>
        <w:t xml:space="preserve"> the </w:t>
      </w:r>
      <w:r w:rsidR="002955A0">
        <w:rPr>
          <w:noProof/>
        </w:rPr>
        <w:t>c</w:t>
      </w:r>
      <w:r w:rsidR="00CD7E1D">
        <w:rPr>
          <w:noProof/>
        </w:rPr>
        <w:t xml:space="preserve">ertified </w:t>
      </w:r>
      <w:r w:rsidR="002955A0">
        <w:rPr>
          <w:noProof/>
        </w:rPr>
        <w:t>f</w:t>
      </w:r>
      <w:r w:rsidR="00CD7E1D">
        <w:rPr>
          <w:noProof/>
        </w:rPr>
        <w:t xml:space="preserve">inancial </w:t>
      </w:r>
      <w:r w:rsidR="00A431C7">
        <w:rPr>
          <w:noProof/>
        </w:rPr>
        <w:t>i</w:t>
      </w:r>
      <w:r w:rsidR="00CD7E1D">
        <w:rPr>
          <w:noProof/>
        </w:rPr>
        <w:t>ntermediary</w:t>
      </w:r>
      <w:r w:rsidR="00C87090">
        <w:rPr>
          <w:noProof/>
        </w:rPr>
        <w:t xml:space="preserve"> </w:t>
      </w:r>
      <w:r w:rsidR="00F319EE">
        <w:rPr>
          <w:noProof/>
        </w:rPr>
        <w:t xml:space="preserve">has no such number, </w:t>
      </w:r>
      <w:r w:rsidR="00D53ECF">
        <w:rPr>
          <w:noProof/>
        </w:rPr>
        <w:t xml:space="preserve">the </w:t>
      </w:r>
      <w:r w:rsidR="00D53ECF" w:rsidRPr="00981818">
        <w:rPr>
          <w:noProof/>
        </w:rPr>
        <w:t>legal entity identifier (LEI</w:t>
      </w:r>
      <w:r w:rsidR="00D53ECF">
        <w:rPr>
          <w:noProof/>
        </w:rPr>
        <w:t xml:space="preserve">) or </w:t>
      </w:r>
      <w:r w:rsidR="00F319EE" w:rsidRPr="004D12F8">
        <w:rPr>
          <w:noProof/>
          <w:lang w:val="en-IE"/>
        </w:rPr>
        <w:t xml:space="preserve">any legal entity registration number issued by </w:t>
      </w:r>
      <w:r w:rsidR="00C87090" w:rsidRPr="004D12F8">
        <w:rPr>
          <w:noProof/>
          <w:lang w:val="en-IE"/>
        </w:rPr>
        <w:t xml:space="preserve">its </w:t>
      </w:r>
      <w:r w:rsidR="00F319EE" w:rsidRPr="004D12F8">
        <w:rPr>
          <w:noProof/>
          <w:lang w:val="en-IE"/>
        </w:rPr>
        <w:t>country of residence.</w:t>
      </w:r>
    </w:p>
    <w:p w14:paraId="28CD6358" w14:textId="5E5840BE" w:rsidR="00F319EE" w:rsidRDefault="00412FF6" w:rsidP="00412FF6">
      <w:pPr>
        <w:pStyle w:val="ManualNumPar1"/>
        <w:rPr>
          <w:noProof/>
          <w:lang w:val="en-IE"/>
        </w:rPr>
      </w:pPr>
      <w:r w:rsidRPr="00412FF6">
        <w:t>5.</w:t>
      </w:r>
      <w:r w:rsidRPr="00412FF6">
        <w:tab/>
      </w:r>
      <w:r w:rsidR="00F319EE" w:rsidRPr="006A0DC3">
        <w:rPr>
          <w:noProof/>
          <w:lang w:val="en-IE"/>
        </w:rPr>
        <w:t xml:space="preserve">The </w:t>
      </w:r>
      <w:r w:rsidR="002955A0">
        <w:rPr>
          <w:noProof/>
          <w:lang w:val="en-IE"/>
        </w:rPr>
        <w:t>n</w:t>
      </w:r>
      <w:r w:rsidR="00F319EE" w:rsidRPr="006A0DC3">
        <w:rPr>
          <w:noProof/>
          <w:lang w:val="en-IE"/>
        </w:rPr>
        <w:t xml:space="preserve">ational </w:t>
      </w:r>
      <w:r w:rsidR="002955A0">
        <w:rPr>
          <w:noProof/>
          <w:lang w:val="en-IE"/>
        </w:rPr>
        <w:t>r</w:t>
      </w:r>
      <w:r w:rsidR="00F319EE" w:rsidRPr="006A0DC3">
        <w:rPr>
          <w:noProof/>
          <w:lang w:val="en-IE"/>
        </w:rPr>
        <w:t xml:space="preserve">egister shall be </w:t>
      </w:r>
      <w:r w:rsidR="00685CB1">
        <w:rPr>
          <w:noProof/>
          <w:lang w:val="en-IE"/>
        </w:rPr>
        <w:t>made</w:t>
      </w:r>
      <w:r w:rsidR="00F319EE" w:rsidRPr="006A0DC3">
        <w:rPr>
          <w:noProof/>
          <w:lang w:val="en-IE"/>
        </w:rPr>
        <w:t xml:space="preserve"> publicly accessible on a dedicated website of the Member State</w:t>
      </w:r>
      <w:r w:rsidR="00F319EE" w:rsidRPr="006A0DC3" w:rsidDel="00CD43F1">
        <w:rPr>
          <w:noProof/>
          <w:lang w:val="en-IE"/>
        </w:rPr>
        <w:t xml:space="preserve"> </w:t>
      </w:r>
      <w:r w:rsidR="00F319EE" w:rsidRPr="006A0DC3">
        <w:rPr>
          <w:noProof/>
          <w:lang w:val="en-IE"/>
        </w:rPr>
        <w:t xml:space="preserve">and updated </w:t>
      </w:r>
      <w:r w:rsidR="00F319EE">
        <w:rPr>
          <w:noProof/>
          <w:lang w:val="en-IE"/>
        </w:rPr>
        <w:t xml:space="preserve">at least </w:t>
      </w:r>
      <w:r w:rsidR="00685CB1">
        <w:rPr>
          <w:noProof/>
          <w:lang w:val="en-IE"/>
        </w:rPr>
        <w:t>once a month</w:t>
      </w:r>
      <w:r w:rsidR="00F319EE" w:rsidRPr="006A0DC3">
        <w:rPr>
          <w:noProof/>
          <w:lang w:val="en-IE"/>
        </w:rPr>
        <w:t xml:space="preserve">. </w:t>
      </w:r>
    </w:p>
    <w:p w14:paraId="6A6901B4" w14:textId="77777777" w:rsidR="001956AF" w:rsidRDefault="001956AF" w:rsidP="00350D94">
      <w:pPr>
        <w:pStyle w:val="Titrearticle"/>
        <w:rPr>
          <w:b/>
          <w:bCs/>
          <w:i w:val="0"/>
          <w:iCs/>
          <w:noProof/>
        </w:rPr>
      </w:pPr>
      <w:r w:rsidRPr="00DF0D27">
        <w:rPr>
          <w:noProof/>
        </w:rPr>
        <w:t xml:space="preserve">Article </w:t>
      </w:r>
      <w:r w:rsidR="00B55DAB">
        <w:rPr>
          <w:noProof/>
        </w:rPr>
        <w:t>6</w:t>
      </w:r>
      <w:r w:rsidR="00350D94">
        <w:rPr>
          <w:noProof/>
        </w:rPr>
        <w:br/>
      </w:r>
      <w:r w:rsidR="00974BE9">
        <w:rPr>
          <w:b/>
          <w:bCs/>
          <w:i w:val="0"/>
          <w:iCs/>
          <w:noProof/>
        </w:rPr>
        <w:t xml:space="preserve">Requirement to </w:t>
      </w:r>
      <w:r w:rsidR="002955A0">
        <w:rPr>
          <w:b/>
          <w:bCs/>
          <w:i w:val="0"/>
          <w:iCs/>
          <w:noProof/>
        </w:rPr>
        <w:t>r</w:t>
      </w:r>
      <w:r w:rsidR="00974BE9">
        <w:rPr>
          <w:b/>
          <w:bCs/>
          <w:i w:val="0"/>
          <w:iCs/>
          <w:noProof/>
        </w:rPr>
        <w:t xml:space="preserve">egister as </w:t>
      </w:r>
      <w:r w:rsidR="002955A0">
        <w:rPr>
          <w:b/>
          <w:bCs/>
          <w:i w:val="0"/>
          <w:iCs/>
          <w:noProof/>
        </w:rPr>
        <w:t>c</w:t>
      </w:r>
      <w:r w:rsidRPr="00350D94">
        <w:rPr>
          <w:b/>
          <w:bCs/>
          <w:i w:val="0"/>
          <w:iCs/>
          <w:noProof/>
        </w:rPr>
        <w:t xml:space="preserve">ertified </w:t>
      </w:r>
      <w:r w:rsidR="002955A0">
        <w:rPr>
          <w:b/>
          <w:bCs/>
          <w:i w:val="0"/>
          <w:iCs/>
          <w:noProof/>
        </w:rPr>
        <w:t>f</w:t>
      </w:r>
      <w:r w:rsidRPr="00350D94">
        <w:rPr>
          <w:b/>
          <w:bCs/>
          <w:i w:val="0"/>
          <w:iCs/>
          <w:noProof/>
        </w:rPr>
        <w:t xml:space="preserve">inancial </w:t>
      </w:r>
      <w:r w:rsidR="002955A0">
        <w:rPr>
          <w:b/>
          <w:bCs/>
          <w:i w:val="0"/>
          <w:iCs/>
          <w:noProof/>
        </w:rPr>
        <w:t>i</w:t>
      </w:r>
      <w:r w:rsidRPr="00350D94">
        <w:rPr>
          <w:b/>
          <w:bCs/>
          <w:i w:val="0"/>
          <w:iCs/>
          <w:noProof/>
        </w:rPr>
        <w:t>ntermediar</w:t>
      </w:r>
      <w:r w:rsidR="00974BE9">
        <w:rPr>
          <w:b/>
          <w:bCs/>
          <w:i w:val="0"/>
          <w:iCs/>
          <w:noProof/>
        </w:rPr>
        <w:t>y</w:t>
      </w:r>
    </w:p>
    <w:p w14:paraId="59735551" w14:textId="27EA30A0" w:rsidR="00974BE9" w:rsidRPr="006A0DC3" w:rsidRDefault="00412FF6" w:rsidP="00412FF6">
      <w:pPr>
        <w:pStyle w:val="ManualNumPar1"/>
        <w:rPr>
          <w:noProof/>
        </w:rPr>
      </w:pPr>
      <w:r w:rsidRPr="00412FF6">
        <w:t>1.</w:t>
      </w:r>
      <w:r w:rsidRPr="00412FF6">
        <w:tab/>
      </w:r>
      <w:r w:rsidR="00974BE9" w:rsidRPr="006A0DC3">
        <w:rPr>
          <w:noProof/>
        </w:rPr>
        <w:t xml:space="preserve">Member States </w:t>
      </w:r>
      <w:r w:rsidR="00F533DE">
        <w:rPr>
          <w:noProof/>
        </w:rPr>
        <w:t>that maintain</w:t>
      </w:r>
      <w:r w:rsidR="00974BE9" w:rsidRPr="006A0DC3">
        <w:rPr>
          <w:noProof/>
        </w:rPr>
        <w:t xml:space="preserve"> a </w:t>
      </w:r>
      <w:r w:rsidR="00685CB1">
        <w:rPr>
          <w:noProof/>
        </w:rPr>
        <w:t>n</w:t>
      </w:r>
      <w:r w:rsidR="00974BE9" w:rsidRPr="006A0DC3">
        <w:rPr>
          <w:noProof/>
        </w:rPr>
        <w:t xml:space="preserve">ational </w:t>
      </w:r>
      <w:r w:rsidR="00685CB1">
        <w:rPr>
          <w:noProof/>
        </w:rPr>
        <w:t>r</w:t>
      </w:r>
      <w:r w:rsidR="00974BE9" w:rsidRPr="006A0DC3">
        <w:rPr>
          <w:noProof/>
        </w:rPr>
        <w:t>egister</w:t>
      </w:r>
      <w:r w:rsidR="00F533DE">
        <w:rPr>
          <w:noProof/>
        </w:rPr>
        <w:t xml:space="preserve"> according to Article 5</w:t>
      </w:r>
      <w:r w:rsidR="00974BE9" w:rsidRPr="006A0DC3">
        <w:rPr>
          <w:noProof/>
        </w:rPr>
        <w:t xml:space="preserve"> shall require </w:t>
      </w:r>
      <w:r w:rsidR="00974BE9" w:rsidRPr="008864CE">
        <w:rPr>
          <w:noProof/>
        </w:rPr>
        <w:t xml:space="preserve">all </w:t>
      </w:r>
      <w:r w:rsidR="00923AF0">
        <w:rPr>
          <w:noProof/>
        </w:rPr>
        <w:t>large</w:t>
      </w:r>
      <w:r w:rsidR="00F533DE" w:rsidRPr="008864CE">
        <w:rPr>
          <w:noProof/>
        </w:rPr>
        <w:t xml:space="preserve"> </w:t>
      </w:r>
      <w:r w:rsidR="00974BE9" w:rsidRPr="008864CE">
        <w:rPr>
          <w:noProof/>
        </w:rPr>
        <w:t>institutions</w:t>
      </w:r>
      <w:r w:rsidR="00F533DE">
        <w:rPr>
          <w:noProof/>
        </w:rPr>
        <w:t xml:space="preserve"> </w:t>
      </w:r>
      <w:r w:rsidR="00F6124B">
        <w:rPr>
          <w:noProof/>
        </w:rPr>
        <w:t xml:space="preserve">as referred to in Article 3(10) </w:t>
      </w:r>
      <w:r w:rsidR="00F533DE">
        <w:rPr>
          <w:noProof/>
        </w:rPr>
        <w:t>that</w:t>
      </w:r>
      <w:r w:rsidR="00185844">
        <w:rPr>
          <w:noProof/>
        </w:rPr>
        <w:t xml:space="preserve"> handle payments of dividends and, where relevant, interest on securities originating in their jurisdictions</w:t>
      </w:r>
      <w:r w:rsidR="00974BE9" w:rsidRPr="006A0DC3">
        <w:rPr>
          <w:noProof/>
        </w:rPr>
        <w:t xml:space="preserve">, and </w:t>
      </w:r>
      <w:r w:rsidR="00F533DE">
        <w:rPr>
          <w:noProof/>
        </w:rPr>
        <w:t>c</w:t>
      </w:r>
      <w:r w:rsidR="00974BE9" w:rsidRPr="006A0DC3">
        <w:rPr>
          <w:noProof/>
        </w:rPr>
        <w:t xml:space="preserve">entral </w:t>
      </w:r>
      <w:r w:rsidR="00F533DE">
        <w:rPr>
          <w:noProof/>
        </w:rPr>
        <w:t>s</w:t>
      </w:r>
      <w:r w:rsidR="00974BE9" w:rsidRPr="006A0DC3">
        <w:rPr>
          <w:noProof/>
        </w:rPr>
        <w:t xml:space="preserve">ecurities </w:t>
      </w:r>
      <w:r w:rsidR="00F533DE">
        <w:rPr>
          <w:noProof/>
        </w:rPr>
        <w:t>d</w:t>
      </w:r>
      <w:r w:rsidR="00974BE9" w:rsidRPr="006A0DC3">
        <w:rPr>
          <w:noProof/>
        </w:rPr>
        <w:t xml:space="preserve">epositories </w:t>
      </w:r>
      <w:r w:rsidR="00F6124B">
        <w:rPr>
          <w:noProof/>
        </w:rPr>
        <w:t xml:space="preserve">as referred to in Article 3(4) </w:t>
      </w:r>
      <w:r w:rsidR="00974BE9" w:rsidRPr="006A0DC3">
        <w:rPr>
          <w:noProof/>
        </w:rPr>
        <w:t xml:space="preserve">that </w:t>
      </w:r>
      <w:r w:rsidR="00974BE9" w:rsidRPr="00572382">
        <w:rPr>
          <w:noProof/>
        </w:rPr>
        <w:t>provide withholding tax agent services</w:t>
      </w:r>
      <w:r w:rsidR="00185844">
        <w:rPr>
          <w:noProof/>
        </w:rPr>
        <w:t xml:space="preserve"> for the same payments</w:t>
      </w:r>
      <w:r w:rsidR="00974BE9" w:rsidRPr="00572382">
        <w:rPr>
          <w:noProof/>
        </w:rPr>
        <w:t xml:space="preserve">, </w:t>
      </w:r>
      <w:r w:rsidR="00974BE9" w:rsidRPr="006A0DC3">
        <w:rPr>
          <w:noProof/>
        </w:rPr>
        <w:t xml:space="preserve">to register </w:t>
      </w:r>
      <w:bookmarkStart w:id="4" w:name="_Hlk132976132"/>
      <w:r w:rsidR="00974BE9" w:rsidRPr="006A0DC3">
        <w:rPr>
          <w:noProof/>
        </w:rPr>
        <w:t>with the</w:t>
      </w:r>
      <w:r w:rsidR="00F533DE">
        <w:rPr>
          <w:noProof/>
        </w:rPr>
        <w:t>ir</w:t>
      </w:r>
      <w:r w:rsidR="00974BE9" w:rsidRPr="006A0DC3">
        <w:rPr>
          <w:noProof/>
        </w:rPr>
        <w:t xml:space="preserve"> </w:t>
      </w:r>
      <w:r w:rsidR="00A431C7">
        <w:rPr>
          <w:noProof/>
        </w:rPr>
        <w:t>n</w:t>
      </w:r>
      <w:r w:rsidR="00974BE9" w:rsidRPr="006A0DC3">
        <w:rPr>
          <w:noProof/>
        </w:rPr>
        <w:t xml:space="preserve">ational </w:t>
      </w:r>
      <w:r w:rsidR="00A431C7">
        <w:rPr>
          <w:noProof/>
        </w:rPr>
        <w:t>r</w:t>
      </w:r>
      <w:r w:rsidR="00974BE9" w:rsidRPr="006A0DC3">
        <w:rPr>
          <w:noProof/>
        </w:rPr>
        <w:t>egister</w:t>
      </w:r>
      <w:bookmarkEnd w:id="4"/>
      <w:r w:rsidR="00974BE9" w:rsidRPr="006A0DC3">
        <w:rPr>
          <w:noProof/>
        </w:rPr>
        <w:t>.</w:t>
      </w:r>
    </w:p>
    <w:p w14:paraId="389CF917" w14:textId="6638B0F9" w:rsidR="00974BE9" w:rsidRPr="006A0DC3" w:rsidRDefault="00412FF6" w:rsidP="00412FF6">
      <w:pPr>
        <w:pStyle w:val="ManualNumPar1"/>
        <w:rPr>
          <w:noProof/>
        </w:rPr>
      </w:pPr>
      <w:r w:rsidRPr="00412FF6">
        <w:t>2.</w:t>
      </w:r>
      <w:r w:rsidRPr="00412FF6">
        <w:tab/>
      </w:r>
      <w:r w:rsidR="00974BE9" w:rsidRPr="006A0DC3">
        <w:rPr>
          <w:noProof/>
        </w:rPr>
        <w:t xml:space="preserve">Member States maintaining a </w:t>
      </w:r>
      <w:r w:rsidR="00522AF7">
        <w:rPr>
          <w:noProof/>
        </w:rPr>
        <w:t>n</w:t>
      </w:r>
      <w:r w:rsidR="00974BE9" w:rsidRPr="006A0DC3">
        <w:rPr>
          <w:noProof/>
        </w:rPr>
        <w:t xml:space="preserve">ational </w:t>
      </w:r>
      <w:r w:rsidR="00522AF7">
        <w:rPr>
          <w:noProof/>
        </w:rPr>
        <w:t>r</w:t>
      </w:r>
      <w:r w:rsidR="00974BE9" w:rsidRPr="006A0DC3">
        <w:rPr>
          <w:noProof/>
        </w:rPr>
        <w:t xml:space="preserve">egister in accordance with </w:t>
      </w:r>
      <w:r w:rsidR="005D645B">
        <w:rPr>
          <w:noProof/>
        </w:rPr>
        <w:t xml:space="preserve">Article </w:t>
      </w:r>
      <w:r w:rsidR="00C87090">
        <w:rPr>
          <w:noProof/>
        </w:rPr>
        <w:t>5</w:t>
      </w:r>
      <w:r w:rsidR="00974BE9" w:rsidRPr="006A0DC3">
        <w:rPr>
          <w:noProof/>
        </w:rPr>
        <w:t xml:space="preserve"> shall enable</w:t>
      </w:r>
      <w:r w:rsidR="00904426">
        <w:rPr>
          <w:noProof/>
        </w:rPr>
        <w:t>,</w:t>
      </w:r>
      <w:r w:rsidR="00974BE9" w:rsidRPr="006A0DC3">
        <w:rPr>
          <w:noProof/>
        </w:rPr>
        <w:t xml:space="preserve"> </w:t>
      </w:r>
      <w:r w:rsidR="00904426" w:rsidRPr="006A0DC3">
        <w:rPr>
          <w:noProof/>
        </w:rPr>
        <w:t>upon request</w:t>
      </w:r>
      <w:r w:rsidR="00904426">
        <w:rPr>
          <w:noProof/>
        </w:rPr>
        <w:t>,</w:t>
      </w:r>
      <w:r w:rsidR="00904426" w:rsidRPr="006A0DC3">
        <w:rPr>
          <w:noProof/>
        </w:rPr>
        <w:t xml:space="preserve"> </w:t>
      </w:r>
      <w:r w:rsidR="00974BE9" w:rsidRPr="006A0DC3">
        <w:rPr>
          <w:noProof/>
        </w:rPr>
        <w:t xml:space="preserve">the registration in </w:t>
      </w:r>
      <w:r w:rsidR="00D25AFF">
        <w:rPr>
          <w:noProof/>
        </w:rPr>
        <w:t>that</w:t>
      </w:r>
      <w:r w:rsidR="00D25AFF" w:rsidRPr="006A0DC3">
        <w:rPr>
          <w:noProof/>
        </w:rPr>
        <w:t xml:space="preserve"> </w:t>
      </w:r>
      <w:r w:rsidR="00974BE9" w:rsidRPr="006A0DC3">
        <w:rPr>
          <w:noProof/>
        </w:rPr>
        <w:t xml:space="preserve">register of any financial intermediary </w:t>
      </w:r>
      <w:r w:rsidR="00904426">
        <w:rPr>
          <w:noProof/>
        </w:rPr>
        <w:t xml:space="preserve">meeting the requirements of </w:t>
      </w:r>
      <w:r w:rsidR="00974BE9" w:rsidRPr="006A0DC3">
        <w:rPr>
          <w:noProof/>
        </w:rPr>
        <w:t>Article 7</w:t>
      </w:r>
      <w:r w:rsidR="3FAFF5DD">
        <w:rPr>
          <w:noProof/>
        </w:rPr>
        <w:t>.</w:t>
      </w:r>
    </w:p>
    <w:p w14:paraId="790CBA13" w14:textId="77777777" w:rsidR="001956AF" w:rsidRDefault="001956AF" w:rsidP="006F5C2E">
      <w:pPr>
        <w:pStyle w:val="Titrearticle"/>
        <w:rPr>
          <w:b/>
          <w:bCs/>
          <w:i w:val="0"/>
          <w:iCs/>
          <w:noProof/>
        </w:rPr>
      </w:pPr>
      <w:r w:rsidRPr="00D7209E">
        <w:rPr>
          <w:noProof/>
          <w:lang w:val="en-IE"/>
        </w:rPr>
        <w:t xml:space="preserve">Article </w:t>
      </w:r>
      <w:r w:rsidR="00B55DAB">
        <w:rPr>
          <w:noProof/>
          <w:lang w:val="en-IE"/>
        </w:rPr>
        <w:t>7</w:t>
      </w:r>
      <w:r w:rsidR="006F5C2E">
        <w:rPr>
          <w:noProof/>
          <w:lang w:val="en-IE"/>
        </w:rPr>
        <w:br/>
      </w:r>
      <w:r w:rsidRPr="006F5C2E">
        <w:rPr>
          <w:b/>
          <w:bCs/>
          <w:i w:val="0"/>
          <w:iCs/>
          <w:noProof/>
        </w:rPr>
        <w:t xml:space="preserve">Registration </w:t>
      </w:r>
      <w:r w:rsidR="00522AF7">
        <w:rPr>
          <w:b/>
          <w:bCs/>
          <w:i w:val="0"/>
          <w:iCs/>
          <w:noProof/>
        </w:rPr>
        <w:t>p</w:t>
      </w:r>
      <w:r w:rsidR="00974BE9">
        <w:rPr>
          <w:b/>
          <w:bCs/>
          <w:i w:val="0"/>
          <w:iCs/>
          <w:noProof/>
        </w:rPr>
        <w:t>rocedure</w:t>
      </w:r>
    </w:p>
    <w:p w14:paraId="784B591E" w14:textId="4C3D497A" w:rsidR="001956AF" w:rsidRPr="00E75766" w:rsidRDefault="00412FF6" w:rsidP="00412FF6">
      <w:pPr>
        <w:pStyle w:val="ManualNumPar1"/>
        <w:rPr>
          <w:noProof/>
          <w:lang w:val="en-IE"/>
        </w:rPr>
      </w:pPr>
      <w:r w:rsidRPr="00412FF6">
        <w:t>1.</w:t>
      </w:r>
      <w:r w:rsidRPr="00412FF6">
        <w:tab/>
      </w:r>
      <w:r w:rsidR="001956AF" w:rsidRPr="00E75766">
        <w:rPr>
          <w:noProof/>
          <w:lang w:val="en-IE"/>
        </w:rPr>
        <w:t xml:space="preserve">Member States shall </w:t>
      </w:r>
      <w:r w:rsidR="00D25AFF" w:rsidRPr="00E75766">
        <w:rPr>
          <w:noProof/>
          <w:lang w:val="en-IE"/>
        </w:rPr>
        <w:t xml:space="preserve">ensure that a financial intermediary is </w:t>
      </w:r>
      <w:r w:rsidR="001956AF" w:rsidRPr="00E75766">
        <w:rPr>
          <w:noProof/>
          <w:lang w:val="en-IE"/>
        </w:rPr>
        <w:t>register</w:t>
      </w:r>
      <w:r w:rsidR="00D25AFF" w:rsidRPr="00E75766">
        <w:rPr>
          <w:noProof/>
          <w:lang w:val="en-IE"/>
        </w:rPr>
        <w:t>ed</w:t>
      </w:r>
      <w:r w:rsidR="001956AF" w:rsidRPr="00E75766">
        <w:rPr>
          <w:noProof/>
          <w:lang w:val="en-IE"/>
        </w:rPr>
        <w:t xml:space="preserve"> in their </w:t>
      </w:r>
      <w:r w:rsidR="00D25AFF" w:rsidRPr="00E75766">
        <w:rPr>
          <w:noProof/>
          <w:lang w:val="en-IE"/>
        </w:rPr>
        <w:t>n</w:t>
      </w:r>
      <w:r w:rsidR="001956AF" w:rsidRPr="00E75766">
        <w:rPr>
          <w:noProof/>
          <w:lang w:val="en-IE"/>
        </w:rPr>
        <w:t xml:space="preserve">ational </w:t>
      </w:r>
      <w:r w:rsidR="00D25AFF" w:rsidRPr="00E75766">
        <w:rPr>
          <w:noProof/>
          <w:lang w:val="en-IE"/>
        </w:rPr>
        <w:t>r</w:t>
      </w:r>
      <w:r w:rsidR="001956AF" w:rsidRPr="00E75766">
        <w:rPr>
          <w:noProof/>
          <w:lang w:val="en-IE"/>
        </w:rPr>
        <w:t>egister</w:t>
      </w:r>
      <w:r w:rsidR="00C556B6" w:rsidRPr="00E75766">
        <w:rPr>
          <w:noProof/>
          <w:lang w:val="en-IE"/>
        </w:rPr>
        <w:t xml:space="preserve"> of certified financial intermediaries </w:t>
      </w:r>
      <w:r w:rsidR="00061B4D" w:rsidRPr="00E75766">
        <w:rPr>
          <w:noProof/>
          <w:lang w:val="en-IE"/>
        </w:rPr>
        <w:t>within three months from submission of a request</w:t>
      </w:r>
      <w:r w:rsidR="001956AF" w:rsidRPr="00E75766">
        <w:rPr>
          <w:noProof/>
          <w:lang w:val="en-IE"/>
        </w:rPr>
        <w:t xml:space="preserve"> </w:t>
      </w:r>
      <w:r w:rsidR="00D25AFF" w:rsidRPr="00E75766">
        <w:rPr>
          <w:noProof/>
          <w:lang w:val="en-IE"/>
        </w:rPr>
        <w:t>of the</w:t>
      </w:r>
      <w:r w:rsidR="00DF2EC2" w:rsidRPr="00E75766">
        <w:rPr>
          <w:noProof/>
          <w:lang w:val="en-IE"/>
        </w:rPr>
        <w:t xml:space="preserve"> </w:t>
      </w:r>
      <w:r w:rsidR="001956AF" w:rsidRPr="00E75766">
        <w:rPr>
          <w:noProof/>
          <w:lang w:val="en-IE"/>
        </w:rPr>
        <w:t xml:space="preserve">financial intermediary that </w:t>
      </w:r>
      <w:r w:rsidR="00061B4D" w:rsidRPr="00E75766">
        <w:rPr>
          <w:noProof/>
          <w:lang w:val="en-IE"/>
        </w:rPr>
        <w:t>provides evidence of</w:t>
      </w:r>
      <w:r w:rsidR="00F87E14" w:rsidRPr="00E75766">
        <w:rPr>
          <w:noProof/>
          <w:lang w:val="en-IE"/>
        </w:rPr>
        <w:t xml:space="preserve"> all</w:t>
      </w:r>
      <w:r w:rsidR="00061B4D" w:rsidRPr="00E75766">
        <w:rPr>
          <w:noProof/>
          <w:lang w:val="en-IE"/>
        </w:rPr>
        <w:t xml:space="preserve"> </w:t>
      </w:r>
      <w:r w:rsidR="00D25AFF" w:rsidRPr="00E75766">
        <w:rPr>
          <w:noProof/>
          <w:lang w:val="en-IE"/>
        </w:rPr>
        <w:t xml:space="preserve">of </w:t>
      </w:r>
      <w:r w:rsidR="001956AF" w:rsidRPr="00E75766">
        <w:rPr>
          <w:noProof/>
          <w:lang w:val="en-IE"/>
        </w:rPr>
        <w:t>the following</w:t>
      </w:r>
      <w:r w:rsidR="00F87E14" w:rsidRPr="00E75766">
        <w:rPr>
          <w:noProof/>
          <w:lang w:val="en-IE"/>
        </w:rPr>
        <w:t xml:space="preserve"> </w:t>
      </w:r>
      <w:r w:rsidR="00904426" w:rsidRPr="00E75766">
        <w:rPr>
          <w:noProof/>
          <w:lang w:val="en-IE"/>
        </w:rPr>
        <w:t>requirements</w:t>
      </w:r>
      <w:r w:rsidR="00D51384" w:rsidRPr="00E75766">
        <w:rPr>
          <w:noProof/>
          <w:lang w:val="en-IE"/>
        </w:rPr>
        <w:t>:</w:t>
      </w:r>
      <w:r w:rsidR="001956AF" w:rsidRPr="00E75766">
        <w:rPr>
          <w:noProof/>
          <w:lang w:val="en-IE"/>
        </w:rPr>
        <w:t xml:space="preserve"> </w:t>
      </w:r>
    </w:p>
    <w:p w14:paraId="7DA6DB97" w14:textId="524F6E0A" w:rsidR="00061B4D" w:rsidRPr="004D12F8" w:rsidRDefault="00412FF6" w:rsidP="00412FF6">
      <w:pPr>
        <w:pStyle w:val="Point1"/>
        <w:rPr>
          <w:noProof/>
          <w:lang w:val="en-IE"/>
        </w:rPr>
      </w:pPr>
      <w:r w:rsidRPr="00412FF6">
        <w:t>(a)</w:t>
      </w:r>
      <w:r w:rsidRPr="00412FF6">
        <w:tab/>
      </w:r>
      <w:r w:rsidR="000B25F2">
        <w:rPr>
          <w:noProof/>
        </w:rPr>
        <w:t xml:space="preserve">a </w:t>
      </w:r>
      <w:r w:rsidR="00AF46FA" w:rsidRPr="004D12F8">
        <w:rPr>
          <w:noProof/>
          <w:lang w:val="en-IE"/>
        </w:rPr>
        <w:t>r</w:t>
      </w:r>
      <w:r w:rsidR="00061B4D" w:rsidRPr="004D12F8">
        <w:rPr>
          <w:noProof/>
          <w:lang w:val="en-IE"/>
        </w:rPr>
        <w:t xml:space="preserve">esidence for tax purposes </w:t>
      </w:r>
      <w:r w:rsidR="00061B4D" w:rsidRPr="004D12F8" w:rsidDel="00061B4D">
        <w:rPr>
          <w:noProof/>
          <w:lang w:val="en-IE"/>
        </w:rPr>
        <w:t xml:space="preserve">in a </w:t>
      </w:r>
      <w:r w:rsidR="00061B4D" w:rsidRPr="004D12F8">
        <w:rPr>
          <w:noProof/>
          <w:lang w:val="en-IE"/>
        </w:rPr>
        <w:t>Member State or</w:t>
      </w:r>
      <w:r w:rsidR="00061B4D" w:rsidRPr="004D12F8" w:rsidDel="00061B4D">
        <w:rPr>
          <w:noProof/>
          <w:lang w:val="en-IE"/>
        </w:rPr>
        <w:t xml:space="preserve"> </w:t>
      </w:r>
      <w:r w:rsidR="00061B4D" w:rsidRPr="004D12F8">
        <w:rPr>
          <w:noProof/>
          <w:lang w:val="en-IE"/>
        </w:rPr>
        <w:t>third country jurisdiction</w:t>
      </w:r>
      <w:r w:rsidR="004360A9" w:rsidRPr="004D12F8">
        <w:rPr>
          <w:noProof/>
          <w:lang w:val="en-IE"/>
        </w:rPr>
        <w:t xml:space="preserve"> not included on Annex I of the EU list of non-cooperative jurisdictions for tax purposes</w:t>
      </w:r>
      <w:r w:rsidR="00D25AFF">
        <w:rPr>
          <w:rStyle w:val="FootnoteReference"/>
          <w:noProof/>
          <w:lang w:val="en-IE"/>
        </w:rPr>
        <w:footnoteReference w:id="40"/>
      </w:r>
      <w:r w:rsidR="00D5618A" w:rsidRPr="004D12F8">
        <w:rPr>
          <w:noProof/>
          <w:lang w:val="en-IE"/>
        </w:rPr>
        <w:t xml:space="preserve"> </w:t>
      </w:r>
      <w:r w:rsidR="00E66B1A" w:rsidRPr="004D12F8">
        <w:rPr>
          <w:noProof/>
          <w:lang w:val="en-IE"/>
        </w:rPr>
        <w:t xml:space="preserve">nor on </w:t>
      </w:r>
      <w:r w:rsidR="00D5618A" w:rsidRPr="004D12F8">
        <w:rPr>
          <w:noProof/>
          <w:lang w:val="en-IE"/>
        </w:rPr>
        <w:t>the</w:t>
      </w:r>
      <w:r w:rsidR="00F55744" w:rsidRPr="004D12F8">
        <w:rPr>
          <w:noProof/>
          <w:lang w:val="en-IE"/>
        </w:rPr>
        <w:t xml:space="preserve"> table I of the Annex to Delegated Regulation (EU) 2016/1675</w:t>
      </w:r>
      <w:r w:rsidR="005B777E">
        <w:rPr>
          <w:rStyle w:val="FootnoteReference"/>
          <w:noProof/>
          <w:lang w:val="en-IE"/>
        </w:rPr>
        <w:footnoteReference w:id="41"/>
      </w:r>
      <w:r w:rsidR="00061B4D" w:rsidRPr="004D12F8">
        <w:rPr>
          <w:noProof/>
          <w:lang w:val="en-IE"/>
        </w:rPr>
        <w:t xml:space="preserve">; </w:t>
      </w:r>
    </w:p>
    <w:p w14:paraId="05432E43" w14:textId="7F1135F1" w:rsidR="001956AF" w:rsidRPr="004D12F8" w:rsidRDefault="00412FF6" w:rsidP="00412FF6">
      <w:pPr>
        <w:pStyle w:val="Point1"/>
        <w:rPr>
          <w:noProof/>
          <w:lang w:val="en-IE"/>
        </w:rPr>
      </w:pPr>
      <w:r w:rsidRPr="00412FF6">
        <w:t>(b)</w:t>
      </w:r>
      <w:r w:rsidRPr="00412FF6">
        <w:tab/>
      </w:r>
      <w:r w:rsidR="00051BC3" w:rsidRPr="00051BC3">
        <w:rPr>
          <w:noProof/>
        </w:rPr>
        <w:t xml:space="preserve">if the requesting financial intermediary is a credit institution, an authorisation in the jurisdiction of residence for tax purposes to perform custodial activities </w:t>
      </w:r>
      <w:r w:rsidR="00AA343B">
        <w:rPr>
          <w:noProof/>
        </w:rPr>
        <w:t>under</w:t>
      </w:r>
      <w:r w:rsidR="00051BC3" w:rsidRPr="00051BC3">
        <w:rPr>
          <w:noProof/>
        </w:rPr>
        <w:t xml:space="preserve"> points (12) or (14) of Annex I of Directive 2013/36/EU or comparable legislation of a third country; if the requesting financial intermediary is an investment firm,</w:t>
      </w:r>
      <w:r w:rsidR="00051BC3">
        <w:rPr>
          <w:noProof/>
        </w:rPr>
        <w:t xml:space="preserve"> </w:t>
      </w:r>
      <w:r w:rsidR="000513BD">
        <w:rPr>
          <w:noProof/>
        </w:rPr>
        <w:t>an authorisation</w:t>
      </w:r>
      <w:r w:rsidR="00061B4D" w:rsidRPr="004D12F8">
        <w:rPr>
          <w:noProof/>
          <w:lang w:val="en-IE"/>
        </w:rPr>
        <w:t xml:space="preserve"> in the</w:t>
      </w:r>
      <w:r w:rsidR="001956AF" w:rsidRPr="004D12F8">
        <w:rPr>
          <w:noProof/>
          <w:lang w:val="en-IE"/>
        </w:rPr>
        <w:t xml:space="preserve"> jurisdiction of residence for tax purposes to perform custodial activities under </w:t>
      </w:r>
      <w:r w:rsidR="00972424" w:rsidRPr="004D12F8">
        <w:rPr>
          <w:noProof/>
          <w:lang w:val="en-IE"/>
        </w:rPr>
        <w:t xml:space="preserve">Section B(1) </w:t>
      </w:r>
      <w:r w:rsidR="002C02BA" w:rsidRPr="004D12F8">
        <w:rPr>
          <w:noProof/>
          <w:lang w:val="en-IE"/>
        </w:rPr>
        <w:t xml:space="preserve">of </w:t>
      </w:r>
      <w:r w:rsidR="00222E0D" w:rsidRPr="004D12F8">
        <w:rPr>
          <w:noProof/>
          <w:lang w:val="en-IE"/>
        </w:rPr>
        <w:t xml:space="preserve">Annex I of </w:t>
      </w:r>
      <w:r w:rsidR="001956AF" w:rsidRPr="004D12F8">
        <w:rPr>
          <w:noProof/>
          <w:lang w:val="en-IE"/>
        </w:rPr>
        <w:t xml:space="preserve">Directive </w:t>
      </w:r>
      <w:r w:rsidR="001956AF" w:rsidRPr="00E61B82">
        <w:rPr>
          <w:noProof/>
        </w:rPr>
        <w:t>2014/65</w:t>
      </w:r>
      <w:r w:rsidR="001956AF" w:rsidRPr="004D12F8">
        <w:rPr>
          <w:noProof/>
          <w:lang w:val="en-IE"/>
        </w:rPr>
        <w:t xml:space="preserve">/EU </w:t>
      </w:r>
      <w:r w:rsidR="001956AF" w:rsidRPr="00E61B82">
        <w:rPr>
          <w:noProof/>
        </w:rPr>
        <w:t xml:space="preserve">or </w:t>
      </w:r>
      <w:r w:rsidR="00972424">
        <w:rPr>
          <w:noProof/>
        </w:rPr>
        <w:t xml:space="preserve">comparable </w:t>
      </w:r>
      <w:r w:rsidR="001956AF" w:rsidRPr="004D12F8">
        <w:rPr>
          <w:noProof/>
          <w:lang w:val="en-IE"/>
        </w:rPr>
        <w:t>legislation</w:t>
      </w:r>
      <w:r w:rsidR="00061B4D" w:rsidRPr="004D12F8">
        <w:rPr>
          <w:noProof/>
          <w:lang w:val="en-IE"/>
        </w:rPr>
        <w:t xml:space="preserve"> of a</w:t>
      </w:r>
      <w:r w:rsidR="001956AF" w:rsidRPr="004D12F8" w:rsidDel="00061B4D">
        <w:rPr>
          <w:noProof/>
          <w:lang w:val="en-IE"/>
        </w:rPr>
        <w:t xml:space="preserve"> </w:t>
      </w:r>
      <w:r w:rsidR="001956AF" w:rsidRPr="004D12F8">
        <w:rPr>
          <w:noProof/>
          <w:lang w:val="en-IE"/>
        </w:rPr>
        <w:t>third country</w:t>
      </w:r>
      <w:r w:rsidR="00061B4D" w:rsidRPr="004D12F8">
        <w:rPr>
          <w:noProof/>
          <w:lang w:val="en-IE"/>
        </w:rPr>
        <w:t xml:space="preserve"> </w:t>
      </w:r>
      <w:r w:rsidR="00E814D6" w:rsidRPr="004D12F8">
        <w:rPr>
          <w:noProof/>
          <w:lang w:val="en-IE"/>
        </w:rPr>
        <w:t>or</w:t>
      </w:r>
      <w:r w:rsidR="00051BC3" w:rsidRPr="004D12F8">
        <w:rPr>
          <w:noProof/>
          <w:lang w:val="en-IE"/>
        </w:rPr>
        <w:t>;</w:t>
      </w:r>
      <w:r w:rsidR="00E814D6" w:rsidRPr="004D12F8">
        <w:rPr>
          <w:noProof/>
          <w:lang w:val="en-IE"/>
        </w:rPr>
        <w:t xml:space="preserve"> if the requesting financial intermediary is a central securities depository, an authorisation in the jurisdiction of residence for tax purposes </w:t>
      </w:r>
      <w:r w:rsidR="00222E0D" w:rsidRPr="004D12F8">
        <w:rPr>
          <w:noProof/>
          <w:lang w:val="en-IE"/>
        </w:rPr>
        <w:t xml:space="preserve">under Regulation EU 909/2014 or </w:t>
      </w:r>
      <w:r w:rsidR="00800DF7" w:rsidRPr="004D12F8">
        <w:rPr>
          <w:noProof/>
          <w:lang w:val="en-IE"/>
        </w:rPr>
        <w:t xml:space="preserve">comparable </w:t>
      </w:r>
      <w:r w:rsidR="00222E0D" w:rsidRPr="004D12F8">
        <w:rPr>
          <w:noProof/>
          <w:lang w:val="en-IE"/>
        </w:rPr>
        <w:t>legislation of a third country of residence</w:t>
      </w:r>
      <w:r w:rsidR="00D361EC" w:rsidRPr="004D12F8">
        <w:rPr>
          <w:noProof/>
          <w:lang w:val="en-IE"/>
        </w:rPr>
        <w:t>;</w:t>
      </w:r>
    </w:p>
    <w:p w14:paraId="7D52844C" w14:textId="2EB20908" w:rsidR="004360A9" w:rsidRPr="004D12F8" w:rsidRDefault="00412FF6" w:rsidP="00412FF6">
      <w:pPr>
        <w:pStyle w:val="Point1"/>
        <w:rPr>
          <w:noProof/>
          <w:lang w:val="en-IE"/>
        </w:rPr>
      </w:pPr>
      <w:r w:rsidRPr="00412FF6">
        <w:t>(c)</w:t>
      </w:r>
      <w:r w:rsidRPr="00412FF6">
        <w:tab/>
      </w:r>
      <w:r w:rsidR="00AF46FA" w:rsidRPr="0089020B">
        <w:rPr>
          <w:noProof/>
        </w:rPr>
        <w:t xml:space="preserve">a </w:t>
      </w:r>
      <w:r w:rsidR="004131CF" w:rsidRPr="0089020B">
        <w:rPr>
          <w:noProof/>
          <w:lang w:val="en-IE"/>
        </w:rPr>
        <w:t xml:space="preserve">declaration of </w:t>
      </w:r>
      <w:r w:rsidR="008C4F04" w:rsidRPr="0089020B">
        <w:rPr>
          <w:noProof/>
          <w:lang w:val="en-IE"/>
        </w:rPr>
        <w:t>compl</w:t>
      </w:r>
      <w:r w:rsidR="004131CF" w:rsidRPr="0089020B">
        <w:rPr>
          <w:noProof/>
          <w:lang w:val="en-IE"/>
        </w:rPr>
        <w:t>iance</w:t>
      </w:r>
      <w:r w:rsidR="008C4F04" w:rsidRPr="0089020B">
        <w:rPr>
          <w:noProof/>
          <w:lang w:val="en-IE"/>
        </w:rPr>
        <w:t xml:space="preserve"> </w:t>
      </w:r>
      <w:r w:rsidR="004360A9" w:rsidRPr="0089020B">
        <w:rPr>
          <w:noProof/>
          <w:lang w:val="en-IE"/>
        </w:rPr>
        <w:t xml:space="preserve">with </w:t>
      </w:r>
      <w:bookmarkStart w:id="5" w:name="_Hlk132982294"/>
      <w:r w:rsidR="004360A9" w:rsidRPr="0089020B">
        <w:rPr>
          <w:noProof/>
          <w:lang w:val="en-IE"/>
        </w:rPr>
        <w:t>the</w:t>
      </w:r>
      <w:r w:rsidR="00A77BBD" w:rsidRPr="0089020B">
        <w:rPr>
          <w:noProof/>
        </w:rPr>
        <w:t xml:space="preserve"> </w:t>
      </w:r>
      <w:r w:rsidR="00A77BBD" w:rsidRPr="0089020B">
        <w:rPr>
          <w:noProof/>
          <w:lang w:val="en-IE"/>
        </w:rPr>
        <w:t xml:space="preserve">provisions of </w:t>
      </w:r>
      <w:r w:rsidR="00583BEE" w:rsidRPr="0089020B">
        <w:rPr>
          <w:noProof/>
          <w:lang w:val="en-IE"/>
        </w:rPr>
        <w:t xml:space="preserve">Council </w:t>
      </w:r>
      <w:r w:rsidR="00A77BBD" w:rsidRPr="0089020B">
        <w:rPr>
          <w:noProof/>
          <w:lang w:val="en-IE"/>
        </w:rPr>
        <w:t>Directive 2014/107/EU</w:t>
      </w:r>
      <w:r w:rsidR="006B3A6D" w:rsidRPr="0089020B">
        <w:rPr>
          <w:rStyle w:val="FootnoteReference"/>
          <w:noProof/>
          <w:lang w:val="en-IE"/>
        </w:rPr>
        <w:footnoteReference w:id="42"/>
      </w:r>
      <w:r w:rsidR="00A77BBD" w:rsidRPr="0089020B">
        <w:rPr>
          <w:noProof/>
          <w:lang w:val="en-IE"/>
        </w:rPr>
        <w:t xml:space="preserve"> </w:t>
      </w:r>
      <w:r w:rsidR="001956AF" w:rsidRPr="0089020B">
        <w:rPr>
          <w:noProof/>
          <w:lang w:val="en-IE"/>
        </w:rPr>
        <w:t xml:space="preserve">or </w:t>
      </w:r>
      <w:r w:rsidR="008C4F04" w:rsidRPr="0089020B">
        <w:rPr>
          <w:noProof/>
          <w:lang w:val="en-IE"/>
        </w:rPr>
        <w:t>the provisions of Directive</w:t>
      </w:r>
      <w:r w:rsidR="005B1CE5" w:rsidRPr="0089020B">
        <w:rPr>
          <w:noProof/>
          <w:lang w:val="en-IE"/>
        </w:rPr>
        <w:t xml:space="preserve"> 2018/843/EU</w:t>
      </w:r>
      <w:r w:rsidR="00583BEE" w:rsidRPr="0089020B">
        <w:rPr>
          <w:noProof/>
          <w:lang w:val="en-IE"/>
        </w:rPr>
        <w:t xml:space="preserve"> of the European Parliament and of the Council</w:t>
      </w:r>
      <w:r w:rsidR="006B3A6D" w:rsidRPr="0089020B">
        <w:rPr>
          <w:rStyle w:val="FootnoteReference"/>
          <w:noProof/>
          <w:lang w:val="en-IE"/>
        </w:rPr>
        <w:footnoteReference w:id="43"/>
      </w:r>
      <w:r w:rsidR="008C4F04" w:rsidRPr="0089020B">
        <w:rPr>
          <w:noProof/>
          <w:lang w:val="en-IE"/>
        </w:rPr>
        <w:t xml:space="preserve"> </w:t>
      </w:r>
      <w:r w:rsidR="0057077D">
        <w:rPr>
          <w:noProof/>
          <w:lang w:val="en-IE"/>
        </w:rPr>
        <w:t xml:space="preserve">as applicable </w:t>
      </w:r>
      <w:r w:rsidR="008C4F04" w:rsidRPr="0089020B">
        <w:rPr>
          <w:noProof/>
          <w:lang w:val="en-IE"/>
        </w:rPr>
        <w:t xml:space="preserve">or </w:t>
      </w:r>
      <w:r w:rsidR="0057077D">
        <w:rPr>
          <w:noProof/>
          <w:lang w:val="en-IE"/>
        </w:rPr>
        <w:t xml:space="preserve">with a </w:t>
      </w:r>
      <w:r w:rsidR="008862FE" w:rsidRPr="0089020B">
        <w:rPr>
          <w:noProof/>
          <w:lang w:val="en-IE"/>
        </w:rPr>
        <w:t xml:space="preserve">comparable </w:t>
      </w:r>
      <w:r w:rsidR="008C4F04" w:rsidRPr="0089020B">
        <w:rPr>
          <w:noProof/>
          <w:lang w:val="en-IE"/>
        </w:rPr>
        <w:t>legislation</w:t>
      </w:r>
      <w:r w:rsidR="008C4F04" w:rsidRPr="004D12F8">
        <w:rPr>
          <w:noProof/>
          <w:lang w:val="en-IE"/>
        </w:rPr>
        <w:t xml:space="preserve"> of a third country jurisdiction</w:t>
      </w:r>
      <w:r w:rsidR="00251B54" w:rsidRPr="004D12F8">
        <w:rPr>
          <w:noProof/>
          <w:lang w:val="en-IE"/>
        </w:rPr>
        <w:t xml:space="preserve"> not included on Annex I of the EU list of non-cooperative jurisdictions for tax purposes</w:t>
      </w:r>
      <w:bookmarkEnd w:id="5"/>
      <w:r w:rsidR="000F3FBC" w:rsidRPr="004D12F8">
        <w:rPr>
          <w:noProof/>
          <w:lang w:val="en-IE"/>
        </w:rPr>
        <w:t xml:space="preserve"> or on the table I of the Annex to Delegated Regulation (EU) 2016/1675</w:t>
      </w:r>
      <w:r w:rsidR="00B111A2" w:rsidRPr="004D12F8">
        <w:rPr>
          <w:noProof/>
          <w:lang w:val="en-IE"/>
        </w:rPr>
        <w:t>.</w:t>
      </w:r>
    </w:p>
    <w:p w14:paraId="61AA4E25" w14:textId="46F7E251" w:rsidR="004573F8" w:rsidRDefault="00412FF6" w:rsidP="00412FF6">
      <w:pPr>
        <w:pStyle w:val="ManualNumPar1"/>
        <w:rPr>
          <w:noProof/>
          <w:lang w:val="en-IE"/>
        </w:rPr>
      </w:pPr>
      <w:r w:rsidRPr="00412FF6">
        <w:t>2.</w:t>
      </w:r>
      <w:r w:rsidRPr="00412FF6">
        <w:tab/>
      </w:r>
      <w:r w:rsidR="00583BEE">
        <w:rPr>
          <w:noProof/>
        </w:rPr>
        <w:t>F</w:t>
      </w:r>
      <w:r w:rsidR="004573F8">
        <w:rPr>
          <w:noProof/>
        </w:rPr>
        <w:t>inancial intermediar</w:t>
      </w:r>
      <w:r w:rsidR="00583BEE">
        <w:rPr>
          <w:noProof/>
        </w:rPr>
        <w:t>ies</w:t>
      </w:r>
      <w:r w:rsidR="004573F8">
        <w:rPr>
          <w:noProof/>
        </w:rPr>
        <w:t xml:space="preserve"> </w:t>
      </w:r>
      <w:r w:rsidR="00583BEE">
        <w:rPr>
          <w:noProof/>
          <w:lang w:val="en-IE"/>
        </w:rPr>
        <w:t>shall</w:t>
      </w:r>
      <w:r w:rsidR="00DF2EC2" w:rsidRPr="006A0DC3">
        <w:rPr>
          <w:noProof/>
          <w:lang w:val="en-IE"/>
        </w:rPr>
        <w:t xml:space="preserve"> notify without delay the competent authority of the Member State of any change in the information provided under </w:t>
      </w:r>
      <w:r w:rsidR="00583BEE">
        <w:rPr>
          <w:noProof/>
          <w:lang w:val="en-IE"/>
        </w:rPr>
        <w:t>points (</w:t>
      </w:r>
      <w:r w:rsidR="00DF2EC2" w:rsidRPr="006A0DC3">
        <w:rPr>
          <w:noProof/>
          <w:lang w:val="en-IE"/>
        </w:rPr>
        <w:t>a</w:t>
      </w:r>
      <w:r w:rsidR="00583BEE">
        <w:rPr>
          <w:noProof/>
          <w:lang w:val="en-IE"/>
        </w:rPr>
        <w:t>) to (</w:t>
      </w:r>
      <w:r w:rsidR="00DF2EC2" w:rsidRPr="006A0DC3">
        <w:rPr>
          <w:noProof/>
          <w:lang w:val="en-IE"/>
        </w:rPr>
        <w:t>c</w:t>
      </w:r>
      <w:r w:rsidR="00583BEE">
        <w:rPr>
          <w:noProof/>
          <w:lang w:val="en-IE"/>
        </w:rPr>
        <w:t>)</w:t>
      </w:r>
      <w:r w:rsidR="001956AF" w:rsidRPr="006A0DC3" w:rsidDel="004360A9">
        <w:rPr>
          <w:noProof/>
          <w:lang w:val="en-IE"/>
        </w:rPr>
        <w:t>.</w:t>
      </w:r>
    </w:p>
    <w:p w14:paraId="5D84C911" w14:textId="77777777" w:rsidR="001956AF" w:rsidRDefault="001956AF" w:rsidP="00974BE9">
      <w:pPr>
        <w:pStyle w:val="Titrearticle"/>
        <w:rPr>
          <w:b/>
          <w:bCs/>
          <w:i w:val="0"/>
          <w:iCs/>
          <w:noProof/>
          <w:lang w:val="en-IE"/>
        </w:rPr>
      </w:pPr>
      <w:r w:rsidRPr="00FF43D3">
        <w:rPr>
          <w:noProof/>
          <w:lang w:val="en-IE"/>
        </w:rPr>
        <w:t xml:space="preserve">Article </w:t>
      </w:r>
      <w:r w:rsidR="00B55DAB">
        <w:rPr>
          <w:noProof/>
          <w:lang w:val="en-IE"/>
        </w:rPr>
        <w:t>8</w:t>
      </w:r>
      <w:r w:rsidR="008E734B">
        <w:rPr>
          <w:noProof/>
          <w:lang w:val="en-IE"/>
        </w:rPr>
        <w:br/>
      </w:r>
      <w:r w:rsidRPr="008E734B">
        <w:rPr>
          <w:b/>
          <w:bCs/>
          <w:i w:val="0"/>
          <w:iCs/>
          <w:noProof/>
          <w:lang w:val="en-IE"/>
        </w:rPr>
        <w:t xml:space="preserve">Removal from the </w:t>
      </w:r>
      <w:r w:rsidR="00F45352">
        <w:rPr>
          <w:b/>
          <w:bCs/>
          <w:i w:val="0"/>
          <w:iCs/>
          <w:noProof/>
          <w:lang w:val="en-IE"/>
        </w:rPr>
        <w:t>n</w:t>
      </w:r>
      <w:r w:rsidRPr="008E734B">
        <w:rPr>
          <w:b/>
          <w:bCs/>
          <w:i w:val="0"/>
          <w:iCs/>
          <w:noProof/>
          <w:lang w:val="en-IE"/>
        </w:rPr>
        <w:t xml:space="preserve">ational </w:t>
      </w:r>
      <w:r w:rsidR="00F45352">
        <w:rPr>
          <w:b/>
          <w:bCs/>
          <w:i w:val="0"/>
          <w:iCs/>
          <w:noProof/>
          <w:lang w:val="en-IE"/>
        </w:rPr>
        <w:t>r</w:t>
      </w:r>
      <w:r w:rsidRPr="008E734B">
        <w:rPr>
          <w:b/>
          <w:bCs/>
          <w:i w:val="0"/>
          <w:iCs/>
          <w:noProof/>
          <w:lang w:val="en-IE"/>
        </w:rPr>
        <w:t>egister</w:t>
      </w:r>
    </w:p>
    <w:p w14:paraId="4A227308" w14:textId="4F353325" w:rsidR="001956AF" w:rsidRPr="00E75766" w:rsidRDefault="00412FF6" w:rsidP="00412FF6">
      <w:pPr>
        <w:pStyle w:val="ManualNumPar1"/>
        <w:rPr>
          <w:noProof/>
          <w:lang w:val="en-IE"/>
        </w:rPr>
      </w:pPr>
      <w:r w:rsidRPr="00412FF6">
        <w:t>1.</w:t>
      </w:r>
      <w:r w:rsidRPr="00412FF6">
        <w:tab/>
      </w:r>
      <w:r w:rsidR="001956AF" w:rsidRPr="00E75766">
        <w:rPr>
          <w:noProof/>
          <w:lang w:val="en-IE"/>
        </w:rPr>
        <w:t xml:space="preserve">Member States shall remove </w:t>
      </w:r>
      <w:r w:rsidR="008C4F04" w:rsidRPr="00E75766">
        <w:rPr>
          <w:noProof/>
          <w:lang w:val="en-IE"/>
        </w:rPr>
        <w:t xml:space="preserve">from </w:t>
      </w:r>
      <w:r w:rsidR="5DDED19D" w:rsidRPr="00E75766">
        <w:rPr>
          <w:noProof/>
          <w:lang w:val="en-IE"/>
        </w:rPr>
        <w:t>the</w:t>
      </w:r>
      <w:r w:rsidR="4288F89C" w:rsidRPr="00E75766">
        <w:rPr>
          <w:noProof/>
          <w:lang w:val="en-IE"/>
        </w:rPr>
        <w:t>ir</w:t>
      </w:r>
      <w:r w:rsidR="008C4F04" w:rsidRPr="00E75766">
        <w:rPr>
          <w:noProof/>
          <w:lang w:val="en-IE"/>
        </w:rPr>
        <w:t xml:space="preserve"> </w:t>
      </w:r>
      <w:r w:rsidR="00F45352" w:rsidRPr="00E75766">
        <w:rPr>
          <w:noProof/>
          <w:lang w:val="en-IE"/>
        </w:rPr>
        <w:t>n</w:t>
      </w:r>
      <w:r w:rsidR="008C4F04" w:rsidRPr="00E75766">
        <w:rPr>
          <w:noProof/>
          <w:lang w:val="en-IE"/>
        </w:rPr>
        <w:t xml:space="preserve">ational </w:t>
      </w:r>
      <w:r w:rsidR="00F45352" w:rsidRPr="00E75766">
        <w:rPr>
          <w:noProof/>
          <w:lang w:val="en-IE"/>
        </w:rPr>
        <w:t>r</w:t>
      </w:r>
      <w:r w:rsidR="008C4F04" w:rsidRPr="00E75766">
        <w:rPr>
          <w:noProof/>
          <w:lang w:val="en-IE"/>
        </w:rPr>
        <w:t>egister</w:t>
      </w:r>
      <w:r w:rsidR="00F03031" w:rsidRPr="00E75766">
        <w:rPr>
          <w:noProof/>
          <w:lang w:val="en-IE"/>
        </w:rPr>
        <w:t xml:space="preserve"> </w:t>
      </w:r>
      <w:r w:rsidR="008C4F04" w:rsidRPr="00E75766">
        <w:rPr>
          <w:noProof/>
          <w:lang w:val="en-IE"/>
        </w:rPr>
        <w:t xml:space="preserve">any </w:t>
      </w:r>
      <w:r w:rsidR="00F45352" w:rsidRPr="00E75766">
        <w:rPr>
          <w:noProof/>
          <w:lang w:val="en-IE"/>
        </w:rPr>
        <w:t>c</w:t>
      </w:r>
      <w:r w:rsidR="001956AF" w:rsidRPr="00E75766">
        <w:rPr>
          <w:noProof/>
          <w:lang w:val="en-IE"/>
        </w:rPr>
        <w:t xml:space="preserve">ertified </w:t>
      </w:r>
      <w:r w:rsidR="00F45352" w:rsidRPr="00E75766">
        <w:rPr>
          <w:noProof/>
          <w:lang w:val="en-IE"/>
        </w:rPr>
        <w:t>f</w:t>
      </w:r>
      <w:r w:rsidR="001956AF" w:rsidRPr="00E75766">
        <w:rPr>
          <w:noProof/>
          <w:lang w:val="en-IE"/>
        </w:rPr>
        <w:t xml:space="preserve">inancial </w:t>
      </w:r>
      <w:r w:rsidR="00F45352" w:rsidRPr="00E75766">
        <w:rPr>
          <w:noProof/>
          <w:lang w:val="en-IE"/>
        </w:rPr>
        <w:t>i</w:t>
      </w:r>
      <w:r w:rsidR="001956AF" w:rsidRPr="00E75766">
        <w:rPr>
          <w:noProof/>
          <w:lang w:val="en-IE"/>
        </w:rPr>
        <w:t>ntermediar</w:t>
      </w:r>
      <w:r w:rsidR="00631649" w:rsidRPr="00E75766">
        <w:rPr>
          <w:noProof/>
          <w:lang w:val="en-IE"/>
        </w:rPr>
        <w:t>y</w:t>
      </w:r>
      <w:r w:rsidR="00F45352" w:rsidRPr="00E75766">
        <w:rPr>
          <w:noProof/>
          <w:lang w:val="en-IE"/>
        </w:rPr>
        <w:t>, where such intermediary</w:t>
      </w:r>
      <w:r w:rsidR="008C4F04" w:rsidRPr="00E75766">
        <w:rPr>
          <w:noProof/>
          <w:lang w:val="en-IE"/>
        </w:rPr>
        <w:t>:</w:t>
      </w:r>
      <w:r w:rsidR="00D21D96" w:rsidRPr="00E75766">
        <w:rPr>
          <w:noProof/>
          <w:lang w:val="en-IE"/>
        </w:rPr>
        <w:t xml:space="preserve"> </w:t>
      </w:r>
    </w:p>
    <w:p w14:paraId="26A3DC4A" w14:textId="3B55373F" w:rsidR="001956AF" w:rsidRPr="004D12F8" w:rsidRDefault="00412FF6" w:rsidP="00412FF6">
      <w:pPr>
        <w:pStyle w:val="Point1"/>
        <w:rPr>
          <w:noProof/>
          <w:lang w:val="en-IE"/>
        </w:rPr>
      </w:pPr>
      <w:r w:rsidRPr="00412FF6">
        <w:t>(a)</w:t>
      </w:r>
      <w:r w:rsidRPr="00412FF6">
        <w:tab/>
      </w:r>
      <w:r w:rsidR="008C4F04">
        <w:rPr>
          <w:noProof/>
        </w:rPr>
        <w:t>requests such removal</w:t>
      </w:r>
      <w:r w:rsidR="003B7A50">
        <w:rPr>
          <w:noProof/>
        </w:rPr>
        <w:t>;</w:t>
      </w:r>
      <w:r w:rsidR="00F17877">
        <w:rPr>
          <w:noProof/>
        </w:rPr>
        <w:t xml:space="preserve"> or</w:t>
      </w:r>
    </w:p>
    <w:p w14:paraId="7746C950" w14:textId="735C69D6" w:rsidR="001956AF" w:rsidRPr="004D12F8" w:rsidRDefault="00412FF6" w:rsidP="00412FF6">
      <w:pPr>
        <w:pStyle w:val="Point1"/>
        <w:rPr>
          <w:noProof/>
          <w:lang w:val="en-IE"/>
        </w:rPr>
      </w:pPr>
      <w:r w:rsidRPr="00412FF6">
        <w:t>(b)</w:t>
      </w:r>
      <w:r w:rsidRPr="00412FF6">
        <w:tab/>
      </w:r>
      <w:r w:rsidR="001956AF" w:rsidRPr="004D12F8">
        <w:rPr>
          <w:noProof/>
          <w:lang w:val="en-IE"/>
        </w:rPr>
        <w:t xml:space="preserve">no longer meets the requirements of Article </w:t>
      </w:r>
      <w:r w:rsidR="00CB59B9" w:rsidRPr="004D12F8">
        <w:rPr>
          <w:noProof/>
          <w:lang w:val="en-IE"/>
        </w:rPr>
        <w:t>7</w:t>
      </w:r>
      <w:r w:rsidR="00F45352" w:rsidRPr="004D12F8">
        <w:rPr>
          <w:noProof/>
          <w:lang w:val="en-IE"/>
        </w:rPr>
        <w:t>.</w:t>
      </w:r>
      <w:r w:rsidR="001956AF" w:rsidRPr="004D12F8">
        <w:rPr>
          <w:noProof/>
          <w:lang w:val="en-IE"/>
        </w:rPr>
        <w:t xml:space="preserve"> </w:t>
      </w:r>
    </w:p>
    <w:p w14:paraId="71A5F85F" w14:textId="48F8297D" w:rsidR="001439E8" w:rsidRDefault="00412FF6" w:rsidP="00412FF6">
      <w:pPr>
        <w:pStyle w:val="ManualNumPar1"/>
        <w:rPr>
          <w:noProof/>
        </w:rPr>
      </w:pPr>
      <w:r w:rsidRPr="00412FF6">
        <w:t>2.</w:t>
      </w:r>
      <w:r w:rsidRPr="00412FF6">
        <w:tab/>
      </w:r>
      <w:r w:rsidR="001439E8">
        <w:rPr>
          <w:noProof/>
        </w:rPr>
        <w:t xml:space="preserve">Member States may </w:t>
      </w:r>
      <w:r w:rsidR="00BE7E55" w:rsidRPr="005E5BD8">
        <w:rPr>
          <w:noProof/>
        </w:rPr>
        <w:t>remove</w:t>
      </w:r>
      <w:r w:rsidR="001439E8" w:rsidRPr="005E5BD8">
        <w:rPr>
          <w:noProof/>
        </w:rPr>
        <w:t xml:space="preserve"> f</w:t>
      </w:r>
      <w:r w:rsidR="001439E8">
        <w:rPr>
          <w:noProof/>
        </w:rPr>
        <w:t xml:space="preserve">rom their </w:t>
      </w:r>
      <w:r w:rsidR="00A431C7">
        <w:rPr>
          <w:noProof/>
        </w:rPr>
        <w:t>n</w:t>
      </w:r>
      <w:r w:rsidR="001439E8">
        <w:rPr>
          <w:noProof/>
        </w:rPr>
        <w:t xml:space="preserve">ational </w:t>
      </w:r>
      <w:r w:rsidR="00A431C7">
        <w:rPr>
          <w:noProof/>
        </w:rPr>
        <w:t>r</w:t>
      </w:r>
      <w:r w:rsidR="001439E8">
        <w:rPr>
          <w:noProof/>
        </w:rPr>
        <w:t xml:space="preserve">egister any </w:t>
      </w:r>
      <w:r w:rsidR="00A431C7">
        <w:rPr>
          <w:noProof/>
        </w:rPr>
        <w:t>c</w:t>
      </w:r>
      <w:r w:rsidR="001439E8">
        <w:rPr>
          <w:noProof/>
        </w:rPr>
        <w:t xml:space="preserve">ertified </w:t>
      </w:r>
      <w:r w:rsidR="00A431C7">
        <w:rPr>
          <w:noProof/>
        </w:rPr>
        <w:t>f</w:t>
      </w:r>
      <w:r w:rsidR="001439E8">
        <w:rPr>
          <w:noProof/>
        </w:rPr>
        <w:t xml:space="preserve">inancial </w:t>
      </w:r>
      <w:r w:rsidR="00A431C7" w:rsidRPr="00E75766">
        <w:rPr>
          <w:noProof/>
          <w:lang w:val="en-IE"/>
        </w:rPr>
        <w:t>i</w:t>
      </w:r>
      <w:r w:rsidR="001439E8" w:rsidRPr="00E75766">
        <w:rPr>
          <w:noProof/>
          <w:lang w:val="en-IE"/>
        </w:rPr>
        <w:t>ntermediary</w:t>
      </w:r>
      <w:r w:rsidR="001439E8">
        <w:rPr>
          <w:noProof/>
        </w:rPr>
        <w:t xml:space="preserve"> that has been found to have </w:t>
      </w:r>
      <w:r w:rsidR="00BE7E55">
        <w:rPr>
          <w:noProof/>
        </w:rPr>
        <w:t xml:space="preserve">repeatedly </w:t>
      </w:r>
      <w:r w:rsidR="00A156EF">
        <w:rPr>
          <w:noProof/>
        </w:rPr>
        <w:t xml:space="preserve">and intentionally </w:t>
      </w:r>
      <w:r w:rsidR="001439E8">
        <w:rPr>
          <w:noProof/>
        </w:rPr>
        <w:t>not complied with its obligations under any of the following instruments:</w:t>
      </w:r>
    </w:p>
    <w:p w14:paraId="07364D86" w14:textId="4CD6012E" w:rsidR="001439E8" w:rsidRDefault="00412FF6" w:rsidP="00412FF6">
      <w:pPr>
        <w:pStyle w:val="Point1"/>
        <w:rPr>
          <w:noProof/>
        </w:rPr>
      </w:pPr>
      <w:r w:rsidRPr="00412FF6">
        <w:t>(a)</w:t>
      </w:r>
      <w:r w:rsidRPr="00412FF6">
        <w:tab/>
      </w:r>
      <w:r w:rsidR="001439E8">
        <w:rPr>
          <w:noProof/>
        </w:rPr>
        <w:t>this Directive;</w:t>
      </w:r>
    </w:p>
    <w:p w14:paraId="4948CEA4" w14:textId="1A4464A6" w:rsidR="001439E8" w:rsidRDefault="00412FF6" w:rsidP="00412FF6">
      <w:pPr>
        <w:pStyle w:val="Point1"/>
        <w:rPr>
          <w:noProof/>
        </w:rPr>
      </w:pPr>
      <w:r w:rsidRPr="00412FF6">
        <w:t>(b)</w:t>
      </w:r>
      <w:r w:rsidRPr="00412FF6">
        <w:tab/>
      </w:r>
      <w:r w:rsidR="00EE72EC" w:rsidRPr="00EE72EC">
        <w:rPr>
          <w:noProof/>
        </w:rPr>
        <w:t>Council Directive 2014/107/EU</w:t>
      </w:r>
      <w:r w:rsidR="001439E8">
        <w:rPr>
          <w:noProof/>
        </w:rPr>
        <w:t>;</w:t>
      </w:r>
      <w:r w:rsidR="003F5F62">
        <w:rPr>
          <w:noProof/>
        </w:rPr>
        <w:t xml:space="preserve"> or</w:t>
      </w:r>
    </w:p>
    <w:p w14:paraId="092C55EE" w14:textId="056F4F5D" w:rsidR="001439E8" w:rsidRDefault="00412FF6" w:rsidP="00412FF6">
      <w:pPr>
        <w:pStyle w:val="Point1"/>
        <w:rPr>
          <w:noProof/>
        </w:rPr>
      </w:pPr>
      <w:r w:rsidRPr="00412FF6">
        <w:t>(c)</w:t>
      </w:r>
      <w:r w:rsidRPr="00412FF6">
        <w:tab/>
      </w:r>
      <w:r w:rsidR="001439E8">
        <w:rPr>
          <w:noProof/>
        </w:rPr>
        <w:t xml:space="preserve">Directive 2018/843/EU; or </w:t>
      </w:r>
    </w:p>
    <w:p w14:paraId="04E9319A" w14:textId="6DB9A156" w:rsidR="001439E8" w:rsidRDefault="00412FF6" w:rsidP="00412FF6">
      <w:pPr>
        <w:pStyle w:val="Point1"/>
        <w:rPr>
          <w:noProof/>
        </w:rPr>
      </w:pPr>
      <w:r w:rsidRPr="00412FF6">
        <w:t>(d)</w:t>
      </w:r>
      <w:r w:rsidRPr="00412FF6">
        <w:tab/>
      </w:r>
      <w:r w:rsidR="00F45352">
        <w:rPr>
          <w:noProof/>
        </w:rPr>
        <w:t>c</w:t>
      </w:r>
      <w:r w:rsidR="00871AA8">
        <w:rPr>
          <w:noProof/>
        </w:rPr>
        <w:t xml:space="preserve">omparable </w:t>
      </w:r>
      <w:r w:rsidR="001439E8">
        <w:rPr>
          <w:noProof/>
        </w:rPr>
        <w:t>legislation of a third country of residence for tax purposes.</w:t>
      </w:r>
    </w:p>
    <w:p w14:paraId="0120A5E2" w14:textId="46956E6A" w:rsidR="00D85E7D" w:rsidRDefault="00412FF6" w:rsidP="00412FF6">
      <w:pPr>
        <w:pStyle w:val="ManualNumPar1"/>
        <w:rPr>
          <w:noProof/>
          <w:lang w:val="en-IE"/>
        </w:rPr>
      </w:pPr>
      <w:r w:rsidRPr="00412FF6">
        <w:t>3.</w:t>
      </w:r>
      <w:r w:rsidRPr="00412FF6">
        <w:tab/>
      </w:r>
      <w:r w:rsidR="001956AF" w:rsidRPr="006A0DC3">
        <w:rPr>
          <w:noProof/>
          <w:lang w:val="en-IE"/>
        </w:rPr>
        <w:t xml:space="preserve">The Member State </w:t>
      </w:r>
      <w:r w:rsidR="001439E8">
        <w:rPr>
          <w:noProof/>
          <w:lang w:val="en-IE"/>
        </w:rPr>
        <w:t xml:space="preserve">that removes a </w:t>
      </w:r>
      <w:r w:rsidR="00A431C7">
        <w:rPr>
          <w:noProof/>
          <w:lang w:val="en-IE"/>
        </w:rPr>
        <w:t>c</w:t>
      </w:r>
      <w:r w:rsidR="001439E8">
        <w:rPr>
          <w:noProof/>
          <w:lang w:val="en-IE"/>
        </w:rPr>
        <w:t xml:space="preserve">ertified </w:t>
      </w:r>
      <w:r w:rsidR="00A431C7">
        <w:rPr>
          <w:noProof/>
          <w:lang w:val="en-IE"/>
        </w:rPr>
        <w:t>f</w:t>
      </w:r>
      <w:r w:rsidR="001439E8">
        <w:rPr>
          <w:noProof/>
          <w:lang w:val="en-IE"/>
        </w:rPr>
        <w:t xml:space="preserve">inancial </w:t>
      </w:r>
      <w:r w:rsidR="00A431C7">
        <w:rPr>
          <w:noProof/>
          <w:lang w:val="en-IE"/>
        </w:rPr>
        <w:t>i</w:t>
      </w:r>
      <w:r w:rsidR="001439E8">
        <w:rPr>
          <w:noProof/>
          <w:lang w:val="en-IE"/>
        </w:rPr>
        <w:t xml:space="preserve">ntermediary from its </w:t>
      </w:r>
      <w:r w:rsidR="00A431C7">
        <w:rPr>
          <w:noProof/>
          <w:lang w:val="en-IE"/>
        </w:rPr>
        <w:t>n</w:t>
      </w:r>
      <w:r w:rsidR="001439E8">
        <w:rPr>
          <w:noProof/>
          <w:lang w:val="en-IE"/>
        </w:rPr>
        <w:t xml:space="preserve">ational </w:t>
      </w:r>
      <w:r w:rsidR="00A431C7">
        <w:rPr>
          <w:noProof/>
          <w:lang w:val="en-IE"/>
        </w:rPr>
        <w:t>r</w:t>
      </w:r>
      <w:r w:rsidR="001439E8">
        <w:rPr>
          <w:noProof/>
          <w:lang w:val="en-IE"/>
        </w:rPr>
        <w:t xml:space="preserve">egister </w:t>
      </w:r>
      <w:r w:rsidR="001956AF" w:rsidRPr="00E75766">
        <w:rPr>
          <w:noProof/>
        </w:rPr>
        <w:t>shall</w:t>
      </w:r>
      <w:r w:rsidR="001956AF" w:rsidRPr="006A0DC3">
        <w:rPr>
          <w:noProof/>
          <w:lang w:val="en-IE"/>
        </w:rPr>
        <w:t xml:space="preserve"> inform </w:t>
      </w:r>
      <w:r w:rsidR="001439E8">
        <w:rPr>
          <w:noProof/>
          <w:lang w:val="en-IE"/>
        </w:rPr>
        <w:t xml:space="preserve">without delay </w:t>
      </w:r>
      <w:r w:rsidR="001956AF" w:rsidRPr="006A0DC3">
        <w:rPr>
          <w:noProof/>
          <w:lang w:val="en-IE"/>
        </w:rPr>
        <w:t xml:space="preserve">all other Member States that </w:t>
      </w:r>
      <w:r w:rsidR="001439E8">
        <w:rPr>
          <w:noProof/>
          <w:lang w:val="en-IE"/>
        </w:rPr>
        <w:t xml:space="preserve">maintain a </w:t>
      </w:r>
      <w:r w:rsidR="00A431C7">
        <w:rPr>
          <w:noProof/>
          <w:lang w:val="en-IE"/>
        </w:rPr>
        <w:t>n</w:t>
      </w:r>
      <w:r w:rsidR="001956AF" w:rsidRPr="006A0DC3">
        <w:rPr>
          <w:noProof/>
          <w:lang w:val="en-IE"/>
        </w:rPr>
        <w:t xml:space="preserve">ational </w:t>
      </w:r>
      <w:r w:rsidR="00A431C7">
        <w:rPr>
          <w:noProof/>
          <w:lang w:val="en-IE"/>
        </w:rPr>
        <w:t>r</w:t>
      </w:r>
      <w:r w:rsidR="001956AF" w:rsidRPr="006A0DC3">
        <w:rPr>
          <w:noProof/>
          <w:lang w:val="en-IE"/>
        </w:rPr>
        <w:t>egister</w:t>
      </w:r>
      <w:r w:rsidR="001439E8">
        <w:rPr>
          <w:noProof/>
          <w:lang w:val="en-IE"/>
        </w:rPr>
        <w:t xml:space="preserve"> according to Article 5</w:t>
      </w:r>
      <w:r w:rsidR="001956AF" w:rsidRPr="006A0DC3">
        <w:rPr>
          <w:noProof/>
          <w:lang w:val="en-IE"/>
        </w:rPr>
        <w:t>.</w:t>
      </w:r>
    </w:p>
    <w:p w14:paraId="5C8886C6" w14:textId="1AD70988" w:rsidR="00F82A9C" w:rsidRDefault="00412FF6" w:rsidP="00412FF6">
      <w:pPr>
        <w:pStyle w:val="ManualNumPar1"/>
        <w:rPr>
          <w:noProof/>
          <w:lang w:val="en-IE"/>
        </w:rPr>
      </w:pPr>
      <w:r w:rsidRPr="00412FF6">
        <w:t>4.</w:t>
      </w:r>
      <w:r w:rsidRPr="00412FF6">
        <w:tab/>
      </w:r>
      <w:r w:rsidR="00F82A9C">
        <w:rPr>
          <w:noProof/>
          <w:lang w:val="en-IE"/>
        </w:rPr>
        <w:t xml:space="preserve">Member States shall </w:t>
      </w:r>
      <w:r w:rsidR="00FC39FC">
        <w:rPr>
          <w:noProof/>
          <w:lang w:val="en-IE"/>
        </w:rPr>
        <w:t xml:space="preserve">ensure that the financial intermediary that has been removed from the national </w:t>
      </w:r>
      <w:r w:rsidR="00F82A9C">
        <w:rPr>
          <w:noProof/>
          <w:lang w:val="en-IE"/>
        </w:rPr>
        <w:t xml:space="preserve">register </w:t>
      </w:r>
      <w:r w:rsidR="00FC39FC">
        <w:rPr>
          <w:noProof/>
          <w:lang w:val="en-IE"/>
        </w:rPr>
        <w:t xml:space="preserve">pursuant to paragraph 1 is </w:t>
      </w:r>
      <w:r w:rsidR="00F82A9C">
        <w:rPr>
          <w:noProof/>
          <w:lang w:val="en-IE"/>
        </w:rPr>
        <w:t>re-register</w:t>
      </w:r>
      <w:r w:rsidR="00FC39FC">
        <w:rPr>
          <w:noProof/>
          <w:lang w:val="en-IE"/>
        </w:rPr>
        <w:t>ed</w:t>
      </w:r>
      <w:r w:rsidR="00F82A9C">
        <w:rPr>
          <w:noProof/>
          <w:lang w:val="en-IE"/>
        </w:rPr>
        <w:t xml:space="preserve"> </w:t>
      </w:r>
      <w:r w:rsidR="00FC39FC">
        <w:rPr>
          <w:noProof/>
          <w:lang w:val="en-IE"/>
        </w:rPr>
        <w:t>where</w:t>
      </w:r>
      <w:r w:rsidR="00F82A9C">
        <w:rPr>
          <w:noProof/>
          <w:lang w:val="en-IE"/>
        </w:rPr>
        <w:t xml:space="preserve"> </w:t>
      </w:r>
      <w:r w:rsidR="00F82A9C">
        <w:rPr>
          <w:noProof/>
        </w:rPr>
        <w:t>any non-compliance with the provisions of this Directive</w:t>
      </w:r>
      <w:r w:rsidR="008D02B3">
        <w:rPr>
          <w:noProof/>
        </w:rPr>
        <w:t xml:space="preserve"> </w:t>
      </w:r>
      <w:r w:rsidR="00F82A9C">
        <w:rPr>
          <w:noProof/>
          <w:lang w:val="en-IE"/>
        </w:rPr>
        <w:t>has been remedied</w:t>
      </w:r>
      <w:r w:rsidR="00D87F0B">
        <w:rPr>
          <w:noProof/>
        </w:rPr>
        <w:t xml:space="preserve">, including payment or settlement of </w:t>
      </w:r>
      <w:r w:rsidR="00D87F0B" w:rsidRPr="006A0DC3">
        <w:rPr>
          <w:noProof/>
          <w:lang w:val="en-IE"/>
        </w:rPr>
        <w:t>any amounts outstanding due to non-compliance therewith</w:t>
      </w:r>
      <w:r w:rsidR="00D50B11">
        <w:rPr>
          <w:noProof/>
          <w:lang w:val="en-IE"/>
        </w:rPr>
        <w:t xml:space="preserve">. </w:t>
      </w:r>
    </w:p>
    <w:p w14:paraId="7CA73231" w14:textId="77777777" w:rsidR="001956AF" w:rsidRPr="008E734B" w:rsidRDefault="001956AF" w:rsidP="004D12F8">
      <w:pPr>
        <w:rPr>
          <w:noProof/>
          <w:lang w:val="en-IE"/>
        </w:rPr>
      </w:pPr>
    </w:p>
    <w:p w14:paraId="353D8C6B" w14:textId="77777777" w:rsidR="001956AF" w:rsidRPr="008E734B" w:rsidRDefault="001956AF" w:rsidP="001956AF">
      <w:pPr>
        <w:jc w:val="center"/>
        <w:rPr>
          <w:b/>
          <w:bCs/>
          <w:i/>
          <w:noProof/>
        </w:rPr>
      </w:pPr>
      <w:r w:rsidRPr="008E734B">
        <w:rPr>
          <w:b/>
          <w:bCs/>
          <w:i/>
          <w:noProof/>
        </w:rPr>
        <w:t>SECTION 2</w:t>
      </w:r>
    </w:p>
    <w:p w14:paraId="1540C036" w14:textId="77777777" w:rsidR="001956AF" w:rsidRPr="008E734B" w:rsidRDefault="001956AF" w:rsidP="008E734B">
      <w:pPr>
        <w:jc w:val="center"/>
        <w:rPr>
          <w:b/>
          <w:bCs/>
          <w:iCs/>
          <w:noProof/>
        </w:rPr>
      </w:pPr>
      <w:r w:rsidRPr="008E734B">
        <w:rPr>
          <w:b/>
          <w:bCs/>
          <w:iCs/>
          <w:noProof/>
        </w:rPr>
        <w:t>REPORTING</w:t>
      </w:r>
    </w:p>
    <w:p w14:paraId="701A9B33" w14:textId="77777777" w:rsidR="001956AF" w:rsidRDefault="001956AF" w:rsidP="008E734B">
      <w:pPr>
        <w:pStyle w:val="Titrearticle"/>
        <w:rPr>
          <w:b/>
          <w:bCs/>
          <w:i w:val="0"/>
          <w:iCs/>
          <w:noProof/>
          <w:lang w:val="en-IE"/>
        </w:rPr>
      </w:pPr>
      <w:r>
        <w:rPr>
          <w:noProof/>
        </w:rPr>
        <w:t xml:space="preserve">Article </w:t>
      </w:r>
      <w:r w:rsidR="0000236E">
        <w:rPr>
          <w:noProof/>
        </w:rPr>
        <w:t>9</w:t>
      </w:r>
      <w:r>
        <w:rPr>
          <w:noProof/>
        </w:rPr>
        <w:t xml:space="preserve"> </w:t>
      </w:r>
      <w:r w:rsidR="008E734B">
        <w:rPr>
          <w:noProof/>
        </w:rPr>
        <w:br/>
      </w:r>
      <w:r w:rsidRPr="008E734B">
        <w:rPr>
          <w:b/>
          <w:bCs/>
          <w:i w:val="0"/>
          <w:iCs/>
          <w:noProof/>
          <w:lang w:val="en-IE"/>
        </w:rPr>
        <w:t>Obligation to report</w:t>
      </w:r>
    </w:p>
    <w:p w14:paraId="47C0ED96" w14:textId="41CE1A62" w:rsidR="00326812" w:rsidRPr="00E75766" w:rsidRDefault="00412FF6" w:rsidP="00412FF6">
      <w:pPr>
        <w:pStyle w:val="ManualNumPar1"/>
        <w:rPr>
          <w:noProof/>
          <w:lang w:val="en-IE"/>
        </w:rPr>
      </w:pPr>
      <w:r w:rsidRPr="00412FF6">
        <w:t>1.</w:t>
      </w:r>
      <w:r w:rsidRPr="00412FF6">
        <w:tab/>
      </w:r>
      <w:r w:rsidR="001956AF">
        <w:rPr>
          <w:noProof/>
        </w:rPr>
        <w:t xml:space="preserve">Member States </w:t>
      </w:r>
      <w:r w:rsidR="001956AF" w:rsidRPr="00E75766">
        <w:rPr>
          <w:noProof/>
          <w:lang w:val="en-IE"/>
        </w:rPr>
        <w:t xml:space="preserve">shall take the necessary measures to require </w:t>
      </w:r>
      <w:r w:rsidR="00A431C7" w:rsidRPr="00E75766">
        <w:rPr>
          <w:noProof/>
          <w:lang w:val="en-IE"/>
        </w:rPr>
        <w:t>c</w:t>
      </w:r>
      <w:r w:rsidR="001956AF" w:rsidRPr="00E75766">
        <w:rPr>
          <w:noProof/>
          <w:lang w:val="en-IE"/>
        </w:rPr>
        <w:t xml:space="preserve">ertified </w:t>
      </w:r>
      <w:r w:rsidR="00A431C7" w:rsidRPr="00E75766">
        <w:rPr>
          <w:noProof/>
          <w:lang w:val="en-IE"/>
        </w:rPr>
        <w:t>f</w:t>
      </w:r>
      <w:r w:rsidR="001956AF" w:rsidRPr="00E75766">
        <w:rPr>
          <w:noProof/>
          <w:lang w:val="en-IE"/>
        </w:rPr>
        <w:t xml:space="preserve">inancial </w:t>
      </w:r>
      <w:r w:rsidR="00A431C7" w:rsidRPr="00E75766">
        <w:rPr>
          <w:noProof/>
          <w:lang w:val="en-IE"/>
        </w:rPr>
        <w:t>i</w:t>
      </w:r>
      <w:r w:rsidR="001956AF" w:rsidRPr="00E75766">
        <w:rPr>
          <w:noProof/>
          <w:lang w:val="en-IE"/>
        </w:rPr>
        <w:t xml:space="preserve">ntermediaries in their </w:t>
      </w:r>
      <w:r w:rsidR="00A431C7" w:rsidRPr="00E75766">
        <w:rPr>
          <w:noProof/>
          <w:lang w:val="en-IE"/>
        </w:rPr>
        <w:t>n</w:t>
      </w:r>
      <w:r w:rsidR="001956AF" w:rsidRPr="00E75766">
        <w:rPr>
          <w:noProof/>
          <w:lang w:val="en-IE"/>
        </w:rPr>
        <w:t xml:space="preserve">ational </w:t>
      </w:r>
      <w:r w:rsidR="00A431C7" w:rsidRPr="00E75766">
        <w:rPr>
          <w:noProof/>
          <w:lang w:val="en-IE"/>
        </w:rPr>
        <w:t>r</w:t>
      </w:r>
      <w:r w:rsidR="001956AF" w:rsidRPr="00E75766">
        <w:rPr>
          <w:noProof/>
          <w:lang w:val="en-IE"/>
        </w:rPr>
        <w:t xml:space="preserve">egister </w:t>
      </w:r>
      <w:r w:rsidR="008D14AE" w:rsidRPr="00E75766">
        <w:rPr>
          <w:noProof/>
          <w:lang w:val="en-IE"/>
        </w:rPr>
        <w:t xml:space="preserve">to </w:t>
      </w:r>
      <w:r w:rsidR="001956AF" w:rsidRPr="00E75766">
        <w:rPr>
          <w:noProof/>
          <w:lang w:val="en-IE"/>
        </w:rPr>
        <w:t>report</w:t>
      </w:r>
      <w:r w:rsidR="00A810CE" w:rsidRPr="00E75766">
        <w:rPr>
          <w:noProof/>
          <w:lang w:val="en-IE"/>
        </w:rPr>
        <w:t xml:space="preserve"> </w:t>
      </w:r>
      <w:r w:rsidR="00A836A0" w:rsidRPr="00E75766">
        <w:rPr>
          <w:noProof/>
          <w:lang w:val="en-IE"/>
        </w:rPr>
        <w:t xml:space="preserve">to the competent authority </w:t>
      </w:r>
      <w:r w:rsidR="00A810CE" w:rsidRPr="00E75766">
        <w:rPr>
          <w:noProof/>
          <w:lang w:val="en-IE"/>
        </w:rPr>
        <w:t xml:space="preserve">the </w:t>
      </w:r>
      <w:r w:rsidR="001956AF" w:rsidRPr="00E75766">
        <w:rPr>
          <w:noProof/>
          <w:lang w:val="en-IE"/>
        </w:rPr>
        <w:t xml:space="preserve">information </w:t>
      </w:r>
      <w:r w:rsidR="00EF0B32" w:rsidRPr="00E75766">
        <w:rPr>
          <w:noProof/>
          <w:lang w:val="en-IE"/>
        </w:rPr>
        <w:t>referred to</w:t>
      </w:r>
      <w:r w:rsidR="001956AF" w:rsidRPr="00E75766">
        <w:rPr>
          <w:noProof/>
          <w:lang w:val="en-IE"/>
        </w:rPr>
        <w:t xml:space="preserve"> in Annex II </w:t>
      </w:r>
      <w:r w:rsidR="0098755D" w:rsidRPr="00E75766">
        <w:rPr>
          <w:noProof/>
          <w:lang w:val="en-IE"/>
        </w:rPr>
        <w:t xml:space="preserve">as soon as possible after </w:t>
      </w:r>
      <w:r w:rsidR="4ADBFD03" w:rsidRPr="00E75766">
        <w:rPr>
          <w:noProof/>
          <w:lang w:val="en-IE"/>
        </w:rPr>
        <w:t>the record date, unless a settlement instruction in respect of any part of a transaction is pending on the record date, in which case the reporting for that transaction sh</w:t>
      </w:r>
      <w:r w:rsidR="24F97211" w:rsidRPr="00E75766">
        <w:rPr>
          <w:noProof/>
          <w:lang w:val="en-IE"/>
        </w:rPr>
        <w:t>all</w:t>
      </w:r>
      <w:r w:rsidR="4ADBFD03" w:rsidRPr="00E75766">
        <w:rPr>
          <w:noProof/>
          <w:lang w:val="en-IE"/>
        </w:rPr>
        <w:t xml:space="preserve"> </w:t>
      </w:r>
      <w:r w:rsidR="290D4ACD" w:rsidRPr="00E75766">
        <w:rPr>
          <w:noProof/>
          <w:lang w:val="en-IE"/>
        </w:rPr>
        <w:t>take place</w:t>
      </w:r>
      <w:r w:rsidR="4ADBFD03" w:rsidRPr="00E75766">
        <w:rPr>
          <w:noProof/>
          <w:lang w:val="en-IE"/>
        </w:rPr>
        <w:t xml:space="preserve"> as soon as possible after the settlement</w:t>
      </w:r>
      <w:r w:rsidR="05548E51" w:rsidRPr="00E75766">
        <w:rPr>
          <w:noProof/>
          <w:lang w:val="en-IE"/>
        </w:rPr>
        <w:t>.</w:t>
      </w:r>
      <w:r w:rsidR="0098755D" w:rsidRPr="00E75766">
        <w:rPr>
          <w:noProof/>
          <w:lang w:val="en-IE"/>
        </w:rPr>
        <w:t xml:space="preserve"> If 20 days after the record date</w:t>
      </w:r>
      <w:r w:rsidR="00326812" w:rsidRPr="00E75766">
        <w:rPr>
          <w:noProof/>
          <w:lang w:val="en-IE"/>
        </w:rPr>
        <w:t>,</w:t>
      </w:r>
      <w:r w:rsidR="0098755D" w:rsidRPr="00E75766">
        <w:rPr>
          <w:noProof/>
          <w:lang w:val="en-IE"/>
        </w:rPr>
        <w:t xml:space="preserve"> settlement is still pending for any part of the </w:t>
      </w:r>
      <w:r w:rsidR="00C17987" w:rsidRPr="00E75766">
        <w:rPr>
          <w:noProof/>
          <w:lang w:val="en-IE"/>
        </w:rPr>
        <w:t>transaction</w:t>
      </w:r>
      <w:r w:rsidR="0098755D" w:rsidRPr="00E75766">
        <w:rPr>
          <w:noProof/>
          <w:lang w:val="en-IE"/>
        </w:rPr>
        <w:t xml:space="preserve">, </w:t>
      </w:r>
      <w:r w:rsidR="00A431C7" w:rsidRPr="00E75766">
        <w:rPr>
          <w:noProof/>
          <w:lang w:val="en-IE"/>
        </w:rPr>
        <w:t>c</w:t>
      </w:r>
      <w:r w:rsidR="0098755D" w:rsidRPr="00E75766">
        <w:rPr>
          <w:noProof/>
          <w:lang w:val="en-IE"/>
        </w:rPr>
        <w:t xml:space="preserve">ertified </w:t>
      </w:r>
      <w:r w:rsidR="00A431C7" w:rsidRPr="00E75766">
        <w:rPr>
          <w:noProof/>
          <w:lang w:val="en-IE"/>
        </w:rPr>
        <w:t>f</w:t>
      </w:r>
      <w:r w:rsidR="0098755D" w:rsidRPr="00E75766">
        <w:rPr>
          <w:noProof/>
          <w:lang w:val="en-IE"/>
        </w:rPr>
        <w:t xml:space="preserve">inancial </w:t>
      </w:r>
      <w:r w:rsidR="00A431C7" w:rsidRPr="00E75766">
        <w:rPr>
          <w:noProof/>
          <w:lang w:val="en-IE"/>
        </w:rPr>
        <w:t>i</w:t>
      </w:r>
      <w:r w:rsidR="0098755D" w:rsidRPr="00E75766">
        <w:rPr>
          <w:noProof/>
          <w:lang w:val="en-IE"/>
        </w:rPr>
        <w:t xml:space="preserve">ntermediaries shall report within the next 5 calendar days </w:t>
      </w:r>
      <w:r w:rsidR="001956AF" w:rsidRPr="00E75766">
        <w:rPr>
          <w:noProof/>
          <w:lang w:val="en-IE"/>
        </w:rPr>
        <w:t xml:space="preserve">indicating </w:t>
      </w:r>
      <w:r w:rsidR="0098755D" w:rsidRPr="00E75766">
        <w:rPr>
          <w:noProof/>
          <w:lang w:val="en-IE"/>
        </w:rPr>
        <w:t>the</w:t>
      </w:r>
      <w:r w:rsidR="001956AF" w:rsidRPr="00E75766">
        <w:rPr>
          <w:noProof/>
          <w:lang w:val="en-IE"/>
        </w:rPr>
        <w:t xml:space="preserve"> part for which settlement is pending. </w:t>
      </w:r>
    </w:p>
    <w:p w14:paraId="4F676949" w14:textId="027E4949" w:rsidR="001956AF" w:rsidRPr="006A0DC3" w:rsidRDefault="00412FF6" w:rsidP="00412FF6">
      <w:pPr>
        <w:pStyle w:val="ManualNumPar1"/>
        <w:rPr>
          <w:noProof/>
          <w:lang w:val="en-US"/>
        </w:rPr>
      </w:pPr>
      <w:r w:rsidRPr="00412FF6">
        <w:t>2.</w:t>
      </w:r>
      <w:r w:rsidRPr="00412FF6">
        <w:tab/>
      </w:r>
      <w:r w:rsidR="00326812" w:rsidRPr="006A0DC3">
        <w:rPr>
          <w:noProof/>
          <w:lang w:val="en-IE"/>
        </w:rPr>
        <w:t xml:space="preserve">Member States </w:t>
      </w:r>
      <w:r w:rsidR="00A603CD">
        <w:rPr>
          <w:noProof/>
          <w:lang w:val="en-IE"/>
        </w:rPr>
        <w:t xml:space="preserve">shall </w:t>
      </w:r>
      <w:r w:rsidR="00326812" w:rsidRPr="006A0DC3">
        <w:rPr>
          <w:noProof/>
          <w:lang w:val="en-IE"/>
        </w:rPr>
        <w:t xml:space="preserve">provide that </w:t>
      </w:r>
      <w:r w:rsidR="00A431C7">
        <w:rPr>
          <w:noProof/>
          <w:lang w:val="en-IE"/>
        </w:rPr>
        <w:t>c</w:t>
      </w:r>
      <w:r w:rsidR="00326812" w:rsidRPr="006A0DC3">
        <w:rPr>
          <w:noProof/>
          <w:lang w:val="en-IE"/>
        </w:rPr>
        <w:t xml:space="preserve">ertified </w:t>
      </w:r>
      <w:r w:rsidR="00A431C7">
        <w:rPr>
          <w:noProof/>
          <w:lang w:val="en-IE"/>
        </w:rPr>
        <w:t>f</w:t>
      </w:r>
      <w:r w:rsidR="00326812" w:rsidRPr="006A0DC3">
        <w:rPr>
          <w:noProof/>
          <w:lang w:val="en-IE"/>
        </w:rPr>
        <w:t xml:space="preserve">inancial </w:t>
      </w:r>
      <w:r w:rsidR="00A431C7">
        <w:rPr>
          <w:noProof/>
          <w:lang w:val="en-IE"/>
        </w:rPr>
        <w:t>i</w:t>
      </w:r>
      <w:r w:rsidR="00326812" w:rsidRPr="006A0DC3">
        <w:rPr>
          <w:noProof/>
          <w:lang w:val="en-IE"/>
        </w:rPr>
        <w:t>ntermediaries do not need to report</w:t>
      </w:r>
      <w:r w:rsidR="0098755D" w:rsidRPr="006A0DC3">
        <w:rPr>
          <w:noProof/>
          <w:lang w:val="en-IE"/>
        </w:rPr>
        <w:t xml:space="preserve"> information </w:t>
      </w:r>
      <w:r w:rsidR="00EF0B32">
        <w:rPr>
          <w:noProof/>
          <w:lang w:val="en-IE"/>
        </w:rPr>
        <w:t>referred to in</w:t>
      </w:r>
      <w:r w:rsidR="0098755D" w:rsidRPr="006A0DC3">
        <w:rPr>
          <w:noProof/>
          <w:lang w:val="en-IE"/>
        </w:rPr>
        <w:t xml:space="preserve"> Annex II</w:t>
      </w:r>
      <w:r w:rsidR="00EF0B32">
        <w:rPr>
          <w:noProof/>
          <w:lang w:val="en-IE"/>
        </w:rPr>
        <w:t>,</w:t>
      </w:r>
      <w:r w:rsidR="0098755D" w:rsidRPr="006A0DC3">
        <w:rPr>
          <w:noProof/>
          <w:lang w:val="en-IE"/>
        </w:rPr>
        <w:t xml:space="preserve"> </w:t>
      </w:r>
      <w:r w:rsidR="00EF0B32" w:rsidRPr="006A0DC3">
        <w:rPr>
          <w:noProof/>
          <w:lang w:val="en-IE"/>
        </w:rPr>
        <w:t>heading E</w:t>
      </w:r>
      <w:r w:rsidR="00251560">
        <w:rPr>
          <w:noProof/>
          <w:lang w:val="en-IE"/>
        </w:rPr>
        <w:t>,</w:t>
      </w:r>
      <w:r w:rsidR="00EF0B32" w:rsidRPr="006A0DC3">
        <w:rPr>
          <w:noProof/>
          <w:lang w:val="en-IE"/>
        </w:rPr>
        <w:t xml:space="preserve"> </w:t>
      </w:r>
      <w:r w:rsidR="0098755D" w:rsidRPr="006A0DC3">
        <w:rPr>
          <w:noProof/>
          <w:lang w:val="en-IE"/>
        </w:rPr>
        <w:t xml:space="preserve">if the </w:t>
      </w:r>
      <w:r w:rsidR="00D361EC">
        <w:rPr>
          <w:noProof/>
          <w:lang w:val="en-IE"/>
        </w:rPr>
        <w:t>total</w:t>
      </w:r>
      <w:r w:rsidR="0098755D" w:rsidRPr="006A0DC3">
        <w:rPr>
          <w:noProof/>
          <w:lang w:val="en-IE"/>
        </w:rPr>
        <w:t xml:space="preserve"> dividend </w:t>
      </w:r>
      <w:r w:rsidR="005E569E" w:rsidRPr="000C056D">
        <w:rPr>
          <w:noProof/>
          <w:lang w:val="en-IE"/>
        </w:rPr>
        <w:t xml:space="preserve">paid to </w:t>
      </w:r>
      <w:r w:rsidR="00C224FE" w:rsidRPr="000C056D">
        <w:rPr>
          <w:noProof/>
          <w:lang w:val="en-IE"/>
        </w:rPr>
        <w:t xml:space="preserve">the </w:t>
      </w:r>
      <w:r w:rsidR="00BF7E1F">
        <w:rPr>
          <w:noProof/>
          <w:lang w:val="en-IE"/>
        </w:rPr>
        <w:t>re</w:t>
      </w:r>
      <w:r w:rsidR="00EB19CD">
        <w:rPr>
          <w:noProof/>
          <w:lang w:val="en-IE"/>
        </w:rPr>
        <w:t xml:space="preserve">gistered </w:t>
      </w:r>
      <w:r w:rsidR="00BF7E1F">
        <w:rPr>
          <w:noProof/>
          <w:lang w:val="en-IE"/>
        </w:rPr>
        <w:t>owner</w:t>
      </w:r>
      <w:r w:rsidR="00C224FE" w:rsidRPr="000C056D">
        <w:rPr>
          <w:noProof/>
          <w:lang w:val="en-IE"/>
        </w:rPr>
        <w:t xml:space="preserve"> </w:t>
      </w:r>
      <w:r w:rsidR="00D361EC">
        <w:rPr>
          <w:noProof/>
          <w:lang w:val="en-IE"/>
        </w:rPr>
        <w:t>on the owner’s</w:t>
      </w:r>
      <w:r w:rsidR="00D361EC" w:rsidRPr="000C056D">
        <w:rPr>
          <w:noProof/>
          <w:lang w:val="en-IE"/>
        </w:rPr>
        <w:t xml:space="preserve"> </w:t>
      </w:r>
      <w:r w:rsidR="6BB315C3" w:rsidRPr="7BA2523B">
        <w:rPr>
          <w:noProof/>
          <w:lang w:val="en-IE"/>
        </w:rPr>
        <w:t>s</w:t>
      </w:r>
      <w:r w:rsidR="12CE19F3" w:rsidRPr="7BA2523B">
        <w:rPr>
          <w:noProof/>
          <w:lang w:val="en-IE"/>
        </w:rPr>
        <w:t>hare</w:t>
      </w:r>
      <w:r w:rsidR="00EB19CD">
        <w:rPr>
          <w:noProof/>
          <w:lang w:val="en-IE"/>
        </w:rPr>
        <w:t>holding</w:t>
      </w:r>
      <w:r w:rsidR="00FC4004">
        <w:rPr>
          <w:noProof/>
          <w:lang w:val="en-IE"/>
        </w:rPr>
        <w:t xml:space="preserve"> </w:t>
      </w:r>
      <w:r w:rsidR="001626E0">
        <w:rPr>
          <w:noProof/>
          <w:lang w:val="en-IE"/>
        </w:rPr>
        <w:t xml:space="preserve">in a company </w:t>
      </w:r>
      <w:r w:rsidR="0098755D" w:rsidRPr="000C056D">
        <w:rPr>
          <w:noProof/>
          <w:lang w:val="en-IE"/>
        </w:rPr>
        <w:t xml:space="preserve">does not exceed EUR </w:t>
      </w:r>
      <w:r w:rsidR="00BE1B0B" w:rsidRPr="000C056D">
        <w:rPr>
          <w:noProof/>
          <w:lang w:val="en-IE"/>
        </w:rPr>
        <w:t>10</w:t>
      </w:r>
      <w:r w:rsidR="0098755D" w:rsidRPr="000C056D">
        <w:rPr>
          <w:noProof/>
          <w:lang w:val="en-IE"/>
        </w:rPr>
        <w:t>00.</w:t>
      </w:r>
    </w:p>
    <w:p w14:paraId="4D3EEE89" w14:textId="31FE43DD" w:rsidR="00567641" w:rsidRPr="005E5BD8" w:rsidRDefault="00412FF6" w:rsidP="00412FF6">
      <w:pPr>
        <w:pStyle w:val="ManualNumPar1"/>
        <w:rPr>
          <w:noProof/>
          <w:lang w:val="en-US"/>
        </w:rPr>
      </w:pPr>
      <w:r w:rsidRPr="00412FF6">
        <w:t>3.</w:t>
      </w:r>
      <w:r w:rsidRPr="00412FF6">
        <w:tab/>
      </w:r>
      <w:r w:rsidR="00567641" w:rsidRPr="006A0DC3">
        <w:rPr>
          <w:noProof/>
          <w:lang w:val="en-IE"/>
        </w:rPr>
        <w:t xml:space="preserve">Member States that </w:t>
      </w:r>
      <w:r w:rsidR="00931BE3">
        <w:rPr>
          <w:noProof/>
          <w:lang w:val="en-IE"/>
        </w:rPr>
        <w:t>opt to use</w:t>
      </w:r>
      <w:r w:rsidR="005E569E">
        <w:rPr>
          <w:noProof/>
          <w:lang w:val="en-IE"/>
        </w:rPr>
        <w:t xml:space="preserve"> a </w:t>
      </w:r>
      <w:r w:rsidR="00EF0B32">
        <w:rPr>
          <w:noProof/>
          <w:lang w:val="en-IE"/>
        </w:rPr>
        <w:t>n</w:t>
      </w:r>
      <w:r w:rsidR="005E569E">
        <w:rPr>
          <w:noProof/>
          <w:lang w:val="en-IE"/>
        </w:rPr>
        <w:t xml:space="preserve">ational </w:t>
      </w:r>
      <w:r w:rsidR="00EF0B32">
        <w:rPr>
          <w:noProof/>
          <w:lang w:val="en-IE"/>
        </w:rPr>
        <w:t>r</w:t>
      </w:r>
      <w:r w:rsidR="005E569E">
        <w:rPr>
          <w:noProof/>
          <w:lang w:val="en-IE"/>
        </w:rPr>
        <w:t>egister</w:t>
      </w:r>
      <w:r w:rsidR="00931BE3">
        <w:rPr>
          <w:noProof/>
          <w:lang w:val="en-IE"/>
        </w:rPr>
        <w:t xml:space="preserve"> established </w:t>
      </w:r>
      <w:r w:rsidR="00EF0B32">
        <w:rPr>
          <w:noProof/>
          <w:lang w:val="en-IE"/>
        </w:rPr>
        <w:t xml:space="preserve">in accordance with </w:t>
      </w:r>
      <w:r w:rsidR="00931BE3">
        <w:rPr>
          <w:noProof/>
          <w:lang w:val="en-IE"/>
        </w:rPr>
        <w:t>Article 5 in relation to payments of interest</w:t>
      </w:r>
      <w:r w:rsidR="00D9206F" w:rsidRPr="006A0DC3">
        <w:rPr>
          <w:noProof/>
          <w:lang w:val="en-IE"/>
        </w:rPr>
        <w:t xml:space="preserve">, </w:t>
      </w:r>
      <w:r w:rsidR="00AF6A5D" w:rsidRPr="006A0DC3">
        <w:rPr>
          <w:noProof/>
          <w:lang w:val="en-IE"/>
        </w:rPr>
        <w:t xml:space="preserve">shall </w:t>
      </w:r>
      <w:r w:rsidR="00931BE3">
        <w:rPr>
          <w:noProof/>
          <w:lang w:val="en-IE"/>
        </w:rPr>
        <w:t xml:space="preserve">require </w:t>
      </w:r>
      <w:r w:rsidR="00EF0B32">
        <w:rPr>
          <w:noProof/>
          <w:lang w:val="en-IE"/>
        </w:rPr>
        <w:t>c</w:t>
      </w:r>
      <w:r w:rsidR="00931BE3">
        <w:rPr>
          <w:noProof/>
          <w:lang w:val="en-IE"/>
        </w:rPr>
        <w:t xml:space="preserve">ertified </w:t>
      </w:r>
      <w:r w:rsidR="00EF0B32">
        <w:rPr>
          <w:noProof/>
          <w:lang w:val="en-IE"/>
        </w:rPr>
        <w:t>f</w:t>
      </w:r>
      <w:r w:rsidR="00931BE3">
        <w:rPr>
          <w:noProof/>
          <w:lang w:val="en-IE"/>
        </w:rPr>
        <w:t xml:space="preserve">inancial </w:t>
      </w:r>
      <w:r w:rsidR="00EF0B32">
        <w:rPr>
          <w:noProof/>
          <w:lang w:val="en-IE"/>
        </w:rPr>
        <w:t>i</w:t>
      </w:r>
      <w:r w:rsidR="00931BE3">
        <w:rPr>
          <w:noProof/>
          <w:lang w:val="en-IE"/>
        </w:rPr>
        <w:t xml:space="preserve">ntermediaries to report the information included in Annex II but shall not require </w:t>
      </w:r>
      <w:r w:rsidR="00AF6A5D" w:rsidRPr="006A0DC3">
        <w:rPr>
          <w:noProof/>
          <w:lang w:val="en-IE"/>
        </w:rPr>
        <w:t xml:space="preserve">reporting </w:t>
      </w:r>
      <w:r w:rsidR="005E569E">
        <w:rPr>
          <w:noProof/>
          <w:lang w:val="en-IE"/>
        </w:rPr>
        <w:t>of</w:t>
      </w:r>
      <w:r w:rsidR="00693FA9" w:rsidRPr="006A0DC3">
        <w:rPr>
          <w:noProof/>
          <w:lang w:val="en-IE"/>
        </w:rPr>
        <w:t xml:space="preserve"> information under heading E</w:t>
      </w:r>
      <w:r w:rsidR="00AF6A5D" w:rsidRPr="006A0DC3">
        <w:rPr>
          <w:noProof/>
          <w:lang w:val="en-IE"/>
        </w:rPr>
        <w:t xml:space="preserve">. </w:t>
      </w:r>
    </w:p>
    <w:p w14:paraId="0251CF85" w14:textId="40EBD2AE" w:rsidR="001956AF" w:rsidRPr="006A0DC3" w:rsidRDefault="00412FF6" w:rsidP="00412FF6">
      <w:pPr>
        <w:pStyle w:val="ManualNumPar1"/>
        <w:rPr>
          <w:noProof/>
          <w:lang w:val="en-US"/>
        </w:rPr>
      </w:pPr>
      <w:r w:rsidRPr="00412FF6">
        <w:t>4.</w:t>
      </w:r>
      <w:r w:rsidRPr="00412FF6">
        <w:tab/>
      </w:r>
      <w:r w:rsidR="0098755D" w:rsidRPr="006A0DC3">
        <w:rPr>
          <w:noProof/>
          <w:lang w:val="en-IE"/>
        </w:rPr>
        <w:t xml:space="preserve">The Commission shall adopt implementing acts laying down standard computerised forms, including the linguistic arrangements, and requirements for the communication channels, for the reporting of information </w:t>
      </w:r>
      <w:r w:rsidR="0030687B">
        <w:rPr>
          <w:noProof/>
          <w:lang w:val="en-IE"/>
        </w:rPr>
        <w:t>referred to in Annex II</w:t>
      </w:r>
      <w:r w:rsidR="00EF0B32">
        <w:rPr>
          <w:noProof/>
          <w:lang w:val="en-IE"/>
        </w:rPr>
        <w:t xml:space="preserve">. Those implementing acts shall be adopted </w:t>
      </w:r>
      <w:r w:rsidR="0098755D" w:rsidRPr="006A0DC3">
        <w:rPr>
          <w:noProof/>
          <w:lang w:val="en-IE"/>
        </w:rPr>
        <w:t xml:space="preserve">in accordance with the </w:t>
      </w:r>
      <w:r w:rsidR="00EF0B32">
        <w:rPr>
          <w:noProof/>
          <w:lang w:val="en-IE"/>
        </w:rPr>
        <w:t xml:space="preserve">examination </w:t>
      </w:r>
      <w:r w:rsidR="0098755D" w:rsidRPr="006A0DC3">
        <w:rPr>
          <w:noProof/>
          <w:lang w:val="en-IE"/>
        </w:rPr>
        <w:t xml:space="preserve">procedure referred to in Article </w:t>
      </w:r>
      <w:r w:rsidR="00282365" w:rsidRPr="006A0DC3">
        <w:rPr>
          <w:noProof/>
          <w:lang w:val="en-IE"/>
        </w:rPr>
        <w:t>1</w:t>
      </w:r>
      <w:r w:rsidR="000C742A" w:rsidRPr="006A0DC3">
        <w:rPr>
          <w:noProof/>
          <w:lang w:val="en-IE"/>
        </w:rPr>
        <w:t>8</w:t>
      </w:r>
      <w:r w:rsidR="0098755D" w:rsidRPr="006A0DC3">
        <w:rPr>
          <w:noProof/>
          <w:lang w:val="en-IE"/>
        </w:rPr>
        <w:t>.</w:t>
      </w:r>
    </w:p>
    <w:p w14:paraId="1792DB50" w14:textId="1B0C4626" w:rsidR="001956AF" w:rsidRPr="006A0DC3" w:rsidRDefault="00412FF6" w:rsidP="00412FF6">
      <w:pPr>
        <w:pStyle w:val="ManualNumPar1"/>
        <w:rPr>
          <w:noProof/>
          <w:lang w:val="en-IE"/>
        </w:rPr>
      </w:pPr>
      <w:r w:rsidRPr="00412FF6">
        <w:t>5.</w:t>
      </w:r>
      <w:r w:rsidRPr="00412FF6">
        <w:tab/>
      </w:r>
      <w:r w:rsidR="001956AF" w:rsidRPr="006A0DC3">
        <w:rPr>
          <w:noProof/>
          <w:lang w:val="en-IE"/>
        </w:rPr>
        <w:t xml:space="preserve">Member States shall require </w:t>
      </w:r>
      <w:r w:rsidR="00EF0B32">
        <w:rPr>
          <w:noProof/>
          <w:lang w:val="en-IE"/>
        </w:rPr>
        <w:t>c</w:t>
      </w:r>
      <w:r w:rsidR="001956AF" w:rsidRPr="006A0DC3">
        <w:rPr>
          <w:noProof/>
          <w:lang w:val="en-IE"/>
        </w:rPr>
        <w:t xml:space="preserve">ertified </w:t>
      </w:r>
      <w:r w:rsidR="00EF0B32">
        <w:rPr>
          <w:noProof/>
          <w:lang w:val="en-IE"/>
        </w:rPr>
        <w:t>f</w:t>
      </w:r>
      <w:r w:rsidR="001956AF" w:rsidRPr="006A0DC3">
        <w:rPr>
          <w:noProof/>
          <w:lang w:val="en-IE"/>
        </w:rPr>
        <w:t xml:space="preserve">inancial </w:t>
      </w:r>
      <w:r w:rsidR="00EF0B32">
        <w:rPr>
          <w:noProof/>
          <w:lang w:val="en-IE"/>
        </w:rPr>
        <w:t>i</w:t>
      </w:r>
      <w:r w:rsidR="001956AF" w:rsidRPr="006A0DC3">
        <w:rPr>
          <w:noProof/>
          <w:lang w:val="en-IE"/>
        </w:rPr>
        <w:t xml:space="preserve">ntermediaries in their </w:t>
      </w:r>
      <w:r w:rsidR="00EF0B32">
        <w:rPr>
          <w:noProof/>
          <w:lang w:val="en-IE"/>
        </w:rPr>
        <w:t>n</w:t>
      </w:r>
      <w:r w:rsidR="001956AF" w:rsidRPr="006A0DC3">
        <w:rPr>
          <w:noProof/>
          <w:lang w:val="en-IE"/>
        </w:rPr>
        <w:t xml:space="preserve">ational </w:t>
      </w:r>
      <w:r w:rsidR="00EF0B32">
        <w:rPr>
          <w:noProof/>
          <w:lang w:val="en-IE"/>
        </w:rPr>
        <w:t>r</w:t>
      </w:r>
      <w:r w:rsidR="001956AF" w:rsidRPr="006A0DC3">
        <w:rPr>
          <w:noProof/>
          <w:lang w:val="en-IE"/>
        </w:rPr>
        <w:t xml:space="preserve">egister to </w:t>
      </w:r>
      <w:r w:rsidR="00934E15" w:rsidRPr="006A0DC3">
        <w:rPr>
          <w:noProof/>
          <w:lang w:val="en-IE"/>
        </w:rPr>
        <w:t xml:space="preserve">keep the </w:t>
      </w:r>
      <w:r w:rsidR="001956AF" w:rsidRPr="006A0DC3">
        <w:rPr>
          <w:noProof/>
          <w:lang w:val="en-IE"/>
        </w:rPr>
        <w:t xml:space="preserve">documentation supporting the information reported </w:t>
      </w:r>
      <w:r w:rsidR="00EF0B32" w:rsidRPr="006A0DC3">
        <w:rPr>
          <w:noProof/>
          <w:lang w:val="en-IE"/>
        </w:rPr>
        <w:t xml:space="preserve">for five years </w:t>
      </w:r>
      <w:r w:rsidR="001956AF" w:rsidRPr="006A0DC3">
        <w:rPr>
          <w:noProof/>
          <w:lang w:val="en-IE"/>
        </w:rPr>
        <w:t xml:space="preserve">and </w:t>
      </w:r>
      <w:r w:rsidR="00A810CE" w:rsidRPr="006A0DC3">
        <w:rPr>
          <w:noProof/>
          <w:lang w:val="en-IE"/>
        </w:rPr>
        <w:t xml:space="preserve">to provide </w:t>
      </w:r>
      <w:r w:rsidR="001956AF" w:rsidRPr="006A0DC3">
        <w:rPr>
          <w:noProof/>
          <w:lang w:val="en-IE"/>
        </w:rPr>
        <w:t xml:space="preserve">access to any other information, </w:t>
      </w:r>
      <w:r w:rsidR="009B76CF">
        <w:rPr>
          <w:noProof/>
          <w:lang w:val="en-IE"/>
        </w:rPr>
        <w:t>as well as</w:t>
      </w:r>
      <w:r w:rsidR="001956AF" w:rsidRPr="006A0DC3">
        <w:rPr>
          <w:noProof/>
          <w:lang w:val="en-IE"/>
        </w:rPr>
        <w:t xml:space="preserve"> access to </w:t>
      </w:r>
      <w:r w:rsidR="003D361B" w:rsidRPr="006A0DC3">
        <w:rPr>
          <w:noProof/>
          <w:lang w:val="en-IE"/>
        </w:rPr>
        <w:t>the</w:t>
      </w:r>
      <w:r w:rsidR="0027383B">
        <w:rPr>
          <w:noProof/>
          <w:lang w:val="en-IE"/>
        </w:rPr>
        <w:t>ir</w:t>
      </w:r>
      <w:r w:rsidR="003D361B" w:rsidRPr="006A0DC3">
        <w:rPr>
          <w:noProof/>
          <w:lang w:val="en-IE"/>
        </w:rPr>
        <w:t xml:space="preserve"> </w:t>
      </w:r>
      <w:r w:rsidR="001956AF" w:rsidRPr="006A0DC3">
        <w:rPr>
          <w:noProof/>
          <w:lang w:val="en-IE"/>
        </w:rPr>
        <w:t>premises for the purpose of audit</w:t>
      </w:r>
      <w:r w:rsidR="004678FD">
        <w:rPr>
          <w:noProof/>
          <w:lang w:val="en-IE"/>
        </w:rPr>
        <w:t xml:space="preserve"> and shall require </w:t>
      </w:r>
      <w:r w:rsidR="00EF0B32">
        <w:rPr>
          <w:noProof/>
          <w:lang w:val="en-IE"/>
        </w:rPr>
        <w:t>c</w:t>
      </w:r>
      <w:r w:rsidR="004678FD">
        <w:rPr>
          <w:noProof/>
          <w:lang w:val="en-IE"/>
        </w:rPr>
        <w:t xml:space="preserve">ertified </w:t>
      </w:r>
      <w:r w:rsidR="00EF0B32">
        <w:rPr>
          <w:noProof/>
          <w:lang w:val="en-IE"/>
        </w:rPr>
        <w:t>f</w:t>
      </w:r>
      <w:r w:rsidR="004678FD">
        <w:rPr>
          <w:noProof/>
          <w:lang w:val="en-IE"/>
        </w:rPr>
        <w:t xml:space="preserve">inancial </w:t>
      </w:r>
      <w:r w:rsidR="00EF0B32">
        <w:rPr>
          <w:noProof/>
          <w:lang w:val="en-IE"/>
        </w:rPr>
        <w:t>i</w:t>
      </w:r>
      <w:r w:rsidR="004678FD">
        <w:rPr>
          <w:noProof/>
          <w:lang w:val="en-IE"/>
        </w:rPr>
        <w:t xml:space="preserve">ntermediaries to delete or anonymise any personal data included in such documentation </w:t>
      </w:r>
      <w:r w:rsidR="000E3755">
        <w:rPr>
          <w:noProof/>
          <w:lang w:val="en-IE"/>
        </w:rPr>
        <w:t>as soon as the audit has been completed</w:t>
      </w:r>
      <w:r w:rsidR="00301E1E">
        <w:rPr>
          <w:noProof/>
          <w:lang w:val="en-IE"/>
        </w:rPr>
        <w:t xml:space="preserve"> and at </w:t>
      </w:r>
      <w:r w:rsidR="00607739">
        <w:rPr>
          <w:noProof/>
          <w:lang w:val="en-IE"/>
        </w:rPr>
        <w:t xml:space="preserve">the </w:t>
      </w:r>
      <w:r w:rsidR="00301E1E">
        <w:rPr>
          <w:noProof/>
          <w:lang w:val="en-IE"/>
        </w:rPr>
        <w:t>latest five years after reporting</w:t>
      </w:r>
      <w:r w:rsidR="000E3755">
        <w:rPr>
          <w:noProof/>
          <w:lang w:val="en-IE"/>
        </w:rPr>
        <w:t>.</w:t>
      </w:r>
    </w:p>
    <w:p w14:paraId="77F4562A" w14:textId="77777777" w:rsidR="001956AF" w:rsidRPr="00657833" w:rsidRDefault="001956AF" w:rsidP="008E734B">
      <w:pPr>
        <w:rPr>
          <w:noProof/>
          <w:lang w:val="en-US"/>
        </w:rPr>
      </w:pPr>
    </w:p>
    <w:p w14:paraId="739A92C0" w14:textId="77777777" w:rsidR="008E734B" w:rsidRDefault="001956AF" w:rsidP="008E734B">
      <w:pPr>
        <w:jc w:val="center"/>
        <w:rPr>
          <w:b/>
          <w:bCs/>
          <w:i/>
          <w:noProof/>
        </w:rPr>
      </w:pPr>
      <w:r w:rsidRPr="008E734B">
        <w:rPr>
          <w:b/>
          <w:bCs/>
          <w:i/>
          <w:noProof/>
        </w:rPr>
        <w:t>SECTION 3</w:t>
      </w:r>
    </w:p>
    <w:p w14:paraId="0BFCB595" w14:textId="77777777" w:rsidR="001956AF" w:rsidRPr="008E734B" w:rsidRDefault="001956AF" w:rsidP="008E734B">
      <w:pPr>
        <w:jc w:val="center"/>
        <w:rPr>
          <w:b/>
          <w:bCs/>
          <w:i/>
          <w:noProof/>
        </w:rPr>
      </w:pPr>
      <w:r w:rsidRPr="008E734B">
        <w:rPr>
          <w:b/>
          <w:bCs/>
          <w:iCs/>
          <w:noProof/>
        </w:rPr>
        <w:t>SYSTEMS OF RELIEF</w:t>
      </w:r>
    </w:p>
    <w:p w14:paraId="78CEC2E8" w14:textId="77777777" w:rsidR="001956AF" w:rsidRDefault="001956AF" w:rsidP="00BA7238">
      <w:pPr>
        <w:pStyle w:val="Titrearticle"/>
        <w:rPr>
          <w:b/>
          <w:bCs/>
          <w:i w:val="0"/>
          <w:iCs/>
          <w:noProof/>
        </w:rPr>
      </w:pPr>
      <w:r>
        <w:rPr>
          <w:noProof/>
        </w:rPr>
        <w:t xml:space="preserve">Article </w:t>
      </w:r>
      <w:r w:rsidR="005E3AA5">
        <w:rPr>
          <w:noProof/>
        </w:rPr>
        <w:t>10</w:t>
      </w:r>
      <w:r w:rsidR="00BA7238">
        <w:rPr>
          <w:noProof/>
        </w:rPr>
        <w:br/>
      </w:r>
      <w:r w:rsidRPr="00BA7238">
        <w:rPr>
          <w:b/>
          <w:bCs/>
          <w:i w:val="0"/>
          <w:iCs/>
          <w:noProof/>
        </w:rPr>
        <w:t xml:space="preserve">Request for </w:t>
      </w:r>
      <w:r w:rsidR="0030687B">
        <w:rPr>
          <w:b/>
          <w:bCs/>
          <w:i w:val="0"/>
          <w:iCs/>
          <w:noProof/>
        </w:rPr>
        <w:t>r</w:t>
      </w:r>
      <w:r w:rsidRPr="00BA7238">
        <w:rPr>
          <w:b/>
          <w:bCs/>
          <w:i w:val="0"/>
          <w:iCs/>
          <w:noProof/>
        </w:rPr>
        <w:t xml:space="preserve">elief at </w:t>
      </w:r>
      <w:r w:rsidR="0030687B">
        <w:rPr>
          <w:b/>
          <w:bCs/>
          <w:i w:val="0"/>
          <w:iCs/>
          <w:noProof/>
        </w:rPr>
        <w:t>s</w:t>
      </w:r>
      <w:r w:rsidRPr="00BA7238">
        <w:rPr>
          <w:b/>
          <w:bCs/>
          <w:i w:val="0"/>
          <w:iCs/>
          <w:noProof/>
        </w:rPr>
        <w:t xml:space="preserve">ource or </w:t>
      </w:r>
      <w:r w:rsidR="0030687B">
        <w:rPr>
          <w:b/>
          <w:bCs/>
          <w:i w:val="0"/>
          <w:iCs/>
          <w:noProof/>
        </w:rPr>
        <w:t>q</w:t>
      </w:r>
      <w:r w:rsidRPr="00BA7238">
        <w:rPr>
          <w:b/>
          <w:bCs/>
          <w:i w:val="0"/>
          <w:iCs/>
          <w:noProof/>
        </w:rPr>
        <w:t xml:space="preserve">uick </w:t>
      </w:r>
      <w:r w:rsidR="0030687B">
        <w:rPr>
          <w:b/>
          <w:bCs/>
          <w:i w:val="0"/>
          <w:iCs/>
          <w:noProof/>
        </w:rPr>
        <w:t>r</w:t>
      </w:r>
      <w:r w:rsidRPr="00BA7238">
        <w:rPr>
          <w:b/>
          <w:bCs/>
          <w:i w:val="0"/>
          <w:iCs/>
          <w:noProof/>
        </w:rPr>
        <w:t>efund</w:t>
      </w:r>
    </w:p>
    <w:p w14:paraId="2F183DD0" w14:textId="5A0C0AEF" w:rsidR="00F03F98" w:rsidRDefault="00412FF6" w:rsidP="00412FF6">
      <w:pPr>
        <w:pStyle w:val="ManualNumPar1"/>
        <w:rPr>
          <w:noProof/>
        </w:rPr>
      </w:pPr>
      <w:bookmarkStart w:id="6" w:name="_Hlk136606527"/>
      <w:r w:rsidRPr="00412FF6">
        <w:t>1.</w:t>
      </w:r>
      <w:r w:rsidRPr="00412FF6">
        <w:tab/>
      </w:r>
      <w:r w:rsidR="001956AF">
        <w:rPr>
          <w:noProof/>
        </w:rPr>
        <w:t xml:space="preserve">Member States shall </w:t>
      </w:r>
      <w:r w:rsidR="00C7407E">
        <w:rPr>
          <w:noProof/>
        </w:rPr>
        <w:t xml:space="preserve">require </w:t>
      </w:r>
      <w:r w:rsidR="00AC78DE">
        <w:rPr>
          <w:noProof/>
        </w:rPr>
        <w:t xml:space="preserve">a </w:t>
      </w:r>
      <w:r w:rsidR="0030687B" w:rsidRPr="00E75766">
        <w:rPr>
          <w:noProof/>
          <w:lang w:val="en-IE"/>
        </w:rPr>
        <w:t>c</w:t>
      </w:r>
      <w:r w:rsidR="001956AF" w:rsidRPr="00E75766">
        <w:rPr>
          <w:noProof/>
          <w:lang w:val="en-IE"/>
        </w:rPr>
        <w:t xml:space="preserve">ertified </w:t>
      </w:r>
      <w:r w:rsidR="0030687B" w:rsidRPr="00E75766">
        <w:rPr>
          <w:noProof/>
          <w:lang w:val="en-IE"/>
        </w:rPr>
        <w:t>f</w:t>
      </w:r>
      <w:r w:rsidR="001956AF" w:rsidRPr="00E75766">
        <w:rPr>
          <w:noProof/>
          <w:lang w:val="en-IE"/>
        </w:rPr>
        <w:t xml:space="preserve">inancial </w:t>
      </w:r>
      <w:r w:rsidR="0030687B" w:rsidRPr="00E75766">
        <w:rPr>
          <w:noProof/>
          <w:lang w:val="en-IE"/>
        </w:rPr>
        <w:t>i</w:t>
      </w:r>
      <w:r w:rsidR="001956AF" w:rsidRPr="00E75766">
        <w:rPr>
          <w:noProof/>
          <w:lang w:val="en-IE"/>
        </w:rPr>
        <w:t>ntermediar</w:t>
      </w:r>
      <w:r w:rsidR="008F7600" w:rsidRPr="00E75766">
        <w:rPr>
          <w:noProof/>
          <w:lang w:val="en-IE"/>
        </w:rPr>
        <w:t xml:space="preserve">y </w:t>
      </w:r>
      <w:r w:rsidR="003B7A50" w:rsidRPr="00E75766">
        <w:rPr>
          <w:noProof/>
          <w:lang w:val="en-IE"/>
        </w:rPr>
        <w:t>maintain</w:t>
      </w:r>
      <w:r w:rsidR="00934E15" w:rsidRPr="00E75766">
        <w:rPr>
          <w:noProof/>
          <w:lang w:val="en-IE"/>
        </w:rPr>
        <w:t>ing</w:t>
      </w:r>
      <w:r w:rsidR="003B7A50" w:rsidRPr="00E75766">
        <w:rPr>
          <w:noProof/>
          <w:lang w:val="en-IE"/>
        </w:rPr>
        <w:t xml:space="preserve"> the investment account</w:t>
      </w:r>
      <w:r w:rsidR="00AC78DE" w:rsidRPr="00E75766">
        <w:rPr>
          <w:noProof/>
          <w:lang w:val="en-IE"/>
        </w:rPr>
        <w:t xml:space="preserve"> of a registered owner</w:t>
      </w:r>
      <w:r w:rsidR="00F03F98" w:rsidRPr="00E75766">
        <w:rPr>
          <w:noProof/>
          <w:lang w:val="en-IE"/>
        </w:rPr>
        <w:t xml:space="preserve"> receiving dividends or interest</w:t>
      </w:r>
      <w:r w:rsidR="008F7600" w:rsidRPr="00E75766">
        <w:rPr>
          <w:noProof/>
          <w:lang w:val="en-IE"/>
        </w:rPr>
        <w:t xml:space="preserve"> </w:t>
      </w:r>
      <w:r w:rsidR="001956AF" w:rsidRPr="00E75766">
        <w:rPr>
          <w:noProof/>
          <w:lang w:val="en-IE"/>
        </w:rPr>
        <w:t xml:space="preserve">to </w:t>
      </w:r>
      <w:r w:rsidR="001956AF">
        <w:rPr>
          <w:noProof/>
        </w:rPr>
        <w:t xml:space="preserve">request relief </w:t>
      </w:r>
      <w:r w:rsidR="0030687B">
        <w:rPr>
          <w:noProof/>
        </w:rPr>
        <w:t>pursuant to</w:t>
      </w:r>
      <w:r w:rsidR="001956AF" w:rsidDel="00BA137E">
        <w:rPr>
          <w:noProof/>
        </w:rPr>
        <w:t xml:space="preserve"> </w:t>
      </w:r>
      <w:r w:rsidR="001956AF">
        <w:rPr>
          <w:noProof/>
        </w:rPr>
        <w:t>Article 1</w:t>
      </w:r>
      <w:r w:rsidR="00554887">
        <w:rPr>
          <w:noProof/>
        </w:rPr>
        <w:t>2</w:t>
      </w:r>
      <w:r w:rsidR="00BA137E">
        <w:rPr>
          <w:noProof/>
        </w:rPr>
        <w:t xml:space="preserve"> </w:t>
      </w:r>
      <w:r w:rsidR="00AC23A2">
        <w:rPr>
          <w:noProof/>
        </w:rPr>
        <w:t>and/</w:t>
      </w:r>
      <w:r w:rsidR="002F6E07">
        <w:rPr>
          <w:noProof/>
        </w:rPr>
        <w:t>or Article 1</w:t>
      </w:r>
      <w:r w:rsidR="00554887">
        <w:rPr>
          <w:noProof/>
        </w:rPr>
        <w:t>3</w:t>
      </w:r>
      <w:r w:rsidR="00BA137E">
        <w:rPr>
          <w:noProof/>
        </w:rPr>
        <w:t xml:space="preserve">, </w:t>
      </w:r>
      <w:r w:rsidR="001956AF">
        <w:rPr>
          <w:noProof/>
        </w:rPr>
        <w:t xml:space="preserve">on behalf </w:t>
      </w:r>
      <w:r w:rsidR="00FF4FA4">
        <w:rPr>
          <w:noProof/>
        </w:rPr>
        <w:t xml:space="preserve">of </w:t>
      </w:r>
      <w:r w:rsidR="00F03F98">
        <w:rPr>
          <w:noProof/>
        </w:rPr>
        <w:t>such</w:t>
      </w:r>
      <w:r w:rsidR="00AC78DE">
        <w:rPr>
          <w:noProof/>
        </w:rPr>
        <w:t xml:space="preserve"> registered owner</w:t>
      </w:r>
      <w:r w:rsidR="008F7600">
        <w:rPr>
          <w:noProof/>
        </w:rPr>
        <w:t>, if the</w:t>
      </w:r>
      <w:r w:rsidR="00F03F98">
        <w:rPr>
          <w:noProof/>
        </w:rPr>
        <w:t xml:space="preserve"> following conditions are met:</w:t>
      </w:r>
    </w:p>
    <w:p w14:paraId="50080E08" w14:textId="0B4E6882" w:rsidR="00F03F98" w:rsidRDefault="00412FF6" w:rsidP="00412FF6">
      <w:pPr>
        <w:pStyle w:val="Point1"/>
        <w:rPr>
          <w:noProof/>
        </w:rPr>
      </w:pPr>
      <w:r w:rsidRPr="00412FF6">
        <w:t>(a)</w:t>
      </w:r>
      <w:r w:rsidRPr="00412FF6">
        <w:tab/>
      </w:r>
      <w:r w:rsidR="00F03F98">
        <w:rPr>
          <w:noProof/>
        </w:rPr>
        <w:t>The registered owner h</w:t>
      </w:r>
      <w:r w:rsidR="77124479">
        <w:rPr>
          <w:noProof/>
        </w:rPr>
        <w:t xml:space="preserve">as </w:t>
      </w:r>
      <w:r w:rsidR="00F03F98">
        <w:rPr>
          <w:noProof/>
        </w:rPr>
        <w:t xml:space="preserve">authorised the </w:t>
      </w:r>
      <w:r w:rsidR="0030687B">
        <w:rPr>
          <w:noProof/>
        </w:rPr>
        <w:t>c</w:t>
      </w:r>
      <w:r w:rsidR="00F03F98">
        <w:rPr>
          <w:noProof/>
        </w:rPr>
        <w:t xml:space="preserve">ertified </w:t>
      </w:r>
      <w:r w:rsidR="0030687B">
        <w:rPr>
          <w:noProof/>
        </w:rPr>
        <w:t>f</w:t>
      </w:r>
      <w:r w:rsidR="00F03F98">
        <w:rPr>
          <w:noProof/>
        </w:rPr>
        <w:t xml:space="preserve">inancial </w:t>
      </w:r>
      <w:r w:rsidR="0030687B">
        <w:rPr>
          <w:noProof/>
        </w:rPr>
        <w:t>i</w:t>
      </w:r>
      <w:r w:rsidR="00F03F98">
        <w:rPr>
          <w:noProof/>
        </w:rPr>
        <w:t>ntermediary</w:t>
      </w:r>
      <w:r w:rsidR="77124479">
        <w:rPr>
          <w:noProof/>
        </w:rPr>
        <w:t xml:space="preserve"> </w:t>
      </w:r>
      <w:r w:rsidR="00F03F98">
        <w:rPr>
          <w:noProof/>
        </w:rPr>
        <w:t xml:space="preserve">to request relief on its behalf; </w:t>
      </w:r>
      <w:r w:rsidR="77124479">
        <w:rPr>
          <w:noProof/>
        </w:rPr>
        <w:t xml:space="preserve">and </w:t>
      </w:r>
    </w:p>
    <w:p w14:paraId="600F2EF5" w14:textId="1767FC80" w:rsidR="00497364" w:rsidRDefault="00412FF6" w:rsidP="00412FF6">
      <w:pPr>
        <w:pStyle w:val="Point1"/>
        <w:rPr>
          <w:noProof/>
        </w:rPr>
      </w:pPr>
      <w:r w:rsidRPr="00412FF6">
        <w:t>(b)</w:t>
      </w:r>
      <w:r w:rsidRPr="00412FF6">
        <w:tab/>
      </w:r>
      <w:r w:rsidR="00F03F98">
        <w:rPr>
          <w:noProof/>
        </w:rPr>
        <w:t xml:space="preserve">The </w:t>
      </w:r>
      <w:r w:rsidR="0030687B">
        <w:rPr>
          <w:noProof/>
        </w:rPr>
        <w:t>c</w:t>
      </w:r>
      <w:r w:rsidR="00F03F98">
        <w:rPr>
          <w:noProof/>
        </w:rPr>
        <w:t>ert</w:t>
      </w:r>
      <w:r w:rsidR="0055500F">
        <w:rPr>
          <w:noProof/>
        </w:rPr>
        <w:t>i</w:t>
      </w:r>
      <w:r w:rsidR="00F03F98">
        <w:rPr>
          <w:noProof/>
        </w:rPr>
        <w:t xml:space="preserve">fied </w:t>
      </w:r>
      <w:r w:rsidR="0030687B">
        <w:rPr>
          <w:noProof/>
        </w:rPr>
        <w:t>f</w:t>
      </w:r>
      <w:r w:rsidR="00F03F98">
        <w:rPr>
          <w:noProof/>
        </w:rPr>
        <w:t xml:space="preserve">inancial </w:t>
      </w:r>
      <w:r w:rsidR="0030687B">
        <w:rPr>
          <w:noProof/>
        </w:rPr>
        <w:t>i</w:t>
      </w:r>
      <w:r w:rsidR="00F03F98">
        <w:rPr>
          <w:noProof/>
        </w:rPr>
        <w:t xml:space="preserve">ntermediary </w:t>
      </w:r>
      <w:r w:rsidR="00A3343B">
        <w:rPr>
          <w:noProof/>
        </w:rPr>
        <w:t xml:space="preserve">has </w:t>
      </w:r>
      <w:r w:rsidR="00F03F98">
        <w:rPr>
          <w:noProof/>
        </w:rPr>
        <w:t>verifie</w:t>
      </w:r>
      <w:r w:rsidR="00A3343B">
        <w:rPr>
          <w:noProof/>
        </w:rPr>
        <w:t>d</w:t>
      </w:r>
      <w:r w:rsidR="00F03F98">
        <w:rPr>
          <w:noProof/>
        </w:rPr>
        <w:t xml:space="preserve"> </w:t>
      </w:r>
      <w:r w:rsidR="0030687B">
        <w:rPr>
          <w:noProof/>
        </w:rPr>
        <w:t xml:space="preserve">and established </w:t>
      </w:r>
      <w:r w:rsidR="00F03F98">
        <w:rPr>
          <w:noProof/>
        </w:rPr>
        <w:t xml:space="preserve">the registered owner’s eligibility </w:t>
      </w:r>
      <w:r w:rsidR="00BA137E">
        <w:rPr>
          <w:noProof/>
        </w:rPr>
        <w:t xml:space="preserve">in accordance with </w:t>
      </w:r>
      <w:r w:rsidR="001956AF">
        <w:rPr>
          <w:noProof/>
        </w:rPr>
        <w:t>Article 1</w:t>
      </w:r>
      <w:r w:rsidR="00554887">
        <w:rPr>
          <w:noProof/>
        </w:rPr>
        <w:t>1</w:t>
      </w:r>
      <w:r w:rsidR="00487350">
        <w:rPr>
          <w:noProof/>
        </w:rPr>
        <w:t>.</w:t>
      </w:r>
      <w:r w:rsidR="001956AF">
        <w:rPr>
          <w:noProof/>
        </w:rPr>
        <w:t xml:space="preserve"> </w:t>
      </w:r>
      <w:r w:rsidR="00C22AAA">
        <w:rPr>
          <w:noProof/>
        </w:rPr>
        <w:t xml:space="preserve">Such verification may also include </w:t>
      </w:r>
      <w:r w:rsidR="00497364" w:rsidRPr="00F678B6">
        <w:rPr>
          <w:noProof/>
        </w:rPr>
        <w:t xml:space="preserve">a risk assessment </w:t>
      </w:r>
      <w:r w:rsidR="00C22AAA">
        <w:rPr>
          <w:noProof/>
        </w:rPr>
        <w:t xml:space="preserve">that </w:t>
      </w:r>
      <w:r w:rsidR="00487350" w:rsidRPr="00F678B6">
        <w:rPr>
          <w:noProof/>
        </w:rPr>
        <w:t>tak</w:t>
      </w:r>
      <w:r w:rsidR="00C22AAA">
        <w:rPr>
          <w:noProof/>
        </w:rPr>
        <w:t>es</w:t>
      </w:r>
      <w:r w:rsidR="00487350" w:rsidRPr="00F678B6">
        <w:rPr>
          <w:noProof/>
        </w:rPr>
        <w:t xml:space="preserve"> into</w:t>
      </w:r>
      <w:r w:rsidR="00051BC3" w:rsidRPr="00F678B6">
        <w:rPr>
          <w:noProof/>
        </w:rPr>
        <w:t xml:space="preserve"> </w:t>
      </w:r>
      <w:r w:rsidR="00497364" w:rsidRPr="00F678B6">
        <w:rPr>
          <w:noProof/>
        </w:rPr>
        <w:t>account the credit risk and fraud risk</w:t>
      </w:r>
      <w:r w:rsidR="00C22AAA">
        <w:rPr>
          <w:noProof/>
        </w:rPr>
        <w:t>.</w:t>
      </w:r>
      <w:bookmarkEnd w:id="6"/>
    </w:p>
    <w:p w14:paraId="418955FB" w14:textId="0FB11464" w:rsidR="001956AF" w:rsidRPr="0067349D" w:rsidRDefault="00412FF6" w:rsidP="00412FF6">
      <w:pPr>
        <w:pStyle w:val="ManualNumPar1"/>
        <w:rPr>
          <w:noProof/>
        </w:rPr>
      </w:pPr>
      <w:r w:rsidRPr="00412FF6">
        <w:t>2.</w:t>
      </w:r>
      <w:r w:rsidRPr="00412FF6">
        <w:tab/>
      </w:r>
      <w:r w:rsidR="001956AF" w:rsidRPr="006A0DC3">
        <w:rPr>
          <w:iCs/>
          <w:noProof/>
        </w:rPr>
        <w:t>Notwithstanding paragraph 1</w:t>
      </w:r>
      <w:r w:rsidR="001956AF" w:rsidRPr="00BA7238">
        <w:rPr>
          <w:noProof/>
        </w:rPr>
        <w:t>, Member States</w:t>
      </w:r>
      <w:r w:rsidR="00BA137E">
        <w:rPr>
          <w:noProof/>
        </w:rPr>
        <w:t xml:space="preserve"> </w:t>
      </w:r>
      <w:r w:rsidR="00B267E3">
        <w:rPr>
          <w:noProof/>
        </w:rPr>
        <w:t>shall</w:t>
      </w:r>
      <w:r w:rsidR="00BA137E">
        <w:rPr>
          <w:noProof/>
        </w:rPr>
        <w:t xml:space="preserve"> </w:t>
      </w:r>
      <w:r w:rsidR="001F2242">
        <w:rPr>
          <w:noProof/>
        </w:rPr>
        <w:t xml:space="preserve">not provide </w:t>
      </w:r>
      <w:r w:rsidR="003A3AB2">
        <w:rPr>
          <w:noProof/>
        </w:rPr>
        <w:t xml:space="preserve">relief under </w:t>
      </w:r>
      <w:r w:rsidR="003E5E60">
        <w:rPr>
          <w:noProof/>
        </w:rPr>
        <w:t xml:space="preserve">the systems as provided for under </w:t>
      </w:r>
      <w:r w:rsidR="003A3AB2">
        <w:rPr>
          <w:noProof/>
        </w:rPr>
        <w:t>Article</w:t>
      </w:r>
      <w:r w:rsidR="00AC23A2">
        <w:rPr>
          <w:noProof/>
        </w:rPr>
        <w:t>s 1</w:t>
      </w:r>
      <w:r w:rsidR="00554887">
        <w:rPr>
          <w:noProof/>
        </w:rPr>
        <w:t>2</w:t>
      </w:r>
      <w:r w:rsidR="00AC23A2">
        <w:rPr>
          <w:noProof/>
        </w:rPr>
        <w:t xml:space="preserve"> and</w:t>
      </w:r>
      <w:r w:rsidR="003A3AB2">
        <w:rPr>
          <w:noProof/>
        </w:rPr>
        <w:t xml:space="preserve"> 1</w:t>
      </w:r>
      <w:r w:rsidR="00554887">
        <w:rPr>
          <w:noProof/>
        </w:rPr>
        <w:t>3</w:t>
      </w:r>
      <w:r w:rsidR="003A3AB2">
        <w:rPr>
          <w:noProof/>
        </w:rPr>
        <w:t xml:space="preserve"> </w:t>
      </w:r>
      <w:r w:rsidR="005B0478">
        <w:rPr>
          <w:noProof/>
        </w:rPr>
        <w:t>for a request</w:t>
      </w:r>
      <w:r w:rsidR="003A3AB2">
        <w:rPr>
          <w:noProof/>
        </w:rPr>
        <w:t>,</w:t>
      </w:r>
      <w:r w:rsidR="001956AF" w:rsidRPr="00BA7238">
        <w:rPr>
          <w:noProof/>
        </w:rPr>
        <w:t xml:space="preserve"> where:</w:t>
      </w:r>
    </w:p>
    <w:p w14:paraId="4CB44404" w14:textId="289FA607" w:rsidR="005B0478" w:rsidRDefault="00412FF6" w:rsidP="00412FF6">
      <w:pPr>
        <w:pStyle w:val="Point1"/>
        <w:rPr>
          <w:noProof/>
        </w:rPr>
      </w:pPr>
      <w:r w:rsidRPr="00412FF6">
        <w:t>(a)</w:t>
      </w:r>
      <w:r w:rsidRPr="00412FF6">
        <w:tab/>
      </w:r>
      <w:r w:rsidR="005B0478">
        <w:rPr>
          <w:noProof/>
        </w:rPr>
        <w:t>the dividend has been paid on a publicly traded share that the registered owner acquired within a period of two days before the ex-dividend date;</w:t>
      </w:r>
    </w:p>
    <w:p w14:paraId="3AA23262" w14:textId="0FD99116" w:rsidR="001956AF" w:rsidRDefault="00412FF6" w:rsidP="00412FF6">
      <w:pPr>
        <w:pStyle w:val="Point1"/>
        <w:rPr>
          <w:noProof/>
        </w:rPr>
      </w:pPr>
      <w:r w:rsidRPr="00412FF6">
        <w:t>(b)</w:t>
      </w:r>
      <w:r w:rsidRPr="00412FF6">
        <w:tab/>
      </w:r>
      <w:r w:rsidR="003B7A50" w:rsidRPr="000B68F0">
        <w:rPr>
          <w:noProof/>
        </w:rPr>
        <w:t>the</w:t>
      </w:r>
      <w:r w:rsidR="001956AF" w:rsidRPr="000B68F0">
        <w:rPr>
          <w:noProof/>
        </w:rPr>
        <w:t xml:space="preserve"> dividend</w:t>
      </w:r>
      <w:r w:rsidR="00FC79A4" w:rsidRPr="000B68F0">
        <w:rPr>
          <w:noProof/>
        </w:rPr>
        <w:t xml:space="preserve"> </w:t>
      </w:r>
      <w:r w:rsidR="001956AF" w:rsidRPr="000B68F0">
        <w:rPr>
          <w:noProof/>
        </w:rPr>
        <w:t>payment o</w:t>
      </w:r>
      <w:r w:rsidR="000B68F0" w:rsidRPr="000B68F0">
        <w:rPr>
          <w:noProof/>
        </w:rPr>
        <w:t>n</w:t>
      </w:r>
      <w:r w:rsidR="001956AF" w:rsidRPr="000B68F0">
        <w:rPr>
          <w:noProof/>
        </w:rPr>
        <w:t xml:space="preserve"> the underlying security for which relief is requested</w:t>
      </w:r>
      <w:r w:rsidR="000B68F0" w:rsidRPr="000B68F0">
        <w:rPr>
          <w:noProof/>
        </w:rPr>
        <w:t xml:space="preserve"> is linked to a financial arrangement that has not been settled, expired or otherwise terminated at the ex-dividend date</w:t>
      </w:r>
      <w:r w:rsidR="00463799">
        <w:rPr>
          <w:noProof/>
        </w:rPr>
        <w:t>.</w:t>
      </w:r>
    </w:p>
    <w:p w14:paraId="7B73A6C6" w14:textId="525E89CE" w:rsidR="001956AF" w:rsidRDefault="00412FF6" w:rsidP="00412FF6">
      <w:pPr>
        <w:pStyle w:val="ManualNumPar1"/>
        <w:rPr>
          <w:noProof/>
        </w:rPr>
      </w:pPr>
      <w:r w:rsidRPr="00412FF6">
        <w:t>3.</w:t>
      </w:r>
      <w:r w:rsidRPr="00412FF6">
        <w:tab/>
      </w:r>
      <w:r w:rsidR="6D09F942">
        <w:rPr>
          <w:noProof/>
        </w:rPr>
        <w:t>Notwithstanding paragraph 1, Member States may</w:t>
      </w:r>
      <w:r w:rsidR="00340191">
        <w:rPr>
          <w:noProof/>
        </w:rPr>
        <w:t xml:space="preserve"> </w:t>
      </w:r>
      <w:r w:rsidR="6D09F942">
        <w:rPr>
          <w:noProof/>
        </w:rPr>
        <w:t xml:space="preserve">exclude </w:t>
      </w:r>
      <w:r w:rsidR="00340191">
        <w:rPr>
          <w:noProof/>
        </w:rPr>
        <w:t xml:space="preserve">requests from </w:t>
      </w:r>
      <w:r w:rsidR="6D09F942">
        <w:rPr>
          <w:noProof/>
        </w:rPr>
        <w:t>relief under Articles 12 and 13, where:</w:t>
      </w:r>
    </w:p>
    <w:p w14:paraId="1ED1FD95" w14:textId="3F76F9EB" w:rsidR="3E2E3C02" w:rsidRDefault="00412FF6" w:rsidP="00412FF6">
      <w:pPr>
        <w:pStyle w:val="Point1"/>
        <w:rPr>
          <w:noProof/>
        </w:rPr>
      </w:pPr>
      <w:r w:rsidRPr="00412FF6">
        <w:t>(a)</w:t>
      </w:r>
      <w:r w:rsidRPr="00412FF6">
        <w:tab/>
      </w:r>
      <w:r w:rsidR="3E2E3C02">
        <w:rPr>
          <w:noProof/>
        </w:rPr>
        <w:t>at least one of the financial intermediaries in the securities payment chain</w:t>
      </w:r>
      <w:r w:rsidR="00527029">
        <w:rPr>
          <w:noProof/>
        </w:rPr>
        <w:t xml:space="preserve"> is not a </w:t>
      </w:r>
      <w:r w:rsidR="00F70C95">
        <w:rPr>
          <w:noProof/>
        </w:rPr>
        <w:t>c</w:t>
      </w:r>
      <w:r w:rsidR="00527029">
        <w:rPr>
          <w:noProof/>
        </w:rPr>
        <w:t xml:space="preserve">ertified </w:t>
      </w:r>
      <w:r w:rsidR="00F70C95">
        <w:rPr>
          <w:noProof/>
        </w:rPr>
        <w:t>f</w:t>
      </w:r>
      <w:r w:rsidR="00527029">
        <w:rPr>
          <w:noProof/>
        </w:rPr>
        <w:t xml:space="preserve">inancial </w:t>
      </w:r>
      <w:r w:rsidR="00F70C95">
        <w:rPr>
          <w:noProof/>
        </w:rPr>
        <w:t>i</w:t>
      </w:r>
      <w:r w:rsidR="00527029">
        <w:rPr>
          <w:noProof/>
        </w:rPr>
        <w:t>ntermediary</w:t>
      </w:r>
      <w:r w:rsidR="00AF721E">
        <w:rPr>
          <w:noProof/>
        </w:rPr>
        <w:t xml:space="preserve"> and </w:t>
      </w:r>
      <w:r w:rsidR="00527029">
        <w:rPr>
          <w:noProof/>
        </w:rPr>
        <w:t xml:space="preserve">a subsequent </w:t>
      </w:r>
      <w:r w:rsidR="002E3599">
        <w:rPr>
          <w:noProof/>
        </w:rPr>
        <w:t xml:space="preserve">certified financial intermediary </w:t>
      </w:r>
      <w:r w:rsidR="00527029">
        <w:rPr>
          <w:noProof/>
        </w:rPr>
        <w:t xml:space="preserve">in the chain </w:t>
      </w:r>
      <w:r w:rsidR="3E2E3C02">
        <w:rPr>
          <w:noProof/>
        </w:rPr>
        <w:t xml:space="preserve">has not provided to </w:t>
      </w:r>
      <w:r w:rsidR="00527029">
        <w:rPr>
          <w:noProof/>
        </w:rPr>
        <w:t>the competent authority</w:t>
      </w:r>
      <w:r w:rsidR="3E2E3C02">
        <w:rPr>
          <w:noProof/>
        </w:rPr>
        <w:t xml:space="preserve"> the information </w:t>
      </w:r>
      <w:r w:rsidR="00527029">
        <w:rPr>
          <w:noProof/>
        </w:rPr>
        <w:t xml:space="preserve">that the financial intermediary should report under this Directive if it were a </w:t>
      </w:r>
      <w:r w:rsidR="00215A44">
        <w:rPr>
          <w:noProof/>
        </w:rPr>
        <w:t>c</w:t>
      </w:r>
      <w:r w:rsidR="00527029">
        <w:rPr>
          <w:noProof/>
        </w:rPr>
        <w:t xml:space="preserve">ertified </w:t>
      </w:r>
      <w:r w:rsidR="00215A44">
        <w:rPr>
          <w:noProof/>
        </w:rPr>
        <w:t>f</w:t>
      </w:r>
      <w:r w:rsidR="00527029">
        <w:rPr>
          <w:noProof/>
        </w:rPr>
        <w:t xml:space="preserve">inancial </w:t>
      </w:r>
      <w:r w:rsidR="00215A44">
        <w:rPr>
          <w:noProof/>
        </w:rPr>
        <w:t>i</w:t>
      </w:r>
      <w:r w:rsidR="00527029">
        <w:rPr>
          <w:noProof/>
        </w:rPr>
        <w:t>ntermediary</w:t>
      </w:r>
      <w:r w:rsidR="00340191">
        <w:rPr>
          <w:noProof/>
        </w:rPr>
        <w:t>; or</w:t>
      </w:r>
    </w:p>
    <w:p w14:paraId="78F9F625" w14:textId="358EB9B4" w:rsidR="001956AF" w:rsidRDefault="00412FF6" w:rsidP="00412FF6">
      <w:pPr>
        <w:pStyle w:val="Point1"/>
        <w:rPr>
          <w:noProof/>
        </w:rPr>
      </w:pPr>
      <w:r w:rsidRPr="00412FF6">
        <w:t>(b)</w:t>
      </w:r>
      <w:r w:rsidRPr="00412FF6">
        <w:tab/>
      </w:r>
      <w:r w:rsidR="00340191">
        <w:rPr>
          <w:noProof/>
        </w:rPr>
        <w:t>an exemption of the withholding tax is claimed.</w:t>
      </w:r>
      <w:r w:rsidR="00340191" w:rsidDel="6D09F942">
        <w:rPr>
          <w:noProof/>
        </w:rPr>
        <w:t xml:space="preserve"> </w:t>
      </w:r>
    </w:p>
    <w:p w14:paraId="2864F269" w14:textId="77777777" w:rsidR="001956AF" w:rsidRDefault="001956AF" w:rsidP="000A0493">
      <w:pPr>
        <w:pStyle w:val="Titrearticle"/>
        <w:rPr>
          <w:b/>
          <w:bCs/>
          <w:i w:val="0"/>
          <w:iCs/>
          <w:noProof/>
        </w:rPr>
      </w:pPr>
      <w:r w:rsidRPr="0017549F">
        <w:rPr>
          <w:noProof/>
        </w:rPr>
        <w:t xml:space="preserve">Article </w:t>
      </w:r>
      <w:r>
        <w:rPr>
          <w:iCs/>
          <w:noProof/>
        </w:rPr>
        <w:t>1</w:t>
      </w:r>
      <w:r w:rsidR="005E3AA5">
        <w:rPr>
          <w:iCs/>
          <w:noProof/>
        </w:rPr>
        <w:t>1</w:t>
      </w:r>
      <w:r w:rsidR="000A0493">
        <w:rPr>
          <w:noProof/>
        </w:rPr>
        <w:br/>
      </w:r>
      <w:r w:rsidRPr="000A0493">
        <w:rPr>
          <w:b/>
          <w:bCs/>
          <w:i w:val="0"/>
          <w:iCs/>
          <w:noProof/>
        </w:rPr>
        <w:t xml:space="preserve">Due diligence of </w:t>
      </w:r>
      <w:r w:rsidR="00F70C95">
        <w:rPr>
          <w:b/>
          <w:bCs/>
          <w:i w:val="0"/>
          <w:iCs/>
          <w:noProof/>
        </w:rPr>
        <w:t>r</w:t>
      </w:r>
      <w:r w:rsidR="000C0442">
        <w:rPr>
          <w:b/>
          <w:bCs/>
          <w:i w:val="0"/>
          <w:iCs/>
          <w:noProof/>
        </w:rPr>
        <w:t xml:space="preserve">egistered </w:t>
      </w:r>
      <w:r w:rsidR="00F70C95">
        <w:rPr>
          <w:b/>
          <w:bCs/>
          <w:i w:val="0"/>
          <w:iCs/>
          <w:noProof/>
        </w:rPr>
        <w:t>o</w:t>
      </w:r>
      <w:r w:rsidR="000C0442">
        <w:rPr>
          <w:b/>
          <w:bCs/>
          <w:i w:val="0"/>
          <w:iCs/>
          <w:noProof/>
        </w:rPr>
        <w:t>wner</w:t>
      </w:r>
      <w:r w:rsidRPr="000A0493">
        <w:rPr>
          <w:b/>
          <w:bCs/>
          <w:i w:val="0"/>
          <w:iCs/>
          <w:noProof/>
        </w:rPr>
        <w:t xml:space="preserve">’s </w:t>
      </w:r>
      <w:r w:rsidR="00F70C95">
        <w:rPr>
          <w:b/>
          <w:bCs/>
          <w:i w:val="0"/>
          <w:iCs/>
          <w:noProof/>
        </w:rPr>
        <w:t>e</w:t>
      </w:r>
      <w:r w:rsidRPr="000A0493">
        <w:rPr>
          <w:b/>
          <w:bCs/>
          <w:i w:val="0"/>
          <w:iCs/>
          <w:noProof/>
        </w:rPr>
        <w:t>ligibility</w:t>
      </w:r>
    </w:p>
    <w:p w14:paraId="43B4817B" w14:textId="215ADAF5" w:rsidR="001956AF" w:rsidRDefault="00412FF6" w:rsidP="00412FF6">
      <w:pPr>
        <w:pStyle w:val="ManualNumPar1"/>
        <w:rPr>
          <w:noProof/>
        </w:rPr>
      </w:pPr>
      <w:r w:rsidRPr="00412FF6">
        <w:t>1.</w:t>
      </w:r>
      <w:r w:rsidRPr="00412FF6">
        <w:tab/>
      </w:r>
      <w:r w:rsidR="001956AF">
        <w:rPr>
          <w:noProof/>
        </w:rPr>
        <w:t xml:space="preserve">Member States shall </w:t>
      </w:r>
      <w:r w:rsidR="00F70C95">
        <w:rPr>
          <w:noProof/>
        </w:rPr>
        <w:t>ensure</w:t>
      </w:r>
      <w:r w:rsidR="001956AF">
        <w:rPr>
          <w:noProof/>
        </w:rPr>
        <w:t xml:space="preserve"> </w:t>
      </w:r>
      <w:r w:rsidR="000A591C">
        <w:rPr>
          <w:noProof/>
        </w:rPr>
        <w:t xml:space="preserve">that </w:t>
      </w:r>
      <w:r w:rsidR="001956AF">
        <w:rPr>
          <w:noProof/>
        </w:rPr>
        <w:t xml:space="preserve">the </w:t>
      </w:r>
      <w:r w:rsidR="00F70C95">
        <w:rPr>
          <w:noProof/>
        </w:rPr>
        <w:t>c</w:t>
      </w:r>
      <w:r w:rsidR="001956AF">
        <w:rPr>
          <w:noProof/>
        </w:rPr>
        <w:t xml:space="preserve">ertified </w:t>
      </w:r>
      <w:r w:rsidR="00F70C95">
        <w:rPr>
          <w:noProof/>
        </w:rPr>
        <w:t>f</w:t>
      </w:r>
      <w:r w:rsidR="001956AF">
        <w:rPr>
          <w:noProof/>
        </w:rPr>
        <w:t xml:space="preserve">inancial </w:t>
      </w:r>
      <w:r w:rsidR="00F70C95">
        <w:rPr>
          <w:noProof/>
        </w:rPr>
        <w:t>i</w:t>
      </w:r>
      <w:r w:rsidR="001956AF">
        <w:rPr>
          <w:noProof/>
        </w:rPr>
        <w:t xml:space="preserve">ntermediary </w:t>
      </w:r>
      <w:r w:rsidR="000F47C1">
        <w:rPr>
          <w:noProof/>
        </w:rPr>
        <w:t>requesting</w:t>
      </w:r>
      <w:r w:rsidR="46A3D038">
        <w:rPr>
          <w:noProof/>
        </w:rPr>
        <w:t xml:space="preserve"> </w:t>
      </w:r>
      <w:r w:rsidR="05EA1DD0">
        <w:rPr>
          <w:noProof/>
        </w:rPr>
        <w:t xml:space="preserve">relief </w:t>
      </w:r>
      <w:r w:rsidR="000F47C1">
        <w:rPr>
          <w:noProof/>
        </w:rPr>
        <w:t xml:space="preserve">under Article 12 and/or 13 </w:t>
      </w:r>
      <w:r w:rsidR="05EA1DD0">
        <w:rPr>
          <w:noProof/>
        </w:rPr>
        <w:t xml:space="preserve">on </w:t>
      </w:r>
      <w:r w:rsidR="2B068B0C">
        <w:rPr>
          <w:noProof/>
        </w:rPr>
        <w:t>behalf of</w:t>
      </w:r>
      <w:r w:rsidR="000F47C1">
        <w:rPr>
          <w:noProof/>
        </w:rPr>
        <w:t xml:space="preserve"> a</w:t>
      </w:r>
      <w:r w:rsidR="2B068B0C">
        <w:rPr>
          <w:noProof/>
        </w:rPr>
        <w:t xml:space="preserve"> </w:t>
      </w:r>
      <w:r w:rsidR="000F47C1">
        <w:rPr>
          <w:noProof/>
        </w:rPr>
        <w:t>registered owner</w:t>
      </w:r>
      <w:r w:rsidR="00C56ACB">
        <w:rPr>
          <w:noProof/>
        </w:rPr>
        <w:t xml:space="preserve"> </w:t>
      </w:r>
      <w:r w:rsidR="000A591C">
        <w:rPr>
          <w:noProof/>
        </w:rPr>
        <w:t>obtain</w:t>
      </w:r>
      <w:r w:rsidR="00C56ACB">
        <w:rPr>
          <w:noProof/>
        </w:rPr>
        <w:t>s</w:t>
      </w:r>
      <w:r w:rsidR="000A591C">
        <w:rPr>
          <w:noProof/>
        </w:rPr>
        <w:t xml:space="preserve"> from </w:t>
      </w:r>
      <w:r w:rsidR="000F47C1">
        <w:rPr>
          <w:noProof/>
        </w:rPr>
        <w:t>such registered owner</w:t>
      </w:r>
      <w:r w:rsidR="000A591C">
        <w:rPr>
          <w:noProof/>
        </w:rPr>
        <w:t xml:space="preserve"> </w:t>
      </w:r>
      <w:r w:rsidR="001956AF">
        <w:rPr>
          <w:noProof/>
        </w:rPr>
        <w:t xml:space="preserve">a </w:t>
      </w:r>
      <w:r w:rsidR="000A591C">
        <w:rPr>
          <w:noProof/>
        </w:rPr>
        <w:t xml:space="preserve">declaration that </w:t>
      </w:r>
      <w:r w:rsidR="000F47C1">
        <w:rPr>
          <w:noProof/>
        </w:rPr>
        <w:t>the registered owner</w:t>
      </w:r>
      <w:r w:rsidR="001956AF">
        <w:rPr>
          <w:noProof/>
        </w:rPr>
        <w:t>:</w:t>
      </w:r>
    </w:p>
    <w:p w14:paraId="7ED835A1" w14:textId="4BDABB93" w:rsidR="001956AF" w:rsidRDefault="00412FF6" w:rsidP="00412FF6">
      <w:pPr>
        <w:pStyle w:val="Point1"/>
        <w:rPr>
          <w:noProof/>
        </w:rPr>
      </w:pPr>
      <w:r w:rsidRPr="00412FF6">
        <w:t>(a)</w:t>
      </w:r>
      <w:r w:rsidRPr="00412FF6">
        <w:tab/>
      </w:r>
      <w:r w:rsidR="001956AF">
        <w:rPr>
          <w:noProof/>
        </w:rPr>
        <w:t xml:space="preserve">is the beneficial owner of the dividend </w:t>
      </w:r>
      <w:r w:rsidR="00FC79A4">
        <w:rPr>
          <w:noProof/>
        </w:rPr>
        <w:t xml:space="preserve">or interest </w:t>
      </w:r>
      <w:r w:rsidR="001956AF">
        <w:rPr>
          <w:noProof/>
        </w:rPr>
        <w:t xml:space="preserve">as defined under the national legislation of the </w:t>
      </w:r>
      <w:r w:rsidR="000F47C1">
        <w:rPr>
          <w:noProof/>
        </w:rPr>
        <w:t xml:space="preserve">source </w:t>
      </w:r>
      <w:r w:rsidR="001956AF">
        <w:rPr>
          <w:noProof/>
        </w:rPr>
        <w:t>Member State; and</w:t>
      </w:r>
    </w:p>
    <w:p w14:paraId="478E5B8C" w14:textId="686D802A" w:rsidR="001956AF" w:rsidRDefault="00412FF6" w:rsidP="00412FF6">
      <w:pPr>
        <w:pStyle w:val="Point1"/>
        <w:rPr>
          <w:noProof/>
        </w:rPr>
      </w:pPr>
      <w:r w:rsidRPr="00412FF6">
        <w:t>(b)</w:t>
      </w:r>
      <w:r w:rsidRPr="00412FF6">
        <w:tab/>
      </w:r>
      <w:r w:rsidR="001956AF" w:rsidRPr="00982764">
        <w:rPr>
          <w:noProof/>
        </w:rPr>
        <w:t xml:space="preserve">has not engaged in a financial arrangement linked to the underlying </w:t>
      </w:r>
      <w:r w:rsidR="000F47C1">
        <w:rPr>
          <w:noProof/>
        </w:rPr>
        <w:t>publicly traded share</w:t>
      </w:r>
      <w:r w:rsidR="000F47C1" w:rsidRPr="00982764">
        <w:rPr>
          <w:noProof/>
        </w:rPr>
        <w:t xml:space="preserve"> </w:t>
      </w:r>
      <w:r w:rsidR="00982764" w:rsidRPr="00982764">
        <w:rPr>
          <w:noProof/>
        </w:rPr>
        <w:t>that has not been settled, expired or otherwise terminated at the ex-dividend date</w:t>
      </w:r>
      <w:r w:rsidR="001956AF" w:rsidRPr="00982764">
        <w:rPr>
          <w:noProof/>
        </w:rPr>
        <w:t>.</w:t>
      </w:r>
    </w:p>
    <w:p w14:paraId="3B5ADFA7" w14:textId="7CB5E05E" w:rsidR="001956AF" w:rsidRDefault="00412FF6" w:rsidP="00412FF6">
      <w:pPr>
        <w:pStyle w:val="ManualNumPar1"/>
        <w:rPr>
          <w:noProof/>
        </w:rPr>
      </w:pPr>
      <w:r w:rsidRPr="00412FF6">
        <w:t>2.</w:t>
      </w:r>
      <w:r w:rsidRPr="00412FF6">
        <w:tab/>
      </w:r>
      <w:r w:rsidR="001956AF" w:rsidRPr="008D6E55">
        <w:rPr>
          <w:noProof/>
        </w:rPr>
        <w:t xml:space="preserve">Member States shall </w:t>
      </w:r>
      <w:r w:rsidR="00CC5F96">
        <w:rPr>
          <w:noProof/>
        </w:rPr>
        <w:t>ensure</w:t>
      </w:r>
      <w:r w:rsidR="001956AF" w:rsidRPr="008D6E55" w:rsidDel="00EE06AE">
        <w:rPr>
          <w:noProof/>
        </w:rPr>
        <w:t xml:space="preserve"> </w:t>
      </w:r>
      <w:r w:rsidR="00CC5F96">
        <w:rPr>
          <w:noProof/>
        </w:rPr>
        <w:t>c</w:t>
      </w:r>
      <w:r w:rsidR="001956AF">
        <w:rPr>
          <w:noProof/>
        </w:rPr>
        <w:t xml:space="preserve">ertified </w:t>
      </w:r>
      <w:r w:rsidR="00CC5F96">
        <w:rPr>
          <w:noProof/>
        </w:rPr>
        <w:t>f</w:t>
      </w:r>
      <w:r w:rsidR="001956AF">
        <w:rPr>
          <w:noProof/>
        </w:rPr>
        <w:t xml:space="preserve">inancial </w:t>
      </w:r>
      <w:r w:rsidR="00CC5F96">
        <w:rPr>
          <w:noProof/>
        </w:rPr>
        <w:t>i</w:t>
      </w:r>
      <w:r w:rsidR="001956AF">
        <w:rPr>
          <w:noProof/>
        </w:rPr>
        <w:t xml:space="preserve">ntermediaries </w:t>
      </w:r>
      <w:r w:rsidR="000C5A98">
        <w:rPr>
          <w:noProof/>
        </w:rPr>
        <w:t>requesting</w:t>
      </w:r>
      <w:r w:rsidR="1E67AFF9">
        <w:rPr>
          <w:noProof/>
        </w:rPr>
        <w:t xml:space="preserve"> relief </w:t>
      </w:r>
      <w:r w:rsidR="000C5A98">
        <w:rPr>
          <w:noProof/>
        </w:rPr>
        <w:t xml:space="preserve">under Article 12 and/or 13 </w:t>
      </w:r>
      <w:r w:rsidR="1E67AFF9">
        <w:rPr>
          <w:noProof/>
        </w:rPr>
        <w:t xml:space="preserve">on behalf of </w:t>
      </w:r>
      <w:r w:rsidR="000C5A98">
        <w:rPr>
          <w:noProof/>
        </w:rPr>
        <w:t>a registered owner</w:t>
      </w:r>
      <w:r w:rsidR="005A66ED">
        <w:rPr>
          <w:noProof/>
        </w:rPr>
        <w:t xml:space="preserve"> </w:t>
      </w:r>
      <w:r w:rsidR="008E49A6">
        <w:rPr>
          <w:noProof/>
        </w:rPr>
        <w:t>to verify</w:t>
      </w:r>
      <w:r w:rsidR="001956AF">
        <w:rPr>
          <w:noProof/>
        </w:rPr>
        <w:t xml:space="preserve">: </w:t>
      </w:r>
    </w:p>
    <w:p w14:paraId="2842E2AF" w14:textId="2E408833" w:rsidR="001956AF" w:rsidRDefault="00412FF6" w:rsidP="00412FF6">
      <w:pPr>
        <w:pStyle w:val="Point1"/>
        <w:rPr>
          <w:noProof/>
        </w:rPr>
      </w:pPr>
      <w:r w:rsidRPr="00412FF6">
        <w:t>(a)</w:t>
      </w:r>
      <w:r w:rsidRPr="00412FF6">
        <w:tab/>
      </w:r>
      <w:r w:rsidR="008E49A6">
        <w:rPr>
          <w:noProof/>
        </w:rPr>
        <w:t>the</w:t>
      </w:r>
      <w:r w:rsidR="001956AF">
        <w:rPr>
          <w:noProof/>
        </w:rPr>
        <w:t xml:space="preserve"> eTRC</w:t>
      </w:r>
      <w:r w:rsidR="000C5A98">
        <w:rPr>
          <w:noProof/>
        </w:rPr>
        <w:t xml:space="preserve"> of the registered owner</w:t>
      </w:r>
      <w:r w:rsidR="001956AF">
        <w:rPr>
          <w:noProof/>
        </w:rPr>
        <w:t xml:space="preserve"> and</w:t>
      </w:r>
      <w:r w:rsidR="008E49A6">
        <w:rPr>
          <w:noProof/>
        </w:rPr>
        <w:t>/or</w:t>
      </w:r>
      <w:r w:rsidR="001956AF">
        <w:rPr>
          <w:noProof/>
        </w:rPr>
        <w:t xml:space="preserve"> </w:t>
      </w:r>
      <w:r w:rsidR="00C224FE">
        <w:rPr>
          <w:noProof/>
        </w:rPr>
        <w:t xml:space="preserve">appropriate </w:t>
      </w:r>
      <w:r w:rsidR="001956AF">
        <w:rPr>
          <w:noProof/>
        </w:rPr>
        <w:t>proof of</w:t>
      </w:r>
      <w:r w:rsidR="00C224FE">
        <w:rPr>
          <w:noProof/>
        </w:rPr>
        <w:t xml:space="preserve"> tax</w:t>
      </w:r>
      <w:r w:rsidR="001956AF">
        <w:rPr>
          <w:noProof/>
        </w:rPr>
        <w:t xml:space="preserve"> residence</w:t>
      </w:r>
      <w:r w:rsidR="00C224FE">
        <w:rPr>
          <w:noProof/>
        </w:rPr>
        <w:t xml:space="preserve"> in a </w:t>
      </w:r>
      <w:r w:rsidR="00CC5F96">
        <w:rPr>
          <w:noProof/>
        </w:rPr>
        <w:t>third</w:t>
      </w:r>
      <w:r w:rsidR="00C224FE">
        <w:rPr>
          <w:noProof/>
        </w:rPr>
        <w:t xml:space="preserve"> country</w:t>
      </w:r>
      <w:r w:rsidR="001956AF">
        <w:rPr>
          <w:noProof/>
        </w:rPr>
        <w:t xml:space="preserve">; </w:t>
      </w:r>
    </w:p>
    <w:p w14:paraId="28FF2553" w14:textId="0C97951F" w:rsidR="001956AF" w:rsidRDefault="00412FF6" w:rsidP="00412FF6">
      <w:pPr>
        <w:pStyle w:val="Point1"/>
        <w:rPr>
          <w:noProof/>
        </w:rPr>
      </w:pPr>
      <w:r w:rsidRPr="00412FF6">
        <w:t>(b)</w:t>
      </w:r>
      <w:r w:rsidRPr="00412FF6">
        <w:tab/>
      </w:r>
      <w:r w:rsidR="001956AF">
        <w:rPr>
          <w:noProof/>
        </w:rPr>
        <w:t xml:space="preserve">the </w:t>
      </w:r>
      <w:r w:rsidR="000C5A98">
        <w:rPr>
          <w:noProof/>
        </w:rPr>
        <w:t xml:space="preserve">registered owner’s </w:t>
      </w:r>
      <w:r w:rsidR="008E49A6">
        <w:rPr>
          <w:noProof/>
        </w:rPr>
        <w:t xml:space="preserve">declaration </w:t>
      </w:r>
      <w:r w:rsidR="00CC5F96">
        <w:rPr>
          <w:noProof/>
        </w:rPr>
        <w:t xml:space="preserve">and tax residence </w:t>
      </w:r>
      <w:r w:rsidR="008E49A6">
        <w:rPr>
          <w:noProof/>
        </w:rPr>
        <w:t>against</w:t>
      </w:r>
      <w:r w:rsidR="001956AF">
        <w:rPr>
          <w:noProof/>
        </w:rPr>
        <w:t xml:space="preserve"> information from </w:t>
      </w:r>
      <w:r w:rsidR="18BED899">
        <w:rPr>
          <w:noProof/>
        </w:rPr>
        <w:t>the in</w:t>
      </w:r>
      <w:r w:rsidR="18BED899" w:rsidRPr="005E5BD8">
        <w:rPr>
          <w:noProof/>
        </w:rPr>
        <w:t xml:space="preserve">ternal control mechanisms used by the </w:t>
      </w:r>
      <w:r w:rsidR="00CC5F96">
        <w:rPr>
          <w:noProof/>
        </w:rPr>
        <w:t>c</w:t>
      </w:r>
      <w:r w:rsidR="18BED899" w:rsidRPr="005E5BD8">
        <w:rPr>
          <w:noProof/>
        </w:rPr>
        <w:t>ertified</w:t>
      </w:r>
      <w:r w:rsidR="0403D0B6" w:rsidRPr="005E5BD8">
        <w:rPr>
          <w:noProof/>
        </w:rPr>
        <w:t xml:space="preserve"> </w:t>
      </w:r>
      <w:r w:rsidR="00CC5F96">
        <w:rPr>
          <w:noProof/>
        </w:rPr>
        <w:t>f</w:t>
      </w:r>
      <w:r w:rsidR="0403D0B6" w:rsidRPr="005E5BD8">
        <w:rPr>
          <w:noProof/>
        </w:rPr>
        <w:t xml:space="preserve">inancial </w:t>
      </w:r>
      <w:r w:rsidR="00CC5F96">
        <w:rPr>
          <w:noProof/>
        </w:rPr>
        <w:t>i</w:t>
      </w:r>
      <w:r w:rsidR="0403D0B6" w:rsidRPr="005E5BD8">
        <w:rPr>
          <w:noProof/>
        </w:rPr>
        <w:t xml:space="preserve">ntermediary </w:t>
      </w:r>
      <w:r w:rsidR="18BED899" w:rsidRPr="005E5BD8">
        <w:rPr>
          <w:noProof/>
        </w:rPr>
        <w:t>in order to comply with the obligations in relation to money laundering and terrorist financing under Directive (EU) 2015/849</w:t>
      </w:r>
      <w:r w:rsidR="003874C1" w:rsidRPr="005C6A5D">
        <w:rPr>
          <w:rStyle w:val="FootnoteReference"/>
          <w:noProof/>
        </w:rPr>
        <w:footnoteReference w:id="44"/>
      </w:r>
      <w:r w:rsidR="29645EAF">
        <w:rPr>
          <w:noProof/>
        </w:rPr>
        <w:t xml:space="preserve"> </w:t>
      </w:r>
      <w:r w:rsidR="0B81D057">
        <w:rPr>
          <w:noProof/>
        </w:rPr>
        <w:t xml:space="preserve">or </w:t>
      </w:r>
      <w:r w:rsidR="00871AA8">
        <w:rPr>
          <w:noProof/>
        </w:rPr>
        <w:t xml:space="preserve">comparable </w:t>
      </w:r>
      <w:r w:rsidR="0B81D057">
        <w:rPr>
          <w:noProof/>
        </w:rPr>
        <w:t xml:space="preserve">information </w:t>
      </w:r>
      <w:r w:rsidR="008E1BC0">
        <w:rPr>
          <w:noProof/>
        </w:rPr>
        <w:t xml:space="preserve">required in </w:t>
      </w:r>
      <w:r w:rsidR="0B81D057">
        <w:rPr>
          <w:noProof/>
        </w:rPr>
        <w:t>third countries</w:t>
      </w:r>
      <w:r w:rsidR="001956AF">
        <w:rPr>
          <w:noProof/>
        </w:rPr>
        <w:t>;</w:t>
      </w:r>
    </w:p>
    <w:p w14:paraId="5F479B25" w14:textId="0752BFDF" w:rsidR="001956AF" w:rsidRDefault="00412FF6" w:rsidP="00412FF6">
      <w:pPr>
        <w:pStyle w:val="Point1"/>
        <w:rPr>
          <w:noProof/>
        </w:rPr>
      </w:pPr>
      <w:r w:rsidRPr="00412FF6">
        <w:t>(c)</w:t>
      </w:r>
      <w:r w:rsidRPr="00412FF6">
        <w:tab/>
      </w:r>
      <w:r w:rsidR="008E49A6">
        <w:rPr>
          <w:noProof/>
        </w:rPr>
        <w:t>the</w:t>
      </w:r>
      <w:r w:rsidR="001956AF" w:rsidDel="008E49A6">
        <w:rPr>
          <w:noProof/>
        </w:rPr>
        <w:t xml:space="preserve"> </w:t>
      </w:r>
      <w:r w:rsidR="003C104E">
        <w:rPr>
          <w:noProof/>
        </w:rPr>
        <w:t xml:space="preserve">registered owner’s </w:t>
      </w:r>
      <w:r w:rsidR="001956AF">
        <w:rPr>
          <w:noProof/>
        </w:rPr>
        <w:t xml:space="preserve">entitlement to a </w:t>
      </w:r>
      <w:r w:rsidR="008E49A6">
        <w:rPr>
          <w:noProof/>
        </w:rPr>
        <w:t xml:space="preserve">specific </w:t>
      </w:r>
      <w:r w:rsidR="001956AF">
        <w:rPr>
          <w:noProof/>
        </w:rPr>
        <w:t xml:space="preserve">reduced </w:t>
      </w:r>
      <w:r w:rsidR="003C104E">
        <w:rPr>
          <w:noProof/>
        </w:rPr>
        <w:t xml:space="preserve">withholding </w:t>
      </w:r>
      <w:r w:rsidR="001956AF">
        <w:rPr>
          <w:noProof/>
        </w:rPr>
        <w:t>tax rate</w:t>
      </w:r>
      <w:r w:rsidR="007C09CD">
        <w:rPr>
          <w:noProof/>
        </w:rPr>
        <w:t xml:space="preserve"> </w:t>
      </w:r>
      <w:r w:rsidR="003C104E">
        <w:rPr>
          <w:noProof/>
        </w:rPr>
        <w:t xml:space="preserve">in accordance with </w:t>
      </w:r>
      <w:r w:rsidR="007C09CD">
        <w:rPr>
          <w:noProof/>
        </w:rPr>
        <w:t xml:space="preserve">a </w:t>
      </w:r>
      <w:r w:rsidR="002E6D2A">
        <w:rPr>
          <w:noProof/>
        </w:rPr>
        <w:t>d</w:t>
      </w:r>
      <w:r w:rsidR="007C09CD">
        <w:rPr>
          <w:noProof/>
        </w:rPr>
        <w:t xml:space="preserve">ouble </w:t>
      </w:r>
      <w:r w:rsidR="002E6D2A">
        <w:rPr>
          <w:noProof/>
        </w:rPr>
        <w:t>t</w:t>
      </w:r>
      <w:r w:rsidR="007C09CD">
        <w:rPr>
          <w:noProof/>
        </w:rPr>
        <w:t xml:space="preserve">ax </w:t>
      </w:r>
      <w:r w:rsidR="002E6D2A">
        <w:rPr>
          <w:noProof/>
        </w:rPr>
        <w:t>t</w:t>
      </w:r>
      <w:r w:rsidR="007C09CD">
        <w:rPr>
          <w:noProof/>
        </w:rPr>
        <w:t xml:space="preserve">reaty between the </w:t>
      </w:r>
      <w:r w:rsidR="00CC5F96">
        <w:rPr>
          <w:noProof/>
        </w:rPr>
        <w:t>s</w:t>
      </w:r>
      <w:r w:rsidR="007C09CD">
        <w:rPr>
          <w:noProof/>
        </w:rPr>
        <w:t xml:space="preserve">ource Member State and the jurisdictions where the </w:t>
      </w:r>
      <w:r w:rsidR="003C104E">
        <w:rPr>
          <w:noProof/>
        </w:rPr>
        <w:t>registered owner</w:t>
      </w:r>
      <w:r w:rsidR="007C09CD">
        <w:rPr>
          <w:noProof/>
        </w:rPr>
        <w:t xml:space="preserve"> is resident for tax purposes or specific national legislation of the </w:t>
      </w:r>
      <w:r w:rsidR="00CC5F96">
        <w:rPr>
          <w:noProof/>
        </w:rPr>
        <w:t>s</w:t>
      </w:r>
      <w:r w:rsidR="007C09CD">
        <w:rPr>
          <w:noProof/>
        </w:rPr>
        <w:t>ource Member State</w:t>
      </w:r>
      <w:r w:rsidR="001956AF">
        <w:rPr>
          <w:noProof/>
        </w:rPr>
        <w:t xml:space="preserve">; </w:t>
      </w:r>
    </w:p>
    <w:p w14:paraId="5917CAE8" w14:textId="5D685A08" w:rsidR="00EE06AE" w:rsidRPr="004D12F8" w:rsidRDefault="00412FF6" w:rsidP="00412FF6">
      <w:pPr>
        <w:pStyle w:val="Point1"/>
        <w:rPr>
          <w:noProof/>
          <w:lang w:val="en-US"/>
        </w:rPr>
      </w:pPr>
      <w:r w:rsidRPr="00412FF6">
        <w:t>(d)</w:t>
      </w:r>
      <w:r w:rsidRPr="00412FF6">
        <w:tab/>
      </w:r>
      <w:r w:rsidR="00C05948" w:rsidRPr="000744D4">
        <w:rPr>
          <w:noProof/>
        </w:rPr>
        <w:t>in case of a dividend payment</w:t>
      </w:r>
      <w:r w:rsidR="5E5B8B7C">
        <w:rPr>
          <w:noProof/>
        </w:rPr>
        <w:t xml:space="preserve"> and based on the information available to the </w:t>
      </w:r>
      <w:r w:rsidR="002E6D2A">
        <w:rPr>
          <w:noProof/>
        </w:rPr>
        <w:t>c</w:t>
      </w:r>
      <w:r w:rsidR="5E5B8B7C">
        <w:rPr>
          <w:noProof/>
        </w:rPr>
        <w:t xml:space="preserve">ertified </w:t>
      </w:r>
      <w:r w:rsidR="002E6D2A">
        <w:rPr>
          <w:noProof/>
        </w:rPr>
        <w:t>f</w:t>
      </w:r>
      <w:r w:rsidR="5E5B8B7C">
        <w:rPr>
          <w:noProof/>
        </w:rPr>
        <w:t xml:space="preserve">inancial </w:t>
      </w:r>
      <w:r w:rsidR="002E6D2A">
        <w:rPr>
          <w:noProof/>
        </w:rPr>
        <w:t>i</w:t>
      </w:r>
      <w:r w:rsidR="5E5B8B7C">
        <w:rPr>
          <w:noProof/>
        </w:rPr>
        <w:t>ntermediary</w:t>
      </w:r>
      <w:r w:rsidR="67BDAE5C">
        <w:rPr>
          <w:noProof/>
        </w:rPr>
        <w:t xml:space="preserve">, </w:t>
      </w:r>
      <w:r w:rsidR="7FE50F9F">
        <w:rPr>
          <w:noProof/>
        </w:rPr>
        <w:t xml:space="preserve">the </w:t>
      </w:r>
      <w:r w:rsidR="6BBC72F6">
        <w:rPr>
          <w:noProof/>
        </w:rPr>
        <w:t>possible</w:t>
      </w:r>
      <w:r w:rsidR="008E49A6" w:rsidRPr="000744D4">
        <w:rPr>
          <w:noProof/>
        </w:rPr>
        <w:t xml:space="preserve"> existence of</w:t>
      </w:r>
      <w:r w:rsidR="001956AF" w:rsidRPr="000744D4">
        <w:rPr>
          <w:noProof/>
        </w:rPr>
        <w:t xml:space="preserve"> a</w:t>
      </w:r>
      <w:r w:rsidR="008E49A6" w:rsidRPr="000744D4">
        <w:rPr>
          <w:noProof/>
        </w:rPr>
        <w:t>ny</w:t>
      </w:r>
      <w:r w:rsidR="001956AF" w:rsidRPr="000744D4">
        <w:rPr>
          <w:noProof/>
        </w:rPr>
        <w:t xml:space="preserve"> financial arrangement </w:t>
      </w:r>
      <w:r w:rsidR="000744D4" w:rsidRPr="000744D4">
        <w:rPr>
          <w:noProof/>
        </w:rPr>
        <w:t>that has not been settled, expired or otherwise terminated at the ex-dividend date</w:t>
      </w:r>
      <w:r w:rsidR="00EE06AE" w:rsidRPr="000744D4">
        <w:rPr>
          <w:noProof/>
        </w:rPr>
        <w:t xml:space="preserve">, unless the </w:t>
      </w:r>
      <w:r w:rsidR="00EE06AE" w:rsidRPr="004D12F8">
        <w:rPr>
          <w:noProof/>
          <w:lang w:val="en-US"/>
        </w:rPr>
        <w:t xml:space="preserve">dividend paid to </w:t>
      </w:r>
      <w:r w:rsidR="00C71358" w:rsidRPr="004D12F8">
        <w:rPr>
          <w:noProof/>
          <w:lang w:val="en-US"/>
        </w:rPr>
        <w:t>the registered owner</w:t>
      </w:r>
      <w:r w:rsidR="00EE06AE" w:rsidRPr="004D12F8">
        <w:rPr>
          <w:noProof/>
          <w:lang w:val="en-US"/>
        </w:rPr>
        <w:t xml:space="preserve"> </w:t>
      </w:r>
      <w:r w:rsidR="00FC410B" w:rsidRPr="004D12F8">
        <w:rPr>
          <w:noProof/>
          <w:lang w:val="en-US"/>
        </w:rPr>
        <w:t xml:space="preserve">for each group of identical </w:t>
      </w:r>
      <w:r w:rsidR="00C71358" w:rsidRPr="004D12F8">
        <w:rPr>
          <w:noProof/>
          <w:lang w:val="en-US"/>
        </w:rPr>
        <w:t>shares</w:t>
      </w:r>
      <w:r w:rsidR="00FC410B" w:rsidRPr="004D12F8">
        <w:rPr>
          <w:noProof/>
          <w:lang w:val="en-US"/>
        </w:rPr>
        <w:t xml:space="preserve"> held</w:t>
      </w:r>
      <w:r w:rsidR="00EE06AE" w:rsidRPr="004D12F8">
        <w:rPr>
          <w:noProof/>
          <w:lang w:val="en-US"/>
        </w:rPr>
        <w:t xml:space="preserve"> </w:t>
      </w:r>
      <w:r w:rsidR="00C71358" w:rsidRPr="004D12F8">
        <w:rPr>
          <w:noProof/>
          <w:lang w:val="en-US"/>
        </w:rPr>
        <w:t xml:space="preserve">does not exceed </w:t>
      </w:r>
      <w:r w:rsidR="00EE06AE" w:rsidRPr="004D12F8">
        <w:rPr>
          <w:noProof/>
          <w:lang w:val="en-US"/>
        </w:rPr>
        <w:t xml:space="preserve">EUR </w:t>
      </w:r>
      <w:r w:rsidR="00203D22" w:rsidRPr="004D12F8">
        <w:rPr>
          <w:noProof/>
          <w:lang w:val="en-US"/>
        </w:rPr>
        <w:t>10</w:t>
      </w:r>
      <w:r w:rsidR="00EE06AE" w:rsidRPr="004D12F8">
        <w:rPr>
          <w:noProof/>
          <w:lang w:val="en-US"/>
        </w:rPr>
        <w:t>00.</w:t>
      </w:r>
    </w:p>
    <w:p w14:paraId="00D018C7" w14:textId="159DAFA7" w:rsidR="00EE06AE" w:rsidRDefault="00412FF6" w:rsidP="00412FF6">
      <w:pPr>
        <w:pStyle w:val="ManualNumPar1"/>
        <w:rPr>
          <w:noProof/>
        </w:rPr>
      </w:pPr>
      <w:r w:rsidRPr="00412FF6">
        <w:t>3.</w:t>
      </w:r>
      <w:r w:rsidRPr="00412FF6">
        <w:tab/>
      </w:r>
      <w:r w:rsidR="00EE06AE">
        <w:rPr>
          <w:noProof/>
        </w:rPr>
        <w:t xml:space="preserve">Member States shall ensure that </w:t>
      </w:r>
      <w:r w:rsidR="00CC5F96">
        <w:rPr>
          <w:noProof/>
        </w:rPr>
        <w:t>c</w:t>
      </w:r>
      <w:r w:rsidR="00EE06AE">
        <w:rPr>
          <w:noProof/>
        </w:rPr>
        <w:t xml:space="preserve">ertified </w:t>
      </w:r>
      <w:r w:rsidR="00CC5F96">
        <w:rPr>
          <w:noProof/>
        </w:rPr>
        <w:t>f</w:t>
      </w:r>
      <w:r w:rsidR="00EE06AE">
        <w:rPr>
          <w:noProof/>
        </w:rPr>
        <w:t xml:space="preserve">inancial </w:t>
      </w:r>
      <w:r w:rsidR="00CC5F96">
        <w:rPr>
          <w:noProof/>
        </w:rPr>
        <w:t>i</w:t>
      </w:r>
      <w:r w:rsidR="00EE06AE">
        <w:rPr>
          <w:noProof/>
        </w:rPr>
        <w:t xml:space="preserve">ntermediaries have adequate procedures in place to perform verifications </w:t>
      </w:r>
      <w:r w:rsidR="00EB23E0">
        <w:rPr>
          <w:noProof/>
        </w:rPr>
        <w:t>in accordance with</w:t>
      </w:r>
      <w:r w:rsidR="00EE06AE">
        <w:rPr>
          <w:noProof/>
        </w:rPr>
        <w:t xml:space="preserve"> paragraph 2.</w:t>
      </w:r>
    </w:p>
    <w:p w14:paraId="4A532C63" w14:textId="77777777" w:rsidR="001956AF" w:rsidRDefault="001956AF" w:rsidP="00655C22">
      <w:pPr>
        <w:pStyle w:val="Titrearticle"/>
        <w:rPr>
          <w:b/>
          <w:bCs/>
          <w:i w:val="0"/>
          <w:iCs/>
          <w:noProof/>
        </w:rPr>
      </w:pPr>
      <w:r>
        <w:rPr>
          <w:noProof/>
        </w:rPr>
        <w:t xml:space="preserve">Article </w:t>
      </w:r>
      <w:r>
        <w:rPr>
          <w:iCs/>
          <w:noProof/>
        </w:rPr>
        <w:t>1</w:t>
      </w:r>
      <w:r w:rsidR="005E3AA5">
        <w:rPr>
          <w:iCs/>
          <w:noProof/>
        </w:rPr>
        <w:t>2</w:t>
      </w:r>
      <w:r w:rsidR="00655C22">
        <w:rPr>
          <w:iCs/>
          <w:noProof/>
        </w:rPr>
        <w:br/>
      </w:r>
      <w:r w:rsidRPr="00655C22">
        <w:rPr>
          <w:b/>
          <w:bCs/>
          <w:i w:val="0"/>
          <w:iCs/>
          <w:noProof/>
        </w:rPr>
        <w:t xml:space="preserve">Relief at </w:t>
      </w:r>
      <w:r w:rsidR="00CC5F96">
        <w:rPr>
          <w:b/>
          <w:bCs/>
          <w:i w:val="0"/>
          <w:iCs/>
          <w:noProof/>
        </w:rPr>
        <w:t>s</w:t>
      </w:r>
      <w:r w:rsidRPr="00655C22">
        <w:rPr>
          <w:b/>
          <w:bCs/>
          <w:i w:val="0"/>
          <w:iCs/>
          <w:noProof/>
        </w:rPr>
        <w:t>ource system</w:t>
      </w:r>
    </w:p>
    <w:p w14:paraId="73DA9E3D" w14:textId="77777777" w:rsidR="001956AF" w:rsidRDefault="00AC23A2" w:rsidP="004D12F8">
      <w:pPr>
        <w:rPr>
          <w:noProof/>
        </w:rPr>
      </w:pPr>
      <w:r>
        <w:rPr>
          <w:noProof/>
        </w:rPr>
        <w:t xml:space="preserve">Member States may allow </w:t>
      </w:r>
      <w:bookmarkStart w:id="7" w:name="_Hlk133000417"/>
      <w:r w:rsidR="00CC5F96">
        <w:rPr>
          <w:noProof/>
        </w:rPr>
        <w:t>c</w:t>
      </w:r>
      <w:r w:rsidR="001956AF">
        <w:rPr>
          <w:noProof/>
        </w:rPr>
        <w:t xml:space="preserve">ertified </w:t>
      </w:r>
      <w:r w:rsidR="00CC5F96">
        <w:rPr>
          <w:noProof/>
        </w:rPr>
        <w:t>f</w:t>
      </w:r>
      <w:r w:rsidR="001956AF">
        <w:rPr>
          <w:noProof/>
        </w:rPr>
        <w:t xml:space="preserve">inancial </w:t>
      </w:r>
      <w:r w:rsidR="00CC5F96">
        <w:rPr>
          <w:noProof/>
        </w:rPr>
        <w:t>i</w:t>
      </w:r>
      <w:r w:rsidR="001956AF">
        <w:rPr>
          <w:noProof/>
        </w:rPr>
        <w:t>ntermediar</w:t>
      </w:r>
      <w:r w:rsidR="00C43668">
        <w:rPr>
          <w:noProof/>
        </w:rPr>
        <w:t>ies</w:t>
      </w:r>
      <w:r w:rsidR="000E5554">
        <w:rPr>
          <w:noProof/>
        </w:rPr>
        <w:t xml:space="preserve"> </w:t>
      </w:r>
      <w:r w:rsidR="007867AE">
        <w:rPr>
          <w:noProof/>
        </w:rPr>
        <w:t xml:space="preserve">maintaining a </w:t>
      </w:r>
      <w:r w:rsidR="00463799">
        <w:rPr>
          <w:noProof/>
        </w:rPr>
        <w:t>registered</w:t>
      </w:r>
      <w:r w:rsidR="00454FF9">
        <w:rPr>
          <w:noProof/>
        </w:rPr>
        <w:t xml:space="preserve"> owner’s </w:t>
      </w:r>
      <w:r w:rsidR="007867AE">
        <w:rPr>
          <w:noProof/>
        </w:rPr>
        <w:t>investment account</w:t>
      </w:r>
      <w:r w:rsidR="000E5554">
        <w:rPr>
          <w:noProof/>
        </w:rPr>
        <w:t xml:space="preserve"> </w:t>
      </w:r>
      <w:r>
        <w:rPr>
          <w:noProof/>
        </w:rPr>
        <w:t>to</w:t>
      </w:r>
      <w:r w:rsidR="000E5554">
        <w:rPr>
          <w:noProof/>
        </w:rPr>
        <w:t xml:space="preserve"> request</w:t>
      </w:r>
      <w:bookmarkEnd w:id="7"/>
      <w:r w:rsidR="000E5554">
        <w:rPr>
          <w:noProof/>
        </w:rPr>
        <w:t xml:space="preserve"> </w:t>
      </w:r>
      <w:r w:rsidR="001956AF">
        <w:rPr>
          <w:noProof/>
        </w:rPr>
        <w:t xml:space="preserve">relief </w:t>
      </w:r>
      <w:r w:rsidR="007F5F90">
        <w:rPr>
          <w:noProof/>
        </w:rPr>
        <w:t xml:space="preserve">at source </w:t>
      </w:r>
      <w:r w:rsidR="000C62EF">
        <w:rPr>
          <w:noProof/>
        </w:rPr>
        <w:t xml:space="preserve">on behalf of a registered owner in accordance with Article 10 </w:t>
      </w:r>
      <w:r w:rsidR="00114DAA">
        <w:rPr>
          <w:noProof/>
        </w:rPr>
        <w:t xml:space="preserve">by </w:t>
      </w:r>
      <w:r w:rsidR="000E5554">
        <w:rPr>
          <w:noProof/>
        </w:rPr>
        <w:t>providing</w:t>
      </w:r>
      <w:r w:rsidR="001956AF">
        <w:rPr>
          <w:noProof/>
        </w:rPr>
        <w:t xml:space="preserve"> </w:t>
      </w:r>
      <w:r w:rsidR="00CD0EE5">
        <w:rPr>
          <w:noProof/>
        </w:rPr>
        <w:t xml:space="preserve">to the </w:t>
      </w:r>
      <w:r w:rsidR="00CC5F96">
        <w:rPr>
          <w:noProof/>
        </w:rPr>
        <w:t>w</w:t>
      </w:r>
      <w:r w:rsidR="00CD0EE5">
        <w:rPr>
          <w:noProof/>
        </w:rPr>
        <w:t xml:space="preserve">ithholding </w:t>
      </w:r>
      <w:r w:rsidR="00CC5F96">
        <w:rPr>
          <w:noProof/>
        </w:rPr>
        <w:t>t</w:t>
      </w:r>
      <w:r w:rsidR="004C1352">
        <w:rPr>
          <w:noProof/>
        </w:rPr>
        <w:t xml:space="preserve">ax </w:t>
      </w:r>
      <w:r w:rsidR="00CC5F96">
        <w:rPr>
          <w:noProof/>
        </w:rPr>
        <w:t>a</w:t>
      </w:r>
      <w:r w:rsidR="00CD0EE5">
        <w:rPr>
          <w:noProof/>
        </w:rPr>
        <w:t xml:space="preserve">gent </w:t>
      </w:r>
      <w:r w:rsidR="001956AF">
        <w:rPr>
          <w:noProof/>
        </w:rPr>
        <w:t>the following information:</w:t>
      </w:r>
    </w:p>
    <w:p w14:paraId="24F59262" w14:textId="7628C86B" w:rsidR="001956AF" w:rsidRDefault="00412FF6" w:rsidP="00412FF6">
      <w:pPr>
        <w:pStyle w:val="Point0"/>
        <w:rPr>
          <w:noProof/>
        </w:rPr>
      </w:pPr>
      <w:r w:rsidRPr="00412FF6">
        <w:t>(a)</w:t>
      </w:r>
      <w:r w:rsidRPr="00412FF6">
        <w:tab/>
      </w:r>
      <w:r w:rsidR="00CC5F96">
        <w:rPr>
          <w:noProof/>
        </w:rPr>
        <w:t>the t</w:t>
      </w:r>
      <w:r w:rsidR="001956AF">
        <w:rPr>
          <w:noProof/>
        </w:rPr>
        <w:t xml:space="preserve">ax residence of the </w:t>
      </w:r>
      <w:r w:rsidR="00454FF9">
        <w:rPr>
          <w:noProof/>
        </w:rPr>
        <w:t>registered owner</w:t>
      </w:r>
      <w:r w:rsidR="001956AF">
        <w:rPr>
          <w:noProof/>
        </w:rPr>
        <w:t>; and</w:t>
      </w:r>
    </w:p>
    <w:p w14:paraId="7BFD75C4" w14:textId="2B65A99D" w:rsidR="001956AF" w:rsidRDefault="00412FF6" w:rsidP="00412FF6">
      <w:pPr>
        <w:pStyle w:val="Point0"/>
        <w:rPr>
          <w:noProof/>
        </w:rPr>
      </w:pPr>
      <w:r w:rsidRPr="00412FF6">
        <w:t>(b)</w:t>
      </w:r>
      <w:r w:rsidRPr="00412FF6">
        <w:tab/>
      </w:r>
      <w:r w:rsidR="00CC5F96">
        <w:rPr>
          <w:noProof/>
        </w:rPr>
        <w:t>the a</w:t>
      </w:r>
      <w:r w:rsidR="003B7A50">
        <w:rPr>
          <w:noProof/>
        </w:rPr>
        <w:t xml:space="preserve">pplicable withholding </w:t>
      </w:r>
      <w:r w:rsidR="001956AF">
        <w:rPr>
          <w:noProof/>
        </w:rPr>
        <w:t>tax rate on the payment</w:t>
      </w:r>
      <w:r w:rsidR="00CD0EE5">
        <w:rPr>
          <w:noProof/>
        </w:rPr>
        <w:t xml:space="preserve"> </w:t>
      </w:r>
      <w:r w:rsidR="00886472">
        <w:rPr>
          <w:noProof/>
        </w:rPr>
        <w:t xml:space="preserve">in accordance with a </w:t>
      </w:r>
      <w:r w:rsidR="00CC5F96">
        <w:rPr>
          <w:noProof/>
        </w:rPr>
        <w:t>d</w:t>
      </w:r>
      <w:r w:rsidR="00886472">
        <w:rPr>
          <w:noProof/>
        </w:rPr>
        <w:t xml:space="preserve">ouble </w:t>
      </w:r>
      <w:r w:rsidR="00CC5F96">
        <w:rPr>
          <w:noProof/>
        </w:rPr>
        <w:t>t</w:t>
      </w:r>
      <w:r w:rsidR="00886472">
        <w:rPr>
          <w:noProof/>
        </w:rPr>
        <w:t xml:space="preserve">ax </w:t>
      </w:r>
      <w:r w:rsidR="001F69BA">
        <w:rPr>
          <w:noProof/>
        </w:rPr>
        <w:t>treaty</w:t>
      </w:r>
      <w:r w:rsidR="00886472">
        <w:rPr>
          <w:noProof/>
        </w:rPr>
        <w:t xml:space="preserve"> or specific national legislation</w:t>
      </w:r>
      <w:r w:rsidR="001956AF">
        <w:rPr>
          <w:noProof/>
        </w:rPr>
        <w:t xml:space="preserve">. </w:t>
      </w:r>
    </w:p>
    <w:p w14:paraId="459BDAF0" w14:textId="77777777" w:rsidR="001956AF" w:rsidRDefault="001956AF" w:rsidP="008010FF">
      <w:pPr>
        <w:pStyle w:val="Titrearticle"/>
        <w:rPr>
          <w:b/>
          <w:bCs/>
          <w:i w:val="0"/>
          <w:iCs/>
          <w:noProof/>
        </w:rPr>
      </w:pPr>
      <w:r>
        <w:rPr>
          <w:noProof/>
        </w:rPr>
        <w:t>Article 1</w:t>
      </w:r>
      <w:r w:rsidR="005E3AA5">
        <w:rPr>
          <w:noProof/>
        </w:rPr>
        <w:t>3</w:t>
      </w:r>
      <w:r w:rsidR="008010FF">
        <w:rPr>
          <w:noProof/>
        </w:rPr>
        <w:br/>
      </w:r>
      <w:r w:rsidRPr="008010FF">
        <w:rPr>
          <w:b/>
          <w:bCs/>
          <w:i w:val="0"/>
          <w:iCs/>
          <w:noProof/>
        </w:rPr>
        <w:t>Quick refund system</w:t>
      </w:r>
    </w:p>
    <w:p w14:paraId="072AF10C" w14:textId="43D05BFC" w:rsidR="001956AF" w:rsidRDefault="00412FF6" w:rsidP="00412FF6">
      <w:pPr>
        <w:pStyle w:val="ManualNumPar1"/>
        <w:rPr>
          <w:noProof/>
        </w:rPr>
      </w:pPr>
      <w:r w:rsidRPr="00412FF6">
        <w:t>1.</w:t>
      </w:r>
      <w:r w:rsidRPr="00412FF6">
        <w:tab/>
      </w:r>
      <w:r w:rsidR="001F36D2" w:rsidRPr="001F36D2">
        <w:rPr>
          <w:noProof/>
        </w:rPr>
        <w:t xml:space="preserve">Member States </w:t>
      </w:r>
      <w:r w:rsidR="00AC23A2">
        <w:rPr>
          <w:noProof/>
        </w:rPr>
        <w:t xml:space="preserve">may allow </w:t>
      </w:r>
      <w:r w:rsidR="00CC5F96">
        <w:rPr>
          <w:noProof/>
        </w:rPr>
        <w:t>c</w:t>
      </w:r>
      <w:r w:rsidR="00AC23A2">
        <w:rPr>
          <w:noProof/>
        </w:rPr>
        <w:t xml:space="preserve">ertified </w:t>
      </w:r>
      <w:r w:rsidR="00CC5F96">
        <w:rPr>
          <w:noProof/>
        </w:rPr>
        <w:t>f</w:t>
      </w:r>
      <w:r w:rsidR="00AC23A2">
        <w:rPr>
          <w:noProof/>
        </w:rPr>
        <w:t xml:space="preserve">inancial </w:t>
      </w:r>
      <w:r w:rsidR="00CC5F96">
        <w:rPr>
          <w:noProof/>
        </w:rPr>
        <w:t>i</w:t>
      </w:r>
      <w:r w:rsidR="00AC23A2">
        <w:rPr>
          <w:noProof/>
        </w:rPr>
        <w:t>ntermediar</w:t>
      </w:r>
      <w:r w:rsidR="00C43668">
        <w:rPr>
          <w:noProof/>
        </w:rPr>
        <w:t>ies</w:t>
      </w:r>
      <w:r w:rsidR="00AC23A2">
        <w:rPr>
          <w:noProof/>
        </w:rPr>
        <w:t xml:space="preserve"> </w:t>
      </w:r>
      <w:r w:rsidR="007867AE">
        <w:rPr>
          <w:noProof/>
        </w:rPr>
        <w:t>maintaining a</w:t>
      </w:r>
      <w:r w:rsidR="009F70B8">
        <w:rPr>
          <w:noProof/>
        </w:rPr>
        <w:t xml:space="preserve"> registered owner</w:t>
      </w:r>
      <w:r w:rsidR="007867AE">
        <w:rPr>
          <w:noProof/>
        </w:rPr>
        <w:t>’s investment account</w:t>
      </w:r>
      <w:r w:rsidR="00AC23A2">
        <w:rPr>
          <w:noProof/>
        </w:rPr>
        <w:t xml:space="preserve"> to</w:t>
      </w:r>
      <w:r w:rsidR="001F36D2" w:rsidRPr="001F36D2">
        <w:rPr>
          <w:noProof/>
        </w:rPr>
        <w:t xml:space="preserve"> request </w:t>
      </w:r>
      <w:r w:rsidR="00EE1727">
        <w:rPr>
          <w:noProof/>
        </w:rPr>
        <w:t xml:space="preserve">a </w:t>
      </w:r>
      <w:r w:rsidR="004C1352">
        <w:rPr>
          <w:noProof/>
        </w:rPr>
        <w:t xml:space="preserve">quick </w:t>
      </w:r>
      <w:r w:rsidR="001F36D2" w:rsidRPr="001F36D2">
        <w:rPr>
          <w:noProof/>
        </w:rPr>
        <w:t xml:space="preserve">refund of </w:t>
      </w:r>
      <w:r w:rsidR="00CD0EE5">
        <w:rPr>
          <w:noProof/>
        </w:rPr>
        <w:t xml:space="preserve">the </w:t>
      </w:r>
      <w:r w:rsidR="001F36D2" w:rsidRPr="001F36D2">
        <w:rPr>
          <w:noProof/>
        </w:rPr>
        <w:t xml:space="preserve">excess </w:t>
      </w:r>
      <w:r w:rsidR="00CD0EE5">
        <w:rPr>
          <w:noProof/>
        </w:rPr>
        <w:t>withholding</w:t>
      </w:r>
      <w:r w:rsidR="001F36D2" w:rsidRPr="001F36D2">
        <w:rPr>
          <w:noProof/>
        </w:rPr>
        <w:t xml:space="preserve"> tax, </w:t>
      </w:r>
      <w:r w:rsidR="00AC23A2">
        <w:rPr>
          <w:noProof/>
        </w:rPr>
        <w:t xml:space="preserve">on behalf of </w:t>
      </w:r>
      <w:r w:rsidR="009F70B8">
        <w:rPr>
          <w:noProof/>
        </w:rPr>
        <w:t>such registered owner</w:t>
      </w:r>
      <w:r w:rsidR="00AC23A2">
        <w:rPr>
          <w:noProof/>
        </w:rPr>
        <w:t xml:space="preserve"> in accordance with Article 1</w:t>
      </w:r>
      <w:r w:rsidR="009F70B8">
        <w:rPr>
          <w:noProof/>
        </w:rPr>
        <w:t>0</w:t>
      </w:r>
      <w:r w:rsidR="001F36D2" w:rsidRPr="001F36D2" w:rsidDel="00AC23A2">
        <w:rPr>
          <w:noProof/>
        </w:rPr>
        <w:t xml:space="preserve"> </w:t>
      </w:r>
      <w:r w:rsidR="00251560">
        <w:rPr>
          <w:noProof/>
        </w:rPr>
        <w:t>if</w:t>
      </w:r>
      <w:r w:rsidR="00251560" w:rsidRPr="001F36D2">
        <w:rPr>
          <w:noProof/>
        </w:rPr>
        <w:t xml:space="preserve"> </w:t>
      </w:r>
      <w:r w:rsidR="009F70B8">
        <w:rPr>
          <w:noProof/>
        </w:rPr>
        <w:t xml:space="preserve">the </w:t>
      </w:r>
      <w:r w:rsidR="001F36D2" w:rsidRPr="001F36D2">
        <w:rPr>
          <w:noProof/>
        </w:rPr>
        <w:t xml:space="preserve">information </w:t>
      </w:r>
      <w:r w:rsidR="00CC5F96">
        <w:rPr>
          <w:noProof/>
        </w:rPr>
        <w:t xml:space="preserve">referred to </w:t>
      </w:r>
      <w:r w:rsidR="009F70B8">
        <w:rPr>
          <w:noProof/>
        </w:rPr>
        <w:t>in</w:t>
      </w:r>
      <w:r w:rsidR="001F36D2" w:rsidRPr="001F36D2">
        <w:rPr>
          <w:noProof/>
        </w:rPr>
        <w:t xml:space="preserve"> paragraph </w:t>
      </w:r>
      <w:r w:rsidR="00C05948">
        <w:rPr>
          <w:noProof/>
        </w:rPr>
        <w:t>3</w:t>
      </w:r>
      <w:r w:rsidR="001F36D2" w:rsidRPr="001F36D2">
        <w:rPr>
          <w:noProof/>
        </w:rPr>
        <w:t xml:space="preserve"> of this Article </w:t>
      </w:r>
      <w:r w:rsidR="00251560">
        <w:rPr>
          <w:noProof/>
        </w:rPr>
        <w:t xml:space="preserve">is provided </w:t>
      </w:r>
      <w:r w:rsidR="00B55BD4">
        <w:rPr>
          <w:noProof/>
        </w:rPr>
        <w:t xml:space="preserve">as soon as possible </w:t>
      </w:r>
      <w:r w:rsidR="00000172">
        <w:rPr>
          <w:noProof/>
        </w:rPr>
        <w:t xml:space="preserve">after the payment date </w:t>
      </w:r>
      <w:r w:rsidR="00B55BD4">
        <w:rPr>
          <w:noProof/>
        </w:rPr>
        <w:t xml:space="preserve">and at the latest </w:t>
      </w:r>
      <w:r w:rsidR="001F36D2" w:rsidRPr="001F36D2">
        <w:rPr>
          <w:noProof/>
        </w:rPr>
        <w:t xml:space="preserve">within 25 calendar days from </w:t>
      </w:r>
      <w:r w:rsidR="00000172">
        <w:rPr>
          <w:noProof/>
        </w:rPr>
        <w:t>th</w:t>
      </w:r>
      <w:r w:rsidR="000C5822">
        <w:rPr>
          <w:noProof/>
        </w:rPr>
        <w:t xml:space="preserve">e </w:t>
      </w:r>
      <w:r w:rsidR="001F36D2" w:rsidRPr="001F36D2">
        <w:rPr>
          <w:noProof/>
        </w:rPr>
        <w:t xml:space="preserve">date of </w:t>
      </w:r>
      <w:r w:rsidR="000C5822">
        <w:rPr>
          <w:noProof/>
        </w:rPr>
        <w:t xml:space="preserve">payment of </w:t>
      </w:r>
      <w:r w:rsidR="001F36D2" w:rsidRPr="001F36D2">
        <w:rPr>
          <w:noProof/>
        </w:rPr>
        <w:t>the dividend</w:t>
      </w:r>
      <w:r w:rsidR="00FC79A4">
        <w:rPr>
          <w:noProof/>
        </w:rPr>
        <w:t xml:space="preserve"> or interest</w:t>
      </w:r>
      <w:r w:rsidR="001F36D2">
        <w:rPr>
          <w:noProof/>
        </w:rPr>
        <w:t>.</w:t>
      </w:r>
    </w:p>
    <w:p w14:paraId="156E1442" w14:textId="0FC641A0" w:rsidR="00C53616" w:rsidRDefault="00412FF6" w:rsidP="00412FF6">
      <w:pPr>
        <w:pStyle w:val="ManualNumPar1"/>
        <w:rPr>
          <w:noProof/>
        </w:rPr>
      </w:pPr>
      <w:r w:rsidRPr="00412FF6">
        <w:t>2.</w:t>
      </w:r>
      <w:r w:rsidRPr="00412FF6">
        <w:tab/>
      </w:r>
      <w:r w:rsidR="001F36D2" w:rsidRPr="001F36D2">
        <w:rPr>
          <w:noProof/>
        </w:rPr>
        <w:t xml:space="preserve">Member States shall </w:t>
      </w:r>
      <w:r w:rsidR="00AC23A2">
        <w:rPr>
          <w:noProof/>
        </w:rPr>
        <w:t>process</w:t>
      </w:r>
      <w:r w:rsidR="001F36D2" w:rsidRPr="001F36D2">
        <w:rPr>
          <w:noProof/>
        </w:rPr>
        <w:t xml:space="preserve"> a refund request </w:t>
      </w:r>
      <w:r w:rsidR="009F70B8">
        <w:rPr>
          <w:noProof/>
        </w:rPr>
        <w:t>made in accordance with</w:t>
      </w:r>
      <w:r w:rsidR="009F70B8" w:rsidRPr="001F36D2">
        <w:rPr>
          <w:noProof/>
        </w:rPr>
        <w:t xml:space="preserve"> </w:t>
      </w:r>
      <w:r w:rsidR="001F36D2" w:rsidRPr="001F36D2">
        <w:rPr>
          <w:noProof/>
        </w:rPr>
        <w:t xml:space="preserve">paragraph 1 within </w:t>
      </w:r>
      <w:r w:rsidR="00573E98" w:rsidRPr="00197B06">
        <w:rPr>
          <w:noProof/>
        </w:rPr>
        <w:t>25</w:t>
      </w:r>
      <w:r w:rsidR="001F36D2" w:rsidRPr="00197B06">
        <w:rPr>
          <w:noProof/>
        </w:rPr>
        <w:t xml:space="preserve"> calendar days from </w:t>
      </w:r>
      <w:r w:rsidR="00573E98" w:rsidRPr="00197B06">
        <w:rPr>
          <w:noProof/>
        </w:rPr>
        <w:t xml:space="preserve">the date of </w:t>
      </w:r>
      <w:r w:rsidR="00B55BD4" w:rsidRPr="00197B06">
        <w:rPr>
          <w:noProof/>
        </w:rPr>
        <w:t>such</w:t>
      </w:r>
      <w:r w:rsidR="00573E98" w:rsidRPr="00197B06">
        <w:rPr>
          <w:noProof/>
        </w:rPr>
        <w:t xml:space="preserve"> request </w:t>
      </w:r>
      <w:r w:rsidR="00B55BD4" w:rsidRPr="00197B06">
        <w:rPr>
          <w:noProof/>
        </w:rPr>
        <w:t xml:space="preserve">or from </w:t>
      </w:r>
      <w:r w:rsidR="00573E98" w:rsidRPr="00197B06">
        <w:rPr>
          <w:noProof/>
        </w:rPr>
        <w:t xml:space="preserve">the </w:t>
      </w:r>
      <w:r w:rsidR="00B55BD4" w:rsidRPr="00197B06">
        <w:rPr>
          <w:noProof/>
        </w:rPr>
        <w:t xml:space="preserve">date reporting obligations under this Directive have been met by all relevant </w:t>
      </w:r>
      <w:r w:rsidR="00CC5F96">
        <w:rPr>
          <w:noProof/>
        </w:rPr>
        <w:t>c</w:t>
      </w:r>
      <w:r w:rsidR="00B55BD4" w:rsidRPr="00197B06">
        <w:rPr>
          <w:noProof/>
        </w:rPr>
        <w:t xml:space="preserve">ertified </w:t>
      </w:r>
      <w:r w:rsidR="00CC5F96">
        <w:rPr>
          <w:noProof/>
        </w:rPr>
        <w:t>f</w:t>
      </w:r>
      <w:r w:rsidR="00B55BD4" w:rsidRPr="00197B06">
        <w:rPr>
          <w:noProof/>
        </w:rPr>
        <w:t xml:space="preserve">inancial </w:t>
      </w:r>
      <w:r w:rsidR="00CC5F96">
        <w:rPr>
          <w:noProof/>
        </w:rPr>
        <w:t>i</w:t>
      </w:r>
      <w:r w:rsidR="00B55BD4" w:rsidRPr="00197B06">
        <w:rPr>
          <w:noProof/>
        </w:rPr>
        <w:t>ntermediaries, whichever is the latest</w:t>
      </w:r>
      <w:r w:rsidR="003E7F0F">
        <w:rPr>
          <w:noProof/>
        </w:rPr>
        <w:t>. Member States</w:t>
      </w:r>
      <w:r w:rsidR="004A0A00" w:rsidRPr="00197B06">
        <w:rPr>
          <w:noProof/>
        </w:rPr>
        <w:t xml:space="preserve"> shall apply </w:t>
      </w:r>
      <w:r w:rsidR="004A0A00" w:rsidRPr="00197B06">
        <w:rPr>
          <w:noProof/>
          <w:lang w:val="en-IE"/>
        </w:rPr>
        <w:t>interest in accordance with Article 14</w:t>
      </w:r>
      <w:r w:rsidR="004A0A00">
        <w:rPr>
          <w:noProof/>
          <w:lang w:val="en-IE"/>
        </w:rPr>
        <w:t xml:space="preserve"> </w:t>
      </w:r>
      <w:r w:rsidR="004A0A00" w:rsidRPr="000E37A2">
        <w:rPr>
          <w:noProof/>
          <w:lang w:val="en-IE"/>
        </w:rPr>
        <w:t>on the amount of such refund for each day of delay</w:t>
      </w:r>
      <w:r w:rsidR="004A0A00">
        <w:rPr>
          <w:noProof/>
          <w:lang w:val="en-IE"/>
        </w:rPr>
        <w:t xml:space="preserve"> after the </w:t>
      </w:r>
      <w:r w:rsidR="00EB23E0">
        <w:rPr>
          <w:noProof/>
          <w:lang w:val="en-IE"/>
        </w:rPr>
        <w:t>25</w:t>
      </w:r>
      <w:r w:rsidR="00EB23E0" w:rsidRPr="00EB23E0">
        <w:rPr>
          <w:noProof/>
          <w:vertAlign w:val="superscript"/>
          <w:lang w:val="en-IE"/>
        </w:rPr>
        <w:t>th</w:t>
      </w:r>
      <w:r w:rsidR="00EB23E0">
        <w:rPr>
          <w:noProof/>
          <w:lang w:val="en-IE"/>
        </w:rPr>
        <w:t xml:space="preserve"> </w:t>
      </w:r>
      <w:r w:rsidR="004A0A00">
        <w:rPr>
          <w:noProof/>
          <w:lang w:val="en-IE"/>
        </w:rPr>
        <w:t>day</w:t>
      </w:r>
      <w:r w:rsidR="004A0A00" w:rsidRPr="000E37A2">
        <w:rPr>
          <w:noProof/>
          <w:lang w:val="en-IE"/>
        </w:rPr>
        <w:t>.</w:t>
      </w:r>
    </w:p>
    <w:p w14:paraId="3B0BD29D" w14:textId="29ADE8BC" w:rsidR="001956AF" w:rsidRDefault="00412FF6" w:rsidP="00412FF6">
      <w:pPr>
        <w:pStyle w:val="ManualNumPar1"/>
        <w:rPr>
          <w:noProof/>
          <w:lang w:val="en-IE"/>
        </w:rPr>
      </w:pPr>
      <w:r w:rsidRPr="00412FF6">
        <w:t>3.</w:t>
      </w:r>
      <w:r w:rsidRPr="00412FF6">
        <w:tab/>
      </w:r>
      <w:r w:rsidR="00AC23A2">
        <w:rPr>
          <w:noProof/>
        </w:rPr>
        <w:t xml:space="preserve">A </w:t>
      </w:r>
      <w:r w:rsidR="00CC5F96">
        <w:rPr>
          <w:noProof/>
        </w:rPr>
        <w:t>c</w:t>
      </w:r>
      <w:r w:rsidR="00AC23A2">
        <w:rPr>
          <w:noProof/>
        </w:rPr>
        <w:t xml:space="preserve">ertified </w:t>
      </w:r>
      <w:r w:rsidR="00CC5F96">
        <w:rPr>
          <w:noProof/>
        </w:rPr>
        <w:t>f</w:t>
      </w:r>
      <w:r w:rsidR="00AC23A2">
        <w:rPr>
          <w:noProof/>
        </w:rPr>
        <w:t xml:space="preserve">inancial </w:t>
      </w:r>
      <w:r w:rsidR="00CC5F96">
        <w:rPr>
          <w:noProof/>
        </w:rPr>
        <w:t>i</w:t>
      </w:r>
      <w:r w:rsidR="00AC23A2">
        <w:rPr>
          <w:noProof/>
        </w:rPr>
        <w:t xml:space="preserve">ntermediary requesting </w:t>
      </w:r>
      <w:r w:rsidR="00EB23E0">
        <w:rPr>
          <w:noProof/>
        </w:rPr>
        <w:t>quick</w:t>
      </w:r>
      <w:r w:rsidR="00B36ECF">
        <w:rPr>
          <w:noProof/>
        </w:rPr>
        <w:t xml:space="preserve"> </w:t>
      </w:r>
      <w:r w:rsidR="00AC23A2">
        <w:rPr>
          <w:noProof/>
        </w:rPr>
        <w:t xml:space="preserve">refund shall provide the following </w:t>
      </w:r>
      <w:r w:rsidR="001F36D2" w:rsidRPr="001F36D2">
        <w:rPr>
          <w:noProof/>
          <w:lang w:val="en-IE"/>
        </w:rPr>
        <w:t>information</w:t>
      </w:r>
      <w:r w:rsidR="00E350FB">
        <w:rPr>
          <w:noProof/>
          <w:lang w:val="en-IE"/>
        </w:rPr>
        <w:t xml:space="preserve"> to </w:t>
      </w:r>
      <w:r w:rsidR="000C73EB">
        <w:rPr>
          <w:noProof/>
          <w:lang w:val="en-IE"/>
        </w:rPr>
        <w:t xml:space="preserve">the </w:t>
      </w:r>
      <w:r w:rsidR="005E5BD8">
        <w:rPr>
          <w:noProof/>
          <w:lang w:val="en-IE"/>
        </w:rPr>
        <w:t xml:space="preserve">relevant </w:t>
      </w:r>
      <w:r w:rsidR="000C73EB">
        <w:rPr>
          <w:noProof/>
          <w:lang w:val="en-IE"/>
        </w:rPr>
        <w:t>Member State</w:t>
      </w:r>
      <w:r w:rsidR="001F36D2" w:rsidRPr="001F36D2">
        <w:rPr>
          <w:noProof/>
          <w:lang w:val="en-IE"/>
        </w:rPr>
        <w:t>:</w:t>
      </w:r>
    </w:p>
    <w:p w14:paraId="4F9B9213" w14:textId="68C35C04" w:rsidR="001F36D2" w:rsidRPr="001F36D2" w:rsidRDefault="00412FF6" w:rsidP="00412FF6">
      <w:pPr>
        <w:pStyle w:val="Point1"/>
        <w:rPr>
          <w:noProof/>
          <w:lang w:val="en-IE"/>
        </w:rPr>
      </w:pPr>
      <w:r w:rsidRPr="00412FF6">
        <w:t>(a)</w:t>
      </w:r>
      <w:r w:rsidRPr="00412FF6">
        <w:tab/>
      </w:r>
      <w:r w:rsidR="003E7F0F">
        <w:rPr>
          <w:noProof/>
          <w:lang w:val="en-IE"/>
        </w:rPr>
        <w:t>i</w:t>
      </w:r>
      <w:r w:rsidR="001F36D2" w:rsidRPr="001F36D2">
        <w:rPr>
          <w:noProof/>
          <w:lang w:val="en-IE"/>
        </w:rPr>
        <w:t xml:space="preserve">dentification of the dividend </w:t>
      </w:r>
      <w:r w:rsidR="00FC79A4">
        <w:rPr>
          <w:noProof/>
          <w:lang w:val="en-IE"/>
        </w:rPr>
        <w:t xml:space="preserve">or interest </w:t>
      </w:r>
      <w:r w:rsidR="001F36D2" w:rsidRPr="001F36D2">
        <w:rPr>
          <w:noProof/>
          <w:lang w:val="en-IE"/>
        </w:rPr>
        <w:t xml:space="preserve">payment as referred </w:t>
      </w:r>
      <w:r w:rsidR="00CC5F96">
        <w:rPr>
          <w:noProof/>
          <w:lang w:val="en-IE"/>
        </w:rPr>
        <w:t>to in</w:t>
      </w:r>
      <w:r w:rsidR="001F36D2" w:rsidRPr="001F36D2">
        <w:rPr>
          <w:noProof/>
          <w:lang w:val="en-IE"/>
        </w:rPr>
        <w:t xml:space="preserve"> Annex II</w:t>
      </w:r>
      <w:r w:rsidR="00CC5F96">
        <w:rPr>
          <w:noProof/>
          <w:lang w:val="en-IE"/>
        </w:rPr>
        <w:t>,</w:t>
      </w:r>
      <w:r w:rsidR="00CC5F96" w:rsidRPr="00CC5F96">
        <w:rPr>
          <w:noProof/>
          <w:lang w:val="en-IE"/>
        </w:rPr>
        <w:t xml:space="preserve"> </w:t>
      </w:r>
      <w:r w:rsidR="00CC5F96" w:rsidRPr="001F36D2">
        <w:rPr>
          <w:noProof/>
          <w:lang w:val="en-IE"/>
        </w:rPr>
        <w:t>heading B</w:t>
      </w:r>
      <w:r w:rsidR="00CC5F96">
        <w:rPr>
          <w:noProof/>
          <w:lang w:val="en-IE"/>
        </w:rPr>
        <w:t>;</w:t>
      </w:r>
    </w:p>
    <w:p w14:paraId="1E3FAFDB" w14:textId="36189971" w:rsidR="001F36D2" w:rsidRDefault="00412FF6" w:rsidP="00412FF6">
      <w:pPr>
        <w:pStyle w:val="Point1"/>
        <w:rPr>
          <w:noProof/>
          <w:lang w:val="en-IE"/>
        </w:rPr>
      </w:pPr>
      <w:r w:rsidRPr="00412FF6">
        <w:t>(b)</w:t>
      </w:r>
      <w:r w:rsidRPr="00412FF6">
        <w:tab/>
      </w:r>
      <w:r w:rsidR="003E7F0F">
        <w:rPr>
          <w:noProof/>
          <w:lang w:val="en-IE"/>
        </w:rPr>
        <w:t>t</w:t>
      </w:r>
      <w:r w:rsidR="00B36ECF">
        <w:rPr>
          <w:noProof/>
          <w:lang w:val="en-IE"/>
        </w:rPr>
        <w:t>he l</w:t>
      </w:r>
      <w:r w:rsidR="001F36D2" w:rsidRPr="001F36D2">
        <w:rPr>
          <w:noProof/>
          <w:lang w:val="en-IE"/>
        </w:rPr>
        <w:t>egal basis</w:t>
      </w:r>
      <w:r w:rsidR="00AC23A2">
        <w:rPr>
          <w:noProof/>
          <w:lang w:val="en-IE"/>
        </w:rPr>
        <w:t xml:space="preserve"> of the applicable withholding tax rate</w:t>
      </w:r>
      <w:r w:rsidR="001F36D2" w:rsidRPr="001F36D2" w:rsidDel="00AC23A2">
        <w:rPr>
          <w:noProof/>
          <w:lang w:val="en-IE"/>
        </w:rPr>
        <w:t xml:space="preserve"> </w:t>
      </w:r>
      <w:r w:rsidR="00AC23A2">
        <w:rPr>
          <w:noProof/>
          <w:lang w:val="en-IE"/>
        </w:rPr>
        <w:t xml:space="preserve">and total amount of </w:t>
      </w:r>
      <w:r w:rsidR="003B7A50">
        <w:rPr>
          <w:noProof/>
          <w:lang w:val="en-IE"/>
        </w:rPr>
        <w:t>e</w:t>
      </w:r>
      <w:r w:rsidR="00AC23A2">
        <w:rPr>
          <w:noProof/>
          <w:lang w:val="en-IE"/>
        </w:rPr>
        <w:t xml:space="preserve">xcess </w:t>
      </w:r>
      <w:r w:rsidR="003B7A50">
        <w:rPr>
          <w:noProof/>
          <w:lang w:val="en-IE"/>
        </w:rPr>
        <w:t>t</w:t>
      </w:r>
      <w:r w:rsidR="001F36D2" w:rsidRPr="001F36D2">
        <w:rPr>
          <w:noProof/>
          <w:lang w:val="en-IE"/>
        </w:rPr>
        <w:t xml:space="preserve">ax </w:t>
      </w:r>
      <w:r w:rsidR="00AC23A2">
        <w:rPr>
          <w:noProof/>
          <w:lang w:val="en-IE"/>
        </w:rPr>
        <w:t>to be</w:t>
      </w:r>
      <w:r w:rsidR="001F36D2" w:rsidRPr="001F36D2">
        <w:rPr>
          <w:noProof/>
          <w:lang w:val="en-IE"/>
        </w:rPr>
        <w:t xml:space="preserve"> refund</w:t>
      </w:r>
      <w:r w:rsidR="00AC23A2">
        <w:rPr>
          <w:noProof/>
          <w:lang w:val="en-IE"/>
        </w:rPr>
        <w:t>ed</w:t>
      </w:r>
      <w:r w:rsidR="00CC5F96">
        <w:rPr>
          <w:noProof/>
          <w:lang w:val="en-IE"/>
        </w:rPr>
        <w:t>;</w:t>
      </w:r>
    </w:p>
    <w:p w14:paraId="0C4A2CF1" w14:textId="64C35ECC" w:rsidR="00AC23A2" w:rsidRPr="001F36D2" w:rsidRDefault="00412FF6" w:rsidP="00412FF6">
      <w:pPr>
        <w:pStyle w:val="Point1"/>
        <w:rPr>
          <w:noProof/>
          <w:lang w:val="en-IE"/>
        </w:rPr>
      </w:pPr>
      <w:r w:rsidRPr="00412FF6">
        <w:t>(c)</w:t>
      </w:r>
      <w:r w:rsidRPr="00412FF6">
        <w:tab/>
      </w:r>
      <w:r w:rsidR="00B36ECF">
        <w:rPr>
          <w:noProof/>
          <w:lang w:val="en-IE"/>
        </w:rPr>
        <w:t xml:space="preserve">the </w:t>
      </w:r>
      <w:r w:rsidR="00AC23A2">
        <w:rPr>
          <w:noProof/>
          <w:lang w:val="en-IE"/>
        </w:rPr>
        <w:t xml:space="preserve">tax residence of the </w:t>
      </w:r>
      <w:r w:rsidR="000C0442">
        <w:rPr>
          <w:noProof/>
          <w:lang w:val="en-IE"/>
        </w:rPr>
        <w:t>registered owner</w:t>
      </w:r>
      <w:r w:rsidR="00CC5F96">
        <w:rPr>
          <w:noProof/>
          <w:lang w:val="en-IE"/>
        </w:rPr>
        <w:t>;</w:t>
      </w:r>
    </w:p>
    <w:p w14:paraId="14AADEDD" w14:textId="78DD81A4" w:rsidR="001F36D2" w:rsidRDefault="00412FF6" w:rsidP="00412FF6">
      <w:pPr>
        <w:pStyle w:val="Point1"/>
        <w:rPr>
          <w:noProof/>
          <w:lang w:val="en-IE"/>
        </w:rPr>
      </w:pPr>
      <w:r w:rsidRPr="00412FF6">
        <w:t>(d)</w:t>
      </w:r>
      <w:r w:rsidRPr="00412FF6">
        <w:tab/>
      </w:r>
      <w:r w:rsidR="003E7F0F">
        <w:rPr>
          <w:noProof/>
          <w:lang w:val="en-IE"/>
        </w:rPr>
        <w:t>t</w:t>
      </w:r>
      <w:r w:rsidR="00AC23A2">
        <w:rPr>
          <w:noProof/>
          <w:lang w:val="en-IE"/>
        </w:rPr>
        <w:t>he</w:t>
      </w:r>
      <w:r w:rsidR="001F36D2" w:rsidRPr="001F36D2">
        <w:rPr>
          <w:noProof/>
          <w:lang w:val="en-IE"/>
        </w:rPr>
        <w:t xml:space="preserve"> </w:t>
      </w:r>
      <w:r w:rsidR="000C0442">
        <w:rPr>
          <w:noProof/>
          <w:lang w:val="en-IE"/>
        </w:rPr>
        <w:t>registered owner</w:t>
      </w:r>
      <w:r w:rsidR="00AC23A2">
        <w:rPr>
          <w:noProof/>
          <w:lang w:val="en-IE"/>
        </w:rPr>
        <w:t>’s declaration</w:t>
      </w:r>
      <w:r w:rsidR="001F36D2" w:rsidRPr="001F36D2">
        <w:rPr>
          <w:noProof/>
          <w:lang w:val="en-IE"/>
        </w:rPr>
        <w:t xml:space="preserve"> </w:t>
      </w:r>
      <w:r w:rsidR="00EB23E0">
        <w:rPr>
          <w:noProof/>
          <w:lang w:val="en-IE"/>
        </w:rPr>
        <w:t>in accordance with</w:t>
      </w:r>
      <w:r w:rsidR="001F36D2" w:rsidRPr="001F36D2">
        <w:rPr>
          <w:noProof/>
          <w:lang w:val="en-IE"/>
        </w:rPr>
        <w:t xml:space="preserve"> Article 1</w:t>
      </w:r>
      <w:r w:rsidR="006574CB">
        <w:rPr>
          <w:noProof/>
          <w:lang w:val="en-IE"/>
        </w:rPr>
        <w:t>1</w:t>
      </w:r>
      <w:r w:rsidR="001F36D2" w:rsidRPr="001F36D2">
        <w:rPr>
          <w:noProof/>
          <w:lang w:val="en-IE"/>
        </w:rPr>
        <w:t>.</w:t>
      </w:r>
    </w:p>
    <w:p w14:paraId="7A34786F" w14:textId="312523DC" w:rsidR="003B7A50" w:rsidRDefault="00412FF6" w:rsidP="00412FF6">
      <w:pPr>
        <w:pStyle w:val="ManualNumPar1"/>
        <w:rPr>
          <w:noProof/>
        </w:rPr>
      </w:pPr>
      <w:r w:rsidRPr="00412FF6">
        <w:t>4.</w:t>
      </w:r>
      <w:r w:rsidRPr="00412FF6">
        <w:tab/>
      </w:r>
      <w:r w:rsidR="003B7A50" w:rsidRPr="001F36D2">
        <w:rPr>
          <w:noProof/>
        </w:rPr>
        <w:t xml:space="preserve">The Commission shall adopt implementing acts laying down standard computerised forms, including the linguistic arrangements, </w:t>
      </w:r>
      <w:r w:rsidR="003B7A50" w:rsidRPr="0098755D">
        <w:rPr>
          <w:noProof/>
          <w:lang w:val="en-IE"/>
        </w:rPr>
        <w:t>and requirements for the communication channels</w:t>
      </w:r>
      <w:r w:rsidR="003B7A50" w:rsidRPr="001F36D2">
        <w:rPr>
          <w:noProof/>
        </w:rPr>
        <w:t xml:space="preserve"> for the submission of requests under this Article</w:t>
      </w:r>
      <w:r w:rsidR="0079028E">
        <w:rPr>
          <w:noProof/>
        </w:rPr>
        <w:t>. Those implementing acts shall be adopted</w:t>
      </w:r>
      <w:r w:rsidR="003B7A50" w:rsidRPr="001F36D2">
        <w:rPr>
          <w:noProof/>
        </w:rPr>
        <w:t xml:space="preserve">, in accordance with the </w:t>
      </w:r>
      <w:r w:rsidR="0079028E">
        <w:rPr>
          <w:noProof/>
        </w:rPr>
        <w:t xml:space="preserve">examination </w:t>
      </w:r>
      <w:r w:rsidR="003B7A50" w:rsidRPr="001F36D2">
        <w:rPr>
          <w:noProof/>
        </w:rPr>
        <w:t>procedure referred to in Article 1</w:t>
      </w:r>
      <w:r w:rsidR="003B7A50">
        <w:rPr>
          <w:noProof/>
        </w:rPr>
        <w:t>8</w:t>
      </w:r>
      <w:r w:rsidR="003B7A50" w:rsidRPr="001F36D2">
        <w:rPr>
          <w:noProof/>
        </w:rPr>
        <w:t>.</w:t>
      </w:r>
    </w:p>
    <w:p w14:paraId="49FD2459" w14:textId="77777777" w:rsidR="001956AF" w:rsidRDefault="001956AF" w:rsidP="000E37A2">
      <w:pPr>
        <w:pStyle w:val="Titrearticle"/>
        <w:rPr>
          <w:b/>
          <w:bCs/>
          <w:i w:val="0"/>
          <w:iCs/>
          <w:noProof/>
          <w:lang w:val="en-IE"/>
        </w:rPr>
      </w:pPr>
      <w:r w:rsidRPr="009A3230">
        <w:rPr>
          <w:noProof/>
          <w:lang w:val="en-IE"/>
        </w:rPr>
        <w:t xml:space="preserve">Article </w:t>
      </w:r>
      <w:r>
        <w:rPr>
          <w:iCs/>
          <w:noProof/>
          <w:lang w:val="en-IE"/>
        </w:rPr>
        <w:t>1</w:t>
      </w:r>
      <w:r w:rsidR="005E3AA5">
        <w:rPr>
          <w:iCs/>
          <w:noProof/>
          <w:lang w:val="en-IE"/>
        </w:rPr>
        <w:t>4</w:t>
      </w:r>
      <w:r w:rsidR="000E37A2">
        <w:rPr>
          <w:iCs/>
          <w:noProof/>
          <w:lang w:val="en-IE"/>
        </w:rPr>
        <w:br/>
      </w:r>
      <w:r w:rsidRPr="000E37A2">
        <w:rPr>
          <w:b/>
          <w:bCs/>
          <w:i w:val="0"/>
          <w:iCs/>
          <w:noProof/>
          <w:lang w:val="en-IE"/>
        </w:rPr>
        <w:t>Late payment interest</w:t>
      </w:r>
    </w:p>
    <w:p w14:paraId="0F684513" w14:textId="77777777" w:rsidR="001956AF" w:rsidRPr="000E37A2" w:rsidRDefault="004A0A00" w:rsidP="004D12F8">
      <w:pPr>
        <w:rPr>
          <w:noProof/>
          <w:lang w:val="en-IE"/>
        </w:rPr>
      </w:pPr>
      <w:r>
        <w:rPr>
          <w:noProof/>
        </w:rPr>
        <w:t xml:space="preserve">Member States shall apply interest in accordance with </w:t>
      </w:r>
      <w:r w:rsidR="0079028E">
        <w:rPr>
          <w:noProof/>
        </w:rPr>
        <w:t>A</w:t>
      </w:r>
      <w:r>
        <w:rPr>
          <w:noProof/>
        </w:rPr>
        <w:t>rticle 13</w:t>
      </w:r>
      <w:r w:rsidR="0079028E">
        <w:rPr>
          <w:noProof/>
        </w:rPr>
        <w:t>(2)</w:t>
      </w:r>
      <w:r>
        <w:rPr>
          <w:noProof/>
        </w:rPr>
        <w:t xml:space="preserve"> at </w:t>
      </w:r>
      <w:r w:rsidR="00DB0AB7">
        <w:rPr>
          <w:noProof/>
        </w:rPr>
        <w:t>a</w:t>
      </w:r>
      <w:r w:rsidR="001F36D2" w:rsidRPr="001F36D2">
        <w:rPr>
          <w:noProof/>
          <w:lang w:val="en-IE"/>
        </w:rPr>
        <w:t xml:space="preserve"> rate equal to the interest or equivalent charge applied by the Member State to late payments of income tax by </w:t>
      </w:r>
      <w:r w:rsidR="000C0442">
        <w:rPr>
          <w:noProof/>
          <w:lang w:val="en-IE"/>
        </w:rPr>
        <w:t>registered owner</w:t>
      </w:r>
      <w:r w:rsidR="000C0442" w:rsidRPr="001F36D2">
        <w:rPr>
          <w:noProof/>
          <w:lang w:val="en-IE"/>
        </w:rPr>
        <w:t>s</w:t>
      </w:r>
      <w:r w:rsidR="001F36D2" w:rsidRPr="001F36D2">
        <w:rPr>
          <w:noProof/>
          <w:lang w:val="en-IE"/>
        </w:rPr>
        <w:t>, or</w:t>
      </w:r>
      <w:r w:rsidR="00994676">
        <w:rPr>
          <w:noProof/>
          <w:lang w:val="en-IE"/>
        </w:rPr>
        <w:t>, if the national legislation of the Member States does not include such provision, at</w:t>
      </w:r>
      <w:r w:rsidR="000C5822">
        <w:rPr>
          <w:noProof/>
          <w:lang w:val="en-IE"/>
        </w:rPr>
        <w:t xml:space="preserve"> the Euro short-term rate </w:t>
      </w:r>
      <w:r w:rsidR="001F36D2" w:rsidRPr="001F36D2">
        <w:rPr>
          <w:noProof/>
          <w:lang w:val="en-IE"/>
        </w:rPr>
        <w:t>plus 50 basis points</w:t>
      </w:r>
      <w:r w:rsidR="00994676">
        <w:rPr>
          <w:noProof/>
          <w:lang w:val="en-IE"/>
        </w:rPr>
        <w:t xml:space="preserve"> or </w:t>
      </w:r>
      <w:r w:rsidR="001F36D2" w:rsidRPr="001F36D2">
        <w:rPr>
          <w:noProof/>
          <w:lang w:val="en-IE"/>
        </w:rPr>
        <w:t>the equivalent interest rate used by their Central Bank plus 50 basis point</w:t>
      </w:r>
      <w:r w:rsidR="00251560">
        <w:rPr>
          <w:noProof/>
          <w:lang w:val="en-IE"/>
        </w:rPr>
        <w:t>s</w:t>
      </w:r>
      <w:r w:rsidR="00994676">
        <w:rPr>
          <w:noProof/>
          <w:lang w:val="en-IE"/>
        </w:rPr>
        <w:t>, if they are not part of the European Exchange Rate Mechanism</w:t>
      </w:r>
      <w:r w:rsidR="001956AF" w:rsidRPr="000E37A2">
        <w:rPr>
          <w:noProof/>
          <w:lang w:val="en-IE"/>
        </w:rPr>
        <w:t xml:space="preserve">. </w:t>
      </w:r>
    </w:p>
    <w:p w14:paraId="2E2E9C1B" w14:textId="77777777" w:rsidR="001956AF" w:rsidRDefault="001956AF" w:rsidP="000E37A2">
      <w:pPr>
        <w:pStyle w:val="Titrearticle"/>
        <w:rPr>
          <w:b/>
          <w:bCs/>
          <w:i w:val="0"/>
          <w:iCs/>
          <w:noProof/>
          <w:lang w:val="en-IE"/>
        </w:rPr>
      </w:pPr>
      <w:r>
        <w:rPr>
          <w:noProof/>
        </w:rPr>
        <w:t xml:space="preserve">Article </w:t>
      </w:r>
      <w:r>
        <w:rPr>
          <w:iCs/>
          <w:noProof/>
        </w:rPr>
        <w:t>1</w:t>
      </w:r>
      <w:r w:rsidR="005E3AA5">
        <w:rPr>
          <w:iCs/>
          <w:noProof/>
        </w:rPr>
        <w:t>5</w:t>
      </w:r>
      <w:r w:rsidR="000E37A2">
        <w:rPr>
          <w:iCs/>
          <w:noProof/>
        </w:rPr>
        <w:br/>
      </w:r>
      <w:r w:rsidRPr="000E37A2">
        <w:rPr>
          <w:b/>
          <w:bCs/>
          <w:i w:val="0"/>
          <w:iCs/>
          <w:noProof/>
          <w:lang w:val="en-IE"/>
        </w:rPr>
        <w:t xml:space="preserve">Standard </w:t>
      </w:r>
      <w:r w:rsidR="0079028E">
        <w:rPr>
          <w:b/>
          <w:bCs/>
          <w:i w:val="0"/>
          <w:iCs/>
          <w:noProof/>
          <w:lang w:val="en-IE"/>
        </w:rPr>
        <w:t>r</w:t>
      </w:r>
      <w:r w:rsidRPr="000E37A2">
        <w:rPr>
          <w:b/>
          <w:bCs/>
          <w:i w:val="0"/>
          <w:iCs/>
          <w:noProof/>
          <w:lang w:val="en-IE"/>
        </w:rPr>
        <w:t>efund system</w:t>
      </w:r>
    </w:p>
    <w:p w14:paraId="4D27861C" w14:textId="3CC3A55A" w:rsidR="001956AF" w:rsidRDefault="004A0A00" w:rsidP="000E37A2">
      <w:pPr>
        <w:rPr>
          <w:noProof/>
        </w:rPr>
      </w:pPr>
      <w:r>
        <w:rPr>
          <w:noProof/>
        </w:rPr>
        <w:t>Member States shall adopt appropriate measures to ensure that w</w:t>
      </w:r>
      <w:r w:rsidR="00A302AD">
        <w:rPr>
          <w:noProof/>
        </w:rPr>
        <w:t>here Article 1</w:t>
      </w:r>
      <w:r w:rsidR="00C05948">
        <w:rPr>
          <w:noProof/>
        </w:rPr>
        <w:t>2</w:t>
      </w:r>
      <w:r w:rsidR="00A302AD">
        <w:rPr>
          <w:noProof/>
        </w:rPr>
        <w:t xml:space="preserve"> and </w:t>
      </w:r>
      <w:r w:rsidR="0079028E">
        <w:rPr>
          <w:noProof/>
        </w:rPr>
        <w:t xml:space="preserve">Article </w:t>
      </w:r>
      <w:r w:rsidR="00A302AD">
        <w:rPr>
          <w:noProof/>
        </w:rPr>
        <w:t>1</w:t>
      </w:r>
      <w:r w:rsidR="00C05948">
        <w:rPr>
          <w:noProof/>
        </w:rPr>
        <w:t>3</w:t>
      </w:r>
      <w:r w:rsidR="00A302AD">
        <w:rPr>
          <w:noProof/>
        </w:rPr>
        <w:t xml:space="preserve"> do not apply to dividends, </w:t>
      </w:r>
      <w:r>
        <w:rPr>
          <w:noProof/>
        </w:rPr>
        <w:t xml:space="preserve">because the conditions of this Directive are not met, </w:t>
      </w:r>
      <w:r w:rsidR="005B0C80">
        <w:rPr>
          <w:noProof/>
        </w:rPr>
        <w:t>a registered owner</w:t>
      </w:r>
      <w:r w:rsidR="12130889">
        <w:rPr>
          <w:noProof/>
        </w:rPr>
        <w:t xml:space="preserve"> or its </w:t>
      </w:r>
      <w:r w:rsidR="005B0C80">
        <w:rPr>
          <w:noProof/>
        </w:rPr>
        <w:t xml:space="preserve">authorised </w:t>
      </w:r>
      <w:r w:rsidR="12130889">
        <w:rPr>
          <w:noProof/>
        </w:rPr>
        <w:t>representative</w:t>
      </w:r>
      <w:r w:rsidR="49754D83">
        <w:rPr>
          <w:noProof/>
        </w:rPr>
        <w:t xml:space="preserve"> </w:t>
      </w:r>
      <w:r w:rsidR="001F36D2" w:rsidRPr="001F36D2">
        <w:rPr>
          <w:noProof/>
        </w:rPr>
        <w:t>request</w:t>
      </w:r>
      <w:r w:rsidR="005B0C80">
        <w:rPr>
          <w:noProof/>
        </w:rPr>
        <w:t>ing</w:t>
      </w:r>
      <w:r w:rsidR="001F36D2" w:rsidRPr="001F36D2">
        <w:rPr>
          <w:noProof/>
        </w:rPr>
        <w:t xml:space="preserve"> for refund of </w:t>
      </w:r>
      <w:r w:rsidR="00524F55">
        <w:rPr>
          <w:noProof/>
        </w:rPr>
        <w:t xml:space="preserve">the </w:t>
      </w:r>
      <w:r w:rsidR="001F36D2" w:rsidRPr="001F36D2">
        <w:rPr>
          <w:noProof/>
        </w:rPr>
        <w:t xml:space="preserve">excess </w:t>
      </w:r>
      <w:r w:rsidR="00524F55">
        <w:rPr>
          <w:noProof/>
        </w:rPr>
        <w:t>withholding</w:t>
      </w:r>
      <w:r w:rsidR="001F36D2" w:rsidRPr="001F36D2">
        <w:rPr>
          <w:noProof/>
        </w:rPr>
        <w:t xml:space="preserve"> tax </w:t>
      </w:r>
      <w:r w:rsidR="001F36D2" w:rsidRPr="005E5BD8">
        <w:rPr>
          <w:noProof/>
        </w:rPr>
        <w:t xml:space="preserve">on </w:t>
      </w:r>
      <w:r w:rsidR="00A302AD" w:rsidRPr="005E5BD8">
        <w:rPr>
          <w:noProof/>
        </w:rPr>
        <w:t xml:space="preserve">such </w:t>
      </w:r>
      <w:r w:rsidR="001F36D2" w:rsidRPr="005E5BD8">
        <w:rPr>
          <w:noProof/>
        </w:rPr>
        <w:t xml:space="preserve">dividends </w:t>
      </w:r>
      <w:r w:rsidR="17505BF4" w:rsidRPr="005E5BD8">
        <w:rPr>
          <w:noProof/>
        </w:rPr>
        <w:t>provide</w:t>
      </w:r>
      <w:r w:rsidR="3E2544B1" w:rsidRPr="005E5BD8">
        <w:rPr>
          <w:noProof/>
        </w:rPr>
        <w:t>s</w:t>
      </w:r>
      <w:r w:rsidR="451529F8" w:rsidRPr="005E5BD8">
        <w:rPr>
          <w:noProof/>
        </w:rPr>
        <w:t xml:space="preserve"> </w:t>
      </w:r>
      <w:r w:rsidR="003B1F1E" w:rsidRPr="005E5BD8">
        <w:rPr>
          <w:noProof/>
        </w:rPr>
        <w:t xml:space="preserve">at least </w:t>
      </w:r>
      <w:r w:rsidR="5CB20B25" w:rsidRPr="005E5BD8">
        <w:rPr>
          <w:noProof/>
        </w:rPr>
        <w:t xml:space="preserve">the </w:t>
      </w:r>
      <w:r w:rsidR="67D9D763" w:rsidRPr="005E5BD8">
        <w:rPr>
          <w:noProof/>
        </w:rPr>
        <w:t>information</w:t>
      </w:r>
      <w:r w:rsidR="170EF30E" w:rsidRPr="005E5BD8">
        <w:rPr>
          <w:noProof/>
          <w:lang w:val="en-IE"/>
        </w:rPr>
        <w:t xml:space="preserve"> </w:t>
      </w:r>
      <w:r w:rsidR="17802748" w:rsidRPr="005E5BD8">
        <w:rPr>
          <w:noProof/>
          <w:lang w:val="en-IE"/>
        </w:rPr>
        <w:t xml:space="preserve">required </w:t>
      </w:r>
      <w:r w:rsidR="17768F01" w:rsidRPr="005E5BD8">
        <w:rPr>
          <w:noProof/>
          <w:lang w:val="en-IE"/>
        </w:rPr>
        <w:t xml:space="preserve">under </w:t>
      </w:r>
      <w:r w:rsidR="762159EC" w:rsidRPr="005E5BD8">
        <w:rPr>
          <w:noProof/>
          <w:lang w:val="en-IE"/>
        </w:rPr>
        <w:t>Annex II</w:t>
      </w:r>
      <w:r w:rsidR="001F69BA">
        <w:rPr>
          <w:noProof/>
          <w:lang w:val="en-IE"/>
        </w:rPr>
        <w:t>,</w:t>
      </w:r>
      <w:r w:rsidR="003B1F1E" w:rsidRPr="005E5BD8">
        <w:rPr>
          <w:noProof/>
          <w:lang w:val="en-IE"/>
        </w:rPr>
        <w:t xml:space="preserve"> heading E</w:t>
      </w:r>
      <w:r w:rsidR="73524844" w:rsidRPr="005E5BD8">
        <w:rPr>
          <w:noProof/>
          <w:lang w:val="en-IE"/>
        </w:rPr>
        <w:t xml:space="preserve">, </w:t>
      </w:r>
      <w:r w:rsidR="00F42A4B">
        <w:rPr>
          <w:noProof/>
          <w:lang w:val="en-IE"/>
        </w:rPr>
        <w:t>unless</w:t>
      </w:r>
      <w:r w:rsidR="00F42A4B" w:rsidRPr="006A0DC3">
        <w:rPr>
          <w:noProof/>
          <w:lang w:val="en-IE"/>
        </w:rPr>
        <w:t xml:space="preserve"> the </w:t>
      </w:r>
      <w:r w:rsidR="00F42A4B">
        <w:rPr>
          <w:noProof/>
          <w:lang w:val="en-IE"/>
        </w:rPr>
        <w:t>total</w:t>
      </w:r>
      <w:r w:rsidR="00F42A4B" w:rsidRPr="006A0DC3">
        <w:rPr>
          <w:noProof/>
          <w:lang w:val="en-IE"/>
        </w:rPr>
        <w:t xml:space="preserve"> dividend </w:t>
      </w:r>
      <w:r w:rsidR="00F42A4B" w:rsidRPr="000C056D">
        <w:rPr>
          <w:noProof/>
          <w:lang w:val="en-IE"/>
        </w:rPr>
        <w:t xml:space="preserve">paid to the </w:t>
      </w:r>
      <w:r w:rsidR="00F42A4B">
        <w:rPr>
          <w:noProof/>
          <w:lang w:val="en-IE"/>
        </w:rPr>
        <w:t>registered owner</w:t>
      </w:r>
      <w:r w:rsidR="00F42A4B" w:rsidRPr="000C056D">
        <w:rPr>
          <w:noProof/>
          <w:lang w:val="en-IE"/>
        </w:rPr>
        <w:t xml:space="preserve"> </w:t>
      </w:r>
      <w:r w:rsidR="00F42A4B">
        <w:rPr>
          <w:noProof/>
          <w:lang w:val="en-IE"/>
        </w:rPr>
        <w:t>on the owner’s</w:t>
      </w:r>
      <w:r w:rsidR="00F42A4B" w:rsidRPr="000C056D">
        <w:rPr>
          <w:noProof/>
          <w:lang w:val="en-IE"/>
        </w:rPr>
        <w:t xml:space="preserve"> </w:t>
      </w:r>
      <w:r w:rsidR="00F42A4B" w:rsidRPr="7BA2523B">
        <w:rPr>
          <w:noProof/>
          <w:lang w:val="en-IE"/>
        </w:rPr>
        <w:t>share</w:t>
      </w:r>
      <w:r w:rsidR="00F42A4B">
        <w:rPr>
          <w:noProof/>
          <w:lang w:val="en-IE"/>
        </w:rPr>
        <w:t xml:space="preserve">holding in a company </w:t>
      </w:r>
      <w:r w:rsidR="00F42A4B" w:rsidRPr="000C056D">
        <w:rPr>
          <w:noProof/>
          <w:lang w:val="en-IE"/>
        </w:rPr>
        <w:t>does not exceed EUR 1000</w:t>
      </w:r>
      <w:r w:rsidR="00F42A4B">
        <w:rPr>
          <w:noProof/>
          <w:lang w:val="en-IE"/>
        </w:rPr>
        <w:t xml:space="preserve">, and </w:t>
      </w:r>
      <w:r w:rsidR="73524844" w:rsidRPr="005E5BD8">
        <w:rPr>
          <w:noProof/>
          <w:lang w:val="en-IE"/>
        </w:rPr>
        <w:t>unless this information has already been provided</w:t>
      </w:r>
      <w:r w:rsidR="7DF805E9" w:rsidRPr="005E5BD8">
        <w:rPr>
          <w:noProof/>
          <w:lang w:val="en-IE"/>
        </w:rPr>
        <w:t xml:space="preserve"> in accordance with</w:t>
      </w:r>
      <w:r w:rsidR="1DE1832C" w:rsidRPr="005E5BD8">
        <w:rPr>
          <w:noProof/>
          <w:lang w:val="en-IE"/>
        </w:rPr>
        <w:t xml:space="preserve"> the </w:t>
      </w:r>
      <w:r w:rsidR="7FD52A0D" w:rsidRPr="005E5BD8">
        <w:rPr>
          <w:noProof/>
          <w:lang w:val="en-IE"/>
        </w:rPr>
        <w:t>obligations</w:t>
      </w:r>
      <w:r w:rsidR="1DE1832C" w:rsidRPr="005E5BD8">
        <w:rPr>
          <w:noProof/>
          <w:lang w:val="en-IE"/>
        </w:rPr>
        <w:t xml:space="preserve"> of Article 9.</w:t>
      </w:r>
      <w:r w:rsidR="001F36D2" w:rsidRPr="005E5BD8">
        <w:rPr>
          <w:noProof/>
          <w:lang w:val="en-IE"/>
        </w:rPr>
        <w:t xml:space="preserve"> </w:t>
      </w:r>
    </w:p>
    <w:p w14:paraId="0050B2E6" w14:textId="77777777" w:rsidR="000E37A2" w:rsidRDefault="001956AF" w:rsidP="000E37A2">
      <w:pPr>
        <w:pStyle w:val="Titrearticle"/>
        <w:rPr>
          <w:b/>
          <w:bCs/>
          <w:i w:val="0"/>
          <w:iCs/>
          <w:noProof/>
          <w:lang w:val="en-IE"/>
        </w:rPr>
      </w:pPr>
      <w:r w:rsidRPr="005A6060">
        <w:rPr>
          <w:noProof/>
          <w:lang w:val="en-IE"/>
        </w:rPr>
        <w:t>Article 1</w:t>
      </w:r>
      <w:r w:rsidR="00E32925">
        <w:rPr>
          <w:noProof/>
          <w:lang w:val="en-IE"/>
        </w:rPr>
        <w:t>6</w:t>
      </w:r>
      <w:r w:rsidR="000E37A2">
        <w:rPr>
          <w:noProof/>
          <w:lang w:val="en-IE"/>
        </w:rPr>
        <w:br/>
      </w:r>
      <w:r w:rsidR="00667524">
        <w:rPr>
          <w:b/>
          <w:bCs/>
          <w:i w:val="0"/>
          <w:iCs/>
          <w:noProof/>
          <w:lang w:val="en-IE"/>
        </w:rPr>
        <w:t xml:space="preserve">Civil </w:t>
      </w:r>
      <w:r w:rsidR="0079028E">
        <w:rPr>
          <w:b/>
          <w:bCs/>
          <w:i w:val="0"/>
          <w:iCs/>
          <w:noProof/>
          <w:lang w:val="en-IE"/>
        </w:rPr>
        <w:t>l</w:t>
      </w:r>
      <w:r w:rsidRPr="000E37A2">
        <w:rPr>
          <w:b/>
          <w:bCs/>
          <w:i w:val="0"/>
          <w:iCs/>
          <w:noProof/>
          <w:lang w:val="en-IE"/>
        </w:rPr>
        <w:t>iability</w:t>
      </w:r>
    </w:p>
    <w:p w14:paraId="32EBC30C" w14:textId="77777777" w:rsidR="00C86220" w:rsidRDefault="00C86220" w:rsidP="004D12F8">
      <w:pPr>
        <w:rPr>
          <w:noProof/>
        </w:rPr>
      </w:pPr>
      <w:r>
        <w:rPr>
          <w:noProof/>
        </w:rPr>
        <w:t xml:space="preserve">Member States shall take appropriate measures to ensure that if a </w:t>
      </w:r>
      <w:r w:rsidR="00C73BCE">
        <w:rPr>
          <w:noProof/>
        </w:rPr>
        <w:t>c</w:t>
      </w:r>
      <w:r>
        <w:rPr>
          <w:noProof/>
        </w:rPr>
        <w:t xml:space="preserve">ertified </w:t>
      </w:r>
      <w:r w:rsidR="00C73BCE">
        <w:rPr>
          <w:noProof/>
        </w:rPr>
        <w:t>f</w:t>
      </w:r>
      <w:r>
        <w:rPr>
          <w:noProof/>
        </w:rPr>
        <w:t xml:space="preserve">inancial </w:t>
      </w:r>
      <w:r w:rsidR="00C73BCE">
        <w:rPr>
          <w:noProof/>
        </w:rPr>
        <w:t>i</w:t>
      </w:r>
      <w:r>
        <w:rPr>
          <w:noProof/>
        </w:rPr>
        <w:t xml:space="preserve">ntermediary does not comply, </w:t>
      </w:r>
      <w:r w:rsidRPr="005E5BD8">
        <w:rPr>
          <w:noProof/>
          <w:lang w:val="en-IE"/>
        </w:rPr>
        <w:t>intentionally or negli</w:t>
      </w:r>
      <w:r>
        <w:rPr>
          <w:noProof/>
          <w:lang w:val="en-IE"/>
        </w:rPr>
        <w:t xml:space="preserve">gently, </w:t>
      </w:r>
      <w:r>
        <w:rPr>
          <w:noProof/>
        </w:rPr>
        <w:t>with its obligations under Articles 9</w:t>
      </w:r>
      <w:r w:rsidR="004A3C48">
        <w:rPr>
          <w:noProof/>
        </w:rPr>
        <w:t xml:space="preserve">, 10, </w:t>
      </w:r>
      <w:r>
        <w:rPr>
          <w:noProof/>
        </w:rPr>
        <w:t>11</w:t>
      </w:r>
      <w:r w:rsidR="004A3C48">
        <w:rPr>
          <w:noProof/>
        </w:rPr>
        <w:t>, 12 and 13</w:t>
      </w:r>
      <w:r w:rsidR="009E3CBB">
        <w:rPr>
          <w:noProof/>
        </w:rPr>
        <w:t>,</w:t>
      </w:r>
      <w:r w:rsidR="009E3CBB">
        <w:rPr>
          <w:noProof/>
          <w:lang w:val="en-IE"/>
        </w:rPr>
        <w:t xml:space="preserve"> the </w:t>
      </w:r>
      <w:r w:rsidR="00C73BCE">
        <w:rPr>
          <w:noProof/>
          <w:lang w:val="en-IE"/>
        </w:rPr>
        <w:t>c</w:t>
      </w:r>
      <w:r w:rsidR="009E3CBB">
        <w:rPr>
          <w:noProof/>
          <w:lang w:val="en-IE"/>
        </w:rPr>
        <w:t xml:space="preserve">ertified </w:t>
      </w:r>
      <w:r w:rsidR="00C73BCE">
        <w:rPr>
          <w:noProof/>
          <w:lang w:val="en-IE"/>
        </w:rPr>
        <w:t>f</w:t>
      </w:r>
      <w:r w:rsidR="009E3CBB">
        <w:rPr>
          <w:noProof/>
          <w:lang w:val="en-IE"/>
        </w:rPr>
        <w:t xml:space="preserve">inancial </w:t>
      </w:r>
      <w:r w:rsidR="00C73BCE">
        <w:rPr>
          <w:noProof/>
          <w:lang w:val="en-IE"/>
        </w:rPr>
        <w:t>i</w:t>
      </w:r>
      <w:r w:rsidR="009E3CBB">
        <w:rPr>
          <w:noProof/>
          <w:lang w:val="en-IE"/>
        </w:rPr>
        <w:t>ntermediary can be held liable for all or part of</w:t>
      </w:r>
      <w:r w:rsidR="00667524">
        <w:rPr>
          <w:noProof/>
          <w:lang w:val="en-IE"/>
        </w:rPr>
        <w:t xml:space="preserve"> the</w:t>
      </w:r>
      <w:r w:rsidR="009E3CBB">
        <w:rPr>
          <w:noProof/>
          <w:lang w:val="en-IE"/>
        </w:rPr>
        <w:t xml:space="preserve"> loss of withholding tax revenue incurred by the Member State in relation to a request under Article </w:t>
      </w:r>
      <w:r w:rsidR="00405244" w:rsidRPr="008420E5">
        <w:rPr>
          <w:noProof/>
          <w:lang w:val="en-IE"/>
        </w:rPr>
        <w:t>1</w:t>
      </w:r>
      <w:r w:rsidR="00405244">
        <w:rPr>
          <w:noProof/>
          <w:lang w:val="en-IE"/>
        </w:rPr>
        <w:t xml:space="preserve">2 or </w:t>
      </w:r>
      <w:r w:rsidR="009E3CBB">
        <w:rPr>
          <w:noProof/>
          <w:lang w:val="en-IE"/>
        </w:rPr>
        <w:t>13.</w:t>
      </w:r>
    </w:p>
    <w:p w14:paraId="19A6849F" w14:textId="77777777" w:rsidR="00091220" w:rsidRDefault="00091220" w:rsidP="00091220">
      <w:pPr>
        <w:pStyle w:val="Titrearticle"/>
        <w:rPr>
          <w:b/>
          <w:bCs/>
          <w:i w:val="0"/>
          <w:iCs/>
          <w:noProof/>
          <w:lang w:val="en-IE"/>
        </w:rPr>
      </w:pPr>
      <w:r w:rsidRPr="005A6060">
        <w:rPr>
          <w:noProof/>
          <w:lang w:val="en-IE"/>
        </w:rPr>
        <w:t>Article 1</w:t>
      </w:r>
      <w:r>
        <w:rPr>
          <w:noProof/>
          <w:lang w:val="en-IE"/>
        </w:rPr>
        <w:t>7</w:t>
      </w:r>
      <w:r>
        <w:rPr>
          <w:noProof/>
          <w:lang w:val="en-IE"/>
        </w:rPr>
        <w:br/>
      </w:r>
      <w:r w:rsidRPr="000E37A2">
        <w:rPr>
          <w:b/>
          <w:bCs/>
          <w:i w:val="0"/>
          <w:iCs/>
          <w:noProof/>
          <w:lang w:val="en-IE"/>
        </w:rPr>
        <w:t>Penalties</w:t>
      </w:r>
    </w:p>
    <w:p w14:paraId="243A80C9" w14:textId="77777777" w:rsidR="001956AF" w:rsidRDefault="001956AF" w:rsidP="004D12F8">
      <w:pPr>
        <w:rPr>
          <w:noProof/>
          <w:lang w:val="en-IE"/>
        </w:rPr>
      </w:pPr>
      <w:r w:rsidRPr="000E37A2">
        <w:rPr>
          <w:noProof/>
          <w:lang w:val="en-IE"/>
        </w:rPr>
        <w:t>Member States shall lay down the rules on penalties applicable to infringements of national provisions adopted pursuant to this Directive, and shall take all measures necessary to ensure that they are implemented. The</w:t>
      </w:r>
      <w:r w:rsidR="009469FB">
        <w:rPr>
          <w:noProof/>
          <w:lang w:val="en-IE"/>
        </w:rPr>
        <w:t>se</w:t>
      </w:r>
      <w:r w:rsidRPr="000E37A2">
        <w:rPr>
          <w:noProof/>
          <w:lang w:val="en-IE"/>
        </w:rPr>
        <w:t xml:space="preserve"> penalties shall be effective, proportionate and dissuasive.</w:t>
      </w:r>
    </w:p>
    <w:p w14:paraId="736B5B42" w14:textId="77777777" w:rsidR="004D12F8" w:rsidRDefault="004D12F8" w:rsidP="004D12F8">
      <w:pPr>
        <w:rPr>
          <w:noProof/>
          <w:lang w:val="en-IE"/>
        </w:rPr>
      </w:pPr>
    </w:p>
    <w:p w14:paraId="7898F4AD" w14:textId="77777777" w:rsidR="001956AF" w:rsidRPr="00680737" w:rsidRDefault="001956AF" w:rsidP="00680737">
      <w:pPr>
        <w:jc w:val="center"/>
        <w:rPr>
          <w:b/>
          <w:bCs/>
          <w:i/>
          <w:noProof/>
          <w:lang w:val="en-US"/>
        </w:rPr>
      </w:pPr>
      <w:r w:rsidRPr="00680737">
        <w:rPr>
          <w:b/>
          <w:bCs/>
          <w:noProof/>
          <w:lang w:val="en-US"/>
        </w:rPr>
        <w:t>CHAPTER IV</w:t>
      </w:r>
    </w:p>
    <w:p w14:paraId="1EEF7AE0" w14:textId="77777777" w:rsidR="001956AF" w:rsidRPr="00680737" w:rsidRDefault="001956AF" w:rsidP="001956AF">
      <w:pPr>
        <w:jc w:val="center"/>
        <w:rPr>
          <w:b/>
          <w:noProof/>
          <w:szCs w:val="24"/>
          <w:lang w:val="en-US"/>
        </w:rPr>
      </w:pPr>
      <w:r w:rsidRPr="00680737">
        <w:rPr>
          <w:b/>
          <w:noProof/>
          <w:szCs w:val="24"/>
          <w:lang w:val="en-US"/>
        </w:rPr>
        <w:t>FINAL PROVISIONS</w:t>
      </w:r>
    </w:p>
    <w:p w14:paraId="644997BF" w14:textId="77777777" w:rsidR="001956AF" w:rsidRDefault="001956AF" w:rsidP="00680737">
      <w:pPr>
        <w:pStyle w:val="Titrearticle"/>
        <w:rPr>
          <w:b/>
          <w:bCs/>
          <w:i w:val="0"/>
          <w:iCs/>
          <w:noProof/>
          <w:lang w:val="en-IE"/>
        </w:rPr>
      </w:pPr>
      <w:r w:rsidRPr="009550DB" w:rsidDel="002C0103">
        <w:rPr>
          <w:noProof/>
          <w:lang w:val="en-IE"/>
        </w:rPr>
        <w:t xml:space="preserve">Article </w:t>
      </w:r>
      <w:r>
        <w:rPr>
          <w:noProof/>
          <w:lang w:val="en-IE"/>
        </w:rPr>
        <w:t>1</w:t>
      </w:r>
      <w:r w:rsidR="001B59BA">
        <w:rPr>
          <w:noProof/>
          <w:lang w:val="en-IE"/>
        </w:rPr>
        <w:t>8</w:t>
      </w:r>
      <w:r w:rsidR="00680737">
        <w:rPr>
          <w:noProof/>
          <w:lang w:val="en-IE"/>
        </w:rPr>
        <w:br/>
      </w:r>
      <w:r w:rsidR="0079028E" w:rsidRPr="0079028E">
        <w:rPr>
          <w:b/>
          <w:bCs/>
          <w:i w:val="0"/>
          <w:iCs/>
          <w:noProof/>
          <w:lang w:val="en-IE"/>
        </w:rPr>
        <w:t>Committee procedure</w:t>
      </w:r>
    </w:p>
    <w:p w14:paraId="764F7950" w14:textId="36D554DB" w:rsidR="001956AF" w:rsidRPr="00E75766" w:rsidDel="002C0103" w:rsidRDefault="00412FF6" w:rsidP="00412FF6">
      <w:pPr>
        <w:pStyle w:val="ManualNumPar1"/>
        <w:rPr>
          <w:noProof/>
          <w:lang w:val="en-IE"/>
        </w:rPr>
      </w:pPr>
      <w:r w:rsidRPr="00412FF6">
        <w:t>1.</w:t>
      </w:r>
      <w:r w:rsidRPr="00412FF6">
        <w:tab/>
      </w:r>
      <w:r w:rsidR="00115ED7" w:rsidRPr="00E75766">
        <w:rPr>
          <w:noProof/>
          <w:lang w:val="en-IE"/>
        </w:rPr>
        <w:t>The Commission shall be assisted by a Committee. Th</w:t>
      </w:r>
      <w:r w:rsidR="0079028E" w:rsidRPr="00E75766">
        <w:rPr>
          <w:noProof/>
          <w:lang w:val="en-IE"/>
        </w:rPr>
        <w:t>at</w:t>
      </w:r>
      <w:r w:rsidR="00115ED7" w:rsidRPr="00E75766">
        <w:rPr>
          <w:noProof/>
          <w:lang w:val="en-IE"/>
        </w:rPr>
        <w:t xml:space="preserve"> committee shall be a committee within the meaning of Regulation (EU) No 182/2011</w:t>
      </w:r>
      <w:r w:rsidR="00B63DF9">
        <w:rPr>
          <w:rStyle w:val="FootnoteReference"/>
          <w:noProof/>
          <w:lang w:val="en-IE"/>
        </w:rPr>
        <w:footnoteReference w:id="45"/>
      </w:r>
      <w:r w:rsidR="001F36D2" w:rsidRPr="00E75766">
        <w:rPr>
          <w:noProof/>
          <w:lang w:val="en-IE"/>
        </w:rPr>
        <w:t>.</w:t>
      </w:r>
    </w:p>
    <w:p w14:paraId="61EDE6B9" w14:textId="6534D4D1" w:rsidR="001956AF" w:rsidRPr="00680737" w:rsidDel="002C0103" w:rsidRDefault="00412FF6" w:rsidP="00412FF6">
      <w:pPr>
        <w:pStyle w:val="ManualNumPar1"/>
        <w:rPr>
          <w:noProof/>
          <w:lang w:val="en-IE"/>
        </w:rPr>
      </w:pPr>
      <w:r w:rsidRPr="00412FF6">
        <w:t>2.</w:t>
      </w:r>
      <w:r w:rsidRPr="00412FF6">
        <w:tab/>
      </w:r>
      <w:r w:rsidR="001F36D2" w:rsidRPr="001F36D2">
        <w:rPr>
          <w:noProof/>
          <w:lang w:val="en-IE"/>
        </w:rPr>
        <w:t>Where reference is made to this paragraph, Article 5 of Regulation (EU) No 182/2011 shall apply.</w:t>
      </w:r>
    </w:p>
    <w:p w14:paraId="7EB9405D" w14:textId="77777777" w:rsidR="00BB1F33" w:rsidRDefault="001956AF" w:rsidP="00BB1F33">
      <w:pPr>
        <w:pStyle w:val="Titrearticle"/>
        <w:rPr>
          <w:b/>
          <w:bCs/>
          <w:i w:val="0"/>
          <w:iCs/>
          <w:noProof/>
          <w:lang w:val="en-IE"/>
        </w:rPr>
      </w:pPr>
      <w:r>
        <w:rPr>
          <w:noProof/>
          <w:lang w:val="en-IE"/>
        </w:rPr>
        <w:t>Article 1</w:t>
      </w:r>
      <w:r w:rsidR="00882136">
        <w:rPr>
          <w:noProof/>
          <w:lang w:val="en-IE"/>
        </w:rPr>
        <w:t>9</w:t>
      </w:r>
      <w:r w:rsidR="00BB1F33">
        <w:rPr>
          <w:noProof/>
          <w:lang w:val="en-IE"/>
        </w:rPr>
        <w:br/>
      </w:r>
      <w:r w:rsidRPr="00BB1F33">
        <w:rPr>
          <w:b/>
          <w:bCs/>
          <w:i w:val="0"/>
          <w:iCs/>
          <w:noProof/>
          <w:lang w:val="en-IE"/>
        </w:rPr>
        <w:t>Evaluation</w:t>
      </w:r>
    </w:p>
    <w:p w14:paraId="23E724FA" w14:textId="169B771A" w:rsidR="001956AF" w:rsidRPr="009550DB" w:rsidRDefault="00412FF6" w:rsidP="00412FF6">
      <w:pPr>
        <w:pStyle w:val="ManualNumPar1"/>
        <w:rPr>
          <w:noProof/>
        </w:rPr>
      </w:pPr>
      <w:r w:rsidRPr="00412FF6">
        <w:t>1.</w:t>
      </w:r>
      <w:r w:rsidRPr="00412FF6">
        <w:tab/>
      </w:r>
      <w:r w:rsidR="001956AF">
        <w:rPr>
          <w:noProof/>
        </w:rPr>
        <w:t xml:space="preserve">The </w:t>
      </w:r>
      <w:r w:rsidR="001956AF" w:rsidRPr="009550DB">
        <w:rPr>
          <w:noProof/>
        </w:rPr>
        <w:t>Commission shall examine and evaluate the functioning of this Directive</w:t>
      </w:r>
      <w:r w:rsidR="008B431F">
        <w:rPr>
          <w:noProof/>
        </w:rPr>
        <w:t>,</w:t>
      </w:r>
      <w:r w:rsidR="001956AF" w:rsidRPr="009550DB">
        <w:rPr>
          <w:noProof/>
        </w:rPr>
        <w:t xml:space="preserve"> </w:t>
      </w:r>
      <w:r w:rsidR="00EB3C21" w:rsidRPr="00EB3C21">
        <w:rPr>
          <w:noProof/>
        </w:rPr>
        <w:t>after national rules transposing the Directive come into effect</w:t>
      </w:r>
      <w:r w:rsidR="008B431F">
        <w:rPr>
          <w:noProof/>
        </w:rPr>
        <w:t>,</w:t>
      </w:r>
      <w:r w:rsidR="001956AF" w:rsidRPr="009550DB">
        <w:rPr>
          <w:noProof/>
        </w:rPr>
        <w:t xml:space="preserve"> every 5 years. A report on the evaluation of the Directive</w:t>
      </w:r>
      <w:r w:rsidR="00B01928">
        <w:rPr>
          <w:noProof/>
        </w:rPr>
        <w:t>, including on a potential need to amend specific provisions thereof,</w:t>
      </w:r>
      <w:r w:rsidR="001956AF" w:rsidRPr="009550DB">
        <w:rPr>
          <w:noProof/>
        </w:rPr>
        <w:t xml:space="preserve"> will be submitted to the </w:t>
      </w:r>
      <w:r w:rsidR="001956AF" w:rsidRPr="006B3438">
        <w:rPr>
          <w:noProof/>
        </w:rPr>
        <w:t>European Parliament</w:t>
      </w:r>
      <w:r w:rsidR="001956AF">
        <w:rPr>
          <w:noProof/>
        </w:rPr>
        <w:t xml:space="preserve"> and </w:t>
      </w:r>
      <w:r w:rsidR="001956AF" w:rsidRPr="009550DB">
        <w:rPr>
          <w:noProof/>
        </w:rPr>
        <w:t>the Council</w:t>
      </w:r>
      <w:r w:rsidR="00FF6255">
        <w:rPr>
          <w:noProof/>
        </w:rPr>
        <w:t xml:space="preserve"> by December 2031 and every 5 years</w:t>
      </w:r>
      <w:r w:rsidR="001956AF" w:rsidRPr="009550DB">
        <w:rPr>
          <w:noProof/>
        </w:rPr>
        <w:t>.</w:t>
      </w:r>
    </w:p>
    <w:p w14:paraId="75824197" w14:textId="75E96A2F" w:rsidR="001956AF" w:rsidRDefault="00412FF6" w:rsidP="00412FF6">
      <w:pPr>
        <w:pStyle w:val="ManualNumPar1"/>
        <w:rPr>
          <w:noProof/>
        </w:rPr>
      </w:pPr>
      <w:r w:rsidRPr="00412FF6">
        <w:t>2.</w:t>
      </w:r>
      <w:r w:rsidRPr="00412FF6">
        <w:tab/>
      </w:r>
      <w:r w:rsidR="001956AF" w:rsidRPr="009550DB">
        <w:rPr>
          <w:noProof/>
        </w:rPr>
        <w:t xml:space="preserve">Member States shall communicate to the Commission </w:t>
      </w:r>
      <w:r w:rsidR="007F51E3">
        <w:rPr>
          <w:noProof/>
        </w:rPr>
        <w:t>relevant information</w:t>
      </w:r>
      <w:r w:rsidR="001956AF" w:rsidRPr="009550DB">
        <w:rPr>
          <w:noProof/>
        </w:rPr>
        <w:t xml:space="preserve"> for the evaluation of the Directive in improving </w:t>
      </w:r>
      <w:r w:rsidR="001956AF">
        <w:rPr>
          <w:noProof/>
        </w:rPr>
        <w:t>withholding tax r</w:t>
      </w:r>
      <w:r w:rsidR="002C2440">
        <w:rPr>
          <w:noProof/>
        </w:rPr>
        <w:t>elief</w:t>
      </w:r>
      <w:r w:rsidR="001956AF">
        <w:rPr>
          <w:noProof/>
        </w:rPr>
        <w:t xml:space="preserve"> </w:t>
      </w:r>
      <w:r w:rsidR="001956AF" w:rsidRPr="009550DB">
        <w:rPr>
          <w:noProof/>
        </w:rPr>
        <w:t xml:space="preserve">procedures to reduce double taxation as well </w:t>
      </w:r>
      <w:r w:rsidR="001956AF">
        <w:rPr>
          <w:noProof/>
        </w:rPr>
        <w:t xml:space="preserve">as </w:t>
      </w:r>
      <w:r w:rsidR="001956AF" w:rsidRPr="009550DB">
        <w:rPr>
          <w:noProof/>
        </w:rPr>
        <w:t>combat tax abuse</w:t>
      </w:r>
      <w:r w:rsidR="007F51E3">
        <w:rPr>
          <w:noProof/>
        </w:rPr>
        <w:t>, in accordance with paragraph 3</w:t>
      </w:r>
      <w:r w:rsidR="001956AF" w:rsidRPr="009550DB">
        <w:rPr>
          <w:noProof/>
        </w:rPr>
        <w:t xml:space="preserve">. </w:t>
      </w:r>
    </w:p>
    <w:p w14:paraId="211B3598" w14:textId="6748FB9B" w:rsidR="001956AF" w:rsidRPr="0050415A" w:rsidRDefault="00412FF6" w:rsidP="00412FF6">
      <w:pPr>
        <w:pStyle w:val="ManualNumPar1"/>
        <w:rPr>
          <w:noProof/>
        </w:rPr>
      </w:pPr>
      <w:r w:rsidRPr="00412FF6">
        <w:t>3.</w:t>
      </w:r>
      <w:r w:rsidRPr="00412FF6">
        <w:tab/>
      </w:r>
      <w:r w:rsidR="001956AF">
        <w:rPr>
          <w:noProof/>
        </w:rPr>
        <w:t>The Commission shall, by means of implementing acts,</w:t>
      </w:r>
      <w:r w:rsidR="001956AF" w:rsidRPr="00BB1F33">
        <w:rPr>
          <w:noProof/>
          <w:lang w:val="en-IE"/>
        </w:rPr>
        <w:t xml:space="preserve"> </w:t>
      </w:r>
      <w:r w:rsidR="007F51E3">
        <w:rPr>
          <w:noProof/>
          <w:lang w:val="en-IE"/>
        </w:rPr>
        <w:t>specify</w:t>
      </w:r>
      <w:r w:rsidR="001956AF" w:rsidRPr="00BB1F33">
        <w:rPr>
          <w:noProof/>
          <w:lang w:val="en-IE"/>
        </w:rPr>
        <w:t xml:space="preserve"> the </w:t>
      </w:r>
      <w:r w:rsidR="007F51E3">
        <w:rPr>
          <w:noProof/>
          <w:lang w:val="en-IE"/>
        </w:rPr>
        <w:t xml:space="preserve">information to be provided by Member States </w:t>
      </w:r>
      <w:r w:rsidR="001956AF" w:rsidRPr="00BB1F33">
        <w:rPr>
          <w:noProof/>
          <w:lang w:val="en-IE"/>
        </w:rPr>
        <w:t>for the purposes of evaluation and the format and the conditions of communication of that information</w:t>
      </w:r>
      <w:r w:rsidR="001956AF">
        <w:rPr>
          <w:noProof/>
        </w:rPr>
        <w:t xml:space="preserve">. </w:t>
      </w:r>
    </w:p>
    <w:p w14:paraId="2BE3C5E3" w14:textId="212D70B1" w:rsidR="001956AF" w:rsidRDefault="00412FF6" w:rsidP="00412FF6">
      <w:pPr>
        <w:pStyle w:val="ManualNumPar1"/>
        <w:rPr>
          <w:noProof/>
        </w:rPr>
      </w:pPr>
      <w:r w:rsidRPr="00412FF6">
        <w:t>4.</w:t>
      </w:r>
      <w:r w:rsidRPr="00412FF6">
        <w:tab/>
      </w:r>
      <w:r w:rsidR="001956AF">
        <w:rPr>
          <w:noProof/>
        </w:rPr>
        <w:t xml:space="preserve">Information communicated to the Commission under paragraph 2 shall be kept confidential by the Commission in accordance with the provisions applicable to </w:t>
      </w:r>
      <w:r w:rsidR="007F51E3">
        <w:rPr>
          <w:noProof/>
        </w:rPr>
        <w:t>U</w:t>
      </w:r>
      <w:r w:rsidR="0079028E">
        <w:rPr>
          <w:noProof/>
        </w:rPr>
        <w:t>nion</w:t>
      </w:r>
      <w:r w:rsidR="007F51E3">
        <w:rPr>
          <w:noProof/>
        </w:rPr>
        <w:t xml:space="preserve"> </w:t>
      </w:r>
      <w:r w:rsidR="0079028E">
        <w:rPr>
          <w:noProof/>
        </w:rPr>
        <w:t>in</w:t>
      </w:r>
      <w:r w:rsidR="007F51E3">
        <w:rPr>
          <w:noProof/>
        </w:rPr>
        <w:t>stitutions</w:t>
      </w:r>
      <w:r w:rsidR="001956AF">
        <w:rPr>
          <w:noProof/>
        </w:rPr>
        <w:t xml:space="preserve">. </w:t>
      </w:r>
    </w:p>
    <w:p w14:paraId="5C2B5BBF" w14:textId="18FC469B" w:rsidR="001956AF" w:rsidRPr="00F774F5" w:rsidRDefault="00412FF6" w:rsidP="00412FF6">
      <w:pPr>
        <w:pStyle w:val="ManualNumPar1"/>
        <w:rPr>
          <w:noProof/>
        </w:rPr>
      </w:pPr>
      <w:r w:rsidRPr="00412FF6">
        <w:t>5.</w:t>
      </w:r>
      <w:r w:rsidRPr="00412FF6">
        <w:tab/>
      </w:r>
      <w:r w:rsidR="001956AF">
        <w:rPr>
          <w:noProof/>
        </w:rPr>
        <w:t>Information communicated to the Commission by a Member State under paragraph</w:t>
      </w:r>
      <w:r w:rsidR="00E75766">
        <w:rPr>
          <w:noProof/>
        </w:rPr>
        <w:t> </w:t>
      </w:r>
      <w:r w:rsidR="001956AF">
        <w:rPr>
          <w:noProof/>
        </w:rPr>
        <w:t xml:space="preserve">2, as well as any report or document produced by the Commission using such information, may be transmitted to other Member States. </w:t>
      </w:r>
      <w:r w:rsidR="0079028E">
        <w:rPr>
          <w:noProof/>
        </w:rPr>
        <w:t>The</w:t>
      </w:r>
      <w:r w:rsidR="001956AF">
        <w:rPr>
          <w:noProof/>
        </w:rPr>
        <w:t xml:space="preserve"> transmitted information shall be covered by the obligation of official secrecy and enjoy the protection extended to similar information under the national law of the Member State which received it. </w:t>
      </w:r>
    </w:p>
    <w:p w14:paraId="066B96C4" w14:textId="77777777" w:rsidR="00A30556" w:rsidRDefault="00A30556" w:rsidP="00A30556">
      <w:pPr>
        <w:pStyle w:val="Titrearticle"/>
        <w:rPr>
          <w:b/>
          <w:bCs/>
          <w:i w:val="0"/>
          <w:iCs/>
          <w:noProof/>
          <w:lang w:val="en-IE"/>
        </w:rPr>
      </w:pPr>
      <w:r>
        <w:rPr>
          <w:noProof/>
          <w:lang w:val="en-IE"/>
        </w:rPr>
        <w:t>Article 20</w:t>
      </w:r>
      <w:r>
        <w:rPr>
          <w:noProof/>
          <w:lang w:val="en-IE"/>
        </w:rPr>
        <w:br/>
      </w:r>
      <w:r>
        <w:rPr>
          <w:b/>
          <w:bCs/>
          <w:i w:val="0"/>
          <w:iCs/>
          <w:noProof/>
          <w:lang w:val="en-IE"/>
        </w:rPr>
        <w:t xml:space="preserve">Personal </w:t>
      </w:r>
      <w:r w:rsidR="0079028E">
        <w:rPr>
          <w:b/>
          <w:bCs/>
          <w:i w:val="0"/>
          <w:iCs/>
          <w:noProof/>
          <w:lang w:val="en-IE"/>
        </w:rPr>
        <w:t>d</w:t>
      </w:r>
      <w:r w:rsidRPr="00BB1F33">
        <w:rPr>
          <w:b/>
          <w:bCs/>
          <w:i w:val="0"/>
          <w:iCs/>
          <w:noProof/>
          <w:lang w:val="en-IE"/>
        </w:rPr>
        <w:t xml:space="preserve">ata </w:t>
      </w:r>
      <w:r w:rsidR="0079028E">
        <w:rPr>
          <w:b/>
          <w:bCs/>
          <w:i w:val="0"/>
          <w:iCs/>
          <w:noProof/>
          <w:lang w:val="en-IE"/>
        </w:rPr>
        <w:t>p</w:t>
      </w:r>
      <w:r w:rsidRPr="00BB1F33">
        <w:rPr>
          <w:b/>
          <w:bCs/>
          <w:i w:val="0"/>
          <w:iCs/>
          <w:noProof/>
          <w:lang w:val="en-IE"/>
        </w:rPr>
        <w:t>rotection</w:t>
      </w:r>
    </w:p>
    <w:p w14:paraId="688391A7" w14:textId="52FB97D2" w:rsidR="00E85A28" w:rsidRDefault="00412FF6" w:rsidP="00412FF6">
      <w:pPr>
        <w:pStyle w:val="ManualNumPar1"/>
        <w:rPr>
          <w:noProof/>
        </w:rPr>
      </w:pPr>
      <w:bookmarkStart w:id="9" w:name="_Hlk135840988"/>
      <w:r w:rsidRPr="00412FF6">
        <w:t>1.</w:t>
      </w:r>
      <w:r w:rsidRPr="00412FF6">
        <w:tab/>
      </w:r>
      <w:r w:rsidR="00E85A28">
        <w:rPr>
          <w:noProof/>
        </w:rPr>
        <w:t xml:space="preserve">Member States shall restrict data subject’s rights under Articles 15 to 19 of Regulation (EU) 2016/679 </w:t>
      </w:r>
      <w:r w:rsidR="0079028E" w:rsidRPr="00E75766">
        <w:rPr>
          <w:noProof/>
          <w:szCs w:val="24"/>
        </w:rPr>
        <w:t>of the European Parliament and of the Council</w:t>
      </w:r>
      <w:r w:rsidR="0079028E">
        <w:rPr>
          <w:rStyle w:val="FootnoteReference"/>
          <w:noProof/>
          <w:szCs w:val="24"/>
        </w:rPr>
        <w:footnoteReference w:id="46"/>
      </w:r>
      <w:r w:rsidR="00AE0FCF" w:rsidRPr="00E75766">
        <w:rPr>
          <w:noProof/>
          <w:szCs w:val="24"/>
        </w:rPr>
        <w:t xml:space="preserve"> </w:t>
      </w:r>
      <w:r w:rsidR="00E85A28">
        <w:rPr>
          <w:noProof/>
        </w:rPr>
        <w:t xml:space="preserve">only to the extent and only as long </w:t>
      </w:r>
      <w:r w:rsidR="00AE0FCF">
        <w:rPr>
          <w:noProof/>
        </w:rPr>
        <w:t xml:space="preserve">as </w:t>
      </w:r>
      <w:r w:rsidR="00E85A28">
        <w:rPr>
          <w:noProof/>
        </w:rPr>
        <w:t xml:space="preserve">it is strictly necessary for their competent authorities to mitigate the risk of tax fraud, evasion or avoidance in Member States, in particular by verifying that the correct withholding tax rate is applied for the </w:t>
      </w:r>
      <w:r w:rsidR="000C0442">
        <w:rPr>
          <w:noProof/>
        </w:rPr>
        <w:t>registered owner</w:t>
      </w:r>
      <w:r w:rsidR="00E85A28">
        <w:rPr>
          <w:noProof/>
        </w:rPr>
        <w:t xml:space="preserve">, or by verifying that the </w:t>
      </w:r>
      <w:r w:rsidR="000C0442">
        <w:rPr>
          <w:noProof/>
        </w:rPr>
        <w:t>registered owne</w:t>
      </w:r>
      <w:r w:rsidR="00E85A28">
        <w:rPr>
          <w:noProof/>
        </w:rPr>
        <w:t>r obtains the relief if so entitled in a timely manner.</w:t>
      </w:r>
      <w:bookmarkEnd w:id="9"/>
    </w:p>
    <w:p w14:paraId="1A779334" w14:textId="28A8135D" w:rsidR="00E85A28" w:rsidRDefault="00412FF6" w:rsidP="00412FF6">
      <w:pPr>
        <w:pStyle w:val="ManualNumPar1"/>
        <w:rPr>
          <w:noProof/>
        </w:rPr>
      </w:pPr>
      <w:r w:rsidRPr="00412FF6">
        <w:t>2.</w:t>
      </w:r>
      <w:r w:rsidRPr="00412FF6">
        <w:tab/>
      </w:r>
      <w:r w:rsidR="00E85A28">
        <w:rPr>
          <w:noProof/>
        </w:rPr>
        <w:t>When processing personal data</w:t>
      </w:r>
      <w:r w:rsidR="00AE0FCF">
        <w:rPr>
          <w:noProof/>
        </w:rPr>
        <w:t>,</w:t>
      </w:r>
      <w:r w:rsidR="00E85A28">
        <w:rPr>
          <w:noProof/>
        </w:rPr>
        <w:t xml:space="preserve"> </w:t>
      </w:r>
      <w:r w:rsidR="001F69BA">
        <w:rPr>
          <w:noProof/>
        </w:rPr>
        <w:t>c</w:t>
      </w:r>
      <w:r w:rsidR="00E85A28">
        <w:rPr>
          <w:noProof/>
        </w:rPr>
        <w:t xml:space="preserve">ertified </w:t>
      </w:r>
      <w:r w:rsidR="001F69BA">
        <w:rPr>
          <w:noProof/>
        </w:rPr>
        <w:t>f</w:t>
      </w:r>
      <w:r w:rsidR="00E85A28">
        <w:rPr>
          <w:noProof/>
        </w:rPr>
        <w:t xml:space="preserve">inancial </w:t>
      </w:r>
      <w:r w:rsidR="001F69BA">
        <w:rPr>
          <w:noProof/>
        </w:rPr>
        <w:t>i</w:t>
      </w:r>
      <w:r w:rsidR="00E85A28">
        <w:rPr>
          <w:noProof/>
        </w:rPr>
        <w:t xml:space="preserve">ntermediaries and the competent authorities of Member States shall be considered as controllers, in the meaning of Article 4, paragraph 7 of Regulation (EU) 2016/679, within the scope of their respective activities under this Directive. </w:t>
      </w:r>
    </w:p>
    <w:p w14:paraId="7856FC11" w14:textId="089DCC02" w:rsidR="00E85A28" w:rsidRDefault="00412FF6" w:rsidP="00412FF6">
      <w:pPr>
        <w:pStyle w:val="ManualNumPar1"/>
        <w:rPr>
          <w:noProof/>
        </w:rPr>
      </w:pPr>
      <w:r w:rsidRPr="00412FF6">
        <w:t>3.</w:t>
      </w:r>
      <w:r w:rsidRPr="00412FF6">
        <w:tab/>
      </w:r>
      <w:r w:rsidR="00E85A28">
        <w:rPr>
          <w:noProof/>
        </w:rPr>
        <w:t xml:space="preserve">Information, including personal data, processed in accordance with this Directive shall be retained only as long as necessary to achieve the purposes of this Directive, in accordance with each data controller’s domestic rules on statute of limitations, but in any case no longer than </w:t>
      </w:r>
      <w:r w:rsidR="0079028E">
        <w:rPr>
          <w:noProof/>
        </w:rPr>
        <w:t>10</w:t>
      </w:r>
      <w:r w:rsidR="00E85A28">
        <w:rPr>
          <w:noProof/>
        </w:rPr>
        <w:t xml:space="preserve"> years.</w:t>
      </w:r>
    </w:p>
    <w:p w14:paraId="3C1111A3" w14:textId="77777777" w:rsidR="000659D6" w:rsidRPr="00A97BAF" w:rsidRDefault="000659D6" w:rsidP="000659D6">
      <w:pPr>
        <w:pStyle w:val="Titrearticle"/>
        <w:rPr>
          <w:b/>
          <w:bCs/>
          <w:i w:val="0"/>
          <w:iCs/>
          <w:noProof/>
          <w:lang w:val="en-IE"/>
        </w:rPr>
      </w:pPr>
      <w:r w:rsidRPr="002902C7">
        <w:rPr>
          <w:noProof/>
          <w:lang w:val="en-IE"/>
        </w:rPr>
        <w:t xml:space="preserve">Article </w:t>
      </w:r>
      <w:r>
        <w:rPr>
          <w:noProof/>
          <w:lang w:val="en-IE"/>
        </w:rPr>
        <w:t>21</w:t>
      </w:r>
      <w:r>
        <w:rPr>
          <w:noProof/>
          <w:lang w:val="en-IE"/>
        </w:rPr>
        <w:br/>
      </w:r>
      <w:r>
        <w:rPr>
          <w:b/>
          <w:bCs/>
          <w:i w:val="0"/>
          <w:iCs/>
          <w:noProof/>
          <w:lang w:val="en-IE"/>
        </w:rPr>
        <w:t xml:space="preserve">Notification </w:t>
      </w:r>
    </w:p>
    <w:p w14:paraId="75DE5E9F" w14:textId="77777777" w:rsidR="000659D6" w:rsidRPr="0044553D" w:rsidRDefault="000659D6" w:rsidP="006126D6">
      <w:pPr>
        <w:rPr>
          <w:noProof/>
        </w:rPr>
      </w:pPr>
      <w:r>
        <w:rPr>
          <w:noProof/>
        </w:rPr>
        <w:t>A Member State that establish</w:t>
      </w:r>
      <w:r w:rsidR="001062C0">
        <w:rPr>
          <w:noProof/>
        </w:rPr>
        <w:t>es</w:t>
      </w:r>
      <w:r>
        <w:rPr>
          <w:noProof/>
        </w:rPr>
        <w:t xml:space="preserve"> and maintain</w:t>
      </w:r>
      <w:r w:rsidR="00FC667D">
        <w:rPr>
          <w:noProof/>
        </w:rPr>
        <w:t>s</w:t>
      </w:r>
      <w:r>
        <w:rPr>
          <w:noProof/>
        </w:rPr>
        <w:t xml:space="preserve"> a </w:t>
      </w:r>
      <w:r w:rsidR="0079028E">
        <w:rPr>
          <w:noProof/>
        </w:rPr>
        <w:t>n</w:t>
      </w:r>
      <w:r>
        <w:rPr>
          <w:noProof/>
        </w:rPr>
        <w:t xml:space="preserve">ational </w:t>
      </w:r>
      <w:r w:rsidR="0079028E">
        <w:rPr>
          <w:noProof/>
        </w:rPr>
        <w:t>r</w:t>
      </w:r>
      <w:r>
        <w:rPr>
          <w:noProof/>
        </w:rPr>
        <w:t xml:space="preserve">egister </w:t>
      </w:r>
      <w:r w:rsidR="0079028E">
        <w:rPr>
          <w:noProof/>
        </w:rPr>
        <w:t>pursuant to</w:t>
      </w:r>
      <w:r>
        <w:rPr>
          <w:noProof/>
        </w:rPr>
        <w:t xml:space="preserve"> Article </w:t>
      </w:r>
      <w:r w:rsidR="00FC667D">
        <w:rPr>
          <w:noProof/>
        </w:rPr>
        <w:t>5</w:t>
      </w:r>
      <w:r>
        <w:rPr>
          <w:noProof/>
        </w:rPr>
        <w:t xml:space="preserve">, shall inform the Commission </w:t>
      </w:r>
      <w:r w:rsidR="000143CC">
        <w:rPr>
          <w:noProof/>
        </w:rPr>
        <w:t xml:space="preserve">and other Member States </w:t>
      </w:r>
      <w:r>
        <w:rPr>
          <w:noProof/>
        </w:rPr>
        <w:t>thereof and of any subsequent changes</w:t>
      </w:r>
      <w:r w:rsidR="00BA30D1">
        <w:rPr>
          <w:noProof/>
        </w:rPr>
        <w:t xml:space="preserve"> to the rules governing such </w:t>
      </w:r>
      <w:r w:rsidR="0079028E">
        <w:rPr>
          <w:noProof/>
        </w:rPr>
        <w:t>r</w:t>
      </w:r>
      <w:r w:rsidR="00BA30D1">
        <w:rPr>
          <w:noProof/>
        </w:rPr>
        <w:t>egister</w:t>
      </w:r>
      <w:r>
        <w:rPr>
          <w:noProof/>
        </w:rPr>
        <w:t>. The Commission shall publish in the </w:t>
      </w:r>
      <w:r>
        <w:rPr>
          <w:i/>
          <w:iCs/>
          <w:noProof/>
        </w:rPr>
        <w:t>Official Journal of the European Union</w:t>
      </w:r>
      <w:r>
        <w:rPr>
          <w:noProof/>
        </w:rPr>
        <w:t> </w:t>
      </w:r>
      <w:r w:rsidR="002D6D8F">
        <w:rPr>
          <w:noProof/>
        </w:rPr>
        <w:t xml:space="preserve">this information and </w:t>
      </w:r>
      <w:r>
        <w:rPr>
          <w:noProof/>
        </w:rPr>
        <w:t xml:space="preserve">shall update the </w:t>
      </w:r>
      <w:r w:rsidR="00E656FE">
        <w:rPr>
          <w:noProof/>
        </w:rPr>
        <w:t>information</w:t>
      </w:r>
      <w:r>
        <w:rPr>
          <w:noProof/>
        </w:rPr>
        <w:t xml:space="preserve"> as necessary.</w:t>
      </w:r>
    </w:p>
    <w:p w14:paraId="6EE0F3BE" w14:textId="77777777" w:rsidR="001956AF" w:rsidRPr="00A97BAF" w:rsidRDefault="001956AF" w:rsidP="00A97BAF">
      <w:pPr>
        <w:pStyle w:val="Titrearticle"/>
        <w:rPr>
          <w:b/>
          <w:bCs/>
          <w:i w:val="0"/>
          <w:iCs/>
          <w:noProof/>
          <w:lang w:val="en-IE"/>
        </w:rPr>
      </w:pPr>
      <w:r w:rsidRPr="002902C7">
        <w:rPr>
          <w:noProof/>
          <w:lang w:val="en-IE"/>
        </w:rPr>
        <w:t xml:space="preserve">Article </w:t>
      </w:r>
      <w:r w:rsidR="00C244B4">
        <w:rPr>
          <w:noProof/>
          <w:lang w:val="en-IE"/>
        </w:rPr>
        <w:t>2</w:t>
      </w:r>
      <w:r w:rsidR="000659D6">
        <w:rPr>
          <w:noProof/>
          <w:lang w:val="en-IE"/>
        </w:rPr>
        <w:t>2</w:t>
      </w:r>
      <w:r w:rsidR="00A97BAF">
        <w:rPr>
          <w:noProof/>
          <w:lang w:val="en-IE"/>
        </w:rPr>
        <w:br/>
      </w:r>
      <w:r w:rsidRPr="00A97BAF">
        <w:rPr>
          <w:b/>
          <w:bCs/>
          <w:i w:val="0"/>
          <w:iCs/>
          <w:noProof/>
          <w:lang w:val="en-IE"/>
        </w:rPr>
        <w:t>Transposition</w:t>
      </w:r>
    </w:p>
    <w:p w14:paraId="46F3B523" w14:textId="35368BCB" w:rsidR="001956AF" w:rsidRDefault="00412FF6" w:rsidP="00412FF6">
      <w:pPr>
        <w:pStyle w:val="ManualNumPar1"/>
        <w:rPr>
          <w:noProof/>
        </w:rPr>
      </w:pPr>
      <w:r w:rsidRPr="00412FF6">
        <w:t>1.</w:t>
      </w:r>
      <w:r w:rsidRPr="00412FF6">
        <w:tab/>
      </w:r>
      <w:r w:rsidR="001956AF" w:rsidRPr="000D649F">
        <w:rPr>
          <w:noProof/>
        </w:rPr>
        <w:t>Member States shall adopt and publish, by</w:t>
      </w:r>
      <w:r w:rsidR="001956AF" w:rsidRPr="002D6769">
        <w:rPr>
          <w:noProof/>
        </w:rPr>
        <w:t xml:space="preserve"> </w:t>
      </w:r>
      <w:r w:rsidR="001956AF" w:rsidRPr="00271DF7">
        <w:rPr>
          <w:noProof/>
        </w:rPr>
        <w:t>31 December 202</w:t>
      </w:r>
      <w:r w:rsidR="00A30C81" w:rsidRPr="00271DF7">
        <w:rPr>
          <w:noProof/>
        </w:rPr>
        <w:t>6</w:t>
      </w:r>
      <w:r w:rsidR="00546D05">
        <w:rPr>
          <w:noProof/>
        </w:rPr>
        <w:t xml:space="preserve"> </w:t>
      </w:r>
      <w:r w:rsidR="001956AF" w:rsidRPr="002D6769">
        <w:rPr>
          <w:noProof/>
        </w:rPr>
        <w:t>at the latest, the laws, regulations and administrative provisions necessary to comply with this Directive. They shall forthwith communicate to the Commission the text of those provisions.</w:t>
      </w:r>
    </w:p>
    <w:p w14:paraId="0E78D5F6" w14:textId="77777777" w:rsidR="00AE0FCF" w:rsidRDefault="00AE0FCF" w:rsidP="00E75766">
      <w:pPr>
        <w:pStyle w:val="Text1"/>
        <w:rPr>
          <w:noProof/>
        </w:rPr>
      </w:pPr>
      <w:r w:rsidRPr="00AE0FCF">
        <w:rPr>
          <w:noProof/>
        </w:rPr>
        <w:t>They shall apply those provisions from 1 January 202</w:t>
      </w:r>
      <w:r>
        <w:rPr>
          <w:noProof/>
        </w:rPr>
        <w:t>7</w:t>
      </w:r>
      <w:r w:rsidRPr="00AE0FCF">
        <w:rPr>
          <w:noProof/>
        </w:rPr>
        <w:t>.</w:t>
      </w:r>
    </w:p>
    <w:p w14:paraId="4CB4F477" w14:textId="77777777" w:rsidR="001956AF" w:rsidRDefault="001956AF" w:rsidP="00E75766">
      <w:pPr>
        <w:pStyle w:val="Text1"/>
        <w:rPr>
          <w:noProof/>
        </w:rPr>
      </w:pPr>
      <w:r w:rsidRPr="002D6769">
        <w:rPr>
          <w:noProof/>
        </w:rPr>
        <w:t>When Member States adopt those provisions, they shall contain a reference to this Directive or be accompanied by such a reference on the occasion of their official publication. Member States shall determine how such reference is to be made.</w:t>
      </w:r>
    </w:p>
    <w:p w14:paraId="5513589D" w14:textId="1E0EB4B0" w:rsidR="001956AF" w:rsidRDefault="00412FF6" w:rsidP="00412FF6">
      <w:pPr>
        <w:pStyle w:val="ManualNumPar1"/>
        <w:rPr>
          <w:noProof/>
        </w:rPr>
      </w:pPr>
      <w:r w:rsidRPr="00412FF6">
        <w:t>2.</w:t>
      </w:r>
      <w:r w:rsidRPr="00412FF6">
        <w:tab/>
      </w:r>
      <w:r w:rsidR="001956AF" w:rsidRPr="002D6769">
        <w:rPr>
          <w:noProof/>
        </w:rPr>
        <w:t>Member States shall communicate to the Commission the text of the main provisions of national law which they adopt in the field covered by this Directive.</w:t>
      </w:r>
    </w:p>
    <w:p w14:paraId="623B61A4" w14:textId="77777777" w:rsidR="001956AF" w:rsidRDefault="001956AF" w:rsidP="00A97BAF">
      <w:pPr>
        <w:pStyle w:val="Titrearticle"/>
        <w:rPr>
          <w:b/>
          <w:bCs/>
          <w:i w:val="0"/>
          <w:iCs/>
          <w:noProof/>
        </w:rPr>
      </w:pPr>
      <w:r w:rsidRPr="002D6769">
        <w:rPr>
          <w:noProof/>
        </w:rPr>
        <w:t xml:space="preserve">Article </w:t>
      </w:r>
      <w:r>
        <w:rPr>
          <w:noProof/>
        </w:rPr>
        <w:t>2</w:t>
      </w:r>
      <w:r w:rsidR="000659D6">
        <w:rPr>
          <w:noProof/>
        </w:rPr>
        <w:t>3</w:t>
      </w:r>
      <w:r w:rsidR="009D4C4D">
        <w:rPr>
          <w:noProof/>
        </w:rPr>
        <w:br/>
      </w:r>
      <w:r w:rsidRPr="00A97BAF">
        <w:rPr>
          <w:b/>
          <w:bCs/>
          <w:i w:val="0"/>
          <w:iCs/>
          <w:noProof/>
        </w:rPr>
        <w:t>Entry into force</w:t>
      </w:r>
    </w:p>
    <w:p w14:paraId="1B1DABEB" w14:textId="77777777" w:rsidR="001956AF" w:rsidRDefault="001956AF" w:rsidP="00A97BAF">
      <w:pPr>
        <w:rPr>
          <w:noProof/>
        </w:rPr>
      </w:pPr>
      <w:r w:rsidRPr="002D6769">
        <w:rPr>
          <w:noProof/>
        </w:rPr>
        <w:t xml:space="preserve">This Directive shall enter into force on the </w:t>
      </w:r>
      <w:r w:rsidRPr="00CF3EFD">
        <w:rPr>
          <w:noProof/>
        </w:rPr>
        <w:t>twentieth</w:t>
      </w:r>
      <w:r w:rsidRPr="00145772">
        <w:rPr>
          <w:noProof/>
        </w:rPr>
        <w:t xml:space="preserve"> </w:t>
      </w:r>
      <w:r w:rsidRPr="002D6769">
        <w:rPr>
          <w:noProof/>
        </w:rPr>
        <w:t xml:space="preserve">day following that of its publication in the </w:t>
      </w:r>
      <w:r w:rsidRPr="002D6769">
        <w:rPr>
          <w:i/>
          <w:noProof/>
        </w:rPr>
        <w:t>Official Journal of the European Union</w:t>
      </w:r>
      <w:r w:rsidRPr="002D6769">
        <w:rPr>
          <w:noProof/>
        </w:rPr>
        <w:t>.</w:t>
      </w:r>
    </w:p>
    <w:p w14:paraId="5C5919F4" w14:textId="77777777" w:rsidR="001956AF" w:rsidRPr="00CF3EFD" w:rsidRDefault="001956AF" w:rsidP="00A97BAF">
      <w:pPr>
        <w:pStyle w:val="Titrearticle"/>
        <w:rPr>
          <w:noProof/>
        </w:rPr>
      </w:pPr>
      <w:r w:rsidRPr="002D6769">
        <w:rPr>
          <w:noProof/>
        </w:rPr>
        <w:t xml:space="preserve">Article </w:t>
      </w:r>
      <w:r>
        <w:rPr>
          <w:noProof/>
        </w:rPr>
        <w:t>2</w:t>
      </w:r>
      <w:r w:rsidR="000659D6">
        <w:rPr>
          <w:noProof/>
        </w:rPr>
        <w:t>4</w:t>
      </w:r>
      <w:r w:rsidR="009D4C4D">
        <w:rPr>
          <w:noProof/>
        </w:rPr>
        <w:br/>
      </w:r>
      <w:r w:rsidRPr="00C87DC9">
        <w:rPr>
          <w:b/>
          <w:bCs/>
          <w:noProof/>
        </w:rPr>
        <w:t>Addressees</w:t>
      </w:r>
    </w:p>
    <w:p w14:paraId="61459FB2" w14:textId="77777777" w:rsidR="001956AF" w:rsidRDefault="001956AF" w:rsidP="001956AF">
      <w:pPr>
        <w:rPr>
          <w:noProof/>
        </w:rPr>
      </w:pPr>
      <w:r w:rsidRPr="002D6769">
        <w:rPr>
          <w:noProof/>
        </w:rPr>
        <w:t>This Directive is addressed to the Member States.</w:t>
      </w:r>
    </w:p>
    <w:p w14:paraId="470C6BBF" w14:textId="77777777" w:rsidR="001956AF" w:rsidRDefault="001956AF" w:rsidP="001956AF">
      <w:pPr>
        <w:rPr>
          <w:noProof/>
        </w:rPr>
      </w:pPr>
    </w:p>
    <w:p w14:paraId="428E506F" w14:textId="5DC9BBA3" w:rsidR="001956AF" w:rsidRDefault="00F44A6C" w:rsidP="00B27C4F">
      <w:pPr>
        <w:pStyle w:val="Fait"/>
        <w:rPr>
          <w:noProof/>
        </w:rPr>
      </w:pPr>
      <w:r w:rsidRPr="00F44A6C">
        <w:t>Done at Brussels,</w:t>
      </w:r>
    </w:p>
    <w:p w14:paraId="68B08831" w14:textId="77777777" w:rsidR="001956AF" w:rsidRDefault="001956AF" w:rsidP="00B27C4F">
      <w:pPr>
        <w:pStyle w:val="Institutionquisigne"/>
        <w:rPr>
          <w:noProof/>
        </w:rPr>
      </w:pPr>
      <w:r w:rsidRPr="00C0094D">
        <w:rPr>
          <w:noProof/>
        </w:rPr>
        <w:tab/>
        <w:t>For the Council</w:t>
      </w:r>
    </w:p>
    <w:p w14:paraId="57659FC8" w14:textId="77777777" w:rsidR="00854600" w:rsidRDefault="001956AF" w:rsidP="00854600">
      <w:pPr>
        <w:pStyle w:val="Personnequisigne"/>
        <w:rPr>
          <w:noProof/>
        </w:rPr>
      </w:pPr>
      <w:r w:rsidRPr="00C0094D">
        <w:rPr>
          <w:noProof/>
        </w:rPr>
        <w:tab/>
        <w:t>The Preside</w:t>
      </w:r>
      <w:r>
        <w:rPr>
          <w:noProof/>
        </w:rPr>
        <w:t>nt</w:t>
      </w:r>
      <w:bookmarkStart w:id="10" w:name="_Hlk133567753"/>
    </w:p>
    <w:p w14:paraId="70AFAFA5" w14:textId="77777777" w:rsidR="00854600" w:rsidRDefault="00854600">
      <w:pPr>
        <w:spacing w:before="0" w:after="200" w:line="276" w:lineRule="auto"/>
        <w:jc w:val="left"/>
        <w:rPr>
          <w:i/>
          <w:noProof/>
        </w:rPr>
      </w:pPr>
      <w:r>
        <w:rPr>
          <w:noProof/>
        </w:rPr>
        <w:br w:type="page"/>
      </w:r>
    </w:p>
    <w:bookmarkEnd w:id="10"/>
    <w:p w14:paraId="1EF22DAD" w14:textId="77777777" w:rsidR="001714E3" w:rsidRPr="001714E3" w:rsidRDefault="001714E3" w:rsidP="00854600">
      <w:pPr>
        <w:rPr>
          <w:noProof/>
        </w:rPr>
        <w:sectPr w:rsidR="001714E3" w:rsidRPr="001714E3" w:rsidSect="00B018F6">
          <w:pgSz w:w="11907" w:h="16839"/>
          <w:pgMar w:top="1134" w:right="1417" w:bottom="1134" w:left="1417" w:header="709" w:footer="709" w:gutter="0"/>
          <w:cols w:space="708"/>
          <w:docGrid w:linePitch="360"/>
        </w:sectPr>
      </w:pPr>
    </w:p>
    <w:p w14:paraId="4BCF0C81" w14:textId="77777777" w:rsidR="005837D8" w:rsidRDefault="005837D8" w:rsidP="005837D8">
      <w:pPr>
        <w:pStyle w:val="Fichefinanciretitre"/>
        <w:keepNext/>
        <w:rPr>
          <w:noProof/>
        </w:rPr>
      </w:pPr>
      <w:r w:rsidRPr="00843ADD">
        <w:rPr>
          <w:noProof/>
        </w:rPr>
        <w:t>LEGISLATIVE FINANCIAL STATEMENT</w:t>
      </w:r>
    </w:p>
    <w:p w14:paraId="611F95B7" w14:textId="77777777" w:rsidR="005837D8" w:rsidRDefault="005837D8" w:rsidP="005837D8">
      <w:pPr>
        <w:pStyle w:val="ManualHeading1"/>
        <w:rPr>
          <w:noProof/>
        </w:rPr>
      </w:pPr>
      <w:r>
        <w:rPr>
          <w:noProof/>
        </w:rPr>
        <w:t>1.</w:t>
      </w:r>
      <w:r>
        <w:rPr>
          <w:noProof/>
        </w:rPr>
        <w:tab/>
        <w:t>FRAMEWORK OF THE PROPOSAL/INITIATIVE</w:t>
      </w:r>
    </w:p>
    <w:p w14:paraId="13BF7A0E" w14:textId="77777777" w:rsidR="005837D8" w:rsidRDefault="005837D8" w:rsidP="005837D8">
      <w:pPr>
        <w:pStyle w:val="ManualHeading2"/>
        <w:rPr>
          <w:noProof/>
        </w:rPr>
      </w:pPr>
      <w:r>
        <w:rPr>
          <w:noProof/>
        </w:rPr>
        <w:tab/>
        <w:t>1.1.</w:t>
      </w:r>
      <w:r>
        <w:rPr>
          <w:noProof/>
        </w:rPr>
        <w:tab/>
        <w:t>Title of the proposal/initiative</w:t>
      </w:r>
    </w:p>
    <w:p w14:paraId="33BA2621" w14:textId="77777777" w:rsidR="005837D8" w:rsidRPr="000C056D" w:rsidRDefault="005837D8" w:rsidP="005837D8">
      <w:pPr>
        <w:pStyle w:val="ManualHeading2"/>
        <w:rPr>
          <w:b w:val="0"/>
          <w:bCs/>
          <w:noProof/>
        </w:rPr>
      </w:pPr>
      <w:r>
        <w:rPr>
          <w:noProof/>
        </w:rPr>
        <w:tab/>
      </w:r>
      <w:r w:rsidR="00007C40" w:rsidRPr="000C056D">
        <w:rPr>
          <w:b w:val="0"/>
          <w:bCs/>
          <w:noProof/>
        </w:rPr>
        <w:t>New EU system for the avoidance of double taxation and prevention of tax abuse in the field of withholding taxes, so-called FASTER (Faster and Safer Tax Excess Relief)</w:t>
      </w:r>
      <w:r w:rsidR="000C056D">
        <w:rPr>
          <w:b w:val="0"/>
          <w:bCs/>
          <w:noProof/>
        </w:rPr>
        <w:t>.</w:t>
      </w:r>
    </w:p>
    <w:p w14:paraId="07559EED" w14:textId="77777777" w:rsidR="005837D8" w:rsidRDefault="005837D8" w:rsidP="005837D8">
      <w:pPr>
        <w:pStyle w:val="ManualHeading2"/>
        <w:rPr>
          <w:noProof/>
        </w:rPr>
      </w:pPr>
      <w:r>
        <w:rPr>
          <w:noProof/>
        </w:rPr>
        <w:tab/>
        <w:t>1.2.</w:t>
      </w:r>
      <w:r>
        <w:rPr>
          <w:noProof/>
        </w:rPr>
        <w:tab/>
        <w:t>Policy area(s) concerned</w:t>
      </w:r>
    </w:p>
    <w:p w14:paraId="7ABEA2E4" w14:textId="77777777" w:rsidR="005837D8" w:rsidRPr="00E63630" w:rsidRDefault="005837D8" w:rsidP="005837D8">
      <w:pPr>
        <w:pStyle w:val="ManualHeading2"/>
        <w:rPr>
          <w:b w:val="0"/>
          <w:bCs/>
          <w:noProof/>
        </w:rPr>
      </w:pPr>
      <w:r>
        <w:rPr>
          <w:noProof/>
        </w:rPr>
        <w:tab/>
      </w:r>
      <w:r>
        <w:rPr>
          <w:b w:val="0"/>
          <w:bCs/>
          <w:noProof/>
        </w:rPr>
        <w:t>Tax policy.</w:t>
      </w:r>
    </w:p>
    <w:p w14:paraId="7E7BF8E3" w14:textId="77777777" w:rsidR="005837D8" w:rsidRDefault="005837D8" w:rsidP="005837D8">
      <w:pPr>
        <w:pStyle w:val="ManualHeading2"/>
        <w:rPr>
          <w:noProof/>
        </w:rPr>
      </w:pPr>
      <w:r>
        <w:rPr>
          <w:noProof/>
        </w:rPr>
        <w:tab/>
        <w:t>1.3.</w:t>
      </w:r>
      <w:r>
        <w:rPr>
          <w:noProof/>
        </w:rPr>
        <w:tab/>
        <w:t>The proposal/initiative relates to:</w:t>
      </w:r>
    </w:p>
    <w:p w14:paraId="75082A9A" w14:textId="77777777" w:rsidR="005837D8" w:rsidRPr="00E63630" w:rsidRDefault="005837D8" w:rsidP="005837D8">
      <w:pPr>
        <w:pStyle w:val="ManualHeading2"/>
        <w:rPr>
          <w:b w:val="0"/>
          <w:bCs/>
          <w:noProof/>
        </w:rPr>
      </w:pPr>
      <w:r>
        <w:rPr>
          <w:noProof/>
        </w:rPr>
        <w:tab/>
      </w:r>
      <w:r w:rsidRPr="00E63630">
        <w:rPr>
          <w:b w:val="0"/>
          <w:bCs/>
          <w:noProof/>
        </w:rPr>
        <w:t xml:space="preserve">A new action. </w:t>
      </w:r>
    </w:p>
    <w:p w14:paraId="555745D0" w14:textId="77777777" w:rsidR="005837D8" w:rsidRDefault="005837D8" w:rsidP="005837D8">
      <w:pPr>
        <w:pStyle w:val="ManualHeading2"/>
        <w:rPr>
          <w:noProof/>
        </w:rPr>
      </w:pPr>
      <w:r>
        <w:rPr>
          <w:noProof/>
        </w:rPr>
        <w:tab/>
        <w:t>1.4.</w:t>
      </w:r>
      <w:r>
        <w:rPr>
          <w:noProof/>
        </w:rPr>
        <w:tab/>
        <w:t>Objective(s)</w:t>
      </w:r>
    </w:p>
    <w:p w14:paraId="101E1DBF" w14:textId="77777777" w:rsidR="005837D8" w:rsidRDefault="005837D8" w:rsidP="005837D8">
      <w:pPr>
        <w:pStyle w:val="ManualHeading3"/>
        <w:rPr>
          <w:noProof/>
        </w:rPr>
      </w:pPr>
      <w:r>
        <w:rPr>
          <w:noProof/>
        </w:rPr>
        <w:tab/>
        <w:t>1.4.1.</w:t>
      </w:r>
      <w:r>
        <w:rPr>
          <w:noProof/>
        </w:rPr>
        <w:tab/>
        <w:t>General objective(s)</w:t>
      </w:r>
    </w:p>
    <w:p w14:paraId="6E67F26A" w14:textId="77777777" w:rsidR="005837D8" w:rsidRPr="00447163" w:rsidRDefault="005837D8" w:rsidP="005837D8">
      <w:pPr>
        <w:pStyle w:val="ManualHeading3"/>
        <w:rPr>
          <w:i w:val="0"/>
          <w:iCs/>
          <w:noProof/>
        </w:rPr>
      </w:pPr>
      <w:r>
        <w:rPr>
          <w:noProof/>
        </w:rPr>
        <w:tab/>
      </w:r>
      <w:r w:rsidRPr="00447163">
        <w:rPr>
          <w:i w:val="0"/>
          <w:iCs/>
          <w:noProof/>
        </w:rPr>
        <w:t xml:space="preserve">1) </w:t>
      </w:r>
      <w:r w:rsidRPr="00447163">
        <w:rPr>
          <w:rFonts w:eastAsia="Calibri"/>
          <w:i w:val="0"/>
          <w:iCs/>
          <w:noProof/>
          <w:sz w:val="22"/>
          <w:lang w:eastAsia="en-GB"/>
        </w:rPr>
        <w:t>Facilitating cross-border investment</w:t>
      </w:r>
      <w:r w:rsidR="003935BD">
        <w:rPr>
          <w:rFonts w:eastAsia="Calibri"/>
          <w:i w:val="0"/>
          <w:iCs/>
          <w:noProof/>
          <w:sz w:val="22"/>
          <w:lang w:eastAsia="en-GB"/>
        </w:rPr>
        <w:t xml:space="preserve"> in the EU</w:t>
      </w:r>
      <w:r w:rsidRPr="00447163">
        <w:rPr>
          <w:rFonts w:eastAsia="Calibri"/>
          <w:i w:val="0"/>
          <w:iCs/>
          <w:noProof/>
          <w:sz w:val="22"/>
          <w:lang w:eastAsia="en-GB"/>
        </w:rPr>
        <w:t xml:space="preserve"> by giving taxpayers proper</w:t>
      </w:r>
      <w:r w:rsidR="003935BD">
        <w:rPr>
          <w:rFonts w:eastAsia="Calibri"/>
          <w:i w:val="0"/>
          <w:iCs/>
          <w:noProof/>
          <w:sz w:val="22"/>
          <w:lang w:eastAsia="en-GB"/>
        </w:rPr>
        <w:t xml:space="preserve"> and effective</w:t>
      </w:r>
      <w:r w:rsidRPr="00447163">
        <w:rPr>
          <w:rFonts w:eastAsia="Calibri"/>
          <w:i w:val="0"/>
          <w:iCs/>
          <w:noProof/>
          <w:sz w:val="22"/>
          <w:lang w:eastAsia="en-GB"/>
        </w:rPr>
        <w:t xml:space="preserve"> access to </w:t>
      </w:r>
      <w:r w:rsidR="003935BD">
        <w:rPr>
          <w:rFonts w:eastAsia="Calibri"/>
          <w:i w:val="0"/>
          <w:iCs/>
          <w:noProof/>
          <w:sz w:val="22"/>
          <w:lang w:eastAsia="en-GB"/>
        </w:rPr>
        <w:t>tax</w:t>
      </w:r>
      <w:r w:rsidR="003935BD" w:rsidRPr="00447163">
        <w:rPr>
          <w:rFonts w:eastAsia="Calibri"/>
          <w:i w:val="0"/>
          <w:iCs/>
          <w:noProof/>
          <w:sz w:val="22"/>
          <w:lang w:eastAsia="en-GB"/>
        </w:rPr>
        <w:t xml:space="preserve"> </w:t>
      </w:r>
      <w:r w:rsidRPr="00447163">
        <w:rPr>
          <w:rFonts w:eastAsia="Calibri"/>
          <w:i w:val="0"/>
          <w:iCs/>
          <w:noProof/>
          <w:sz w:val="22"/>
          <w:lang w:eastAsia="en-GB"/>
        </w:rPr>
        <w:t>benefits</w:t>
      </w:r>
      <w:r w:rsidR="003935BD">
        <w:rPr>
          <w:rFonts w:eastAsia="Calibri"/>
          <w:i w:val="0"/>
          <w:iCs/>
          <w:noProof/>
          <w:sz w:val="22"/>
          <w:lang w:eastAsia="en-GB"/>
        </w:rPr>
        <w:t xml:space="preserve"> arising from DTTs and EU Directives</w:t>
      </w:r>
    </w:p>
    <w:p w14:paraId="24CBB808" w14:textId="77777777" w:rsidR="005837D8" w:rsidRPr="00447163" w:rsidRDefault="005837D8" w:rsidP="005837D8">
      <w:pPr>
        <w:pStyle w:val="ManualHeading3"/>
        <w:rPr>
          <w:i w:val="0"/>
          <w:iCs/>
          <w:noProof/>
        </w:rPr>
      </w:pPr>
      <w:r w:rsidRPr="00447163">
        <w:rPr>
          <w:i w:val="0"/>
          <w:iCs/>
          <w:noProof/>
        </w:rPr>
        <w:tab/>
        <w:t xml:space="preserve">2) </w:t>
      </w:r>
      <w:r w:rsidRPr="00447163">
        <w:rPr>
          <w:rFonts w:eastAsia="Calibri"/>
          <w:i w:val="0"/>
          <w:iCs/>
          <w:noProof/>
          <w:sz w:val="22"/>
          <w:lang w:eastAsia="en-GB"/>
        </w:rPr>
        <w:t>Preventing tax abuse in the field of WHT</w:t>
      </w:r>
    </w:p>
    <w:p w14:paraId="365FD78F" w14:textId="77777777" w:rsidR="005837D8" w:rsidRPr="00447163" w:rsidRDefault="005837D8" w:rsidP="005837D8">
      <w:pPr>
        <w:pStyle w:val="ManualHeading3"/>
        <w:rPr>
          <w:i w:val="0"/>
          <w:iCs/>
          <w:noProof/>
        </w:rPr>
      </w:pPr>
      <w:r w:rsidRPr="00447163">
        <w:rPr>
          <w:i w:val="0"/>
          <w:iCs/>
          <w:noProof/>
        </w:rPr>
        <w:tab/>
        <w:t>3) Economic benefits</w:t>
      </w:r>
    </w:p>
    <w:p w14:paraId="15DD5BD3" w14:textId="77777777" w:rsidR="005837D8" w:rsidRDefault="005837D8" w:rsidP="005837D8">
      <w:pPr>
        <w:pStyle w:val="ManualHeading3"/>
        <w:rPr>
          <w:noProof/>
        </w:rPr>
      </w:pPr>
      <w:r>
        <w:rPr>
          <w:noProof/>
        </w:rPr>
        <w:tab/>
        <w:t>1.4.2.</w:t>
      </w:r>
      <w:r>
        <w:rPr>
          <w:noProof/>
        </w:rPr>
        <w:tab/>
        <w:t>Specific objective(s)</w:t>
      </w:r>
    </w:p>
    <w:p w14:paraId="68185D14" w14:textId="77777777" w:rsidR="005837D8" w:rsidRPr="00447163" w:rsidRDefault="005837D8" w:rsidP="005837D8">
      <w:pPr>
        <w:pStyle w:val="ManualHeading3"/>
        <w:rPr>
          <w:i w:val="0"/>
          <w:iCs/>
          <w:noProof/>
        </w:rPr>
      </w:pPr>
      <w:r>
        <w:rPr>
          <w:noProof/>
        </w:rPr>
        <w:tab/>
      </w:r>
      <w:r w:rsidRPr="00447163">
        <w:rPr>
          <w:i w:val="0"/>
          <w:iCs/>
          <w:noProof/>
        </w:rPr>
        <w:t xml:space="preserve">1) </w:t>
      </w:r>
      <w:r w:rsidRPr="00447163">
        <w:rPr>
          <w:rFonts w:eastAsia="Calibri"/>
          <w:i w:val="0"/>
          <w:iCs/>
          <w:noProof/>
          <w:sz w:val="22"/>
          <w:lang w:eastAsia="en-GB"/>
        </w:rPr>
        <w:t xml:space="preserve">Shorten time for </w:t>
      </w:r>
      <w:r w:rsidR="003935BD">
        <w:rPr>
          <w:rFonts w:eastAsia="Calibri"/>
          <w:i w:val="0"/>
          <w:iCs/>
          <w:noProof/>
          <w:sz w:val="22"/>
          <w:lang w:eastAsia="en-GB"/>
        </w:rPr>
        <w:t xml:space="preserve">relieving or </w:t>
      </w:r>
      <w:r w:rsidRPr="00447163">
        <w:rPr>
          <w:rFonts w:eastAsia="Calibri"/>
          <w:i w:val="0"/>
          <w:iCs/>
          <w:noProof/>
          <w:sz w:val="22"/>
          <w:lang w:eastAsia="en-GB"/>
        </w:rPr>
        <w:t>refunding excess</w:t>
      </w:r>
      <w:r w:rsidR="003935BD">
        <w:rPr>
          <w:rFonts w:eastAsia="Calibri"/>
          <w:i w:val="0"/>
          <w:iCs/>
          <w:noProof/>
          <w:sz w:val="22"/>
          <w:lang w:eastAsia="en-GB"/>
        </w:rPr>
        <w:t xml:space="preserve"> withholding</w:t>
      </w:r>
      <w:r w:rsidRPr="00447163">
        <w:rPr>
          <w:rFonts w:eastAsia="Calibri"/>
          <w:i w:val="0"/>
          <w:iCs/>
          <w:noProof/>
          <w:sz w:val="22"/>
          <w:lang w:eastAsia="en-GB"/>
        </w:rPr>
        <w:t xml:space="preserve"> tax </w:t>
      </w:r>
    </w:p>
    <w:p w14:paraId="09B7C7A6" w14:textId="77777777" w:rsidR="005837D8" w:rsidRPr="00447163" w:rsidRDefault="005837D8" w:rsidP="005837D8">
      <w:pPr>
        <w:pStyle w:val="ManualHeading3"/>
        <w:rPr>
          <w:i w:val="0"/>
          <w:iCs/>
          <w:noProof/>
        </w:rPr>
      </w:pPr>
      <w:r w:rsidRPr="00447163">
        <w:rPr>
          <w:i w:val="0"/>
          <w:iCs/>
          <w:noProof/>
        </w:rPr>
        <w:tab/>
        <w:t xml:space="preserve">2) </w:t>
      </w:r>
      <w:r w:rsidRPr="00447163">
        <w:rPr>
          <w:rFonts w:eastAsia="Calibri"/>
          <w:i w:val="0"/>
          <w:iCs/>
          <w:noProof/>
          <w:sz w:val="22"/>
          <w:lang w:eastAsia="en-GB"/>
        </w:rPr>
        <w:t xml:space="preserve">Ensuring financial intermediaries adhere to customer due diligence requirements and </w:t>
      </w:r>
      <w:r w:rsidR="003935BD">
        <w:rPr>
          <w:rFonts w:eastAsia="Calibri"/>
          <w:i w:val="0"/>
          <w:iCs/>
          <w:noProof/>
          <w:sz w:val="22"/>
          <w:lang w:eastAsia="en-GB"/>
        </w:rPr>
        <w:t>report thereon to tax administrations</w:t>
      </w:r>
    </w:p>
    <w:p w14:paraId="6A72D6B0" w14:textId="77777777" w:rsidR="005837D8" w:rsidRPr="00447163" w:rsidRDefault="005837D8" w:rsidP="005837D8">
      <w:pPr>
        <w:pStyle w:val="ManualHeading3"/>
        <w:rPr>
          <w:i w:val="0"/>
          <w:iCs/>
          <w:noProof/>
        </w:rPr>
      </w:pPr>
      <w:r w:rsidRPr="00447163">
        <w:rPr>
          <w:i w:val="0"/>
          <w:iCs/>
          <w:noProof/>
        </w:rPr>
        <w:tab/>
        <w:t>3) Prevention of WHT abuse (Cum-Ex and Cum-Cum)</w:t>
      </w:r>
    </w:p>
    <w:p w14:paraId="52A2FE4B" w14:textId="77777777" w:rsidR="005837D8" w:rsidRPr="00447163" w:rsidRDefault="005837D8" w:rsidP="005837D8">
      <w:pPr>
        <w:pStyle w:val="ManualHeading3"/>
        <w:rPr>
          <w:i w:val="0"/>
          <w:iCs/>
          <w:noProof/>
        </w:rPr>
      </w:pPr>
      <w:r w:rsidRPr="00447163">
        <w:rPr>
          <w:i w:val="0"/>
          <w:iCs/>
          <w:noProof/>
        </w:rPr>
        <w:tab/>
        <w:t xml:space="preserve">4) </w:t>
      </w:r>
      <w:r w:rsidRPr="00447163">
        <w:rPr>
          <w:rFonts w:eastAsia="Calibri"/>
          <w:i w:val="0"/>
          <w:iCs/>
          <w:noProof/>
          <w:sz w:val="22"/>
          <w:lang w:eastAsia="en-GB"/>
        </w:rPr>
        <w:t>Equip Member States tax administrations with tools to deal with refund/relief at source procedures in a secure</w:t>
      </w:r>
      <w:r w:rsidR="003935BD">
        <w:rPr>
          <w:rFonts w:eastAsia="Calibri"/>
          <w:i w:val="0"/>
          <w:iCs/>
          <w:noProof/>
          <w:sz w:val="22"/>
          <w:lang w:eastAsia="en-GB"/>
        </w:rPr>
        <w:t xml:space="preserve"> and timely</w:t>
      </w:r>
      <w:r w:rsidRPr="00447163">
        <w:rPr>
          <w:rFonts w:eastAsia="Calibri"/>
          <w:i w:val="0"/>
          <w:iCs/>
          <w:noProof/>
          <w:sz w:val="22"/>
          <w:lang w:eastAsia="en-GB"/>
        </w:rPr>
        <w:t xml:space="preserve"> manner </w:t>
      </w:r>
    </w:p>
    <w:p w14:paraId="520273B6" w14:textId="77777777" w:rsidR="005837D8" w:rsidRDefault="005837D8" w:rsidP="005837D8">
      <w:pPr>
        <w:pStyle w:val="ManualHeading3"/>
        <w:rPr>
          <w:noProof/>
        </w:rPr>
      </w:pPr>
      <w:r>
        <w:rPr>
          <w:noProof/>
        </w:rPr>
        <w:tab/>
        <w:t>5) Effect of the proposal on the economy</w:t>
      </w:r>
    </w:p>
    <w:p w14:paraId="431DFF9C" w14:textId="77777777" w:rsidR="005837D8" w:rsidRDefault="005837D8" w:rsidP="005837D8">
      <w:pPr>
        <w:pStyle w:val="ManualHeading3"/>
        <w:rPr>
          <w:noProof/>
        </w:rPr>
      </w:pPr>
      <w:r>
        <w:rPr>
          <w:noProof/>
        </w:rPr>
        <w:tab/>
        <w:t>1.4.3.</w:t>
      </w:r>
      <w:r>
        <w:rPr>
          <w:noProof/>
        </w:rPr>
        <w:tab/>
        <w:t>Expected result(s) and impact</w:t>
      </w:r>
    </w:p>
    <w:p w14:paraId="70E3CC20" w14:textId="77777777" w:rsidR="005837D8" w:rsidRPr="00EA1957" w:rsidRDefault="005837D8" w:rsidP="005837D8">
      <w:pPr>
        <w:pStyle w:val="ManualHeading3"/>
        <w:rPr>
          <w:i w:val="0"/>
          <w:iCs/>
          <w:noProof/>
        </w:rPr>
      </w:pPr>
      <w:r>
        <w:rPr>
          <w:noProof/>
        </w:rPr>
        <w:tab/>
      </w:r>
      <w:r w:rsidRPr="00EA1957">
        <w:rPr>
          <w:i w:val="0"/>
          <w:iCs/>
          <w:noProof/>
        </w:rPr>
        <w:t xml:space="preserve">The defined time </w:t>
      </w:r>
      <w:r w:rsidRPr="00EA1957" w:rsidDel="0073325F">
        <w:rPr>
          <w:i w:val="0"/>
          <w:iCs/>
          <w:noProof/>
        </w:rPr>
        <w:t>limits</w:t>
      </w:r>
      <w:r w:rsidRPr="00EA1957">
        <w:rPr>
          <w:i w:val="0"/>
          <w:iCs/>
          <w:noProof/>
        </w:rPr>
        <w:t xml:space="preserve"> within the Proposal would ensure that WHT reclaims would be refunded more quickly</w:t>
      </w:r>
      <w:r w:rsidR="003935BD">
        <w:rPr>
          <w:i w:val="0"/>
          <w:iCs/>
          <w:noProof/>
        </w:rPr>
        <w:t xml:space="preserve"> or that any lower applicable WHT rate would apply at the time of the payment</w:t>
      </w:r>
      <w:r w:rsidRPr="00EA1957">
        <w:rPr>
          <w:i w:val="0"/>
          <w:iCs/>
          <w:noProof/>
        </w:rPr>
        <w:t xml:space="preserve">. The reporting obligations would ensure that information </w:t>
      </w:r>
      <w:r w:rsidR="003935BD">
        <w:rPr>
          <w:i w:val="0"/>
          <w:iCs/>
          <w:noProof/>
        </w:rPr>
        <w:t xml:space="preserve">is </w:t>
      </w:r>
      <w:r w:rsidRPr="00EA1957">
        <w:rPr>
          <w:i w:val="0"/>
          <w:iCs/>
          <w:noProof/>
        </w:rPr>
        <w:t>reported to the tax authorities</w:t>
      </w:r>
      <w:r w:rsidR="003935BD">
        <w:rPr>
          <w:i w:val="0"/>
          <w:iCs/>
          <w:noProof/>
        </w:rPr>
        <w:t xml:space="preserve"> to allow for major transparency and that such information</w:t>
      </w:r>
      <w:r w:rsidRPr="00EA1957">
        <w:rPr>
          <w:i w:val="0"/>
          <w:iCs/>
          <w:noProof/>
        </w:rPr>
        <w:t xml:space="preserve"> is effectively used to combat tax fraud, tax evasion and tax avoidance in WHT reclaim</w:t>
      </w:r>
      <w:r w:rsidR="003935BD">
        <w:rPr>
          <w:i w:val="0"/>
          <w:iCs/>
          <w:noProof/>
        </w:rPr>
        <w:t>/relief</w:t>
      </w:r>
      <w:r w:rsidRPr="00EA1957">
        <w:rPr>
          <w:i w:val="0"/>
          <w:iCs/>
          <w:noProof/>
        </w:rPr>
        <w:t xml:space="preserve"> systems in the EU</w:t>
      </w:r>
      <w:r w:rsidR="003935BD">
        <w:rPr>
          <w:i w:val="0"/>
          <w:iCs/>
          <w:noProof/>
        </w:rPr>
        <w:t xml:space="preserve"> while ensuring efficiency of the system</w:t>
      </w:r>
      <w:r w:rsidRPr="00EA1957">
        <w:rPr>
          <w:i w:val="0"/>
          <w:iCs/>
          <w:noProof/>
        </w:rPr>
        <w:t>. A secondary aim is to have a positive effect on economic indicators like GDP, wages and employment.</w:t>
      </w:r>
    </w:p>
    <w:p w14:paraId="6E1ADA43" w14:textId="77777777" w:rsidR="005837D8" w:rsidRDefault="005837D8" w:rsidP="005837D8">
      <w:pPr>
        <w:pStyle w:val="ManualHeading3"/>
        <w:rPr>
          <w:noProof/>
        </w:rPr>
      </w:pPr>
      <w:r>
        <w:rPr>
          <w:noProof/>
        </w:rPr>
        <w:tab/>
        <w:t>1.4.4.</w:t>
      </w:r>
      <w:r>
        <w:rPr>
          <w:noProof/>
        </w:rPr>
        <w:tab/>
        <w:t>Indicators of performance</w:t>
      </w:r>
    </w:p>
    <w:tbl>
      <w:tblPr>
        <w:tblStyle w:val="TableGrid"/>
        <w:tblW w:w="0" w:type="auto"/>
        <w:tblInd w:w="850" w:type="dxa"/>
        <w:tblLook w:val="04A0" w:firstRow="1" w:lastRow="0" w:firstColumn="1" w:lastColumn="0" w:noHBand="0" w:noVBand="1"/>
      </w:tblPr>
      <w:tblGrid>
        <w:gridCol w:w="2811"/>
        <w:gridCol w:w="2813"/>
        <w:gridCol w:w="2813"/>
      </w:tblGrid>
      <w:tr w:rsidR="005837D8" w14:paraId="6138A348" w14:textId="77777777" w:rsidTr="000430BD">
        <w:tc>
          <w:tcPr>
            <w:tcW w:w="2811" w:type="dxa"/>
          </w:tcPr>
          <w:p w14:paraId="17343940" w14:textId="77777777" w:rsidR="005837D8" w:rsidRDefault="005837D8" w:rsidP="000430BD">
            <w:pPr>
              <w:pStyle w:val="ManualHeading2"/>
              <w:ind w:left="0" w:firstLine="0"/>
              <w:rPr>
                <w:noProof/>
              </w:rPr>
            </w:pPr>
            <w:r w:rsidRPr="000E30E4">
              <w:rPr>
                <w:rFonts w:eastAsia="Calibri"/>
                <w:noProof/>
                <w:sz w:val="22"/>
                <w:szCs w:val="22"/>
                <w:lang w:eastAsia="en-GB"/>
              </w:rPr>
              <w:t xml:space="preserve">Specific objective </w:t>
            </w:r>
          </w:p>
        </w:tc>
        <w:tc>
          <w:tcPr>
            <w:tcW w:w="2813" w:type="dxa"/>
          </w:tcPr>
          <w:p w14:paraId="4984F7EF" w14:textId="77777777" w:rsidR="005837D8" w:rsidRDefault="005837D8" w:rsidP="000430BD">
            <w:pPr>
              <w:pStyle w:val="ManualHeading2"/>
              <w:ind w:left="0" w:firstLine="0"/>
              <w:rPr>
                <w:noProof/>
              </w:rPr>
            </w:pPr>
            <w:r w:rsidRPr="000E30E4">
              <w:rPr>
                <w:rFonts w:eastAsia="Calibri"/>
                <w:noProof/>
                <w:sz w:val="22"/>
                <w:szCs w:val="22"/>
                <w:lang w:eastAsia="en-GB"/>
              </w:rPr>
              <w:t>Indicators</w:t>
            </w:r>
          </w:p>
        </w:tc>
        <w:tc>
          <w:tcPr>
            <w:tcW w:w="2813" w:type="dxa"/>
          </w:tcPr>
          <w:p w14:paraId="0D2861B2" w14:textId="77777777" w:rsidR="005837D8" w:rsidRDefault="005837D8" w:rsidP="000430BD">
            <w:pPr>
              <w:pStyle w:val="ManualHeading2"/>
              <w:ind w:left="0" w:firstLine="0"/>
              <w:rPr>
                <w:noProof/>
              </w:rPr>
            </w:pPr>
            <w:r w:rsidRPr="000E30E4">
              <w:rPr>
                <w:rFonts w:eastAsia="Calibri"/>
                <w:noProof/>
                <w:sz w:val="22"/>
                <w:szCs w:val="22"/>
                <w:lang w:eastAsia="en-GB"/>
              </w:rPr>
              <w:t>Measurement tools</w:t>
            </w:r>
          </w:p>
        </w:tc>
      </w:tr>
      <w:tr w:rsidR="005837D8" w14:paraId="7CCB1158" w14:textId="77777777" w:rsidTr="000430BD">
        <w:tc>
          <w:tcPr>
            <w:tcW w:w="2811" w:type="dxa"/>
          </w:tcPr>
          <w:p w14:paraId="54DCF525" w14:textId="77777777" w:rsidR="005837D8" w:rsidRPr="00447163" w:rsidRDefault="005837D8" w:rsidP="000430BD">
            <w:pPr>
              <w:pStyle w:val="ManualHeading2"/>
              <w:ind w:left="0" w:firstLine="0"/>
              <w:rPr>
                <w:b w:val="0"/>
                <w:bCs/>
                <w:noProof/>
              </w:rPr>
            </w:pPr>
            <w:r w:rsidRPr="00447163">
              <w:rPr>
                <w:rFonts w:eastAsia="Calibri"/>
                <w:b w:val="0"/>
                <w:bCs/>
                <w:noProof/>
                <w:sz w:val="22"/>
                <w:szCs w:val="22"/>
                <w:lang w:eastAsia="en-GB"/>
              </w:rPr>
              <w:t xml:space="preserve">Shorten time for </w:t>
            </w:r>
            <w:r w:rsidR="003935BD">
              <w:rPr>
                <w:rFonts w:eastAsia="Calibri"/>
                <w:b w:val="0"/>
                <w:bCs/>
                <w:noProof/>
                <w:sz w:val="22"/>
                <w:szCs w:val="22"/>
                <w:lang w:eastAsia="en-GB"/>
              </w:rPr>
              <w:t>relieving/</w:t>
            </w:r>
            <w:r w:rsidRPr="00447163">
              <w:rPr>
                <w:rFonts w:eastAsia="Calibri"/>
                <w:b w:val="0"/>
                <w:bCs/>
                <w:noProof/>
                <w:sz w:val="22"/>
                <w:szCs w:val="22"/>
                <w:lang w:eastAsia="en-GB"/>
              </w:rPr>
              <w:t xml:space="preserve">refunding excess tax withheld </w:t>
            </w:r>
          </w:p>
        </w:tc>
        <w:tc>
          <w:tcPr>
            <w:tcW w:w="2813" w:type="dxa"/>
          </w:tcPr>
          <w:p w14:paraId="3BB56D2D" w14:textId="77777777" w:rsidR="005837D8" w:rsidRPr="00447163" w:rsidRDefault="005837D8" w:rsidP="000430BD">
            <w:pPr>
              <w:pStyle w:val="ManualHeading2"/>
              <w:ind w:left="0" w:firstLine="0"/>
              <w:rPr>
                <w:b w:val="0"/>
                <w:bCs/>
                <w:noProof/>
              </w:rPr>
            </w:pPr>
            <w:r w:rsidRPr="00447163">
              <w:rPr>
                <w:rFonts w:eastAsia="Calibri"/>
                <w:b w:val="0"/>
                <w:bCs/>
                <w:noProof/>
                <w:sz w:val="22"/>
                <w:szCs w:val="22"/>
                <w:lang w:eastAsia="en-GB"/>
              </w:rPr>
              <w:t xml:space="preserve">Whether payment days for WHT reclaims are </w:t>
            </w:r>
            <w:r w:rsidR="00DB128A">
              <w:rPr>
                <w:rFonts w:eastAsia="Calibri"/>
                <w:b w:val="0"/>
                <w:bCs/>
                <w:noProof/>
                <w:sz w:val="22"/>
                <w:szCs w:val="22"/>
                <w:lang w:eastAsia="en-GB"/>
              </w:rPr>
              <w:t xml:space="preserve">in line </w:t>
            </w:r>
            <w:r w:rsidRPr="00447163">
              <w:rPr>
                <w:rFonts w:eastAsia="Calibri"/>
                <w:b w:val="0"/>
                <w:bCs/>
                <w:noProof/>
                <w:sz w:val="22"/>
                <w:szCs w:val="22"/>
                <w:lang w:eastAsia="en-GB"/>
              </w:rPr>
              <w:t xml:space="preserve">with pre-defined payment </w:t>
            </w:r>
            <w:r w:rsidR="00DB128A">
              <w:rPr>
                <w:rFonts w:eastAsia="Calibri"/>
                <w:b w:val="0"/>
                <w:bCs/>
                <w:noProof/>
                <w:sz w:val="22"/>
                <w:szCs w:val="22"/>
                <w:lang w:eastAsia="en-GB"/>
              </w:rPr>
              <w:t>time-frames</w:t>
            </w:r>
            <w:r w:rsidR="00DB128A" w:rsidRPr="00447163">
              <w:rPr>
                <w:rFonts w:eastAsia="Calibri"/>
                <w:b w:val="0"/>
                <w:bCs/>
                <w:noProof/>
                <w:sz w:val="22"/>
                <w:szCs w:val="22"/>
                <w:lang w:eastAsia="en-GB"/>
              </w:rPr>
              <w:t xml:space="preserve"> </w:t>
            </w:r>
            <w:r w:rsidRPr="00447163">
              <w:rPr>
                <w:rFonts w:eastAsia="Calibri"/>
                <w:b w:val="0"/>
                <w:bCs/>
                <w:noProof/>
                <w:sz w:val="22"/>
                <w:szCs w:val="22"/>
                <w:lang w:eastAsia="en-GB"/>
              </w:rPr>
              <w:t xml:space="preserve">in the proposal and, where appropriate, late interest payment penalties are paid to investors for late refund payments </w:t>
            </w:r>
          </w:p>
        </w:tc>
        <w:tc>
          <w:tcPr>
            <w:tcW w:w="2813" w:type="dxa"/>
          </w:tcPr>
          <w:p w14:paraId="3A2A1DEE" w14:textId="77777777" w:rsidR="005837D8" w:rsidRPr="00447163" w:rsidRDefault="005837D8" w:rsidP="000430BD">
            <w:pPr>
              <w:pStyle w:val="ManualHeading2"/>
              <w:ind w:left="0" w:firstLine="0"/>
              <w:rPr>
                <w:b w:val="0"/>
                <w:bCs/>
                <w:noProof/>
              </w:rPr>
            </w:pPr>
            <w:r w:rsidRPr="00447163">
              <w:rPr>
                <w:rFonts w:eastAsia="Calibri"/>
                <w:b w:val="0"/>
                <w:bCs/>
                <w:noProof/>
                <w:sz w:val="22"/>
                <w:szCs w:val="22"/>
                <w:lang w:eastAsia="en-GB"/>
              </w:rPr>
              <w:t>Annual data to be supplied to the Commission by source Member State</w:t>
            </w:r>
          </w:p>
        </w:tc>
      </w:tr>
      <w:tr w:rsidR="005837D8" w14:paraId="2281937D" w14:textId="77777777" w:rsidTr="000430BD">
        <w:tc>
          <w:tcPr>
            <w:tcW w:w="2811" w:type="dxa"/>
          </w:tcPr>
          <w:p w14:paraId="15654DAA" w14:textId="77777777" w:rsidR="005837D8" w:rsidRPr="00346140" w:rsidRDefault="005837D8" w:rsidP="000430BD">
            <w:pPr>
              <w:pStyle w:val="ManualHeading2"/>
              <w:ind w:left="0" w:firstLine="0"/>
              <w:rPr>
                <w:b w:val="0"/>
                <w:bCs/>
                <w:noProof/>
              </w:rPr>
            </w:pPr>
            <w:r w:rsidRPr="00346140">
              <w:rPr>
                <w:rFonts w:eastAsia="Calibri"/>
                <w:b w:val="0"/>
                <w:bCs/>
                <w:noProof/>
                <w:sz w:val="22"/>
                <w:szCs w:val="22"/>
                <w:lang w:eastAsia="en-GB"/>
              </w:rPr>
              <w:t xml:space="preserve">Ensuring </w:t>
            </w:r>
            <w:r w:rsidR="00D12094">
              <w:rPr>
                <w:rFonts w:eastAsia="Calibri"/>
                <w:b w:val="0"/>
                <w:bCs/>
                <w:noProof/>
                <w:sz w:val="22"/>
                <w:szCs w:val="22"/>
                <w:lang w:eastAsia="en-GB"/>
              </w:rPr>
              <w:t>certified</w:t>
            </w:r>
            <w:r w:rsidR="00E104B3">
              <w:rPr>
                <w:rFonts w:eastAsia="Calibri"/>
                <w:b w:val="0"/>
                <w:bCs/>
                <w:noProof/>
                <w:sz w:val="22"/>
                <w:szCs w:val="22"/>
                <w:lang w:eastAsia="en-GB"/>
              </w:rPr>
              <w:t xml:space="preserve"> </w:t>
            </w:r>
            <w:r w:rsidRPr="00346140">
              <w:rPr>
                <w:rFonts w:eastAsia="Calibri"/>
                <w:b w:val="0"/>
                <w:bCs/>
                <w:noProof/>
                <w:sz w:val="22"/>
                <w:szCs w:val="22"/>
                <w:lang w:eastAsia="en-GB"/>
              </w:rPr>
              <w:t xml:space="preserve">financial intermediaries adhere to the customer due diligence requirements and reporting obligations </w:t>
            </w:r>
          </w:p>
        </w:tc>
        <w:tc>
          <w:tcPr>
            <w:tcW w:w="2813" w:type="dxa"/>
          </w:tcPr>
          <w:p w14:paraId="6A612D6D" w14:textId="77777777" w:rsidR="005837D8" w:rsidRPr="00346140" w:rsidRDefault="005837D8" w:rsidP="000430BD">
            <w:pPr>
              <w:pStyle w:val="ManualHeading2"/>
              <w:ind w:left="0" w:firstLine="0"/>
              <w:rPr>
                <w:b w:val="0"/>
                <w:bCs/>
                <w:noProof/>
              </w:rPr>
            </w:pPr>
            <w:r w:rsidRPr="00346140">
              <w:rPr>
                <w:rFonts w:eastAsia="Calibri"/>
                <w:b w:val="0"/>
                <w:bCs/>
                <w:noProof/>
                <w:sz w:val="22"/>
                <w:szCs w:val="22"/>
                <w:lang w:eastAsia="en-GB"/>
              </w:rPr>
              <w:t xml:space="preserve">Monitoring activities of the Member State to ensure compliance of EU financial intermediaries (by </w:t>
            </w:r>
            <w:r w:rsidR="00DB128A">
              <w:rPr>
                <w:rFonts w:eastAsia="Calibri"/>
                <w:b w:val="0"/>
                <w:bCs/>
                <w:noProof/>
                <w:sz w:val="22"/>
                <w:szCs w:val="22"/>
                <w:lang w:eastAsia="en-GB"/>
              </w:rPr>
              <w:t>the Member State where they are registered</w:t>
            </w:r>
            <w:r w:rsidR="0087337F">
              <w:rPr>
                <w:rFonts w:eastAsia="Calibri"/>
                <w:b w:val="0"/>
                <w:bCs/>
                <w:noProof/>
                <w:sz w:val="22"/>
                <w:szCs w:val="22"/>
                <w:lang w:eastAsia="en-GB"/>
              </w:rPr>
              <w:t xml:space="preserve"> in the National Register</w:t>
            </w:r>
            <w:r w:rsidRPr="00346140">
              <w:rPr>
                <w:rFonts w:eastAsia="Calibri"/>
                <w:b w:val="0"/>
                <w:bCs/>
                <w:noProof/>
                <w:sz w:val="22"/>
                <w:szCs w:val="22"/>
                <w:lang w:eastAsia="en-GB"/>
              </w:rPr>
              <w:t xml:space="preserve">) and non-EU financial intermediaries (by Member State where they are registered) </w:t>
            </w:r>
          </w:p>
        </w:tc>
        <w:tc>
          <w:tcPr>
            <w:tcW w:w="2813" w:type="dxa"/>
          </w:tcPr>
          <w:p w14:paraId="2D18910E" w14:textId="77777777" w:rsidR="005837D8" w:rsidRPr="00346140" w:rsidRDefault="005837D8" w:rsidP="000430BD">
            <w:pPr>
              <w:pStyle w:val="ManualHeading2"/>
              <w:ind w:left="0" w:firstLine="0"/>
              <w:rPr>
                <w:b w:val="0"/>
                <w:bCs/>
                <w:noProof/>
              </w:rPr>
            </w:pPr>
            <w:r w:rsidRPr="00346140">
              <w:rPr>
                <w:rFonts w:eastAsia="Calibri"/>
                <w:b w:val="0"/>
                <w:bCs/>
                <w:noProof/>
                <w:sz w:val="22"/>
                <w:szCs w:val="22"/>
                <w:lang w:eastAsia="en-GB"/>
              </w:rPr>
              <w:t xml:space="preserve">Annual report to be supplied by </w:t>
            </w:r>
            <w:r w:rsidR="0087337F">
              <w:rPr>
                <w:rFonts w:eastAsia="Calibri"/>
                <w:b w:val="0"/>
                <w:bCs/>
                <w:noProof/>
                <w:sz w:val="22"/>
                <w:szCs w:val="22"/>
                <w:lang w:eastAsia="en-GB"/>
              </w:rPr>
              <w:t>M</w:t>
            </w:r>
            <w:r w:rsidRPr="00346140">
              <w:rPr>
                <w:rFonts w:eastAsia="Calibri"/>
                <w:b w:val="0"/>
                <w:bCs/>
                <w:noProof/>
                <w:sz w:val="22"/>
                <w:szCs w:val="22"/>
                <w:lang w:eastAsia="en-GB"/>
              </w:rPr>
              <w:t>ember State</w:t>
            </w:r>
            <w:r w:rsidR="0087337F">
              <w:rPr>
                <w:rFonts w:eastAsia="Calibri"/>
                <w:b w:val="0"/>
                <w:bCs/>
                <w:noProof/>
                <w:sz w:val="22"/>
                <w:szCs w:val="22"/>
                <w:lang w:eastAsia="en-GB"/>
              </w:rPr>
              <w:t xml:space="preserve"> with the National Register where </w:t>
            </w:r>
            <w:r w:rsidRPr="00346140">
              <w:rPr>
                <w:rFonts w:eastAsia="Calibri"/>
                <w:b w:val="0"/>
                <w:bCs/>
                <w:noProof/>
                <w:sz w:val="22"/>
                <w:szCs w:val="22"/>
                <w:lang w:eastAsia="en-GB"/>
              </w:rPr>
              <w:t>the financial intermediary</w:t>
            </w:r>
            <w:r w:rsidR="0087337F">
              <w:rPr>
                <w:rFonts w:eastAsia="Calibri"/>
                <w:b w:val="0"/>
                <w:bCs/>
                <w:noProof/>
                <w:sz w:val="22"/>
                <w:szCs w:val="22"/>
                <w:lang w:eastAsia="en-GB"/>
              </w:rPr>
              <w:t xml:space="preserve"> is registered</w:t>
            </w:r>
            <w:r w:rsidRPr="00346140">
              <w:rPr>
                <w:rFonts w:eastAsia="Calibri"/>
                <w:b w:val="0"/>
                <w:bCs/>
                <w:noProof/>
                <w:sz w:val="22"/>
                <w:szCs w:val="22"/>
                <w:lang w:eastAsia="en-GB"/>
              </w:rPr>
              <w:t>.</w:t>
            </w:r>
          </w:p>
        </w:tc>
      </w:tr>
      <w:tr w:rsidR="005837D8" w14:paraId="535492EF" w14:textId="77777777" w:rsidTr="000430BD">
        <w:tc>
          <w:tcPr>
            <w:tcW w:w="2811" w:type="dxa"/>
          </w:tcPr>
          <w:p w14:paraId="6003EE3C" w14:textId="77777777" w:rsidR="005837D8" w:rsidRPr="00926375" w:rsidRDefault="005837D8" w:rsidP="000430BD">
            <w:pPr>
              <w:pStyle w:val="ManualHeading2"/>
              <w:ind w:left="0" w:firstLine="0"/>
              <w:rPr>
                <w:b w:val="0"/>
                <w:bCs/>
                <w:noProof/>
              </w:rPr>
            </w:pPr>
            <w:r w:rsidRPr="00926375">
              <w:rPr>
                <w:rFonts w:eastAsia="Calibri"/>
                <w:b w:val="0"/>
                <w:bCs/>
                <w:noProof/>
                <w:sz w:val="22"/>
                <w:szCs w:val="22"/>
                <w:lang w:eastAsia="en-GB"/>
              </w:rPr>
              <w:t>Prevention of tax abuse</w:t>
            </w:r>
          </w:p>
        </w:tc>
        <w:tc>
          <w:tcPr>
            <w:tcW w:w="2813" w:type="dxa"/>
          </w:tcPr>
          <w:p w14:paraId="11D76D1C" w14:textId="77777777" w:rsidR="005837D8" w:rsidRPr="00926375" w:rsidRDefault="005837D8" w:rsidP="000430BD">
            <w:pPr>
              <w:pStyle w:val="ManualHeading2"/>
              <w:ind w:left="0" w:firstLine="0"/>
              <w:rPr>
                <w:b w:val="0"/>
                <w:bCs/>
                <w:noProof/>
              </w:rPr>
            </w:pPr>
            <w:r w:rsidRPr="00926375">
              <w:rPr>
                <w:rFonts w:eastAsia="Calibri"/>
                <w:b w:val="0"/>
                <w:bCs/>
                <w:noProof/>
                <w:sz w:val="22"/>
                <w:szCs w:val="22"/>
                <w:lang w:eastAsia="en-GB"/>
              </w:rPr>
              <w:t xml:space="preserve">Annual assessment by the source Member State on the </w:t>
            </w:r>
            <w:r w:rsidR="00E16004">
              <w:rPr>
                <w:rFonts w:eastAsia="Calibri"/>
                <w:b w:val="0"/>
                <w:bCs/>
                <w:noProof/>
                <w:sz w:val="22"/>
                <w:szCs w:val="22"/>
                <w:lang w:eastAsia="en-GB"/>
              </w:rPr>
              <w:t>usefulness</w:t>
            </w:r>
            <w:r w:rsidR="00E16004" w:rsidRPr="00926375">
              <w:rPr>
                <w:rFonts w:eastAsia="Calibri"/>
                <w:b w:val="0"/>
                <w:bCs/>
                <w:noProof/>
                <w:sz w:val="22"/>
                <w:szCs w:val="22"/>
                <w:lang w:eastAsia="en-GB"/>
              </w:rPr>
              <w:t xml:space="preserve"> </w:t>
            </w:r>
            <w:r w:rsidRPr="00926375">
              <w:rPr>
                <w:rFonts w:eastAsia="Calibri"/>
                <w:b w:val="0"/>
                <w:bCs/>
                <w:noProof/>
                <w:sz w:val="22"/>
                <w:szCs w:val="22"/>
                <w:lang w:eastAsia="en-GB"/>
              </w:rPr>
              <w:t xml:space="preserve">of data reported by intermediaries/WHT agents to </w:t>
            </w:r>
            <w:r w:rsidR="00060712">
              <w:rPr>
                <w:rFonts w:eastAsia="Calibri"/>
                <w:b w:val="0"/>
                <w:bCs/>
                <w:noProof/>
                <w:sz w:val="22"/>
                <w:szCs w:val="22"/>
                <w:lang w:eastAsia="en-GB"/>
              </w:rPr>
              <w:t xml:space="preserve">actually </w:t>
            </w:r>
            <w:r w:rsidRPr="00926375">
              <w:rPr>
                <w:rFonts w:eastAsia="Calibri"/>
                <w:b w:val="0"/>
                <w:bCs/>
                <w:noProof/>
                <w:sz w:val="22"/>
                <w:szCs w:val="22"/>
                <w:lang w:eastAsia="en-GB"/>
              </w:rPr>
              <w:t xml:space="preserve">detect and prevent tax abuse. The assessment will include the use and benefits (number </w:t>
            </w:r>
            <w:r w:rsidR="004C05BA">
              <w:rPr>
                <w:rFonts w:eastAsia="Calibri"/>
                <w:b w:val="0"/>
                <w:bCs/>
                <w:noProof/>
                <w:sz w:val="22"/>
                <w:szCs w:val="22"/>
                <w:lang w:eastAsia="en-GB"/>
              </w:rPr>
              <w:t xml:space="preserve">of abuse cases </w:t>
            </w:r>
            <w:r w:rsidRPr="00926375">
              <w:rPr>
                <w:rFonts w:eastAsia="Calibri"/>
                <w:b w:val="0"/>
                <w:bCs/>
                <w:noProof/>
                <w:sz w:val="22"/>
                <w:szCs w:val="22"/>
                <w:lang w:eastAsia="en-GB"/>
              </w:rPr>
              <w:t xml:space="preserve">and </w:t>
            </w:r>
            <w:r w:rsidR="004C05BA">
              <w:rPr>
                <w:rFonts w:eastAsia="Calibri"/>
                <w:b w:val="0"/>
                <w:bCs/>
                <w:noProof/>
                <w:sz w:val="22"/>
                <w:szCs w:val="22"/>
                <w:lang w:eastAsia="en-GB"/>
              </w:rPr>
              <w:t>related</w:t>
            </w:r>
            <w:r w:rsidRPr="00926375">
              <w:rPr>
                <w:rFonts w:eastAsia="Calibri"/>
                <w:b w:val="0"/>
                <w:bCs/>
                <w:noProof/>
                <w:sz w:val="22"/>
                <w:szCs w:val="22"/>
                <w:lang w:eastAsia="en-GB"/>
              </w:rPr>
              <w:t xml:space="preserve"> amounts) of reported data for detecting and combatting WHT tax abuse (Cum/Ex and Cum/Cum). </w:t>
            </w:r>
          </w:p>
        </w:tc>
        <w:tc>
          <w:tcPr>
            <w:tcW w:w="2813" w:type="dxa"/>
          </w:tcPr>
          <w:p w14:paraId="10818193" w14:textId="77777777" w:rsidR="005837D8" w:rsidRPr="00926375" w:rsidRDefault="005837D8" w:rsidP="000430BD">
            <w:pPr>
              <w:pStyle w:val="ManualHeading2"/>
              <w:ind w:left="0" w:firstLine="0"/>
              <w:rPr>
                <w:b w:val="0"/>
                <w:bCs/>
                <w:noProof/>
              </w:rPr>
            </w:pPr>
            <w:r w:rsidRPr="00926375">
              <w:rPr>
                <w:rFonts w:eastAsia="Calibri"/>
                <w:b w:val="0"/>
                <w:bCs/>
                <w:noProof/>
                <w:sz w:val="22"/>
                <w:szCs w:val="22"/>
                <w:lang w:eastAsia="en-GB"/>
              </w:rPr>
              <w:t>Annual assessment to be supplied to the Commission by the source Member State.</w:t>
            </w:r>
          </w:p>
        </w:tc>
      </w:tr>
      <w:tr w:rsidR="005837D8" w14:paraId="420FD651" w14:textId="77777777" w:rsidTr="000430BD">
        <w:tc>
          <w:tcPr>
            <w:tcW w:w="2811" w:type="dxa"/>
          </w:tcPr>
          <w:p w14:paraId="6E95ACF1" w14:textId="77777777" w:rsidR="005837D8" w:rsidRPr="00926375" w:rsidRDefault="005837D8" w:rsidP="000430BD">
            <w:pPr>
              <w:pStyle w:val="ManualHeading2"/>
              <w:ind w:left="0" w:firstLine="0"/>
              <w:rPr>
                <w:b w:val="0"/>
                <w:bCs/>
                <w:noProof/>
              </w:rPr>
            </w:pPr>
            <w:r w:rsidRPr="00926375">
              <w:rPr>
                <w:rFonts w:eastAsia="Calibri"/>
                <w:b w:val="0"/>
                <w:bCs/>
                <w:noProof/>
                <w:sz w:val="22"/>
                <w:szCs w:val="22"/>
                <w:lang w:eastAsia="en-GB"/>
              </w:rPr>
              <w:t xml:space="preserve">Equip Member States tax administrations with tools to deal with refund/relief at source procedures in a secure manner </w:t>
            </w:r>
          </w:p>
        </w:tc>
        <w:tc>
          <w:tcPr>
            <w:tcW w:w="2813" w:type="dxa"/>
          </w:tcPr>
          <w:p w14:paraId="7F189CBF" w14:textId="77777777" w:rsidR="005837D8" w:rsidRPr="00926375" w:rsidRDefault="00060712" w:rsidP="000430BD">
            <w:pPr>
              <w:spacing w:line="276" w:lineRule="auto"/>
              <w:rPr>
                <w:rFonts w:eastAsia="Calibri"/>
                <w:bCs/>
                <w:noProof/>
                <w:sz w:val="22"/>
                <w:szCs w:val="22"/>
                <w:lang w:eastAsia="en-GB"/>
              </w:rPr>
            </w:pPr>
            <w:r>
              <w:rPr>
                <w:rFonts w:eastAsia="Calibri"/>
                <w:bCs/>
                <w:noProof/>
                <w:sz w:val="22"/>
                <w:szCs w:val="22"/>
                <w:lang w:eastAsia="en-GB"/>
              </w:rPr>
              <w:t>Accuracy</w:t>
            </w:r>
            <w:r w:rsidRPr="00926375">
              <w:rPr>
                <w:rFonts w:eastAsia="Calibri"/>
                <w:bCs/>
                <w:noProof/>
                <w:sz w:val="22"/>
                <w:szCs w:val="22"/>
                <w:lang w:eastAsia="en-GB"/>
              </w:rPr>
              <w:t xml:space="preserve"> </w:t>
            </w:r>
            <w:r w:rsidR="005837D8" w:rsidRPr="00926375">
              <w:rPr>
                <w:rFonts w:eastAsia="Calibri"/>
                <w:bCs/>
                <w:noProof/>
                <w:sz w:val="22"/>
                <w:szCs w:val="22"/>
                <w:lang w:eastAsia="en-GB"/>
              </w:rPr>
              <w:t>and completeness of information reported by financial intermediaries/WHT agents to the source Member State tax a</w:t>
            </w:r>
            <w:r>
              <w:rPr>
                <w:rFonts w:eastAsia="Calibri"/>
                <w:bCs/>
                <w:noProof/>
                <w:sz w:val="22"/>
                <w:szCs w:val="22"/>
                <w:lang w:eastAsia="en-GB"/>
              </w:rPr>
              <w:t>dministration</w:t>
            </w:r>
            <w:r w:rsidR="005837D8" w:rsidRPr="00926375">
              <w:rPr>
                <w:rFonts w:eastAsia="Calibri"/>
                <w:bCs/>
                <w:noProof/>
                <w:sz w:val="22"/>
                <w:szCs w:val="22"/>
                <w:lang w:eastAsia="en-GB"/>
              </w:rPr>
              <w:t xml:space="preserve"> </w:t>
            </w:r>
          </w:p>
          <w:p w14:paraId="6E424DAF" w14:textId="77777777" w:rsidR="005837D8" w:rsidRPr="00926375" w:rsidRDefault="005837D8" w:rsidP="000430BD">
            <w:pPr>
              <w:pStyle w:val="ManualHeading2"/>
              <w:ind w:left="0" w:firstLine="0"/>
              <w:rPr>
                <w:b w:val="0"/>
                <w:bCs/>
                <w:noProof/>
              </w:rPr>
            </w:pPr>
            <w:r w:rsidRPr="00926375">
              <w:rPr>
                <w:rFonts w:eastAsia="Calibri"/>
                <w:b w:val="0"/>
                <w:bCs/>
                <w:noProof/>
                <w:sz w:val="22"/>
                <w:szCs w:val="22"/>
                <w:lang w:eastAsia="en-GB"/>
              </w:rPr>
              <w:t>A</w:t>
            </w:r>
            <w:r w:rsidR="00DF403F">
              <w:rPr>
                <w:rFonts w:eastAsia="Calibri"/>
                <w:b w:val="0"/>
                <w:bCs/>
                <w:noProof/>
                <w:sz w:val="22"/>
                <w:szCs w:val="22"/>
                <w:lang w:eastAsia="en-GB"/>
              </w:rPr>
              <w:t>nnual a</w:t>
            </w:r>
            <w:r w:rsidRPr="00926375">
              <w:rPr>
                <w:rFonts w:eastAsia="Calibri"/>
                <w:b w:val="0"/>
                <w:bCs/>
                <w:noProof/>
                <w:sz w:val="22"/>
                <w:szCs w:val="22"/>
                <w:lang w:eastAsia="en-GB"/>
              </w:rPr>
              <w:t xml:space="preserve">ssessment by the source Member State </w:t>
            </w:r>
            <w:r w:rsidRPr="00926375">
              <w:rPr>
                <w:b w:val="0"/>
                <w:bCs/>
                <w:noProof/>
                <w:sz w:val="22"/>
                <w:szCs w:val="22"/>
                <w:lang w:eastAsia="en-GB"/>
              </w:rPr>
              <w:t>of the enforceability of liability allocation rules at national level</w:t>
            </w:r>
          </w:p>
        </w:tc>
        <w:tc>
          <w:tcPr>
            <w:tcW w:w="2813" w:type="dxa"/>
          </w:tcPr>
          <w:p w14:paraId="00AB2DFC" w14:textId="77777777" w:rsidR="005837D8" w:rsidRPr="00926375" w:rsidRDefault="005837D8" w:rsidP="000430BD">
            <w:pPr>
              <w:pStyle w:val="ManualHeading2"/>
              <w:ind w:left="0" w:firstLine="0"/>
              <w:rPr>
                <w:b w:val="0"/>
                <w:bCs/>
                <w:noProof/>
              </w:rPr>
            </w:pPr>
            <w:r w:rsidRPr="00926375">
              <w:rPr>
                <w:rFonts w:eastAsia="Calibri"/>
                <w:b w:val="0"/>
                <w:bCs/>
                <w:noProof/>
                <w:sz w:val="22"/>
                <w:szCs w:val="22"/>
                <w:lang w:eastAsia="en-GB"/>
              </w:rPr>
              <w:t xml:space="preserve">Annual assessment to be supplied to the Commission by the source Member State.  </w:t>
            </w:r>
          </w:p>
        </w:tc>
      </w:tr>
      <w:tr w:rsidR="005837D8" w14:paraId="1491419C" w14:textId="77777777" w:rsidTr="000430BD">
        <w:tc>
          <w:tcPr>
            <w:tcW w:w="2811" w:type="dxa"/>
          </w:tcPr>
          <w:p w14:paraId="749DBCFD" w14:textId="77777777" w:rsidR="005837D8" w:rsidRPr="00926375" w:rsidRDefault="005837D8" w:rsidP="000430BD">
            <w:pPr>
              <w:pStyle w:val="ManualHeading2"/>
              <w:ind w:left="0" w:firstLine="0"/>
              <w:rPr>
                <w:b w:val="0"/>
                <w:bCs/>
                <w:noProof/>
              </w:rPr>
            </w:pPr>
            <w:r w:rsidRPr="00926375">
              <w:rPr>
                <w:rFonts w:eastAsia="Calibri"/>
                <w:b w:val="0"/>
                <w:bCs/>
                <w:noProof/>
                <w:sz w:val="22"/>
                <w:szCs w:val="22"/>
                <w:lang w:eastAsia="en-GB"/>
              </w:rPr>
              <w:t>Effect of the proposal on the</w:t>
            </w:r>
            <w:r w:rsidR="0082466B">
              <w:rPr>
                <w:rFonts w:eastAsia="Calibri"/>
                <w:b w:val="0"/>
                <w:bCs/>
                <w:noProof/>
                <w:sz w:val="22"/>
                <w:szCs w:val="22"/>
                <w:lang w:eastAsia="en-GB"/>
              </w:rPr>
              <w:t xml:space="preserve"> EU</w:t>
            </w:r>
            <w:r w:rsidRPr="00926375">
              <w:rPr>
                <w:rFonts w:eastAsia="Calibri"/>
                <w:b w:val="0"/>
                <w:bCs/>
                <w:noProof/>
                <w:sz w:val="22"/>
                <w:szCs w:val="22"/>
                <w:lang w:eastAsia="en-GB"/>
              </w:rPr>
              <w:t xml:space="preserve"> economy</w:t>
            </w:r>
          </w:p>
        </w:tc>
        <w:tc>
          <w:tcPr>
            <w:tcW w:w="2813" w:type="dxa"/>
          </w:tcPr>
          <w:p w14:paraId="626819DD" w14:textId="77777777" w:rsidR="005837D8" w:rsidRPr="00926375" w:rsidRDefault="005837D8" w:rsidP="000430BD">
            <w:pPr>
              <w:pStyle w:val="ManualHeading2"/>
              <w:ind w:left="0" w:firstLine="0"/>
              <w:rPr>
                <w:b w:val="0"/>
                <w:bCs/>
                <w:noProof/>
              </w:rPr>
            </w:pPr>
            <w:r w:rsidRPr="00926375">
              <w:rPr>
                <w:rFonts w:eastAsia="Calibri"/>
                <w:b w:val="0"/>
                <w:bCs/>
                <w:noProof/>
                <w:sz w:val="22"/>
                <w:szCs w:val="22"/>
                <w:lang w:eastAsia="en-GB"/>
              </w:rPr>
              <w:t xml:space="preserve">An assessment of the economic effects of </w:t>
            </w:r>
            <w:r w:rsidR="004C05BA">
              <w:rPr>
                <w:rFonts w:eastAsia="Calibri"/>
                <w:b w:val="0"/>
                <w:bCs/>
                <w:noProof/>
                <w:sz w:val="22"/>
                <w:szCs w:val="22"/>
                <w:lang w:eastAsia="en-GB"/>
              </w:rPr>
              <w:t>the proposal</w:t>
            </w:r>
            <w:r w:rsidRPr="00926375">
              <w:rPr>
                <w:rFonts w:eastAsia="Calibri"/>
                <w:b w:val="0"/>
                <w:bCs/>
                <w:noProof/>
                <w:sz w:val="22"/>
                <w:szCs w:val="22"/>
                <w:lang w:eastAsia="en-GB"/>
              </w:rPr>
              <w:t xml:space="preserve"> on GDP, investment, wages and employment. This assessment will include the data source and methodology used in the JRC studies in Annex 4 of th</w:t>
            </w:r>
            <w:r w:rsidR="0082466B">
              <w:rPr>
                <w:rFonts w:eastAsia="Calibri"/>
                <w:b w:val="0"/>
                <w:bCs/>
                <w:noProof/>
                <w:sz w:val="22"/>
                <w:szCs w:val="22"/>
                <w:lang w:eastAsia="en-GB"/>
              </w:rPr>
              <w:t>e</w:t>
            </w:r>
            <w:r w:rsidRPr="00926375">
              <w:rPr>
                <w:rFonts w:eastAsia="Calibri"/>
                <w:b w:val="0"/>
                <w:bCs/>
                <w:noProof/>
                <w:sz w:val="22"/>
                <w:szCs w:val="22"/>
                <w:lang w:eastAsia="en-GB"/>
              </w:rPr>
              <w:t xml:space="preserve"> impact assessment</w:t>
            </w:r>
            <w:r w:rsidR="0082466B">
              <w:rPr>
                <w:rFonts w:eastAsia="Calibri"/>
                <w:b w:val="0"/>
                <w:bCs/>
                <w:noProof/>
                <w:sz w:val="22"/>
                <w:szCs w:val="22"/>
                <w:lang w:eastAsia="en-GB"/>
              </w:rPr>
              <w:t xml:space="preserve"> accompanying the proposal</w:t>
            </w:r>
            <w:r w:rsidRPr="00926375">
              <w:rPr>
                <w:rFonts w:eastAsia="Calibri"/>
                <w:b w:val="0"/>
                <w:bCs/>
                <w:noProof/>
                <w:sz w:val="22"/>
                <w:szCs w:val="22"/>
                <w:lang w:eastAsia="en-GB"/>
              </w:rPr>
              <w:t xml:space="preserve">, including the CPIS security cross-border survey </w:t>
            </w:r>
          </w:p>
        </w:tc>
        <w:tc>
          <w:tcPr>
            <w:tcW w:w="2813" w:type="dxa"/>
          </w:tcPr>
          <w:p w14:paraId="4EB5191D" w14:textId="77777777" w:rsidR="005837D8" w:rsidRPr="00926375" w:rsidRDefault="005837D8" w:rsidP="000430BD">
            <w:pPr>
              <w:pStyle w:val="ManualHeading2"/>
              <w:ind w:left="0" w:firstLine="0"/>
              <w:rPr>
                <w:b w:val="0"/>
                <w:bCs/>
                <w:noProof/>
              </w:rPr>
            </w:pPr>
            <w:r w:rsidRPr="00926375">
              <w:rPr>
                <w:rFonts w:eastAsia="Calibri"/>
                <w:b w:val="0"/>
                <w:bCs/>
                <w:noProof/>
                <w:sz w:val="22"/>
                <w:szCs w:val="22"/>
                <w:lang w:eastAsia="en-GB"/>
              </w:rPr>
              <w:t xml:space="preserve">An annual assessment to be performed by the Commission </w:t>
            </w:r>
          </w:p>
        </w:tc>
      </w:tr>
    </w:tbl>
    <w:p w14:paraId="238EA982" w14:textId="77777777" w:rsidR="005837D8" w:rsidRDefault="005837D8" w:rsidP="005837D8">
      <w:pPr>
        <w:pStyle w:val="ManualHeading2"/>
        <w:rPr>
          <w:noProof/>
        </w:rPr>
      </w:pPr>
    </w:p>
    <w:p w14:paraId="33099DAB" w14:textId="77777777" w:rsidR="005837D8" w:rsidRDefault="005837D8" w:rsidP="005837D8">
      <w:pPr>
        <w:pStyle w:val="ManualHeading2"/>
        <w:rPr>
          <w:noProof/>
        </w:rPr>
      </w:pPr>
    </w:p>
    <w:p w14:paraId="12F280DD" w14:textId="77777777" w:rsidR="005837D8" w:rsidRDefault="005837D8" w:rsidP="005837D8">
      <w:pPr>
        <w:pStyle w:val="ManualHeading2"/>
        <w:rPr>
          <w:noProof/>
        </w:rPr>
      </w:pPr>
      <w:r>
        <w:rPr>
          <w:noProof/>
        </w:rPr>
        <w:tab/>
        <w:t>1.5.</w:t>
      </w:r>
      <w:r>
        <w:rPr>
          <w:noProof/>
        </w:rPr>
        <w:tab/>
        <w:t>Grounds for the proposal/initiative</w:t>
      </w:r>
    </w:p>
    <w:p w14:paraId="7C466CA8" w14:textId="77777777" w:rsidR="005837D8" w:rsidRDefault="005837D8" w:rsidP="005837D8">
      <w:pPr>
        <w:pStyle w:val="ManualHeading3"/>
        <w:rPr>
          <w:noProof/>
        </w:rPr>
      </w:pPr>
      <w:r>
        <w:rPr>
          <w:noProof/>
        </w:rPr>
        <w:tab/>
        <w:t>1.5.1.</w:t>
      </w:r>
      <w:r>
        <w:rPr>
          <w:noProof/>
        </w:rPr>
        <w:tab/>
        <w:t>Requirement(s) to be met in the short</w:t>
      </w:r>
      <w:r w:rsidR="0082466B">
        <w:rPr>
          <w:noProof/>
        </w:rPr>
        <w:t>-</w:t>
      </w:r>
      <w:r>
        <w:rPr>
          <w:noProof/>
        </w:rPr>
        <w:t xml:space="preserve"> or long</w:t>
      </w:r>
      <w:r w:rsidR="0082466B">
        <w:rPr>
          <w:noProof/>
        </w:rPr>
        <w:t>-</w:t>
      </w:r>
      <w:r>
        <w:rPr>
          <w:noProof/>
        </w:rPr>
        <w:t>term including a detailed timeline for roll-out of the implementation of the initiative</w:t>
      </w:r>
    </w:p>
    <w:p w14:paraId="34C36916" w14:textId="0FEF615C" w:rsidR="00CA3E5A" w:rsidRDefault="00294226" w:rsidP="00CA3E5A">
      <w:pPr>
        <w:pStyle w:val="Text1"/>
        <w:rPr>
          <w:noProof/>
        </w:rPr>
      </w:pPr>
      <w:r>
        <w:rPr>
          <w:noProof/>
        </w:rPr>
      </w:r>
      <w:r>
        <w:rPr>
          <w:noProof/>
        </w:rPr>
        <w:pict w14:anchorId="62A3F791">
          <v:shapetype id="_x0000_t202" coordsize="21600,21600" o:spt="202" path="m,l,21600r21600,l21600,xe">
            <v:stroke joinstyle="miter"/>
            <v:path gradientshapeok="t" o:connecttype="rect"/>
          </v:shapetype>
          <v:shape id="_x0000_s2058" type="#_x0000_t202" style="width:406.3pt;height:464.25pt;visibility:visible;mso-wrap-style:square;mso-left-percent:-10001;mso-top-percent:-10001;mso-position-horizontal:absolute;mso-position-horizontal-relative:char;mso-position-vertical:absolute;mso-position-vertical-relative:line;mso-left-percent:-10001;mso-top-percent:-10001;v-text-anchor:top">
            <v:textbox>
              <w:txbxContent>
                <w:p w14:paraId="4D111FA4" w14:textId="77777777" w:rsidR="00CA3E5A" w:rsidRDefault="00CA3E5A" w:rsidP="00CA3E5A">
                  <w:pPr>
                    <w:rPr>
                      <w:lang w:val="en-IE"/>
                    </w:rPr>
                  </w:pPr>
                  <w:r>
                    <w:rPr>
                      <w:lang w:val="en-IE"/>
                    </w:rPr>
                    <w:t xml:space="preserve">The Commission will </w:t>
                  </w:r>
                  <w:r w:rsidR="0082466B">
                    <w:rPr>
                      <w:lang w:val="en-IE"/>
                    </w:rPr>
                    <w:t>need</w:t>
                  </w:r>
                  <w:r>
                    <w:rPr>
                      <w:lang w:val="en-IE"/>
                    </w:rPr>
                    <w:t xml:space="preserve"> to undertake the following measures for the implementation of the initiative: </w:t>
                  </w:r>
                  <w:r w:rsidR="0082466B">
                    <w:rPr>
                      <w:lang w:val="en-IE"/>
                    </w:rPr>
                    <w:t xml:space="preserve">(1) </w:t>
                  </w:r>
                  <w:r>
                    <w:rPr>
                      <w:lang w:val="en-IE"/>
                    </w:rPr>
                    <w:t>provide technical support for</w:t>
                  </w:r>
                  <w:r w:rsidR="0082466B">
                    <w:rPr>
                      <w:lang w:val="en-IE"/>
                    </w:rPr>
                    <w:t xml:space="preserve"> implementation of</w:t>
                  </w:r>
                  <w:r>
                    <w:rPr>
                      <w:lang w:val="en-IE"/>
                    </w:rPr>
                    <w:t xml:space="preserve"> </w:t>
                  </w:r>
                  <w:r w:rsidR="0082466B">
                    <w:rPr>
                      <w:lang w:val="en-IE"/>
                    </w:rPr>
                    <w:t xml:space="preserve">the system to issue </w:t>
                  </w:r>
                  <w:r>
                    <w:rPr>
                      <w:lang w:val="en-IE"/>
                    </w:rPr>
                    <w:t xml:space="preserve">the </w:t>
                  </w:r>
                  <w:r w:rsidR="009B36B5">
                    <w:rPr>
                      <w:lang w:val="en-IE"/>
                    </w:rPr>
                    <w:t>eTRC</w:t>
                  </w:r>
                  <w:r>
                    <w:rPr>
                      <w:lang w:val="en-IE"/>
                    </w:rPr>
                    <w:t>; and</w:t>
                  </w:r>
                  <w:r w:rsidR="0082466B">
                    <w:rPr>
                      <w:lang w:val="en-IE"/>
                    </w:rPr>
                    <w:t xml:space="preserve"> (2)</w:t>
                  </w:r>
                  <w:r>
                    <w:rPr>
                      <w:lang w:val="en-IE"/>
                    </w:rPr>
                    <w:t xml:space="preserve"> provide the framework for the system of reporting </w:t>
                  </w:r>
                  <w:r w:rsidR="00197B06">
                    <w:rPr>
                      <w:lang w:val="en-IE"/>
                    </w:rPr>
                    <w:t xml:space="preserve">and request forms </w:t>
                  </w:r>
                  <w:r>
                    <w:rPr>
                      <w:lang w:val="en-IE"/>
                    </w:rPr>
                    <w:t>by financial intermediaries to Member States.</w:t>
                  </w:r>
                </w:p>
                <w:p w14:paraId="24F7A5EE" w14:textId="77777777" w:rsidR="00CA3E5A" w:rsidRDefault="00CA3E5A" w:rsidP="00CA3E5A">
                  <w:pPr>
                    <w:rPr>
                      <w:lang w:val="en-IE"/>
                    </w:rPr>
                  </w:pPr>
                  <w:r>
                    <w:rPr>
                      <w:lang w:val="en-IE"/>
                    </w:rPr>
                    <w:t xml:space="preserve">The </w:t>
                  </w:r>
                  <w:r w:rsidR="009B36B5">
                    <w:rPr>
                      <w:lang w:val="en-IE"/>
                    </w:rPr>
                    <w:t>eTRC</w:t>
                  </w:r>
                  <w:r>
                    <w:rPr>
                      <w:lang w:val="en-IE"/>
                    </w:rPr>
                    <w:t xml:space="preserve"> will be issued with an electronic seal and be in conformity with Regulation (EU) No 910/2014 of 23 July 2014 on electronic identification and trust services for electronic transactions in the internal market (eIDAS Regulation). </w:t>
                  </w:r>
                  <w:r w:rsidR="009B36B5">
                    <w:rPr>
                      <w:lang w:val="en-IE"/>
                    </w:rPr>
                    <w:t xml:space="preserve">At a later stage, </w:t>
                  </w:r>
                  <w:r>
                    <w:rPr>
                      <w:lang w:val="en-IE"/>
                    </w:rPr>
                    <w:t xml:space="preserve">Member States will consider introducing a verification process through verifiable credentials if the technical requirements of the </w:t>
                  </w:r>
                  <w:r w:rsidR="009B36B5">
                    <w:rPr>
                      <w:lang w:val="en-IE"/>
                    </w:rPr>
                    <w:t>EU</w:t>
                  </w:r>
                  <w:r>
                    <w:rPr>
                      <w:lang w:val="en-IE"/>
                    </w:rPr>
                    <w:t xml:space="preserve"> are met. It is expected that </w:t>
                  </w:r>
                  <w:r w:rsidR="003F2CA4">
                    <w:rPr>
                      <w:lang w:val="en-IE"/>
                    </w:rPr>
                    <w:t>the e</w:t>
                  </w:r>
                  <w:r>
                    <w:rPr>
                      <w:lang w:val="en-IE"/>
                    </w:rPr>
                    <w:t xml:space="preserve">TRC and the verification process will be in place within 18 months after the </w:t>
                  </w:r>
                  <w:r w:rsidR="00B76455">
                    <w:rPr>
                      <w:lang w:val="en-IE"/>
                    </w:rPr>
                    <w:t xml:space="preserve">Directive </w:t>
                  </w:r>
                  <w:r>
                    <w:rPr>
                      <w:lang w:val="en-IE"/>
                    </w:rPr>
                    <w:t xml:space="preserve">has been adopted. </w:t>
                  </w:r>
                </w:p>
                <w:p w14:paraId="2F4C694E" w14:textId="773A43D0" w:rsidR="00CA3E5A" w:rsidRPr="00022846" w:rsidRDefault="00CA3E5A" w:rsidP="00022846">
                  <w:pPr>
                    <w:rPr>
                      <w:lang w:val="en-IE"/>
                    </w:rPr>
                  </w:pPr>
                  <w:r>
                    <w:rPr>
                      <w:lang w:val="en-IE"/>
                    </w:rPr>
                    <w:t>The Commission will be required to offer the service</w:t>
                  </w:r>
                  <w:r w:rsidR="00022846">
                    <w:rPr>
                      <w:lang w:val="en-IE"/>
                    </w:rPr>
                    <w:t xml:space="preserve"> of a </w:t>
                  </w:r>
                  <w:r w:rsidR="00022846" w:rsidRPr="00022846">
                    <w:rPr>
                      <w:lang w:val="en-IE"/>
                    </w:rPr>
                    <w:t>registry of trusted issuers’ public keys (assuming public keys need to be changed periodically)</w:t>
                  </w:r>
                  <w:r w:rsidR="00022846">
                    <w:rPr>
                      <w:lang w:val="en-IE"/>
                    </w:rPr>
                    <w:t xml:space="preserve"> </w:t>
                  </w:r>
                  <w:r>
                    <w:rPr>
                      <w:lang w:val="en-IE"/>
                    </w:rPr>
                    <w:t xml:space="preserve">for the implementation of the </w:t>
                  </w:r>
                  <w:r w:rsidR="004F139E">
                    <w:rPr>
                      <w:lang w:val="en-IE"/>
                    </w:rPr>
                    <w:t>e</w:t>
                  </w:r>
                  <w:r>
                    <w:rPr>
                      <w:lang w:val="en-IE"/>
                    </w:rPr>
                    <w:t>TRC by Member States</w:t>
                  </w:r>
                  <w:r w:rsidR="00022846">
                    <w:rPr>
                      <w:lang w:val="en-IE"/>
                    </w:rPr>
                    <w:t xml:space="preserve">. </w:t>
                  </w:r>
                </w:p>
                <w:p w14:paraId="21709B65" w14:textId="77777777" w:rsidR="00CA3E5A" w:rsidRDefault="00CA3E5A" w:rsidP="00CA3E5A">
                  <w:pPr>
                    <w:rPr>
                      <w:lang w:val="en-IE"/>
                    </w:rPr>
                  </w:pPr>
                  <w:r>
                    <w:rPr>
                      <w:lang w:val="en-IE"/>
                    </w:rPr>
                    <w:t xml:space="preserve">Further, the Commission will support a Technical Committee regarding possible changes of a technical basis of the digital tax residence certificate or new technical developments. </w:t>
                  </w:r>
                </w:p>
                <w:p w14:paraId="78064529" w14:textId="77777777" w:rsidR="00CA3E5A" w:rsidRPr="00CA3E5A" w:rsidRDefault="00CA3E5A">
                  <w:pPr>
                    <w:rPr>
                      <w:lang w:val="en-IE"/>
                    </w:rPr>
                  </w:pPr>
                  <w:r>
                    <w:rPr>
                      <w:lang w:val="en-IE"/>
                    </w:rPr>
                    <w:t xml:space="preserve">Financial intermediaries that come within the scope of the Proposal will be required to report to Member States for dividend </w:t>
                  </w:r>
                  <w:r w:rsidR="00F64917">
                    <w:rPr>
                      <w:lang w:val="en-IE"/>
                    </w:rPr>
                    <w:t>paid on publicly traded share</w:t>
                  </w:r>
                  <w:r w:rsidR="00663361">
                    <w:rPr>
                      <w:lang w:val="en-IE"/>
                    </w:rPr>
                    <w:t>s</w:t>
                  </w:r>
                  <w:r w:rsidR="00F64917">
                    <w:rPr>
                      <w:lang w:val="en-IE"/>
                    </w:rPr>
                    <w:t xml:space="preserve"> and/or interests paid on publicly traded bonds</w:t>
                  </w:r>
                  <w:r>
                    <w:rPr>
                      <w:lang w:val="en-IE"/>
                    </w:rPr>
                    <w:t xml:space="preserve">. The information to be reported is laid down in the Proposal. The Commission is empowered to adopt </w:t>
                  </w:r>
                  <w:r w:rsidR="00F64917">
                    <w:rPr>
                      <w:lang w:val="en-IE"/>
                    </w:rPr>
                    <w:t xml:space="preserve">implementing </w:t>
                  </w:r>
                  <w:r>
                    <w:rPr>
                      <w:lang w:val="en-IE"/>
                    </w:rPr>
                    <w:t>acts concerning the content of the information to be reported. Further, through an implementing act, the Commission will lay down the standardised computerised forms based on xml or an equivalent format, including the linguistic arrangements, for the reporting of the information. The Commission will also specify requirements for the communication channels/protocols for the reporting systems that would be required for financial intermediaries to exchange information with the Member State tax authorities within the scope of the Proposal.</w:t>
                  </w:r>
                </w:p>
              </w:txbxContent>
            </v:textbox>
            <w10:anchorlock/>
          </v:shape>
        </w:pict>
      </w:r>
    </w:p>
    <w:p w14:paraId="47A334CD" w14:textId="77777777" w:rsidR="003F2CA4" w:rsidRDefault="003F2CA4" w:rsidP="005837D8">
      <w:pPr>
        <w:rPr>
          <w:noProof/>
        </w:rPr>
      </w:pPr>
    </w:p>
    <w:p w14:paraId="5B2D8512" w14:textId="77777777" w:rsidR="00052297" w:rsidRDefault="00052297" w:rsidP="00052297">
      <w:pPr>
        <w:pStyle w:val="ManualHeading3"/>
        <w:rPr>
          <w:noProof/>
        </w:rPr>
      </w:pPr>
      <w:r w:rsidRPr="00052297">
        <w:rPr>
          <w:noProof/>
        </w:rPr>
        <w:tab/>
        <w:t>1.5.2.</w:t>
      </w:r>
      <w:r w:rsidRPr="00052297">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w:t>
      </w:r>
      <w:r>
        <w:rPr>
          <w:noProof/>
        </w:rPr>
        <w:t>ave been otherwise created by Member States alone</w:t>
      </w:r>
    </w:p>
    <w:p w14:paraId="7C56F341" w14:textId="77777777" w:rsidR="00052297" w:rsidRPr="00052297" w:rsidRDefault="00294226" w:rsidP="005837D8">
      <w:pPr>
        <w:rPr>
          <w:i/>
          <w:noProof/>
        </w:rPr>
      </w:pPr>
      <w:r>
        <w:rPr>
          <w:noProof/>
        </w:rPr>
      </w:r>
      <w:r>
        <w:rPr>
          <w:noProof/>
        </w:rPr>
        <w:pict w14:anchorId="62CE8077">
          <v:shape id="Text Box 1" o:spid="_x0000_s2057" type="#_x0000_t202" style="width:409pt;height:189.45pt;visibility:visible;mso-left-percent:-10001;mso-top-percent:-10001;mso-position-horizontal:absolute;mso-position-horizontal-relative:char;mso-position-vertical:absolute;mso-position-vertical-relative:line;mso-left-percent:-10001;mso-top-percent:-10001">
            <v:textbox>
              <w:txbxContent>
                <w:p w14:paraId="1DA01A07" w14:textId="77777777" w:rsidR="00052297" w:rsidRPr="00370347" w:rsidRDefault="00052297" w:rsidP="00052297">
                  <w:r>
                    <w:t xml:space="preserve">In order to streamline </w:t>
                  </w:r>
                  <w:r w:rsidR="009B36B5">
                    <w:t>the excess WHT relief/</w:t>
                  </w:r>
                  <w:r>
                    <w:t xml:space="preserve"> refund process and ensure quicker WHT refund payments</w:t>
                  </w:r>
                  <w:r w:rsidRPr="00370347">
                    <w:t xml:space="preserve">, it </w:t>
                  </w:r>
                  <w:r>
                    <w:t>is</w:t>
                  </w:r>
                  <w:r w:rsidRPr="00370347">
                    <w:t xml:space="preserve"> preferable to avoid a patchwork of requirements, unilaterally implemented by </w:t>
                  </w:r>
                  <w:r w:rsidR="009B36B5">
                    <w:t>different</w:t>
                  </w:r>
                  <w:r w:rsidRPr="00370347">
                    <w:t xml:space="preserve"> Member States using different procedures.</w:t>
                  </w:r>
                </w:p>
                <w:p w14:paraId="221333E5" w14:textId="77777777" w:rsidR="00052297" w:rsidRPr="00E324B4" w:rsidRDefault="00052297" w:rsidP="00052297">
                  <w:r>
                    <w:t>By providing a standard reporting system</w:t>
                  </w:r>
                  <w:r w:rsidR="009B36B5">
                    <w:t xml:space="preserve"> common across the EU</w:t>
                  </w:r>
                  <w:r>
                    <w:t xml:space="preserve">, all Member States </w:t>
                  </w:r>
                  <w:r w:rsidR="002F7D2C">
                    <w:t xml:space="preserve">will </w:t>
                  </w:r>
                  <w:r>
                    <w:t>have ful</w:t>
                  </w:r>
                  <w:r w:rsidR="00495896">
                    <w:t>l</w:t>
                  </w:r>
                  <w:r>
                    <w:t xml:space="preserve"> transparency of </w:t>
                  </w:r>
                  <w:r w:rsidR="00495896">
                    <w:t xml:space="preserve">the </w:t>
                  </w:r>
                  <w:r>
                    <w:t>dividend</w:t>
                  </w:r>
                  <w:r w:rsidR="002F7D2C">
                    <w:t xml:space="preserve"> and interest</w:t>
                  </w:r>
                  <w:r w:rsidR="00495896">
                    <w:t xml:space="preserve"> payment chain.</w:t>
                  </w:r>
                  <w:r w:rsidR="002F7D2C">
                    <w:t xml:space="preserve"> </w:t>
                  </w:r>
                  <w:r>
                    <w:t xml:space="preserve"> which is not currently the case. The data obtained will help identify and prevent</w:t>
                  </w:r>
                  <w:r w:rsidR="002F7D2C">
                    <w:t xml:space="preserve"> </w:t>
                  </w:r>
                  <w:r>
                    <w:t xml:space="preserve">WHT </w:t>
                  </w:r>
                  <w:r w:rsidR="002F7D2C">
                    <w:t xml:space="preserve">relief/refund </w:t>
                  </w:r>
                  <w:r>
                    <w:t>abuse (Cum/Ex and Cum/Cum).</w:t>
                  </w:r>
                </w:p>
                <w:p w14:paraId="55BA9841" w14:textId="77777777" w:rsidR="00052297" w:rsidRDefault="00052297" w:rsidP="00052297">
                  <w:r>
                    <w:t>A</w:t>
                  </w:r>
                  <w:r w:rsidRPr="00E324B4">
                    <w:t xml:space="preserve"> solution at EU level</w:t>
                  </w:r>
                  <w:r>
                    <w:t xml:space="preserve"> that would digitalise and harmonise key features of</w:t>
                  </w:r>
                  <w:r w:rsidR="002F7D2C">
                    <w:t xml:space="preserve"> </w:t>
                  </w:r>
                  <w:r>
                    <w:t xml:space="preserve">WHT </w:t>
                  </w:r>
                  <w:r w:rsidR="002F7D2C">
                    <w:t xml:space="preserve">relief </w:t>
                  </w:r>
                  <w:r>
                    <w:t xml:space="preserve">procedures while respecting the principle of proportionality would be expected </w:t>
                  </w:r>
                  <w:r w:rsidRPr="00E324B4">
                    <w:t xml:space="preserve">to </w:t>
                  </w:r>
                  <w:r>
                    <w:t xml:space="preserve">result in </w:t>
                  </w:r>
                  <w:r w:rsidRPr="00E324B4">
                    <w:t xml:space="preserve">a lower administrative burden </w:t>
                  </w:r>
                  <w:r>
                    <w:t xml:space="preserve">and hence time and costs savings </w:t>
                  </w:r>
                  <w:r w:rsidRPr="00E324B4">
                    <w:t>for tax administrations, investors</w:t>
                  </w:r>
                  <w:r w:rsidR="006465AF">
                    <w:t xml:space="preserve"> and</w:t>
                  </w:r>
                  <w:r w:rsidRPr="00E324B4">
                    <w:t xml:space="preserve"> financial intermediaries. </w:t>
                  </w:r>
                </w:p>
              </w:txbxContent>
            </v:textbox>
            <w10:anchorlock/>
          </v:shape>
        </w:pict>
      </w:r>
    </w:p>
    <w:p w14:paraId="2EBEFE26" w14:textId="77777777" w:rsidR="00052297" w:rsidRPr="00052297" w:rsidRDefault="00052297" w:rsidP="005837D8">
      <w:pPr>
        <w:rPr>
          <w:noProof/>
        </w:rPr>
      </w:pPr>
      <w:r w:rsidRPr="00052297">
        <w:rPr>
          <w:noProof/>
        </w:rPr>
        <w:tab/>
      </w:r>
      <w:r w:rsidRPr="00052297">
        <w:rPr>
          <w:noProof/>
        </w:rPr>
        <w:tab/>
      </w:r>
    </w:p>
    <w:p w14:paraId="7028C341" w14:textId="77777777" w:rsidR="00052297" w:rsidRPr="005837D8" w:rsidRDefault="00052297" w:rsidP="005837D8">
      <w:pPr>
        <w:pStyle w:val="ManualHeading3"/>
        <w:rPr>
          <w:noProof/>
        </w:rPr>
      </w:pPr>
      <w:r w:rsidRPr="00052297">
        <w:rPr>
          <w:noProof/>
        </w:rPr>
        <w:tab/>
        <w:t>1.5.3.</w:t>
      </w:r>
      <w:r w:rsidRPr="00052297">
        <w:rPr>
          <w:noProof/>
        </w:rPr>
        <w:tab/>
        <w:t>Lessons learned from similar experiences in the past</w:t>
      </w:r>
    </w:p>
    <w:p w14:paraId="66D79171" w14:textId="77777777" w:rsidR="00052297" w:rsidRPr="00052297" w:rsidRDefault="00294226" w:rsidP="005837D8">
      <w:pPr>
        <w:rPr>
          <w:noProof/>
        </w:rPr>
      </w:pPr>
      <w:r>
        <w:rPr>
          <w:noProof/>
        </w:rPr>
      </w:r>
      <w:r>
        <w:rPr>
          <w:noProof/>
        </w:rPr>
        <w:pict w14:anchorId="10F05C3E">
          <v:shape id="Text Box 3" o:spid="_x0000_s2056" type="#_x0000_t202" style="width:405pt;height:135.6pt;visibility:visible;mso-left-percent:-10001;mso-top-percent:-10001;mso-position-horizontal:absolute;mso-position-horizontal-relative:char;mso-position-vertical:absolute;mso-position-vertical-relative:line;mso-left-percent:-10001;mso-top-percent:-10001">
            <v:textbox>
              <w:txbxContent>
                <w:p w14:paraId="4833F2C4" w14:textId="77777777" w:rsidR="00052297" w:rsidRDefault="00052297" w:rsidP="00052297">
                  <w:r>
                    <w:t xml:space="preserve">The initiative is a new mechanism at EU level. Only a very limited number of Member States have introduced </w:t>
                  </w:r>
                  <w:r w:rsidR="002F7D2C">
                    <w:t xml:space="preserve">to date </w:t>
                  </w:r>
                  <w:r>
                    <w:t xml:space="preserve">quick refund systems, and these have encountered problems in their implementation. </w:t>
                  </w:r>
                </w:p>
                <w:p w14:paraId="0BF53015" w14:textId="77777777" w:rsidR="00052297" w:rsidRDefault="00052297" w:rsidP="00052297">
                  <w:r>
                    <w:t xml:space="preserve">Currently, the reporting of information by financial intermediaries is limited and is usually only reported by the securities issuer/WHT agent in the financial chain </w:t>
                  </w:r>
                  <w:r w:rsidR="002F7D2C">
                    <w:t xml:space="preserve">and not </w:t>
                  </w:r>
                  <w:r>
                    <w:t xml:space="preserve">by other financial intermediaries. The initiative would provide for full transparency of dividend </w:t>
                  </w:r>
                  <w:r w:rsidR="002F7D2C">
                    <w:t xml:space="preserve">and interest </w:t>
                  </w:r>
                  <w:r>
                    <w:t>payments in the financial chain to identify and prevent</w:t>
                  </w:r>
                  <w:r w:rsidR="002F7D2C">
                    <w:t xml:space="preserve"> </w:t>
                  </w:r>
                  <w:r>
                    <w:t>WHT</w:t>
                  </w:r>
                  <w:r w:rsidR="002F7D2C">
                    <w:t xml:space="preserve"> relief/refund</w:t>
                  </w:r>
                  <w:r>
                    <w:t xml:space="preserve"> abuse.</w:t>
                  </w:r>
                </w:p>
              </w:txbxContent>
            </v:textbox>
            <w10:anchorlock/>
          </v:shape>
        </w:pict>
      </w:r>
      <w:r w:rsidR="00052297" w:rsidRPr="00052297">
        <w:rPr>
          <w:noProof/>
        </w:rPr>
        <w:tab/>
      </w:r>
    </w:p>
    <w:p w14:paraId="76F38D90" w14:textId="77777777" w:rsidR="00052297" w:rsidRPr="005837D8" w:rsidRDefault="00052297" w:rsidP="005837D8">
      <w:pPr>
        <w:pStyle w:val="ManualHeading3"/>
        <w:rPr>
          <w:noProof/>
        </w:rPr>
      </w:pPr>
      <w:r w:rsidRPr="00052297">
        <w:rPr>
          <w:noProof/>
        </w:rPr>
        <w:tab/>
        <w:t>1.5.4.</w:t>
      </w:r>
      <w:r w:rsidRPr="00052297">
        <w:rPr>
          <w:noProof/>
        </w:rPr>
        <w:tab/>
        <w:t>Compatibility with the Multiannual Financial Framework and possible synergies with other appropriate instruments</w:t>
      </w:r>
    </w:p>
    <w:p w14:paraId="788AD4A1" w14:textId="77777777" w:rsidR="00052297" w:rsidRPr="00A205C2" w:rsidRDefault="00294226" w:rsidP="005837D8">
      <w:pPr>
        <w:rPr>
          <w:noProof/>
        </w:rPr>
      </w:pPr>
      <w:r>
        <w:rPr>
          <w:noProof/>
          <w:color w:val="2B579A"/>
          <w:shd w:val="clear" w:color="auto" w:fill="E6E6E6"/>
        </w:rPr>
      </w:r>
      <w:r>
        <w:rPr>
          <w:noProof/>
          <w:color w:val="2B579A"/>
          <w:shd w:val="clear" w:color="auto" w:fill="E6E6E6"/>
        </w:rPr>
        <w:pict w14:anchorId="1A68136A">
          <v:shape id="Text Box 2" o:spid="_x0000_s2055" type="#_x0000_t202" style="width:407.7pt;height:111.5pt;visibility:visible;mso-left-percent:-10001;mso-top-percent:-10001;mso-position-horizontal:absolute;mso-position-horizontal-relative:char;mso-position-vertical:absolute;mso-position-vertical-relative:line;mso-left-percent:-10001;mso-top-percent:-10001">
            <v:textbox>
              <w:txbxContent>
                <w:p w14:paraId="043D287D" w14:textId="77777777" w:rsidR="00052297" w:rsidRPr="00052297" w:rsidRDefault="00052297" w:rsidP="00052297">
                  <w:pPr>
                    <w:pBdr>
                      <w:top w:val="nil"/>
                      <w:left w:val="nil"/>
                      <w:bottom w:val="nil"/>
                      <w:right w:val="nil"/>
                      <w:between w:val="nil"/>
                      <w:bar w:val="nil"/>
                    </w:pBdr>
                    <w:spacing w:before="0" w:after="240"/>
                    <w:rPr>
                      <w:rFonts w:eastAsia="Arial Unicode MS"/>
                    </w:rPr>
                  </w:pPr>
                  <w:r w:rsidRPr="00052297">
                    <w:rPr>
                      <w:rFonts w:eastAsia="Arial Unicode MS"/>
                    </w:rPr>
                    <w:t xml:space="preserve">This Directive </w:t>
                  </w:r>
                  <w:r w:rsidR="002F7D2C">
                    <w:rPr>
                      <w:rFonts w:eastAsia="Arial Unicode MS"/>
                    </w:rPr>
                    <w:t>reflects</w:t>
                  </w:r>
                  <w:r w:rsidRPr="00052297">
                    <w:rPr>
                      <w:rFonts w:eastAsia="Arial Unicode MS"/>
                    </w:rPr>
                    <w:t xml:space="preserve"> one of the actions laid down in the ´Action Plan for fair and simple taxation supporting the recovery strategy´ and the ´Capital Market Union Action Plan 2.0´. </w:t>
                  </w:r>
                </w:p>
                <w:p w14:paraId="39470619" w14:textId="77777777" w:rsidR="00052297" w:rsidRDefault="00052297" w:rsidP="00052297">
                  <w:pPr>
                    <w:pBdr>
                      <w:top w:val="nil"/>
                      <w:left w:val="nil"/>
                      <w:bottom w:val="nil"/>
                      <w:right w:val="nil"/>
                      <w:between w:val="nil"/>
                      <w:bar w:val="nil"/>
                    </w:pBdr>
                    <w:spacing w:before="0" w:after="240"/>
                    <w:rPr>
                      <w:rFonts w:eastAsia="Arial Unicode MS"/>
                    </w:rPr>
                  </w:pPr>
                  <w:r w:rsidRPr="00052297">
                    <w:rPr>
                      <w:rFonts w:eastAsia="Arial Unicode MS"/>
                    </w:rPr>
                    <w:t xml:space="preserve">Ensuring fair taxation requires preventing tax abuse. </w:t>
                  </w:r>
                  <w:r w:rsidRPr="00052297">
                    <w:t xml:space="preserve">The </w:t>
                  </w:r>
                  <w:r>
                    <w:t xml:space="preserve">Proposal will use </w:t>
                  </w:r>
                  <w:r w:rsidR="00CA3E5A">
                    <w:t>similar</w:t>
                  </w:r>
                  <w:r>
                    <w:t xml:space="preserve"> procedures, arrangements and IT tools already established or under development under the DAC.</w:t>
                  </w:r>
                </w:p>
              </w:txbxContent>
            </v:textbox>
            <w10:anchorlock/>
          </v:shape>
        </w:pict>
      </w:r>
    </w:p>
    <w:p w14:paraId="010C267E" w14:textId="77777777" w:rsidR="00052297" w:rsidRPr="00052297" w:rsidRDefault="00287904" w:rsidP="00287904">
      <w:pPr>
        <w:pStyle w:val="ManualHeading3"/>
        <w:rPr>
          <w:noProof/>
        </w:rPr>
      </w:pPr>
      <w:r>
        <w:rPr>
          <w:noProof/>
        </w:rPr>
        <w:tab/>
      </w:r>
      <w:r w:rsidR="00052297" w:rsidRPr="005837D8">
        <w:rPr>
          <w:noProof/>
        </w:rPr>
        <w:t>1.5.5.</w:t>
      </w:r>
      <w:r w:rsidR="00052297" w:rsidRPr="005837D8">
        <w:rPr>
          <w:noProof/>
        </w:rPr>
        <w:tab/>
        <w:t>Assessment of the different available financing options, including scope for redeployment</w:t>
      </w:r>
      <w:r>
        <w:rPr>
          <w:noProof/>
        </w:rPr>
        <w:tab/>
      </w:r>
      <w:r>
        <w:rPr>
          <w:noProof/>
        </w:rPr>
        <w:tab/>
      </w:r>
    </w:p>
    <w:p w14:paraId="4A2D68F2" w14:textId="77777777" w:rsidR="00052297" w:rsidRPr="00052297" w:rsidRDefault="00294226" w:rsidP="005837D8">
      <w:pPr>
        <w:rPr>
          <w:noProof/>
        </w:rPr>
      </w:pPr>
      <w:r>
        <w:rPr>
          <w:noProof/>
        </w:rPr>
      </w:r>
      <w:r>
        <w:rPr>
          <w:noProof/>
        </w:rPr>
        <w:pict w14:anchorId="75E2EE01">
          <v:shape id="_x0000_s2054" type="#_x0000_t202" style="width:408.8pt;height:131.45pt;visibility:visible;mso-left-percent:-10001;mso-top-percent:-10001;mso-position-horizontal:absolute;mso-position-horizontal-relative:char;mso-position-vertical:absolute;mso-position-vertical-relative:line;mso-left-percent:-10001;mso-top-percent:-10001">
            <v:textbox>
              <w:txbxContent>
                <w:p w14:paraId="4704F3E9" w14:textId="77777777" w:rsidR="00A41956" w:rsidRPr="003F2CA4" w:rsidRDefault="00F60C4D" w:rsidP="003F2CA4">
                  <w:pPr>
                    <w:pStyle w:val="ManualHeading2"/>
                    <w:ind w:left="720" w:firstLine="0"/>
                    <w:jc w:val="left"/>
                    <w:rPr>
                      <w:b w:val="0"/>
                      <w:bCs/>
                    </w:rPr>
                  </w:pPr>
                  <w:r w:rsidRPr="003F2CA4">
                    <w:rPr>
                      <w:b w:val="0"/>
                      <w:bCs/>
                    </w:rPr>
                    <w:t xml:space="preserve">The </w:t>
                  </w:r>
                  <w:r w:rsidR="00A41956" w:rsidRPr="003F2CA4">
                    <w:rPr>
                      <w:b w:val="0"/>
                      <w:bCs/>
                    </w:rPr>
                    <w:t>Commission</w:t>
                  </w:r>
                  <w:r w:rsidRPr="003F2CA4">
                    <w:rPr>
                      <w:b w:val="0"/>
                      <w:bCs/>
                    </w:rPr>
                    <w:t xml:space="preserve"> will </w:t>
                  </w:r>
                  <w:r w:rsidR="00A41956" w:rsidRPr="003F2CA4">
                    <w:rPr>
                      <w:b w:val="0"/>
                      <w:bCs/>
                    </w:rPr>
                    <w:t xml:space="preserve">assist Member States with the implementation of the </w:t>
                  </w:r>
                  <w:r w:rsidR="003F2CA4" w:rsidRPr="003F2CA4">
                    <w:rPr>
                      <w:b w:val="0"/>
                      <w:bCs/>
                    </w:rPr>
                    <w:t>e</w:t>
                  </w:r>
                  <w:r w:rsidR="00A41956" w:rsidRPr="003F2CA4">
                    <w:rPr>
                      <w:b w:val="0"/>
                      <w:bCs/>
                    </w:rPr>
                    <w:t>TRC</w:t>
                  </w:r>
                  <w:r w:rsidRPr="003F2CA4">
                    <w:rPr>
                      <w:b w:val="0"/>
                      <w:bCs/>
                    </w:rPr>
                    <w:t>, including on-going technical support</w:t>
                  </w:r>
                  <w:r w:rsidR="00052297" w:rsidRPr="003F2CA4">
                    <w:rPr>
                      <w:b w:val="0"/>
                      <w:bCs/>
                    </w:rPr>
                    <w:t xml:space="preserve">. In addition, ongoing support </w:t>
                  </w:r>
                  <w:r w:rsidR="00A41956" w:rsidRPr="003F2CA4">
                    <w:rPr>
                      <w:b w:val="0"/>
                      <w:bCs/>
                    </w:rPr>
                    <w:t xml:space="preserve">to Member States by the Commission </w:t>
                  </w:r>
                  <w:r w:rsidR="00052297" w:rsidRPr="003F2CA4">
                    <w:rPr>
                      <w:b w:val="0"/>
                      <w:bCs/>
                    </w:rPr>
                    <w:t xml:space="preserve">is needed for </w:t>
                  </w:r>
                  <w:r w:rsidR="00A41956" w:rsidRPr="003F2CA4">
                    <w:rPr>
                      <w:b w:val="0"/>
                      <w:bCs/>
                    </w:rPr>
                    <w:t>implementing</w:t>
                  </w:r>
                  <w:r w:rsidRPr="003F2CA4">
                    <w:rPr>
                      <w:b w:val="0"/>
                      <w:bCs/>
                    </w:rPr>
                    <w:t xml:space="preserve"> and monitoring</w:t>
                  </w:r>
                  <w:r w:rsidR="00A41956" w:rsidRPr="003F2CA4">
                    <w:rPr>
                      <w:b w:val="0"/>
                      <w:bCs/>
                    </w:rPr>
                    <w:t xml:space="preserve"> the framework for</w:t>
                  </w:r>
                  <w:r w:rsidR="00052297" w:rsidRPr="003F2CA4">
                    <w:rPr>
                      <w:b w:val="0"/>
                      <w:bCs/>
                    </w:rPr>
                    <w:t xml:space="preserve"> the reporting arrangements for financial intermediaries. </w:t>
                  </w:r>
                  <w:r w:rsidR="002F7D2C" w:rsidRPr="00691298">
                    <w:rPr>
                      <w:b w:val="0"/>
                      <w:bCs/>
                    </w:rPr>
                    <w:t xml:space="preserve">Relevant </w:t>
                  </w:r>
                  <w:r w:rsidR="00A41956" w:rsidRPr="00691298">
                    <w:rPr>
                      <w:b w:val="0"/>
                      <w:bCs/>
                    </w:rPr>
                    <w:t xml:space="preserve">costs will be </w:t>
                  </w:r>
                  <w:r w:rsidRPr="00691298">
                    <w:rPr>
                      <w:b w:val="0"/>
                      <w:bCs/>
                    </w:rPr>
                    <w:t>financed by the EU budget.</w:t>
                  </w:r>
                </w:p>
                <w:p w14:paraId="240DFF33" w14:textId="77777777" w:rsidR="00052297" w:rsidRPr="003F2CA4" w:rsidRDefault="00052297" w:rsidP="003F2CA4">
                  <w:pPr>
                    <w:pStyle w:val="ManualHeading2"/>
                    <w:ind w:left="720" w:firstLine="0"/>
                    <w:jc w:val="left"/>
                    <w:rPr>
                      <w:b w:val="0"/>
                      <w:bCs/>
                    </w:rPr>
                  </w:pPr>
                  <w:r w:rsidRPr="003F2CA4">
                    <w:rPr>
                      <w:b w:val="0"/>
                      <w:bCs/>
                    </w:rPr>
                    <w:t>Otherwise, it will be for Member States to implement the measures envisaged.</w:t>
                  </w:r>
                </w:p>
              </w:txbxContent>
            </v:textbox>
            <w10:anchorlock/>
          </v:shape>
        </w:pict>
      </w:r>
      <w:r w:rsidR="00052297" w:rsidRPr="00052297">
        <w:rPr>
          <w:noProof/>
        </w:rPr>
        <w:tab/>
      </w:r>
    </w:p>
    <w:p w14:paraId="4B1FD618" w14:textId="77777777" w:rsidR="00052297" w:rsidRPr="00052297" w:rsidRDefault="00052297" w:rsidP="005837D8">
      <w:pPr>
        <w:rPr>
          <w:noProof/>
        </w:rPr>
      </w:pPr>
    </w:p>
    <w:p w14:paraId="1F653548" w14:textId="77777777" w:rsidR="00052297" w:rsidRPr="00052297" w:rsidRDefault="00052297" w:rsidP="005837D8">
      <w:pPr>
        <w:pStyle w:val="ManualHeading2"/>
        <w:rPr>
          <w:b w:val="0"/>
          <w:noProof/>
        </w:rPr>
      </w:pPr>
      <w:r w:rsidRPr="00052297">
        <w:rPr>
          <w:noProof/>
        </w:rPr>
        <w:tab/>
        <w:t>1.6.</w:t>
      </w:r>
      <w:r w:rsidRPr="00052297">
        <w:rPr>
          <w:noProof/>
        </w:rPr>
        <w:tab/>
        <w:t>Duration and financial impact of the proposal/initiative</w:t>
      </w:r>
    </w:p>
    <w:p w14:paraId="08B9C77A" w14:textId="77777777" w:rsidR="00052297" w:rsidRPr="00052297" w:rsidRDefault="00052297" w:rsidP="005837D8">
      <w:pPr>
        <w:rPr>
          <w:noProof/>
        </w:rPr>
      </w:pPr>
      <w:r w:rsidRPr="00052297">
        <w:rPr>
          <w:noProof/>
        </w:rPr>
        <w:tab/>
      </w:r>
    </w:p>
    <w:p w14:paraId="5A264F43" w14:textId="77777777" w:rsidR="00052297" w:rsidRPr="00052297" w:rsidRDefault="00052297" w:rsidP="00052297">
      <w:pPr>
        <w:tabs>
          <w:tab w:val="num" w:pos="1134"/>
        </w:tabs>
        <w:ind w:left="1134" w:hanging="283"/>
        <w:rPr>
          <w:rFonts w:eastAsia="Times New Roman"/>
          <w:noProof/>
          <w:lang w:eastAsia="de-DE"/>
        </w:rPr>
      </w:pPr>
      <w:r w:rsidRPr="005B3EB2">
        <w:rPr>
          <w:rFonts w:ascii="Wingdings" w:hAnsi="Wingdings"/>
          <w:noProof/>
        </w:rPr>
        <w:sym w:font="Wingdings" w:char="F0A8"/>
      </w:r>
      <w:r w:rsidRPr="00052297">
        <w:rPr>
          <w:rFonts w:eastAsia="Times New Roman"/>
          <w:noProof/>
          <w:lang w:eastAsia="de-DE"/>
        </w:rPr>
        <w:tab/>
      </w:r>
      <w:r w:rsidRPr="00052297">
        <w:rPr>
          <w:rFonts w:eastAsia="Times New Roman"/>
          <w:b/>
          <w:bCs/>
          <w:noProof/>
          <w:lang w:eastAsia="de-DE"/>
        </w:rPr>
        <w:t>limited duration</w:t>
      </w:r>
      <w:r w:rsidRPr="00052297">
        <w:rPr>
          <w:rFonts w:eastAsia="Times New Roman"/>
          <w:noProof/>
          <w:lang w:eastAsia="de-DE"/>
        </w:rPr>
        <w:t xml:space="preserve"> </w:t>
      </w:r>
    </w:p>
    <w:p w14:paraId="0ABBA32C" w14:textId="77777777" w:rsidR="00052297" w:rsidRPr="00052297" w:rsidRDefault="00052297" w:rsidP="00052297">
      <w:pPr>
        <w:tabs>
          <w:tab w:val="num" w:pos="1134"/>
        </w:tabs>
        <w:ind w:left="1134" w:hanging="283"/>
        <w:rPr>
          <w:rFonts w:eastAsia="Times New Roman"/>
          <w:noProof/>
          <w:lang w:eastAsia="de-DE"/>
        </w:rPr>
      </w:pPr>
      <w:r w:rsidRPr="005B3EB2">
        <w:rPr>
          <w:rFonts w:ascii="Wingdings" w:hAnsi="Wingdings"/>
          <w:noProof/>
        </w:rPr>
        <w:sym w:font="Wingdings" w:char="F0A8"/>
      </w:r>
      <w:r w:rsidRPr="00052297">
        <w:rPr>
          <w:rFonts w:eastAsia="Times New Roman"/>
          <w:noProof/>
          <w:lang w:eastAsia="de-DE"/>
        </w:rPr>
        <w:tab/>
        <w:t xml:space="preserve">in effect from [DD/MM]YYYY to [DD/MM]YYYY </w:t>
      </w:r>
    </w:p>
    <w:p w14:paraId="5B6F7CB0" w14:textId="77777777" w:rsidR="00052297" w:rsidRPr="00052297" w:rsidRDefault="00052297" w:rsidP="00052297">
      <w:pPr>
        <w:tabs>
          <w:tab w:val="num" w:pos="1134"/>
        </w:tabs>
        <w:ind w:left="1134" w:hanging="283"/>
        <w:rPr>
          <w:rFonts w:eastAsia="Times New Roman"/>
          <w:noProof/>
          <w:lang w:eastAsia="de-DE"/>
        </w:rPr>
      </w:pPr>
      <w:r w:rsidRPr="005B3EB2">
        <w:rPr>
          <w:rFonts w:ascii="Wingdings" w:hAnsi="Wingdings"/>
          <w:noProof/>
        </w:rPr>
        <w:sym w:font="Wingdings" w:char="F0A8"/>
      </w:r>
      <w:r w:rsidRPr="00052297">
        <w:rPr>
          <w:rFonts w:eastAsia="Times New Roman"/>
          <w:noProof/>
          <w:lang w:eastAsia="de-DE"/>
        </w:rPr>
        <w:tab/>
        <w:t xml:space="preserve">Financial impact from YYYY to YYYY for commitment appropriations and from YYYY to YYYY for payment appropriations. </w:t>
      </w:r>
    </w:p>
    <w:p w14:paraId="5F0F647F" w14:textId="77777777" w:rsidR="00052297" w:rsidRPr="00052297" w:rsidRDefault="00052297" w:rsidP="002C4E11">
      <w:pPr>
        <w:pStyle w:val="Tiret1"/>
        <w:rPr>
          <w:noProof/>
        </w:rPr>
      </w:pPr>
      <w:r w:rsidRPr="005837D8">
        <w:rPr>
          <w:b/>
          <w:bCs/>
          <w:noProof/>
        </w:rPr>
        <w:t>X</w:t>
      </w:r>
      <w:r w:rsidRPr="005837D8">
        <w:rPr>
          <w:b/>
          <w:bCs/>
          <w:i/>
          <w:noProof/>
        </w:rPr>
        <w:t xml:space="preserve"> </w:t>
      </w:r>
      <w:r w:rsidRPr="005837D8">
        <w:rPr>
          <w:b/>
          <w:bCs/>
          <w:noProof/>
        </w:rPr>
        <w:t>unlimited duration</w:t>
      </w:r>
    </w:p>
    <w:p w14:paraId="6C8F3FF0" w14:textId="77777777" w:rsidR="00052297" w:rsidRPr="00052297" w:rsidRDefault="00052297" w:rsidP="00052297">
      <w:pPr>
        <w:tabs>
          <w:tab w:val="num" w:pos="1134"/>
        </w:tabs>
        <w:ind w:left="1134" w:hanging="283"/>
        <w:rPr>
          <w:rFonts w:eastAsia="Times New Roman"/>
          <w:noProof/>
          <w:lang w:eastAsia="de-DE"/>
        </w:rPr>
      </w:pPr>
      <w:r w:rsidRPr="00052297">
        <w:rPr>
          <w:rFonts w:eastAsia="Times New Roman"/>
          <w:noProof/>
          <w:lang w:eastAsia="de-DE"/>
        </w:rPr>
        <w:t>Implementation with a start-up period from YYYY to YYYY,</w:t>
      </w:r>
    </w:p>
    <w:p w14:paraId="4E94D84B" w14:textId="77777777" w:rsidR="00052297" w:rsidRPr="00052297" w:rsidRDefault="00052297" w:rsidP="00052297">
      <w:pPr>
        <w:tabs>
          <w:tab w:val="num" w:pos="1134"/>
        </w:tabs>
        <w:ind w:left="1134" w:hanging="283"/>
        <w:rPr>
          <w:rFonts w:eastAsia="Times New Roman"/>
          <w:noProof/>
          <w:lang w:eastAsia="de-DE"/>
        </w:rPr>
      </w:pPr>
      <w:r w:rsidRPr="00052297">
        <w:rPr>
          <w:rFonts w:eastAsia="Times New Roman"/>
          <w:noProof/>
          <w:lang w:eastAsia="de-DE"/>
        </w:rPr>
        <w:t>followed by full-scale operation.</w:t>
      </w:r>
    </w:p>
    <w:p w14:paraId="3F3A83B2" w14:textId="77777777" w:rsidR="00052297" w:rsidRPr="00052297" w:rsidRDefault="00052297" w:rsidP="00052297">
      <w:pPr>
        <w:ind w:left="851"/>
        <w:rPr>
          <w:rFonts w:eastAsia="Times New Roman"/>
          <w:noProof/>
          <w:lang w:eastAsia="de-DE"/>
        </w:rPr>
      </w:pPr>
    </w:p>
    <w:p w14:paraId="42DB2452" w14:textId="77777777" w:rsidR="00052297" w:rsidRPr="005837D8" w:rsidRDefault="00287904" w:rsidP="00287904">
      <w:pPr>
        <w:pStyle w:val="ManualHeading2"/>
        <w:rPr>
          <w:noProof/>
        </w:rPr>
      </w:pPr>
      <w:r>
        <w:rPr>
          <w:noProof/>
        </w:rPr>
        <w:tab/>
      </w:r>
      <w:r w:rsidR="00052297" w:rsidRPr="005837D8">
        <w:rPr>
          <w:noProof/>
        </w:rPr>
        <w:t>1.7.</w:t>
      </w:r>
      <w:r w:rsidR="00052297" w:rsidRPr="005837D8">
        <w:rPr>
          <w:noProof/>
        </w:rPr>
        <w:tab/>
      </w:r>
      <w:bookmarkStart w:id="11" w:name="_Toc514938040"/>
      <w:bookmarkStart w:id="12" w:name="_Toc520485041"/>
      <w:r w:rsidR="00052297" w:rsidRPr="005837D8">
        <w:rPr>
          <w:noProof/>
        </w:rPr>
        <w:t>Management mode(s) planned</w:t>
      </w:r>
      <w:bookmarkEnd w:id="11"/>
      <w:bookmarkEnd w:id="12"/>
      <w:r w:rsidR="00052297" w:rsidRPr="005837D8">
        <w:rPr>
          <w:noProof/>
        </w:rPr>
        <w:t xml:space="preserve"> </w:t>
      </w:r>
    </w:p>
    <w:p w14:paraId="6C0D43C4" w14:textId="77777777" w:rsidR="00052297" w:rsidRPr="00052297" w:rsidRDefault="00052297" w:rsidP="002C4E11">
      <w:pPr>
        <w:pStyle w:val="Tiret1"/>
        <w:rPr>
          <w:noProof/>
        </w:rPr>
      </w:pPr>
      <w:r w:rsidRPr="005837D8">
        <w:rPr>
          <w:b/>
          <w:noProof/>
        </w:rPr>
        <w:t>X</w:t>
      </w:r>
      <w:r w:rsidRPr="005837D8">
        <w:rPr>
          <w:i/>
          <w:noProof/>
        </w:rPr>
        <w:t xml:space="preserve"> </w:t>
      </w:r>
      <w:r w:rsidRPr="005837D8">
        <w:rPr>
          <w:b/>
          <w:noProof/>
        </w:rPr>
        <w:t>Direct management</w:t>
      </w:r>
      <w:r w:rsidRPr="00052297">
        <w:rPr>
          <w:noProof/>
        </w:rPr>
        <w:t xml:space="preserve"> by the Commission</w:t>
      </w:r>
    </w:p>
    <w:p w14:paraId="53ED9835" w14:textId="77777777" w:rsidR="00052297" w:rsidRPr="00052297" w:rsidRDefault="00052297" w:rsidP="00052297">
      <w:pPr>
        <w:tabs>
          <w:tab w:val="num" w:pos="1134"/>
        </w:tabs>
        <w:ind w:left="1134" w:hanging="283"/>
        <w:rPr>
          <w:rFonts w:eastAsia="Times New Roman" w:cs="EUAlbertina"/>
          <w:noProof/>
          <w:lang w:eastAsia="de-DE"/>
        </w:rPr>
      </w:pPr>
      <w:r w:rsidRPr="00052297">
        <w:rPr>
          <w:rFonts w:eastAsia="Times New Roman"/>
          <w:b/>
          <w:noProof/>
          <w:lang w:eastAsia="de-DE"/>
        </w:rPr>
        <w:t>X</w:t>
      </w:r>
      <w:r w:rsidRPr="00052297">
        <w:rPr>
          <w:rFonts w:eastAsia="Times New Roman"/>
          <w:noProof/>
          <w:lang w:eastAsia="de-DE"/>
        </w:rPr>
        <w:t xml:space="preserve"> by its departments, including by its staff in the Union delegations; </w:t>
      </w:r>
    </w:p>
    <w:p w14:paraId="5CF51992" w14:textId="77777777" w:rsidR="00052297" w:rsidRPr="00052297" w:rsidRDefault="00052297" w:rsidP="00052297">
      <w:pPr>
        <w:tabs>
          <w:tab w:val="num" w:pos="1134"/>
        </w:tabs>
        <w:ind w:left="1134" w:hanging="283"/>
        <w:rPr>
          <w:rFonts w:eastAsia="Times New Roman"/>
          <w:noProof/>
          <w:lang w:eastAsia="de-DE"/>
        </w:rPr>
      </w:pPr>
      <w:r w:rsidRPr="005B3EB2">
        <w:rPr>
          <w:rFonts w:ascii="Wingdings" w:hAnsi="Wingdings"/>
          <w:noProof/>
        </w:rPr>
        <w:sym w:font="Wingdings" w:char="F0A8"/>
      </w:r>
      <w:r w:rsidRPr="00052297">
        <w:rPr>
          <w:rFonts w:eastAsia="Times New Roman"/>
          <w:noProof/>
          <w:lang w:eastAsia="de-DE"/>
        </w:rPr>
        <w:tab/>
        <w:t xml:space="preserve">by the executive agencies </w:t>
      </w:r>
    </w:p>
    <w:p w14:paraId="41E2DA98" w14:textId="77777777" w:rsidR="00052297" w:rsidRPr="00052297" w:rsidRDefault="00052297" w:rsidP="002C4E11">
      <w:pPr>
        <w:pStyle w:val="Tiret1"/>
        <w:rPr>
          <w:noProof/>
        </w:rPr>
      </w:pPr>
      <w:r w:rsidRPr="005B3EB2">
        <w:rPr>
          <w:rFonts w:ascii="Wingdings" w:hAnsi="Wingdings"/>
          <w:noProof/>
        </w:rPr>
        <w:sym w:font="Wingdings" w:char="F0A8"/>
      </w:r>
      <w:r w:rsidRPr="005837D8">
        <w:rPr>
          <w:b/>
          <w:i/>
          <w:noProof/>
        </w:rPr>
        <w:t xml:space="preserve"> </w:t>
      </w:r>
      <w:r w:rsidRPr="005837D8">
        <w:rPr>
          <w:b/>
          <w:noProof/>
        </w:rPr>
        <w:t>Shared management</w:t>
      </w:r>
      <w:r w:rsidRPr="00052297">
        <w:rPr>
          <w:noProof/>
        </w:rPr>
        <w:t xml:space="preserve"> with the Member States </w:t>
      </w:r>
    </w:p>
    <w:p w14:paraId="36E8C9EB" w14:textId="77777777" w:rsidR="00052297" w:rsidRPr="00052297" w:rsidRDefault="00052297" w:rsidP="002C4E11">
      <w:pPr>
        <w:pStyle w:val="Tiret1"/>
        <w:rPr>
          <w:noProof/>
        </w:rPr>
      </w:pPr>
      <w:r w:rsidRPr="005B3EB2">
        <w:rPr>
          <w:rFonts w:ascii="Wingdings" w:hAnsi="Wingdings"/>
          <w:noProof/>
        </w:rPr>
        <w:sym w:font="Wingdings" w:char="F0A8"/>
      </w:r>
      <w:r w:rsidRPr="005837D8">
        <w:rPr>
          <w:i/>
          <w:noProof/>
        </w:rPr>
        <w:t xml:space="preserve"> </w:t>
      </w:r>
      <w:r w:rsidRPr="005837D8">
        <w:rPr>
          <w:b/>
          <w:noProof/>
        </w:rPr>
        <w:t>Indirect management</w:t>
      </w:r>
      <w:r w:rsidRPr="00052297">
        <w:rPr>
          <w:noProof/>
        </w:rPr>
        <w:t xml:space="preserve"> by entrusting budget implementation tasks to:</w:t>
      </w:r>
    </w:p>
    <w:p w14:paraId="1B9707E7" w14:textId="77777777" w:rsidR="00052297" w:rsidRPr="00052297" w:rsidRDefault="00052297" w:rsidP="00052297">
      <w:pPr>
        <w:tabs>
          <w:tab w:val="num" w:pos="1134"/>
        </w:tabs>
        <w:ind w:left="1134" w:hanging="283"/>
        <w:rPr>
          <w:rFonts w:eastAsia="Times New Roman"/>
          <w:noProof/>
          <w:lang w:eastAsia="de-DE"/>
        </w:rPr>
      </w:pPr>
      <w:r w:rsidRPr="005B3EB2">
        <w:rPr>
          <w:rFonts w:ascii="Wingdings" w:hAnsi="Wingdings"/>
          <w:noProof/>
        </w:rPr>
        <w:sym w:font="Wingdings" w:char="F0A8"/>
      </w:r>
      <w:r w:rsidRPr="00052297">
        <w:rPr>
          <w:rFonts w:eastAsia="Times New Roman"/>
          <w:noProof/>
          <w:lang w:eastAsia="de-DE"/>
        </w:rPr>
        <w:t xml:space="preserve"> third countries or the bodies they have designated;</w:t>
      </w:r>
    </w:p>
    <w:p w14:paraId="0C16DFFE" w14:textId="77777777" w:rsidR="00052297" w:rsidRPr="00052297" w:rsidRDefault="00052297" w:rsidP="00052297">
      <w:pPr>
        <w:tabs>
          <w:tab w:val="num" w:pos="1134"/>
        </w:tabs>
        <w:ind w:left="1134" w:hanging="283"/>
        <w:rPr>
          <w:rFonts w:eastAsia="Times New Roman"/>
          <w:noProof/>
          <w:lang w:eastAsia="de-DE"/>
        </w:rPr>
      </w:pPr>
      <w:r w:rsidRPr="005B3EB2">
        <w:rPr>
          <w:rFonts w:ascii="Wingdings" w:hAnsi="Wingdings"/>
          <w:noProof/>
        </w:rPr>
        <w:sym w:font="Wingdings" w:char="F0A8"/>
      </w:r>
      <w:r w:rsidRPr="00052297">
        <w:rPr>
          <w:rFonts w:eastAsia="Times New Roman"/>
          <w:noProof/>
          <w:lang w:eastAsia="de-DE"/>
        </w:rPr>
        <w:t xml:space="preserve"> international organisations and their agencies (to be specified);</w:t>
      </w:r>
    </w:p>
    <w:p w14:paraId="649BDA27" w14:textId="77777777" w:rsidR="00052297" w:rsidRPr="00052297" w:rsidRDefault="00052297" w:rsidP="00052297">
      <w:pPr>
        <w:tabs>
          <w:tab w:val="num" w:pos="1134"/>
        </w:tabs>
        <w:ind w:left="1134" w:hanging="283"/>
        <w:rPr>
          <w:rFonts w:eastAsia="Times New Roman"/>
          <w:noProof/>
          <w:lang w:eastAsia="de-DE"/>
        </w:rPr>
      </w:pPr>
      <w:r w:rsidRPr="005B3EB2">
        <w:rPr>
          <w:rFonts w:ascii="Wingdings" w:hAnsi="Wingdings"/>
          <w:noProof/>
        </w:rPr>
        <w:sym w:font="Wingdings" w:char="F0A8"/>
      </w:r>
      <w:r w:rsidRPr="00052297">
        <w:rPr>
          <w:rFonts w:eastAsia="Times New Roman"/>
          <w:noProof/>
          <w:lang w:eastAsia="de-DE"/>
        </w:rPr>
        <w:t xml:space="preserve"> the EIB and the European Investment Fund;</w:t>
      </w:r>
    </w:p>
    <w:p w14:paraId="4A0D03ED" w14:textId="77777777" w:rsidR="00052297" w:rsidRPr="00052297" w:rsidRDefault="00052297" w:rsidP="00052297">
      <w:pPr>
        <w:tabs>
          <w:tab w:val="num" w:pos="1134"/>
        </w:tabs>
        <w:ind w:left="1134" w:hanging="283"/>
        <w:rPr>
          <w:rFonts w:eastAsia="Times New Roman"/>
          <w:noProof/>
          <w:lang w:eastAsia="de-DE"/>
        </w:rPr>
      </w:pPr>
      <w:r w:rsidRPr="005B3EB2">
        <w:rPr>
          <w:rFonts w:ascii="Wingdings" w:hAnsi="Wingdings"/>
          <w:noProof/>
        </w:rPr>
        <w:sym w:font="Wingdings" w:char="F0A8"/>
      </w:r>
      <w:r w:rsidRPr="00052297">
        <w:rPr>
          <w:rFonts w:eastAsia="Times New Roman"/>
          <w:noProof/>
          <w:lang w:eastAsia="de-DE"/>
        </w:rPr>
        <w:t xml:space="preserve"> bodies referred to in Articles 70 and 71 of the Financial Regulation;</w:t>
      </w:r>
    </w:p>
    <w:p w14:paraId="705C7B4E" w14:textId="77777777" w:rsidR="00052297" w:rsidRPr="00052297" w:rsidRDefault="00052297" w:rsidP="00052297">
      <w:pPr>
        <w:tabs>
          <w:tab w:val="num" w:pos="1134"/>
        </w:tabs>
        <w:ind w:left="1134" w:hanging="283"/>
        <w:rPr>
          <w:rFonts w:eastAsia="Times New Roman"/>
          <w:noProof/>
          <w:lang w:eastAsia="de-DE"/>
        </w:rPr>
      </w:pPr>
      <w:r w:rsidRPr="005B3EB2">
        <w:rPr>
          <w:rFonts w:ascii="Wingdings" w:hAnsi="Wingdings"/>
          <w:noProof/>
        </w:rPr>
        <w:sym w:font="Wingdings" w:char="F0A8"/>
      </w:r>
      <w:r w:rsidRPr="00052297">
        <w:rPr>
          <w:rFonts w:eastAsia="Times New Roman"/>
          <w:noProof/>
          <w:lang w:eastAsia="de-DE"/>
        </w:rPr>
        <w:t xml:space="preserve"> public law bodies;</w:t>
      </w:r>
    </w:p>
    <w:p w14:paraId="26F341DE" w14:textId="77777777" w:rsidR="00052297" w:rsidRPr="00052297" w:rsidRDefault="00052297" w:rsidP="00052297">
      <w:pPr>
        <w:tabs>
          <w:tab w:val="num" w:pos="1134"/>
        </w:tabs>
        <w:ind w:left="1134" w:hanging="283"/>
        <w:rPr>
          <w:rFonts w:eastAsia="Times New Roman"/>
          <w:noProof/>
          <w:lang w:eastAsia="de-DE"/>
        </w:rPr>
      </w:pPr>
      <w:r w:rsidRPr="005B3EB2">
        <w:rPr>
          <w:rFonts w:ascii="Wingdings" w:hAnsi="Wingdings"/>
          <w:noProof/>
        </w:rPr>
        <w:sym w:font="Wingdings" w:char="F0A8"/>
      </w:r>
      <w:r w:rsidRPr="00052297">
        <w:rPr>
          <w:rFonts w:eastAsia="Times New Roman"/>
          <w:noProof/>
          <w:lang w:eastAsia="de-DE"/>
        </w:rPr>
        <w:t xml:space="preserve"> bodies governed by private law with a public service mission to the extent that they are provided with adequate financial guarantees;</w:t>
      </w:r>
    </w:p>
    <w:p w14:paraId="5D32B617" w14:textId="77777777" w:rsidR="00052297" w:rsidRPr="00052297" w:rsidRDefault="00052297" w:rsidP="00052297">
      <w:pPr>
        <w:tabs>
          <w:tab w:val="num" w:pos="1134"/>
        </w:tabs>
        <w:ind w:left="1134" w:hanging="283"/>
        <w:rPr>
          <w:rFonts w:eastAsia="Times New Roman"/>
          <w:noProof/>
          <w:lang w:eastAsia="de-DE"/>
        </w:rPr>
      </w:pPr>
      <w:r w:rsidRPr="005B3EB2">
        <w:rPr>
          <w:rFonts w:ascii="Wingdings" w:hAnsi="Wingdings"/>
          <w:noProof/>
        </w:rPr>
        <w:sym w:font="Wingdings" w:char="F0A8"/>
      </w:r>
      <w:r w:rsidRPr="00052297">
        <w:rPr>
          <w:rFonts w:eastAsia="Times New Roman"/>
          <w:noProof/>
          <w:lang w:eastAsia="de-DE"/>
        </w:rPr>
        <w:t xml:space="preserve"> bodies governed by the private law of a Member State that are entrusted with the implementation of a public-private partnership and that are provided with adequate financial guarantees;</w:t>
      </w:r>
    </w:p>
    <w:p w14:paraId="7D808564" w14:textId="77777777" w:rsidR="00052297" w:rsidRPr="00052297" w:rsidRDefault="00052297" w:rsidP="00052297">
      <w:pPr>
        <w:tabs>
          <w:tab w:val="num" w:pos="1134"/>
        </w:tabs>
        <w:ind w:left="1134" w:hanging="283"/>
        <w:rPr>
          <w:rFonts w:eastAsia="Times New Roman"/>
          <w:noProof/>
          <w:lang w:eastAsia="de-DE"/>
        </w:rPr>
      </w:pPr>
      <w:r w:rsidRPr="005B3EB2">
        <w:rPr>
          <w:rFonts w:ascii="Wingdings" w:hAnsi="Wingdings"/>
          <w:noProof/>
        </w:rPr>
        <w:sym w:font="Wingdings" w:char="F0A8"/>
      </w:r>
      <w:r w:rsidRPr="00052297">
        <w:rPr>
          <w:rFonts w:eastAsia="Times New Roman"/>
          <w:noProof/>
          <w:lang w:eastAsia="de-DE"/>
        </w:rPr>
        <w:t xml:space="preserve"> persons entrusted with the implementation of specific actions in the CFSP pursuant to Title V of the TEU, and identified in the relevant basic act.</w:t>
      </w:r>
    </w:p>
    <w:p w14:paraId="468A42E4" w14:textId="77777777" w:rsidR="006E6DDA" w:rsidRDefault="006E6DDA" w:rsidP="006E6DDA">
      <w:pPr>
        <w:rPr>
          <w:noProof/>
        </w:rPr>
      </w:pPr>
    </w:p>
    <w:p w14:paraId="4134FE84" w14:textId="77777777" w:rsidR="00052297" w:rsidRDefault="00052297" w:rsidP="005837D8">
      <w:pPr>
        <w:pStyle w:val="ManualHeading1"/>
        <w:rPr>
          <w:noProof/>
        </w:rPr>
      </w:pPr>
      <w:r>
        <w:rPr>
          <w:noProof/>
        </w:rPr>
        <w:t>2.</w:t>
      </w:r>
      <w:r>
        <w:rPr>
          <w:noProof/>
        </w:rPr>
        <w:tab/>
        <w:t>MANAGEMENT MEASURES</w:t>
      </w:r>
    </w:p>
    <w:p w14:paraId="2914F80E" w14:textId="77777777" w:rsidR="00052297" w:rsidRDefault="00052297" w:rsidP="00052297">
      <w:pPr>
        <w:pStyle w:val="ManualHeading2"/>
        <w:rPr>
          <w:noProof/>
        </w:rPr>
      </w:pPr>
      <w:r>
        <w:rPr>
          <w:noProof/>
        </w:rPr>
        <w:tab/>
        <w:t>2.1.</w:t>
      </w:r>
      <w:r>
        <w:rPr>
          <w:noProof/>
        </w:rPr>
        <w:tab/>
        <w:t>Monitoring and reporting rules</w:t>
      </w:r>
    </w:p>
    <w:p w14:paraId="247CEC5B" w14:textId="77777777" w:rsidR="00052297" w:rsidRPr="006514F1" w:rsidRDefault="00294226" w:rsidP="00052297">
      <w:pPr>
        <w:pStyle w:val="Text1"/>
        <w:rPr>
          <w:noProof/>
        </w:rPr>
      </w:pPr>
      <w:r>
        <w:rPr>
          <w:noProof/>
        </w:rPr>
      </w:r>
      <w:r>
        <w:rPr>
          <w:noProof/>
        </w:rPr>
        <w:pict w14:anchorId="0A459CE5">
          <v:shape id="_x0000_s2053" type="#_x0000_t202" style="width:450.5pt;height:187.5pt;visibility:visible;mso-left-percent:-10001;mso-top-percent:-10001;mso-position-horizontal:absolute;mso-position-horizontal-relative:char;mso-position-vertical:absolute;mso-position-vertical-relative:line;mso-left-percent:-10001;mso-top-percent:-10001">
            <v:textbox style="mso-next-textbox:#_x0000_s2053">
              <w:txbxContent>
                <w:p w14:paraId="5BBE472A" w14:textId="77777777" w:rsidR="00052297" w:rsidRDefault="00052297" w:rsidP="00052297">
                  <w:r>
                    <w:t xml:space="preserve">The Commission will ensure that arrangements are in place to monitor and evaluate the functioning of the intervention and evaluate it against the main policy objectives. </w:t>
                  </w:r>
                </w:p>
                <w:p w14:paraId="2DBCF3C5" w14:textId="77777777" w:rsidR="00052297" w:rsidRDefault="00052297" w:rsidP="00052297">
                  <w:r>
                    <w:t xml:space="preserve">Member States will submit data on an annual basis to the Commission </w:t>
                  </w:r>
                  <w:r w:rsidR="00A926DE">
                    <w:t xml:space="preserve">with </w:t>
                  </w:r>
                  <w:r>
                    <w:t xml:space="preserve">the information outlined in the above Table on indicators of performance which will be used to monitor compliance with the </w:t>
                  </w:r>
                  <w:r w:rsidR="00E104B3">
                    <w:t>Directive.</w:t>
                  </w:r>
                  <w:r>
                    <w:t xml:space="preserve"> As monitoring data is available, and if deemed appropriate, the Commission will assess revising some its features in accordance with the technical support for the </w:t>
                  </w:r>
                  <w:r w:rsidR="003F2CA4">
                    <w:t>e</w:t>
                  </w:r>
                  <w:r>
                    <w:t>TRC and the implementing act for the reporting system.</w:t>
                  </w:r>
                </w:p>
                <w:p w14:paraId="44E09A6B" w14:textId="77777777" w:rsidR="00052297" w:rsidRDefault="00052297" w:rsidP="00052297">
                  <w:r>
                    <w:t xml:space="preserve">An evaluation will take place five years after the implementation of the </w:t>
                  </w:r>
                  <w:r w:rsidR="009F13DE">
                    <w:t xml:space="preserve">Directive </w:t>
                  </w:r>
                  <w:r>
                    <w:t>which will allow the Commission to review the results of the policy with respect to its objectives as well as the overall impacts in terms of improving the WHT refund</w:t>
                  </w:r>
                  <w:r w:rsidR="00CA05AF">
                    <w:t>/relief</w:t>
                  </w:r>
                  <w:r>
                    <w:t xml:space="preserve"> systems in the EU and also for preventing WHT tax abuse.</w:t>
                  </w:r>
                </w:p>
              </w:txbxContent>
            </v:textbox>
            <w10:anchorlock/>
          </v:shape>
        </w:pict>
      </w:r>
    </w:p>
    <w:p w14:paraId="67842C88" w14:textId="77777777" w:rsidR="00052297" w:rsidRDefault="00052297" w:rsidP="00287904">
      <w:pPr>
        <w:pStyle w:val="Text2"/>
        <w:rPr>
          <w:noProof/>
        </w:rPr>
      </w:pPr>
    </w:p>
    <w:p w14:paraId="54AD5690" w14:textId="77777777" w:rsidR="00052297" w:rsidRDefault="00287904" w:rsidP="00287904">
      <w:pPr>
        <w:pStyle w:val="ManualHeading2"/>
        <w:rPr>
          <w:noProof/>
        </w:rPr>
      </w:pPr>
      <w:r>
        <w:rPr>
          <w:noProof/>
        </w:rPr>
        <w:tab/>
      </w:r>
      <w:r w:rsidR="00052297">
        <w:rPr>
          <w:noProof/>
        </w:rPr>
        <w:t>2.2.</w:t>
      </w:r>
      <w:r w:rsidR="00052297">
        <w:rPr>
          <w:noProof/>
        </w:rPr>
        <w:tab/>
        <w:t>Management and control system(s)</w:t>
      </w:r>
    </w:p>
    <w:p w14:paraId="18DEC781" w14:textId="77777777" w:rsidR="00052297" w:rsidRDefault="00052297" w:rsidP="00052297">
      <w:pPr>
        <w:pStyle w:val="ManualHeading3"/>
        <w:rPr>
          <w:noProof/>
        </w:rPr>
      </w:pPr>
      <w:r>
        <w:rPr>
          <w:noProof/>
        </w:rPr>
        <w:tab/>
        <w:t>2.2.1.</w:t>
      </w:r>
      <w:r>
        <w:rPr>
          <w:noProof/>
        </w:rPr>
        <w:tab/>
        <w:t>Justification of the management mode(s), the funding implementation mechanism(s), the payment modalities and the control strategy proposed</w:t>
      </w:r>
    </w:p>
    <w:p w14:paraId="359856A3" w14:textId="77777777" w:rsidR="00052297" w:rsidRDefault="00294226" w:rsidP="00060712">
      <w:pPr>
        <w:pStyle w:val="Text1"/>
        <w:rPr>
          <w:noProof/>
        </w:rPr>
      </w:pPr>
      <w:r>
        <w:rPr>
          <w:noProof/>
        </w:rPr>
      </w:r>
      <w:r>
        <w:rPr>
          <w:noProof/>
        </w:rPr>
        <w:pict w14:anchorId="514FA324">
          <v:shape id="_x0000_s2052" type="#_x0000_t202" style="width:447pt;height:140.55pt;visibility:visible;mso-left-percent:-10001;mso-top-percent:-10001;mso-position-horizontal:absolute;mso-position-horizontal-relative:char;mso-position-vertical:absolute;mso-position-vertical-relative:line;mso-left-percent:-10001;mso-top-percent:-10001">
            <v:textbox>
              <w:txbxContent>
                <w:p w14:paraId="08A7CE07" w14:textId="77777777" w:rsidR="00052297" w:rsidRDefault="00052297" w:rsidP="00052297">
                  <w:r>
                    <w:t xml:space="preserve">The implementation of the initiative will rely on the competent authorities (tax administrations) of the Member States. They will be responsible for financing their own national systems, including the implementation of the </w:t>
                  </w:r>
                  <w:r w:rsidR="003F2CA4">
                    <w:t>e</w:t>
                  </w:r>
                  <w:r>
                    <w:t xml:space="preserve">TRC, and the setting up </w:t>
                  </w:r>
                  <w:r w:rsidR="00797181">
                    <w:t>of</w:t>
                  </w:r>
                  <w:r>
                    <w:t xml:space="preserve">  national systems </w:t>
                  </w:r>
                  <w:r w:rsidR="00797181">
                    <w:t>to receive reporting</w:t>
                  </w:r>
                  <w:r w:rsidR="009C6C29">
                    <w:t xml:space="preserve"> and requests</w:t>
                  </w:r>
                  <w:r w:rsidR="00797181">
                    <w:t xml:space="preserve"> from</w:t>
                  </w:r>
                  <w:r>
                    <w:t xml:space="preserve"> financial intermediaries.</w:t>
                  </w:r>
                </w:p>
                <w:p w14:paraId="28979B44" w14:textId="77777777" w:rsidR="00052297" w:rsidRDefault="00052297" w:rsidP="00052297">
                  <w:r>
                    <w:t xml:space="preserve">The Commission will finance the technical assistance for the </w:t>
                  </w:r>
                  <w:r w:rsidR="009C6C29">
                    <w:t>e</w:t>
                  </w:r>
                  <w:r>
                    <w:t xml:space="preserve">TRC and the </w:t>
                  </w:r>
                  <w:r w:rsidR="00797181">
                    <w:t xml:space="preserve">establishment at EU level of </w:t>
                  </w:r>
                  <w:r>
                    <w:t xml:space="preserve">the frameworks </w:t>
                  </w:r>
                  <w:r w:rsidRPr="00802B03">
                    <w:t>for the reporting systems</w:t>
                  </w:r>
                  <w:r w:rsidR="009C6C29" w:rsidRPr="00802B03">
                    <w:t xml:space="preserve"> </w:t>
                  </w:r>
                  <w:r w:rsidR="00802B03" w:rsidRPr="00802B03">
                    <w:t xml:space="preserve">and </w:t>
                  </w:r>
                  <w:r w:rsidR="009C6C29" w:rsidRPr="00802B03">
                    <w:t>the request forms</w:t>
                  </w:r>
                  <w:r w:rsidRPr="00802B03">
                    <w:t>.</w:t>
                  </w:r>
                  <w:r>
                    <w:t xml:space="preserve"> </w:t>
                  </w:r>
                </w:p>
              </w:txbxContent>
            </v:textbox>
            <w10:anchorlock/>
          </v:shape>
        </w:pict>
      </w:r>
    </w:p>
    <w:p w14:paraId="30407C97" w14:textId="77777777" w:rsidR="00052297" w:rsidRDefault="00052297" w:rsidP="005837D8">
      <w:pPr>
        <w:pStyle w:val="Text3"/>
        <w:rPr>
          <w:noProof/>
        </w:rPr>
      </w:pPr>
    </w:p>
    <w:p w14:paraId="34F86A5F" w14:textId="77777777" w:rsidR="00052297" w:rsidRDefault="00052297" w:rsidP="00052297">
      <w:pPr>
        <w:pStyle w:val="ManualHeading3"/>
        <w:rPr>
          <w:noProof/>
        </w:rPr>
      </w:pPr>
      <w:r>
        <w:rPr>
          <w:noProof/>
        </w:rPr>
        <w:tab/>
        <w:t>2.2.2. Information concerning the risks identified and the internal control system(s) set up to mitigate them</w:t>
      </w:r>
    </w:p>
    <w:p w14:paraId="39159D39" w14:textId="77777777" w:rsidR="00052297" w:rsidRPr="009E77B1" w:rsidRDefault="00052297" w:rsidP="00052297">
      <w:pPr>
        <w:pStyle w:val="Text1"/>
        <w:pBdr>
          <w:top w:val="single" w:sz="4" w:space="1" w:color="auto"/>
          <w:left w:val="single" w:sz="4" w:space="4" w:color="auto"/>
          <w:bottom w:val="single" w:sz="4" w:space="1" w:color="auto"/>
          <w:right w:val="single" w:sz="4" w:space="4" w:color="auto"/>
        </w:pBdr>
        <w:rPr>
          <w:noProof/>
        </w:rPr>
      </w:pPr>
      <w:r w:rsidRPr="009E77B1">
        <w:rPr>
          <w:noProof/>
        </w:rPr>
        <w:t>With regard to ensuring that WHT reclaims are refunded</w:t>
      </w:r>
      <w:r w:rsidR="00CA05AF">
        <w:rPr>
          <w:noProof/>
        </w:rPr>
        <w:t>/relieved</w:t>
      </w:r>
      <w:r w:rsidR="009F13DE">
        <w:rPr>
          <w:noProof/>
        </w:rPr>
        <w:t xml:space="preserve"> </w:t>
      </w:r>
      <w:r w:rsidRPr="009E77B1">
        <w:rPr>
          <w:noProof/>
        </w:rPr>
        <w:t xml:space="preserve">within the time limits, Member States will be required to report to the Commission on an annual basis statistics on how many </w:t>
      </w:r>
      <w:r w:rsidR="00943F03">
        <w:rPr>
          <w:noProof/>
        </w:rPr>
        <w:t xml:space="preserve">excess </w:t>
      </w:r>
      <w:r w:rsidRPr="009E77B1">
        <w:rPr>
          <w:noProof/>
        </w:rPr>
        <w:t>WHT reclaims were refunded</w:t>
      </w:r>
      <w:r w:rsidR="00943F03">
        <w:rPr>
          <w:noProof/>
        </w:rPr>
        <w:t xml:space="preserve">/relieved </w:t>
      </w:r>
      <w:r w:rsidRPr="009E77B1">
        <w:rPr>
          <w:noProof/>
        </w:rPr>
        <w:t>within the time limits and how many</w:t>
      </w:r>
      <w:r>
        <w:rPr>
          <w:noProof/>
        </w:rPr>
        <w:t xml:space="preserve"> </w:t>
      </w:r>
      <w:r w:rsidR="00943F03">
        <w:rPr>
          <w:noProof/>
        </w:rPr>
        <w:t>beyond</w:t>
      </w:r>
      <w:r w:rsidRPr="009E77B1">
        <w:rPr>
          <w:noProof/>
        </w:rPr>
        <w:t xml:space="preserve"> the time limits. For the latter, a justification should be provided. Further, Member States will be required to make late interest payments to the taxpayer </w:t>
      </w:r>
      <w:r w:rsidR="00943F03">
        <w:rPr>
          <w:noProof/>
        </w:rPr>
        <w:t xml:space="preserve">for refunds beyond </w:t>
      </w:r>
      <w:r w:rsidRPr="009E77B1">
        <w:rPr>
          <w:noProof/>
        </w:rPr>
        <w:t xml:space="preserve">the time limits without justification. </w:t>
      </w:r>
    </w:p>
    <w:p w14:paraId="0D3D5DF7" w14:textId="77777777" w:rsidR="00052297" w:rsidRPr="009E77B1" w:rsidRDefault="00052297" w:rsidP="00052297">
      <w:pPr>
        <w:pStyle w:val="Text1"/>
        <w:pBdr>
          <w:top w:val="single" w:sz="4" w:space="1" w:color="auto"/>
          <w:left w:val="single" w:sz="4" w:space="4" w:color="auto"/>
          <w:bottom w:val="single" w:sz="4" w:space="1" w:color="auto"/>
          <w:right w:val="single" w:sz="4" w:space="4" w:color="auto"/>
        </w:pBdr>
        <w:rPr>
          <w:noProof/>
          <w:lang w:val="en-IE"/>
        </w:rPr>
      </w:pPr>
      <w:r w:rsidRPr="009E77B1">
        <w:rPr>
          <w:noProof/>
        </w:rPr>
        <w:t xml:space="preserve">With regard to compliance of </w:t>
      </w:r>
      <w:r w:rsidRPr="00E104B3">
        <w:rPr>
          <w:noProof/>
        </w:rPr>
        <w:t xml:space="preserve">their </w:t>
      </w:r>
      <w:r w:rsidR="00636DEC" w:rsidRPr="00E104B3">
        <w:rPr>
          <w:noProof/>
        </w:rPr>
        <w:t>certified</w:t>
      </w:r>
      <w:r w:rsidR="00636DEC">
        <w:rPr>
          <w:noProof/>
        </w:rPr>
        <w:t xml:space="preserve"> </w:t>
      </w:r>
      <w:r w:rsidRPr="009E77B1">
        <w:rPr>
          <w:noProof/>
        </w:rPr>
        <w:t xml:space="preserve">financial intermediaries in the national registers, Member States will provide an annual report to the Commission on the audits and activities they have undertaken to ensure the compliance of their financial intermediaries with their obligations </w:t>
      </w:r>
      <w:r w:rsidR="00943F03">
        <w:rPr>
          <w:noProof/>
        </w:rPr>
        <w:t>of the Directive</w:t>
      </w:r>
      <w:r w:rsidRPr="009E77B1">
        <w:rPr>
          <w:noProof/>
        </w:rPr>
        <w:t xml:space="preserve">, including reporting obligations. Further, financial intermediaries </w:t>
      </w:r>
      <w:r w:rsidRPr="009E77B1">
        <w:rPr>
          <w:noProof/>
          <w:lang w:val="en-IE"/>
        </w:rPr>
        <w:t xml:space="preserve">shall be held liable for the breach of </w:t>
      </w:r>
      <w:r>
        <w:rPr>
          <w:noProof/>
          <w:lang w:val="en-IE"/>
        </w:rPr>
        <w:t>their</w:t>
      </w:r>
      <w:r w:rsidRPr="009E77B1">
        <w:rPr>
          <w:noProof/>
          <w:lang w:val="en-IE"/>
        </w:rPr>
        <w:t xml:space="preserve"> obligations </w:t>
      </w:r>
      <w:r>
        <w:rPr>
          <w:noProof/>
          <w:lang w:val="en-IE"/>
        </w:rPr>
        <w:t>under</w:t>
      </w:r>
      <w:r w:rsidRPr="009E77B1">
        <w:rPr>
          <w:noProof/>
          <w:lang w:val="en-IE"/>
        </w:rPr>
        <w:t xml:space="preserve"> this Directive if their conduct has resulted in a loss of tax revenue.</w:t>
      </w:r>
    </w:p>
    <w:p w14:paraId="064A806F" w14:textId="77777777" w:rsidR="00052297" w:rsidRPr="009E77B1" w:rsidRDefault="00052297" w:rsidP="00052297">
      <w:pPr>
        <w:pStyle w:val="Text1"/>
        <w:pBdr>
          <w:top w:val="single" w:sz="4" w:space="1" w:color="auto"/>
          <w:left w:val="single" w:sz="4" w:space="4" w:color="auto"/>
          <w:bottom w:val="single" w:sz="4" w:space="1" w:color="auto"/>
          <w:right w:val="single" w:sz="4" w:space="4" w:color="auto"/>
        </w:pBdr>
        <w:rPr>
          <w:noProof/>
        </w:rPr>
      </w:pPr>
      <w:r w:rsidRPr="009E77B1">
        <w:rPr>
          <w:noProof/>
          <w:lang w:val="en-IE"/>
        </w:rPr>
        <w:t xml:space="preserve">Member States will be required to provide  an annual report to the Commission on the use of data reported under </w:t>
      </w:r>
      <w:r w:rsidR="00943F03">
        <w:rPr>
          <w:noProof/>
          <w:lang w:val="en-IE"/>
        </w:rPr>
        <w:t>the Directive</w:t>
      </w:r>
      <w:r w:rsidRPr="009E77B1">
        <w:rPr>
          <w:noProof/>
          <w:lang w:val="en-IE"/>
        </w:rPr>
        <w:t xml:space="preserve"> to detect and combat </w:t>
      </w:r>
      <w:r w:rsidR="00943F03">
        <w:rPr>
          <w:noProof/>
          <w:lang w:val="en-IE"/>
        </w:rPr>
        <w:t xml:space="preserve">excess </w:t>
      </w:r>
      <w:r w:rsidRPr="009E77B1">
        <w:rPr>
          <w:noProof/>
          <w:lang w:val="en-IE"/>
        </w:rPr>
        <w:t xml:space="preserve">WHT </w:t>
      </w:r>
      <w:r w:rsidR="00943F03">
        <w:rPr>
          <w:noProof/>
          <w:lang w:val="en-IE"/>
        </w:rPr>
        <w:t xml:space="preserve">relief/refund </w:t>
      </w:r>
      <w:r w:rsidRPr="009E77B1">
        <w:rPr>
          <w:noProof/>
          <w:lang w:val="en-IE"/>
        </w:rPr>
        <w:t>abuse.</w:t>
      </w:r>
    </w:p>
    <w:p w14:paraId="732DE289" w14:textId="77777777" w:rsidR="00052297" w:rsidRDefault="00052297" w:rsidP="00052297">
      <w:pPr>
        <w:pStyle w:val="Text1"/>
        <w:pBdr>
          <w:top w:val="single" w:sz="4" w:space="1" w:color="auto"/>
          <w:left w:val="single" w:sz="4" w:space="4" w:color="auto"/>
          <w:bottom w:val="single" w:sz="4" w:space="1" w:color="auto"/>
          <w:right w:val="single" w:sz="4" w:space="4" w:color="auto"/>
        </w:pBdr>
        <w:rPr>
          <w:noProof/>
        </w:rPr>
      </w:pPr>
      <w:r>
        <w:rPr>
          <w:noProof/>
        </w:rPr>
        <w:t xml:space="preserve">The main elements of the control strategy are: </w:t>
      </w:r>
    </w:p>
    <w:p w14:paraId="42589529" w14:textId="77777777" w:rsidR="00052297" w:rsidRDefault="00052297" w:rsidP="00052297">
      <w:pPr>
        <w:pStyle w:val="Text1"/>
        <w:pBdr>
          <w:top w:val="single" w:sz="4" w:space="1" w:color="auto"/>
          <w:left w:val="single" w:sz="4" w:space="4" w:color="auto"/>
          <w:bottom w:val="single" w:sz="4" w:space="1" w:color="auto"/>
          <w:right w:val="single" w:sz="4" w:space="4" w:color="auto"/>
        </w:pBdr>
        <w:rPr>
          <w:noProof/>
        </w:rPr>
      </w:pPr>
      <w:r>
        <w:rPr>
          <w:noProof/>
        </w:rPr>
        <w:t xml:space="preserve">Procurement contracts </w:t>
      </w:r>
    </w:p>
    <w:p w14:paraId="5B5F153E" w14:textId="77777777" w:rsidR="00052297" w:rsidRDefault="00052297" w:rsidP="00052297">
      <w:pPr>
        <w:pStyle w:val="Text1"/>
        <w:pBdr>
          <w:top w:val="single" w:sz="4" w:space="1" w:color="auto"/>
          <w:left w:val="single" w:sz="4" w:space="4" w:color="auto"/>
          <w:bottom w:val="single" w:sz="4" w:space="1" w:color="auto"/>
          <w:right w:val="single" w:sz="4" w:space="4" w:color="auto"/>
        </w:pBdr>
        <w:rPr>
          <w:noProof/>
        </w:rPr>
      </w:pPr>
      <w:r>
        <w:rPr>
          <w:noProof/>
        </w:rPr>
        <w:t xml:space="preserve">The control procedures for procurement defined in the Financial Regulation: any procurement contract is established following the established procedure of verification by the services of the Commission for payment, taking into account contractual obligations and sound financial and general management. Anti-fraud measures (controls, reports, etc.) are foreseen in all contracts concluded between the Commission and the beneficiaries. Detailed terms of reference are drafted and form the basis of each specific contract. The acceptance process follows strictly the TAXUD TEMPO methodology: deliverables are reviewed, amended if necessary and finally explicitly accepted (or rejected). No invoice can be paid without an "acceptance letter". </w:t>
      </w:r>
    </w:p>
    <w:p w14:paraId="69BED312" w14:textId="77777777" w:rsidR="00052297" w:rsidRDefault="00052297" w:rsidP="00052297">
      <w:pPr>
        <w:pStyle w:val="Text1"/>
        <w:pBdr>
          <w:top w:val="single" w:sz="4" w:space="1" w:color="auto"/>
          <w:left w:val="single" w:sz="4" w:space="4" w:color="auto"/>
          <w:bottom w:val="single" w:sz="4" w:space="1" w:color="auto"/>
          <w:right w:val="single" w:sz="4" w:space="4" w:color="auto"/>
        </w:pBdr>
        <w:rPr>
          <w:noProof/>
        </w:rPr>
      </w:pPr>
      <w:r>
        <w:rPr>
          <w:noProof/>
        </w:rPr>
        <w:t xml:space="preserve">Technical verification of procurement </w:t>
      </w:r>
    </w:p>
    <w:p w14:paraId="58B45ACA" w14:textId="77777777" w:rsidR="00052297" w:rsidRDefault="00052297" w:rsidP="00052297">
      <w:pPr>
        <w:pStyle w:val="Text1"/>
        <w:pBdr>
          <w:top w:val="single" w:sz="4" w:space="1" w:color="auto"/>
          <w:left w:val="single" w:sz="4" w:space="4" w:color="auto"/>
          <w:bottom w:val="single" w:sz="4" w:space="1" w:color="auto"/>
          <w:right w:val="single" w:sz="4" w:space="4" w:color="auto"/>
        </w:pBdr>
        <w:rPr>
          <w:noProof/>
        </w:rPr>
      </w:pPr>
      <w:r>
        <w:rPr>
          <w:noProof/>
        </w:rPr>
        <w:t xml:space="preserve">DG TAXUD performs controls of deliverables and supervises operations and services carried out by contractors. It also conducts quality and security audits of their contractors on a regular basis. Quality audits verify the compliance of the contractors' actual processes against the rules and procedures defined in their quality plans. Security audits focus on the specific processes, procedures and set-up. </w:t>
      </w:r>
    </w:p>
    <w:p w14:paraId="1A0BDDE3" w14:textId="77777777" w:rsidR="00052297" w:rsidRDefault="00052297" w:rsidP="00052297">
      <w:pPr>
        <w:pStyle w:val="Text1"/>
        <w:pBdr>
          <w:top w:val="single" w:sz="4" w:space="1" w:color="auto"/>
          <w:left w:val="single" w:sz="4" w:space="4" w:color="auto"/>
          <w:bottom w:val="single" w:sz="4" w:space="1" w:color="auto"/>
          <w:right w:val="single" w:sz="4" w:space="4" w:color="auto"/>
        </w:pBdr>
        <w:rPr>
          <w:noProof/>
        </w:rPr>
      </w:pPr>
      <w:r>
        <w:rPr>
          <w:noProof/>
        </w:rPr>
        <w:t xml:space="preserve">In addition to the above controls, DG TAXUD performs the traditional financial controls: </w:t>
      </w:r>
    </w:p>
    <w:p w14:paraId="544C1386" w14:textId="77777777" w:rsidR="00052297" w:rsidRDefault="00052297" w:rsidP="00052297">
      <w:pPr>
        <w:pStyle w:val="Text1"/>
        <w:pBdr>
          <w:top w:val="single" w:sz="4" w:space="1" w:color="auto"/>
          <w:left w:val="single" w:sz="4" w:space="4" w:color="auto"/>
          <w:bottom w:val="single" w:sz="4" w:space="1" w:color="auto"/>
          <w:right w:val="single" w:sz="4" w:space="4" w:color="auto"/>
        </w:pBdr>
        <w:rPr>
          <w:noProof/>
        </w:rPr>
      </w:pPr>
      <w:r>
        <w:rPr>
          <w:noProof/>
        </w:rPr>
        <w:t xml:space="preserve">Ex-ante verification of commitments </w:t>
      </w:r>
    </w:p>
    <w:p w14:paraId="0595CF27" w14:textId="77777777" w:rsidR="00052297" w:rsidRDefault="00052297" w:rsidP="00052297">
      <w:pPr>
        <w:pStyle w:val="Text1"/>
        <w:pBdr>
          <w:top w:val="single" w:sz="4" w:space="1" w:color="auto"/>
          <w:left w:val="single" w:sz="4" w:space="4" w:color="auto"/>
          <w:bottom w:val="single" w:sz="4" w:space="1" w:color="auto"/>
          <w:right w:val="single" w:sz="4" w:space="4" w:color="auto"/>
        </w:pBdr>
        <w:rPr>
          <w:noProof/>
        </w:rPr>
      </w:pPr>
      <w:r>
        <w:rPr>
          <w:noProof/>
        </w:rPr>
        <w:t xml:space="preserve">All commitments in DG TAXUD are verified by the Head of the Finances and the HR business correspondent Unit. Consequently, 100% of the committed amounts are covered by the ex-ante verification. This procedure gives a high level of assurance as to the legality and regularity of transactions. </w:t>
      </w:r>
    </w:p>
    <w:p w14:paraId="5F38CBFB" w14:textId="77777777" w:rsidR="00052297" w:rsidRDefault="00052297" w:rsidP="00052297">
      <w:pPr>
        <w:pStyle w:val="Text1"/>
        <w:pBdr>
          <w:top w:val="single" w:sz="4" w:space="1" w:color="auto"/>
          <w:left w:val="single" w:sz="4" w:space="4" w:color="auto"/>
          <w:bottom w:val="single" w:sz="4" w:space="1" w:color="auto"/>
          <w:right w:val="single" w:sz="4" w:space="4" w:color="auto"/>
        </w:pBdr>
        <w:rPr>
          <w:noProof/>
        </w:rPr>
      </w:pPr>
      <w:r>
        <w:rPr>
          <w:noProof/>
        </w:rPr>
        <w:t xml:space="preserve">Ex-ante verification of payments </w:t>
      </w:r>
    </w:p>
    <w:p w14:paraId="20F63A98" w14:textId="77777777" w:rsidR="00052297" w:rsidRDefault="00052297" w:rsidP="00052297">
      <w:pPr>
        <w:pStyle w:val="Text1"/>
        <w:pBdr>
          <w:top w:val="single" w:sz="4" w:space="1" w:color="auto"/>
          <w:left w:val="single" w:sz="4" w:space="4" w:color="auto"/>
          <w:bottom w:val="single" w:sz="4" w:space="1" w:color="auto"/>
          <w:right w:val="single" w:sz="4" w:space="4" w:color="auto"/>
        </w:pBdr>
        <w:rPr>
          <w:noProof/>
        </w:rPr>
      </w:pPr>
      <w:r>
        <w:rPr>
          <w:noProof/>
        </w:rPr>
        <w:t xml:space="preserve">100% of payments are verified ex-ante. Moreover, at least one payment (from all categories of expenditures) per week is randomly selected for additional ex-ante verification performed by the head of the Finances and HR business correspondent Unit. There is no target concerning the coverage, as the purpose of this verification is to check payments "randomly" in order to verify that all payments were prepared in line with the requirements. The remaining payments are processed according to the rules in force on a daily basis. </w:t>
      </w:r>
    </w:p>
    <w:p w14:paraId="2132ADF7" w14:textId="77777777" w:rsidR="00052297" w:rsidRDefault="00052297" w:rsidP="00052297">
      <w:pPr>
        <w:pStyle w:val="Text1"/>
        <w:pBdr>
          <w:top w:val="single" w:sz="4" w:space="1" w:color="auto"/>
          <w:left w:val="single" w:sz="4" w:space="4" w:color="auto"/>
          <w:bottom w:val="single" w:sz="4" w:space="1" w:color="auto"/>
          <w:right w:val="single" w:sz="4" w:space="4" w:color="auto"/>
        </w:pBdr>
        <w:rPr>
          <w:noProof/>
        </w:rPr>
      </w:pPr>
      <w:r>
        <w:rPr>
          <w:noProof/>
        </w:rPr>
        <w:t xml:space="preserve">Declarations of the Authorising Officers by Sub-Delegations (AOSD) </w:t>
      </w:r>
    </w:p>
    <w:p w14:paraId="3048A0EB" w14:textId="77777777" w:rsidR="00052297" w:rsidRDefault="00052297" w:rsidP="00052297">
      <w:pPr>
        <w:pStyle w:val="Text1"/>
        <w:pBdr>
          <w:top w:val="single" w:sz="4" w:space="1" w:color="auto"/>
          <w:left w:val="single" w:sz="4" w:space="4" w:color="auto"/>
          <w:bottom w:val="single" w:sz="4" w:space="1" w:color="auto"/>
          <w:right w:val="single" w:sz="4" w:space="4" w:color="auto"/>
        </w:pBdr>
        <w:rPr>
          <w:noProof/>
        </w:rPr>
      </w:pPr>
      <w:r>
        <w:rPr>
          <w:noProof/>
        </w:rPr>
        <w:t>All the AOSD sign declarations supporting the Annual Activity Report for the year concerned. These declarations cover the operations under the programme. The AOSD declare that the operations connected with the implementation of the budget have been executed in accordance with the principles of the sound financial management, that the management and control systems in place provided satisfactory assurance concerning the legality and regularity of the transactions and that the risks associated to these operations have been properly identified, reported and that mitigating actions have been implemented.</w:t>
      </w:r>
    </w:p>
    <w:p w14:paraId="6D521615" w14:textId="77777777" w:rsidR="00052297" w:rsidRDefault="00052297" w:rsidP="00CD2905">
      <w:pPr>
        <w:pStyle w:val="Text3"/>
        <w:ind w:left="0"/>
        <w:rPr>
          <w:noProof/>
        </w:rPr>
      </w:pPr>
    </w:p>
    <w:p w14:paraId="0126251C" w14:textId="77777777" w:rsidR="00052297" w:rsidRDefault="00052297" w:rsidP="00052297">
      <w:pPr>
        <w:pStyle w:val="ManualHeading3"/>
        <w:rPr>
          <w:noProof/>
        </w:rPr>
      </w:pPr>
      <w:r>
        <w:rPr>
          <w:noProof/>
        </w:rPr>
        <w:tab/>
        <w:t>2.2.3.</w:t>
      </w:r>
      <w:r>
        <w:rPr>
          <w:noProof/>
        </w:rPr>
        <w:tab/>
        <w:t>Estimation and justification of the cost-effectiveness of the controls (ratio of "control costs ÷ value of the related funds managed"), and assessment of the expected levels of risk of error (at payment &amp; at closure)</w:t>
      </w:r>
    </w:p>
    <w:p w14:paraId="2F6A51DB" w14:textId="77777777" w:rsidR="00052297" w:rsidRDefault="00052297" w:rsidP="00060712">
      <w:pPr>
        <w:pStyle w:val="Text1"/>
        <w:rPr>
          <w:noProof/>
        </w:rPr>
      </w:pPr>
      <w:r>
        <w:rPr>
          <w:noProof/>
        </w:rPr>
        <w:tab/>
      </w:r>
      <w:r w:rsidR="00294226">
        <w:rPr>
          <w:noProof/>
        </w:rPr>
      </w:r>
      <w:r w:rsidR="00294226">
        <w:rPr>
          <w:noProof/>
        </w:rPr>
        <w:pict w14:anchorId="68ED86FE">
          <v:shape id="_x0000_s2051" type="#_x0000_t202" style="width:433pt;height:147pt;visibility:visible;mso-left-percent:-10001;mso-top-percent:-10001;mso-position-horizontal:absolute;mso-position-horizontal-relative:char;mso-position-vertical:absolute;mso-position-vertical-relative:line;mso-left-percent:-10001;mso-top-percent:-10001">
            <v:textbox>
              <w:txbxContent>
                <w:p w14:paraId="4C96FC25" w14:textId="77777777" w:rsidR="00052297" w:rsidRDefault="00052297" w:rsidP="00052297">
                  <w:r>
                    <w:t>The controls established enable DG TAXUD to have sufficient assurance of the quality and regularity of the expenditure and to reduce the risk of non-compliance. The above control strategy measures reduce the potential risks below the target of 2% and reach all beneficiaries. Any additional measures for further risk reduction would result in disproportionately high costs and are therefore not envisaged. The overall costs linked to implementing the above control strategy – for all expenditures under Fiscalis programme – are limited to 1.6% of the total payments made. It is expected to remain at the same ratio for this initiative. The programme control strategy limits the risk of non-compliance to virtually zero and remains proportionate to the risks entailed.</w:t>
                  </w:r>
                </w:p>
              </w:txbxContent>
            </v:textbox>
            <w10:anchorlock/>
          </v:shape>
        </w:pict>
      </w:r>
    </w:p>
    <w:p w14:paraId="1CD2F842" w14:textId="77777777" w:rsidR="00052297" w:rsidRDefault="00052297" w:rsidP="005837D8">
      <w:pPr>
        <w:pStyle w:val="Text2"/>
        <w:rPr>
          <w:noProof/>
        </w:rPr>
      </w:pPr>
    </w:p>
    <w:p w14:paraId="648AB5B5" w14:textId="77777777" w:rsidR="00052297" w:rsidRPr="005837D8" w:rsidRDefault="00287904" w:rsidP="00287904">
      <w:pPr>
        <w:pStyle w:val="ManualHeading2"/>
        <w:rPr>
          <w:noProof/>
        </w:rPr>
      </w:pPr>
      <w:r>
        <w:rPr>
          <w:noProof/>
        </w:rPr>
        <w:tab/>
      </w:r>
      <w:r w:rsidR="00052297" w:rsidRPr="005837D8">
        <w:rPr>
          <w:noProof/>
        </w:rPr>
        <w:t>2.3.</w:t>
      </w:r>
      <w:r w:rsidR="00052297" w:rsidRPr="005837D8">
        <w:rPr>
          <w:noProof/>
        </w:rPr>
        <w:tab/>
        <w:t>Measures to prevent fraud and irregularities</w:t>
      </w:r>
    </w:p>
    <w:p w14:paraId="3869CC04" w14:textId="77777777" w:rsidR="00052297" w:rsidRDefault="00294226" w:rsidP="005837D8">
      <w:pPr>
        <w:pStyle w:val="Text1"/>
        <w:rPr>
          <w:noProof/>
        </w:rPr>
      </w:pPr>
      <w:r>
        <w:rPr>
          <w:noProof/>
        </w:rPr>
      </w:r>
      <w:r>
        <w:rPr>
          <w:noProof/>
        </w:rPr>
        <w:pict w14:anchorId="48C5E803">
          <v:shape id="_x0000_s2050" type="#_x0000_t202" style="width:444.5pt;height:119.25pt;visibility:visible;mso-left-percent:-10001;mso-top-percent:-10001;mso-position-horizontal:absolute;mso-position-horizontal-relative:char;mso-position-vertical:absolute;mso-position-vertical-relative:line;mso-left-percent:-10001;mso-top-percent:-10001">
            <v:textbox>
              <w:txbxContent>
                <w:p w14:paraId="4C8CAF9C" w14:textId="77777777" w:rsidR="00052297" w:rsidRDefault="00052297" w:rsidP="00052297">
                  <w:r>
                    <w:t>The European Anti-fraud Office (OLAF) may carry out investigations, including on</w:t>
                  </w:r>
                  <w:r w:rsidR="00943F03">
                    <w:t xml:space="preserve"> </w:t>
                  </w:r>
                  <w:r>
                    <w:t xml:space="preserve">the-spot checks and inspections, in accordance with the provisions and procedures laid down in Regulation (EC) No 1073/1999 of the European Parliament and of the </w:t>
                  </w:r>
                  <w:r w:rsidRPr="00802B03">
                    <w:t>Council and Council Regulation (Euratom, EC) No 2185/964 with a view to establishing whether there has been fraud, corruption or any other illegal activity affecting the financial interests of the Union in connection with a grant agreement or grant decision or a contract funded under this Regulation.</w:t>
                  </w:r>
                </w:p>
              </w:txbxContent>
            </v:textbox>
            <w10:anchorlock/>
          </v:shape>
        </w:pict>
      </w:r>
    </w:p>
    <w:p w14:paraId="4DC47CC9" w14:textId="77777777" w:rsidR="00052297" w:rsidRDefault="00052297" w:rsidP="005837D8">
      <w:pPr>
        <w:pStyle w:val="Text1"/>
        <w:rPr>
          <w:noProof/>
        </w:rPr>
      </w:pPr>
    </w:p>
    <w:p w14:paraId="05F401DE" w14:textId="77777777" w:rsidR="00052297" w:rsidRDefault="00052297" w:rsidP="005837D8">
      <w:pPr>
        <w:pStyle w:val="Text1"/>
        <w:rPr>
          <w:noProof/>
        </w:rPr>
      </w:pPr>
      <w:r>
        <w:rPr>
          <w:noProof/>
        </w:rPr>
        <w:br w:type="page"/>
      </w:r>
    </w:p>
    <w:p w14:paraId="7CF842C3" w14:textId="77777777" w:rsidR="006918A0" w:rsidRPr="006918A0" w:rsidRDefault="006918A0" w:rsidP="00287904">
      <w:pPr>
        <w:pStyle w:val="ManualHeading1"/>
        <w:rPr>
          <w:noProof/>
        </w:rPr>
      </w:pPr>
      <w:r w:rsidRPr="006918A0">
        <w:rPr>
          <w:noProof/>
        </w:rPr>
        <w:t>3.</w:t>
      </w:r>
      <w:r w:rsidRPr="006918A0">
        <w:rPr>
          <w:noProof/>
        </w:rPr>
        <w:tab/>
        <w:t xml:space="preserve">ESTIMATED FINANCIAL IMPACT OF THE PROPOSAL </w:t>
      </w:r>
    </w:p>
    <w:p w14:paraId="5B263DFB" w14:textId="77777777" w:rsidR="006918A0" w:rsidRPr="006918A0" w:rsidRDefault="00287904" w:rsidP="00287904">
      <w:pPr>
        <w:pStyle w:val="ManualHeading2"/>
        <w:rPr>
          <w:noProof/>
        </w:rPr>
      </w:pPr>
      <w:bookmarkStart w:id="13" w:name="_Toc514938051"/>
      <w:bookmarkStart w:id="14" w:name="_Toc520485050"/>
      <w:r>
        <w:rPr>
          <w:noProof/>
        </w:rPr>
        <w:tab/>
      </w:r>
      <w:r w:rsidR="006918A0" w:rsidRPr="006918A0">
        <w:rPr>
          <w:noProof/>
        </w:rPr>
        <w:t>3.1</w:t>
      </w:r>
      <w:r w:rsidR="006918A0" w:rsidRPr="006918A0">
        <w:rPr>
          <w:noProof/>
        </w:rPr>
        <w:tab/>
        <w:t>Heading(s) of the multiannual financial framework and expenditure budget line(s) affected</w:t>
      </w:r>
      <w:bookmarkEnd w:id="13"/>
      <w:bookmarkEnd w:id="14"/>
      <w:r w:rsidR="006918A0" w:rsidRPr="006918A0">
        <w:rPr>
          <w:noProof/>
        </w:rPr>
        <w:t xml:space="preserve"> </w:t>
      </w:r>
    </w:p>
    <w:p w14:paraId="6524ABDC" w14:textId="77777777" w:rsidR="006918A0" w:rsidRPr="006918A0" w:rsidRDefault="006918A0" w:rsidP="006918A0">
      <w:pPr>
        <w:tabs>
          <w:tab w:val="num" w:pos="1134"/>
        </w:tabs>
        <w:ind w:left="1134" w:hanging="283"/>
        <w:rPr>
          <w:rFonts w:eastAsia="Times New Roman"/>
          <w:noProof/>
          <w:lang w:eastAsia="de-DE"/>
        </w:rPr>
      </w:pPr>
      <w:r w:rsidRPr="006918A0">
        <w:rPr>
          <w:rFonts w:eastAsia="Times New Roman"/>
          <w:noProof/>
          <w:lang w:eastAsia="de-DE"/>
        </w:rPr>
        <w:t xml:space="preserve">Existing budget lines </w:t>
      </w:r>
    </w:p>
    <w:p w14:paraId="4AE2036B" w14:textId="77777777" w:rsidR="006918A0" w:rsidRPr="006918A0" w:rsidRDefault="006918A0" w:rsidP="006918A0">
      <w:pPr>
        <w:ind w:left="850"/>
        <w:rPr>
          <w:i/>
          <w:noProof/>
        </w:rPr>
      </w:pPr>
      <w:r w:rsidRPr="006918A0">
        <w:rPr>
          <w:i/>
          <w:noProof/>
          <w:u w:val="single"/>
        </w:rPr>
        <w:t>In order</w:t>
      </w:r>
      <w:r w:rsidRPr="006918A0">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918A0" w:rsidRPr="006918A0" w14:paraId="3058213D" w14:textId="77777777" w:rsidTr="000430BD">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BA9FA4F" w14:textId="77777777" w:rsidR="006918A0" w:rsidRPr="006918A0" w:rsidRDefault="006918A0" w:rsidP="006918A0">
            <w:pPr>
              <w:spacing w:before="60" w:after="60" w:line="276" w:lineRule="auto"/>
              <w:jc w:val="center"/>
              <w:rPr>
                <w:noProof/>
              </w:rPr>
            </w:pPr>
            <w:r w:rsidRPr="006918A0">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2F48BC2" w14:textId="77777777" w:rsidR="006918A0" w:rsidRPr="006918A0" w:rsidRDefault="006918A0" w:rsidP="006918A0">
            <w:pPr>
              <w:spacing w:before="60" w:after="60" w:line="276" w:lineRule="auto"/>
              <w:jc w:val="center"/>
              <w:rPr>
                <w:noProof/>
              </w:rPr>
            </w:pPr>
            <w:r w:rsidRPr="006918A0">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A249E6" w14:textId="77777777" w:rsidR="006918A0" w:rsidRPr="006918A0" w:rsidRDefault="006918A0" w:rsidP="006918A0">
            <w:pPr>
              <w:spacing w:before="60" w:after="60" w:line="276" w:lineRule="auto"/>
              <w:jc w:val="center"/>
              <w:rPr>
                <w:noProof/>
              </w:rPr>
            </w:pPr>
            <w:r w:rsidRPr="006918A0">
              <w:rPr>
                <w:noProof/>
                <w:sz w:val="18"/>
              </w:rPr>
              <w:t xml:space="preserve">Type of </w:t>
            </w:r>
            <w:r w:rsidRPr="006918A0">
              <w:rPr>
                <w:noProof/>
              </w:rPr>
              <w:br/>
            </w:r>
            <w:r w:rsidRPr="006918A0">
              <w:rPr>
                <w:noProof/>
                <w:sz w:val="18"/>
              </w:rP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5EF9CDC7" w14:textId="77777777" w:rsidR="006918A0" w:rsidRPr="006918A0" w:rsidRDefault="006918A0" w:rsidP="006918A0">
            <w:pPr>
              <w:spacing w:before="60" w:after="60" w:line="276" w:lineRule="auto"/>
              <w:jc w:val="center"/>
              <w:rPr>
                <w:noProof/>
              </w:rPr>
            </w:pPr>
            <w:r w:rsidRPr="006918A0">
              <w:rPr>
                <w:noProof/>
                <w:sz w:val="20"/>
              </w:rPr>
              <w:t xml:space="preserve">Contribution </w:t>
            </w:r>
          </w:p>
        </w:tc>
      </w:tr>
      <w:tr w:rsidR="006918A0" w:rsidRPr="006918A0" w14:paraId="3FCBB776" w14:textId="77777777" w:rsidTr="005B3EB2">
        <w:tc>
          <w:tcPr>
            <w:tcW w:w="1080" w:type="dxa"/>
            <w:vMerge/>
            <w:tcBorders>
              <w:top w:val="single" w:sz="4" w:space="0" w:color="auto"/>
              <w:left w:val="single" w:sz="4" w:space="0" w:color="auto"/>
              <w:bottom w:val="single" w:sz="4" w:space="0" w:color="auto"/>
              <w:right w:val="single" w:sz="4" w:space="0" w:color="auto"/>
            </w:tcBorders>
            <w:vAlign w:val="center"/>
            <w:hideMark/>
          </w:tcPr>
          <w:p w14:paraId="3FFFE1C0" w14:textId="77777777" w:rsidR="006918A0" w:rsidRPr="006918A0" w:rsidRDefault="006918A0" w:rsidP="006918A0">
            <w:pPr>
              <w:spacing w:before="0" w:after="0" w:line="276" w:lineRule="auto"/>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56844C41" w14:textId="77777777" w:rsidR="006918A0" w:rsidRPr="00A83E47" w:rsidRDefault="006918A0" w:rsidP="006918A0">
            <w:pPr>
              <w:spacing w:line="276" w:lineRule="auto"/>
              <w:rPr>
                <w:noProof/>
              </w:rPr>
            </w:pPr>
            <w:r w:rsidRPr="006918A0">
              <w:rPr>
                <w:noProof/>
                <w:sz w:val="20"/>
              </w:rPr>
              <w:t xml:space="preserve">Number: </w:t>
            </w:r>
            <w:r w:rsidRPr="006918A0">
              <w:rPr>
                <w:noProof/>
              </w:rPr>
              <w:t>03 04 0100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6E3AB9" w14:textId="77777777" w:rsidR="006918A0" w:rsidRPr="006918A0" w:rsidRDefault="006918A0" w:rsidP="006918A0">
            <w:pPr>
              <w:spacing w:line="276" w:lineRule="auto"/>
              <w:jc w:val="center"/>
              <w:rPr>
                <w:noProof/>
              </w:rPr>
            </w:pPr>
            <w:r w:rsidRPr="006918A0">
              <w:rPr>
                <w:noProof/>
                <w:sz w:val="18"/>
              </w:rPr>
              <w:t>Diff./Non-diff.</w:t>
            </w:r>
            <w:r w:rsidRPr="00F26004">
              <w:rPr>
                <w:rStyle w:val="FootnoteReference"/>
                <w:noProof/>
              </w:rPr>
              <w:footnoteReference w:id="47"/>
            </w:r>
          </w:p>
        </w:tc>
        <w:tc>
          <w:tcPr>
            <w:tcW w:w="956" w:type="dxa"/>
            <w:tcBorders>
              <w:top w:val="single" w:sz="4" w:space="0" w:color="auto"/>
              <w:left w:val="single" w:sz="4" w:space="0" w:color="auto"/>
              <w:bottom w:val="single" w:sz="4" w:space="0" w:color="auto"/>
              <w:right w:val="single" w:sz="4" w:space="0" w:color="auto"/>
            </w:tcBorders>
            <w:vAlign w:val="center"/>
          </w:tcPr>
          <w:p w14:paraId="1BCF8E45" w14:textId="77777777" w:rsidR="006918A0" w:rsidRPr="006918A0" w:rsidRDefault="006918A0" w:rsidP="006918A0">
            <w:pPr>
              <w:spacing w:line="276" w:lineRule="auto"/>
              <w:jc w:val="center"/>
              <w:rPr>
                <w:noProof/>
              </w:rPr>
            </w:pPr>
            <w:r w:rsidRPr="006918A0">
              <w:rPr>
                <w:noProof/>
                <w:sz w:val="18"/>
              </w:rPr>
              <w:t>from EFTA countries</w:t>
            </w:r>
            <w:r w:rsidRPr="00F26004">
              <w:rPr>
                <w:rStyle w:val="FootnoteReference"/>
                <w:noProof/>
              </w:rPr>
              <w:footnoteReference w:id="48"/>
            </w:r>
          </w:p>
          <w:p w14:paraId="0491B65A" w14:textId="77777777" w:rsidR="006918A0" w:rsidRPr="006918A0" w:rsidRDefault="006918A0" w:rsidP="006918A0">
            <w:pPr>
              <w:spacing w:before="0" w:after="0" w:line="276" w:lineRule="auto"/>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650D4088" w14:textId="77777777" w:rsidR="006918A0" w:rsidRPr="006918A0" w:rsidRDefault="006918A0" w:rsidP="006918A0">
            <w:pPr>
              <w:spacing w:line="276" w:lineRule="auto"/>
              <w:jc w:val="center"/>
              <w:rPr>
                <w:noProof/>
              </w:rPr>
            </w:pPr>
            <w:r w:rsidRPr="006918A0">
              <w:rPr>
                <w:noProof/>
                <w:sz w:val="18"/>
              </w:rPr>
              <w:t>from candidate countries</w:t>
            </w:r>
            <w:r w:rsidRPr="00F26004">
              <w:rPr>
                <w:rStyle w:val="FootnoteReference"/>
                <w:noProof/>
              </w:rPr>
              <w:footnoteReference w:id="49"/>
            </w:r>
          </w:p>
          <w:p w14:paraId="48719731" w14:textId="77777777" w:rsidR="006918A0" w:rsidRPr="006918A0" w:rsidRDefault="006918A0" w:rsidP="006918A0">
            <w:pPr>
              <w:spacing w:before="0" w:after="0" w:line="276" w:lineRule="auto"/>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48C22152" w14:textId="77777777" w:rsidR="006918A0" w:rsidRPr="006918A0" w:rsidRDefault="006918A0" w:rsidP="006918A0">
            <w:pPr>
              <w:spacing w:line="276" w:lineRule="auto"/>
              <w:jc w:val="center"/>
              <w:rPr>
                <w:noProof/>
                <w:sz w:val="18"/>
              </w:rPr>
            </w:pPr>
            <w:r w:rsidRPr="006918A0">
              <w:rPr>
                <w:noProof/>
                <w:sz w:val="18"/>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14:paraId="5A851D8E" w14:textId="77777777" w:rsidR="006918A0" w:rsidRPr="006918A0" w:rsidRDefault="006918A0" w:rsidP="006918A0">
            <w:pPr>
              <w:spacing w:line="276" w:lineRule="auto"/>
              <w:jc w:val="center"/>
              <w:rPr>
                <w:noProof/>
              </w:rPr>
            </w:pPr>
            <w:r w:rsidRPr="006918A0">
              <w:rPr>
                <w:noProof/>
                <w:sz w:val="16"/>
              </w:rPr>
              <w:t xml:space="preserve">within the meaning of Article 21(2)(b) of the Financial Regulation </w:t>
            </w:r>
          </w:p>
        </w:tc>
      </w:tr>
      <w:tr w:rsidR="006918A0" w:rsidRPr="006918A0" w14:paraId="0A9AFE5D" w14:textId="77777777" w:rsidTr="000430BD">
        <w:tc>
          <w:tcPr>
            <w:tcW w:w="1080" w:type="dxa"/>
            <w:tcBorders>
              <w:top w:val="single" w:sz="4" w:space="0" w:color="auto"/>
              <w:left w:val="single" w:sz="4" w:space="0" w:color="auto"/>
              <w:bottom w:val="single" w:sz="4" w:space="0" w:color="auto"/>
              <w:right w:val="single" w:sz="4" w:space="0" w:color="auto"/>
            </w:tcBorders>
            <w:vAlign w:val="center"/>
            <w:hideMark/>
          </w:tcPr>
          <w:p w14:paraId="054A12C5" w14:textId="77777777" w:rsidR="006918A0" w:rsidRPr="006918A0" w:rsidRDefault="006918A0" w:rsidP="006918A0">
            <w:pPr>
              <w:spacing w:line="276" w:lineRule="auto"/>
              <w:jc w:val="center"/>
              <w:rPr>
                <w:noProof/>
                <w:color w:val="0000FF"/>
              </w:rPr>
            </w:pPr>
            <w:r w:rsidRPr="006918A0">
              <w:rPr>
                <w:noProof/>
              </w:rPr>
              <w:t>1 - Single Market, Innovation and Digital</w:t>
            </w:r>
          </w:p>
        </w:tc>
        <w:tc>
          <w:tcPr>
            <w:tcW w:w="3960" w:type="dxa"/>
            <w:tcBorders>
              <w:top w:val="single" w:sz="4" w:space="0" w:color="auto"/>
              <w:left w:val="single" w:sz="4" w:space="0" w:color="auto"/>
              <w:bottom w:val="single" w:sz="4" w:space="0" w:color="auto"/>
              <w:right w:val="single" w:sz="4" w:space="0" w:color="auto"/>
            </w:tcBorders>
            <w:vAlign w:val="center"/>
          </w:tcPr>
          <w:p w14:paraId="05BECE6F" w14:textId="77777777" w:rsidR="006918A0" w:rsidRPr="00A83E47" w:rsidRDefault="006918A0" w:rsidP="006918A0">
            <w:pPr>
              <w:spacing w:line="276" w:lineRule="auto"/>
              <w:rPr>
                <w:noProof/>
              </w:rPr>
            </w:pPr>
            <w:r w:rsidRPr="006918A0">
              <w:rPr>
                <w:noProof/>
              </w:rPr>
              <w:t>Improving the proper functioning of the taxation systems</w:t>
            </w:r>
          </w:p>
          <w:p w14:paraId="04023B04" w14:textId="77777777" w:rsidR="006918A0" w:rsidRPr="006918A0" w:rsidRDefault="006918A0" w:rsidP="006918A0">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49EAEE4" w14:textId="77777777" w:rsidR="006918A0" w:rsidRPr="006918A0" w:rsidRDefault="006918A0" w:rsidP="006918A0">
            <w:pPr>
              <w:spacing w:line="276" w:lineRule="auto"/>
              <w:jc w:val="center"/>
              <w:rPr>
                <w:noProof/>
                <w:color w:val="0000FF"/>
              </w:rPr>
            </w:pPr>
            <w:r w:rsidRPr="006918A0">
              <w:rPr>
                <w:noProof/>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14:paraId="36A841A3" w14:textId="77777777" w:rsidR="006918A0" w:rsidRPr="006918A0" w:rsidRDefault="006918A0" w:rsidP="006918A0">
            <w:pPr>
              <w:spacing w:line="276" w:lineRule="auto"/>
              <w:jc w:val="center"/>
              <w:rPr>
                <w:noProof/>
                <w:sz w:val="20"/>
                <w:szCs w:val="20"/>
              </w:rPr>
            </w:pPr>
            <w:r w:rsidRPr="006918A0">
              <w:rPr>
                <w:noProof/>
                <w:sz w:val="20"/>
                <w:szCs w:val="20"/>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EAD7C3" w14:textId="77777777" w:rsidR="006918A0" w:rsidRPr="006918A0" w:rsidRDefault="006918A0" w:rsidP="006918A0">
            <w:pPr>
              <w:spacing w:line="276" w:lineRule="auto"/>
              <w:jc w:val="center"/>
              <w:rPr>
                <w:noProof/>
                <w:sz w:val="20"/>
                <w:szCs w:val="20"/>
              </w:rPr>
            </w:pPr>
            <w:r w:rsidRPr="006918A0">
              <w:rPr>
                <w:noProof/>
                <w:sz w:val="20"/>
                <w:szCs w:val="20"/>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14:paraId="1F6453F8" w14:textId="77777777" w:rsidR="006918A0" w:rsidRPr="006918A0" w:rsidRDefault="006918A0" w:rsidP="006918A0">
            <w:pPr>
              <w:spacing w:line="276" w:lineRule="auto"/>
              <w:jc w:val="center"/>
              <w:rPr>
                <w:noProof/>
                <w:sz w:val="20"/>
                <w:szCs w:val="20"/>
              </w:rPr>
            </w:pPr>
            <w:r w:rsidRPr="006918A0">
              <w:rPr>
                <w:noProof/>
                <w:sz w:val="20"/>
                <w:szCs w:val="20"/>
              </w:rPr>
              <w:t>NO</w:t>
            </w:r>
          </w:p>
        </w:tc>
        <w:tc>
          <w:tcPr>
            <w:tcW w:w="1448" w:type="dxa"/>
            <w:tcBorders>
              <w:top w:val="single" w:sz="4" w:space="0" w:color="auto"/>
              <w:left w:val="single" w:sz="4" w:space="0" w:color="auto"/>
              <w:bottom w:val="single" w:sz="4" w:space="0" w:color="auto"/>
              <w:right w:val="single" w:sz="4" w:space="0" w:color="auto"/>
            </w:tcBorders>
            <w:vAlign w:val="center"/>
            <w:hideMark/>
          </w:tcPr>
          <w:p w14:paraId="66F61BF2" w14:textId="77777777" w:rsidR="006918A0" w:rsidRPr="006918A0" w:rsidRDefault="006918A0" w:rsidP="006918A0">
            <w:pPr>
              <w:spacing w:line="276" w:lineRule="auto"/>
              <w:jc w:val="center"/>
              <w:rPr>
                <w:noProof/>
                <w:sz w:val="20"/>
                <w:szCs w:val="20"/>
              </w:rPr>
            </w:pPr>
            <w:r w:rsidRPr="006918A0">
              <w:rPr>
                <w:noProof/>
                <w:sz w:val="20"/>
                <w:szCs w:val="20"/>
              </w:rPr>
              <w:t>NO</w:t>
            </w:r>
          </w:p>
        </w:tc>
      </w:tr>
    </w:tbl>
    <w:p w14:paraId="771CFB64" w14:textId="77777777" w:rsidR="006918A0" w:rsidRPr="006918A0" w:rsidRDefault="006918A0" w:rsidP="006918A0">
      <w:pPr>
        <w:tabs>
          <w:tab w:val="num" w:pos="1134"/>
        </w:tabs>
        <w:ind w:left="1134" w:hanging="283"/>
        <w:rPr>
          <w:rFonts w:eastAsia="Times New Roman"/>
          <w:noProof/>
          <w:lang w:eastAsia="de-DE"/>
        </w:rPr>
      </w:pPr>
      <w:r w:rsidRPr="006918A0">
        <w:rPr>
          <w:rFonts w:eastAsia="Times New Roman"/>
          <w:noProof/>
          <w:lang w:eastAsia="de-DE"/>
        </w:rPr>
        <w:t xml:space="preserve">New budget lines requested </w:t>
      </w:r>
    </w:p>
    <w:p w14:paraId="2DE521B7" w14:textId="77777777" w:rsidR="006918A0" w:rsidRPr="006918A0" w:rsidRDefault="006918A0" w:rsidP="006918A0">
      <w:pPr>
        <w:ind w:left="850"/>
        <w:rPr>
          <w:i/>
          <w:noProof/>
          <w:sz w:val="20"/>
        </w:rPr>
      </w:pPr>
      <w:r w:rsidRPr="006918A0">
        <w:rPr>
          <w:i/>
          <w:noProof/>
          <w:u w:val="single"/>
        </w:rPr>
        <w:t>In order</w:t>
      </w:r>
      <w:r w:rsidRPr="006918A0">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918A0" w:rsidRPr="006918A0" w14:paraId="3898E52B" w14:textId="77777777" w:rsidTr="000430BD">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A4B4305" w14:textId="77777777" w:rsidR="006918A0" w:rsidRPr="006918A0" w:rsidRDefault="006918A0" w:rsidP="006918A0">
            <w:pPr>
              <w:spacing w:before="60" w:after="60" w:line="276" w:lineRule="auto"/>
              <w:jc w:val="center"/>
              <w:rPr>
                <w:noProof/>
                <w:sz w:val="18"/>
                <w:szCs w:val="18"/>
              </w:rPr>
            </w:pPr>
            <w:r w:rsidRPr="006918A0">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456F2FA" w14:textId="77777777" w:rsidR="006918A0" w:rsidRPr="006918A0" w:rsidRDefault="006918A0" w:rsidP="006918A0">
            <w:pPr>
              <w:spacing w:before="60" w:after="60" w:line="276" w:lineRule="auto"/>
              <w:jc w:val="center"/>
              <w:rPr>
                <w:noProof/>
              </w:rPr>
            </w:pPr>
            <w:r w:rsidRPr="006918A0">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6B44AB1" w14:textId="77777777" w:rsidR="006918A0" w:rsidRPr="006918A0" w:rsidRDefault="006918A0" w:rsidP="006918A0">
            <w:pPr>
              <w:spacing w:before="60" w:after="60" w:line="276" w:lineRule="auto"/>
              <w:jc w:val="center"/>
              <w:rPr>
                <w:noProof/>
              </w:rPr>
            </w:pPr>
            <w:r w:rsidRPr="006918A0">
              <w:rPr>
                <w:noProof/>
                <w:sz w:val="18"/>
              </w:rPr>
              <w:t>Type of</w:t>
            </w:r>
            <w:r w:rsidRPr="006918A0">
              <w:rPr>
                <w:noProof/>
              </w:rPr>
              <w:br/>
            </w:r>
            <w:r w:rsidRPr="006918A0">
              <w:rPr>
                <w:noProof/>
                <w:sz w:val="18"/>
              </w:rP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5DA25B64" w14:textId="77777777" w:rsidR="006918A0" w:rsidRPr="006918A0" w:rsidRDefault="006918A0" w:rsidP="006918A0">
            <w:pPr>
              <w:spacing w:before="60" w:after="60" w:line="276" w:lineRule="auto"/>
              <w:jc w:val="center"/>
              <w:rPr>
                <w:noProof/>
              </w:rPr>
            </w:pPr>
            <w:r w:rsidRPr="006918A0">
              <w:rPr>
                <w:noProof/>
                <w:sz w:val="20"/>
              </w:rPr>
              <w:t xml:space="preserve">Contribution </w:t>
            </w:r>
          </w:p>
        </w:tc>
      </w:tr>
      <w:tr w:rsidR="006918A0" w:rsidRPr="006918A0" w14:paraId="68822C77" w14:textId="77777777" w:rsidTr="000430BD">
        <w:tc>
          <w:tcPr>
            <w:tcW w:w="1080" w:type="dxa"/>
            <w:vMerge/>
            <w:tcBorders>
              <w:top w:val="single" w:sz="4" w:space="0" w:color="auto"/>
              <w:left w:val="single" w:sz="4" w:space="0" w:color="auto"/>
              <w:bottom w:val="single" w:sz="4" w:space="0" w:color="auto"/>
              <w:right w:val="single" w:sz="4" w:space="0" w:color="auto"/>
            </w:tcBorders>
            <w:vAlign w:val="center"/>
            <w:hideMark/>
          </w:tcPr>
          <w:p w14:paraId="5C9C744B" w14:textId="77777777" w:rsidR="006918A0" w:rsidRPr="006918A0" w:rsidRDefault="006918A0" w:rsidP="006918A0">
            <w:pPr>
              <w:spacing w:before="0" w:after="0" w:line="276" w:lineRule="auto"/>
              <w:jc w:val="left"/>
              <w:rPr>
                <w:noProof/>
                <w:sz w:val="18"/>
                <w:szCs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79263AA2" w14:textId="77777777" w:rsidR="006918A0" w:rsidRPr="006918A0" w:rsidRDefault="006918A0" w:rsidP="006918A0">
            <w:pPr>
              <w:spacing w:line="276" w:lineRule="auto"/>
              <w:rPr>
                <w:noProof/>
              </w:rPr>
            </w:pPr>
            <w:r w:rsidRPr="006918A0">
              <w:rPr>
                <w:noProof/>
                <w:sz w:val="20"/>
              </w:rPr>
              <w:t xml:space="preserve">Number </w:t>
            </w:r>
            <w:r w:rsidRPr="006918A0">
              <w:rPr>
                <w:noProof/>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4AA44D71" w14:textId="77777777" w:rsidR="006918A0" w:rsidRPr="006918A0" w:rsidRDefault="006918A0" w:rsidP="006918A0">
            <w:pPr>
              <w:spacing w:line="276" w:lineRule="auto"/>
              <w:jc w:val="center"/>
              <w:rPr>
                <w:noProof/>
              </w:rPr>
            </w:pPr>
            <w:r w:rsidRPr="006918A0">
              <w:rPr>
                <w:noProof/>
                <w:sz w:val="18"/>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14:paraId="1C3BB3CE" w14:textId="77777777" w:rsidR="006918A0" w:rsidRPr="006918A0" w:rsidRDefault="006918A0" w:rsidP="006918A0">
            <w:pPr>
              <w:spacing w:line="276" w:lineRule="auto"/>
              <w:jc w:val="center"/>
              <w:rPr>
                <w:noProof/>
                <w:sz w:val="18"/>
              </w:rPr>
            </w:pPr>
            <w:r w:rsidRPr="006918A0">
              <w:rPr>
                <w:noProof/>
                <w:sz w:val="18"/>
              </w:rPr>
              <w:t>from EFTA countries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6DB1D0" w14:textId="77777777" w:rsidR="006918A0" w:rsidRPr="006918A0" w:rsidRDefault="006918A0" w:rsidP="006918A0">
            <w:pPr>
              <w:spacing w:line="276" w:lineRule="auto"/>
              <w:jc w:val="center"/>
              <w:rPr>
                <w:noProof/>
                <w:sz w:val="18"/>
              </w:rPr>
            </w:pPr>
            <w:r w:rsidRPr="006918A0">
              <w:rPr>
                <w:noProof/>
                <w:sz w:val="18"/>
              </w:rPr>
              <w:t>from candidate countries</w:t>
            </w:r>
          </w:p>
        </w:tc>
        <w:tc>
          <w:tcPr>
            <w:tcW w:w="956" w:type="dxa"/>
            <w:tcBorders>
              <w:top w:val="single" w:sz="4" w:space="0" w:color="auto"/>
              <w:left w:val="single" w:sz="4" w:space="0" w:color="auto"/>
              <w:bottom w:val="single" w:sz="4" w:space="0" w:color="auto"/>
              <w:right w:val="single" w:sz="4" w:space="0" w:color="auto"/>
            </w:tcBorders>
            <w:vAlign w:val="center"/>
            <w:hideMark/>
          </w:tcPr>
          <w:p w14:paraId="404B5972" w14:textId="77777777" w:rsidR="006918A0" w:rsidRPr="006918A0" w:rsidRDefault="006918A0" w:rsidP="006918A0">
            <w:pPr>
              <w:spacing w:line="276" w:lineRule="auto"/>
              <w:jc w:val="center"/>
              <w:rPr>
                <w:noProof/>
                <w:sz w:val="18"/>
              </w:rPr>
            </w:pPr>
            <w:r w:rsidRPr="006918A0">
              <w:rPr>
                <w:noProof/>
                <w:sz w:val="18"/>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5B33EEF" w14:textId="77777777" w:rsidR="006918A0" w:rsidRPr="006918A0" w:rsidRDefault="006918A0" w:rsidP="006918A0">
            <w:pPr>
              <w:spacing w:line="276" w:lineRule="auto"/>
              <w:jc w:val="center"/>
              <w:rPr>
                <w:noProof/>
              </w:rPr>
            </w:pPr>
            <w:r w:rsidRPr="006918A0">
              <w:rPr>
                <w:noProof/>
                <w:sz w:val="16"/>
              </w:rPr>
              <w:t xml:space="preserve">within the meaning of Article 21(2)(b) of the Financial Regulation </w:t>
            </w:r>
          </w:p>
        </w:tc>
      </w:tr>
      <w:tr w:rsidR="006918A0" w:rsidRPr="006918A0" w14:paraId="21F2044D" w14:textId="77777777" w:rsidTr="000430BD">
        <w:tc>
          <w:tcPr>
            <w:tcW w:w="1080" w:type="dxa"/>
            <w:tcBorders>
              <w:top w:val="single" w:sz="4" w:space="0" w:color="auto"/>
              <w:left w:val="single" w:sz="4" w:space="0" w:color="auto"/>
              <w:bottom w:val="single" w:sz="4" w:space="0" w:color="auto"/>
              <w:right w:val="single" w:sz="4" w:space="0" w:color="auto"/>
            </w:tcBorders>
            <w:vAlign w:val="center"/>
          </w:tcPr>
          <w:p w14:paraId="64F0C2AC" w14:textId="77777777" w:rsidR="006918A0" w:rsidRPr="006918A0" w:rsidRDefault="006918A0" w:rsidP="006918A0">
            <w:pPr>
              <w:spacing w:line="276" w:lineRule="auto"/>
              <w:jc w:val="center"/>
              <w:rPr>
                <w:noProof/>
                <w:color w:val="0000FF"/>
              </w:rPr>
            </w:pPr>
          </w:p>
        </w:tc>
        <w:tc>
          <w:tcPr>
            <w:tcW w:w="3960" w:type="dxa"/>
            <w:tcBorders>
              <w:top w:val="single" w:sz="4" w:space="0" w:color="auto"/>
              <w:left w:val="single" w:sz="4" w:space="0" w:color="auto"/>
              <w:bottom w:val="single" w:sz="4" w:space="0" w:color="auto"/>
              <w:right w:val="single" w:sz="4" w:space="0" w:color="auto"/>
            </w:tcBorders>
            <w:vAlign w:val="center"/>
          </w:tcPr>
          <w:p w14:paraId="03691A7A" w14:textId="77777777" w:rsidR="006918A0" w:rsidRPr="006918A0" w:rsidRDefault="006918A0" w:rsidP="006918A0">
            <w:pPr>
              <w:spacing w:before="60" w:line="276" w:lineRule="auto"/>
              <w:rPr>
                <w:noProof/>
              </w:rPr>
            </w:pPr>
            <w:r w:rsidRPr="006918A0">
              <w:rPr>
                <w:noProof/>
              </w:rPr>
              <w:t>[XX.YY.YY.YY]</w:t>
            </w:r>
          </w:p>
          <w:p w14:paraId="72297390" w14:textId="77777777" w:rsidR="006918A0" w:rsidRPr="006918A0" w:rsidRDefault="006918A0" w:rsidP="006918A0">
            <w:pPr>
              <w:spacing w:after="60" w:line="276" w:lineRule="auto"/>
              <w:rPr>
                <w:noProof/>
                <w:color w:val="0000FF"/>
              </w:rPr>
            </w:pPr>
          </w:p>
        </w:tc>
        <w:tc>
          <w:tcPr>
            <w:tcW w:w="1080" w:type="dxa"/>
            <w:tcBorders>
              <w:top w:val="single" w:sz="4" w:space="0" w:color="auto"/>
              <w:left w:val="single" w:sz="4" w:space="0" w:color="auto"/>
              <w:bottom w:val="single" w:sz="4" w:space="0" w:color="auto"/>
              <w:right w:val="single" w:sz="4" w:space="0" w:color="auto"/>
            </w:tcBorders>
            <w:vAlign w:val="center"/>
          </w:tcPr>
          <w:p w14:paraId="3B4352D3" w14:textId="77777777" w:rsidR="006918A0" w:rsidRPr="006918A0" w:rsidRDefault="006918A0" w:rsidP="006918A0">
            <w:pPr>
              <w:spacing w:line="276" w:lineRule="auto"/>
              <w:jc w:val="center"/>
              <w:rPr>
                <w:noProof/>
                <w:color w:val="0000FF"/>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20CD37B4" w14:textId="77777777" w:rsidR="006918A0" w:rsidRPr="006918A0" w:rsidRDefault="006918A0" w:rsidP="006918A0">
            <w:pPr>
              <w:spacing w:line="276" w:lineRule="auto"/>
              <w:jc w:val="center"/>
              <w:rPr>
                <w:noProof/>
                <w:sz w:val="20"/>
                <w:szCs w:val="20"/>
              </w:rPr>
            </w:pPr>
            <w:r w:rsidRPr="006918A0">
              <w:rPr>
                <w:noProof/>
                <w:sz w:val="20"/>
                <w:szCs w:val="20"/>
              </w:rPr>
              <w:t>YES/NO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DEC011" w14:textId="77777777" w:rsidR="006918A0" w:rsidRPr="006918A0" w:rsidRDefault="006918A0" w:rsidP="006918A0">
            <w:pPr>
              <w:spacing w:line="276" w:lineRule="auto"/>
              <w:jc w:val="center"/>
              <w:rPr>
                <w:noProof/>
                <w:color w:val="0000FF"/>
                <w:sz w:val="20"/>
                <w:szCs w:val="20"/>
              </w:rPr>
            </w:pPr>
            <w:r w:rsidRPr="006918A0">
              <w:rPr>
                <w:noProof/>
                <w:sz w:val="20"/>
                <w:szCs w:val="20"/>
              </w:rPr>
              <w:t>YES/NO</w:t>
            </w:r>
          </w:p>
        </w:tc>
        <w:tc>
          <w:tcPr>
            <w:tcW w:w="956" w:type="dxa"/>
            <w:tcBorders>
              <w:top w:val="single" w:sz="4" w:space="0" w:color="auto"/>
              <w:left w:val="single" w:sz="4" w:space="0" w:color="auto"/>
              <w:bottom w:val="single" w:sz="4" w:space="0" w:color="auto"/>
              <w:right w:val="single" w:sz="4" w:space="0" w:color="auto"/>
            </w:tcBorders>
            <w:vAlign w:val="center"/>
            <w:hideMark/>
          </w:tcPr>
          <w:p w14:paraId="2B7B378D" w14:textId="77777777" w:rsidR="006918A0" w:rsidRPr="006918A0" w:rsidRDefault="006918A0" w:rsidP="006918A0">
            <w:pPr>
              <w:spacing w:line="276" w:lineRule="auto"/>
              <w:jc w:val="center"/>
              <w:rPr>
                <w:noProof/>
                <w:color w:val="0000FF"/>
                <w:sz w:val="20"/>
                <w:szCs w:val="20"/>
              </w:rPr>
            </w:pPr>
            <w:r w:rsidRPr="006918A0">
              <w:rPr>
                <w:noProof/>
                <w:sz w:val="20"/>
                <w:szCs w:val="20"/>
              </w:rPr>
              <w:t>YES/NO</w:t>
            </w:r>
          </w:p>
        </w:tc>
        <w:tc>
          <w:tcPr>
            <w:tcW w:w="1448" w:type="dxa"/>
            <w:tcBorders>
              <w:top w:val="single" w:sz="4" w:space="0" w:color="auto"/>
              <w:left w:val="single" w:sz="4" w:space="0" w:color="auto"/>
              <w:bottom w:val="single" w:sz="4" w:space="0" w:color="auto"/>
              <w:right w:val="single" w:sz="4" w:space="0" w:color="auto"/>
            </w:tcBorders>
            <w:vAlign w:val="center"/>
            <w:hideMark/>
          </w:tcPr>
          <w:p w14:paraId="310EDAF0" w14:textId="77777777" w:rsidR="006918A0" w:rsidRPr="006918A0" w:rsidRDefault="006918A0" w:rsidP="006918A0">
            <w:pPr>
              <w:spacing w:line="276" w:lineRule="auto"/>
              <w:jc w:val="center"/>
              <w:rPr>
                <w:noProof/>
                <w:sz w:val="20"/>
                <w:szCs w:val="20"/>
              </w:rPr>
            </w:pPr>
            <w:r w:rsidRPr="006918A0">
              <w:rPr>
                <w:noProof/>
                <w:sz w:val="20"/>
                <w:szCs w:val="20"/>
              </w:rPr>
              <w:t>YES/NO</w:t>
            </w:r>
          </w:p>
        </w:tc>
      </w:tr>
    </w:tbl>
    <w:p w14:paraId="5C9BD304" w14:textId="77777777" w:rsidR="006918A0" w:rsidRPr="006918A0" w:rsidRDefault="006918A0" w:rsidP="006918A0">
      <w:pPr>
        <w:spacing w:before="0" w:after="0"/>
        <w:jc w:val="left"/>
        <w:rPr>
          <w:noProof/>
        </w:rPr>
        <w:sectPr w:rsidR="006918A0" w:rsidRPr="006918A0" w:rsidSect="00B018F6">
          <w:pgSz w:w="11907" w:h="16840"/>
          <w:pgMar w:top="1134" w:right="1418" w:bottom="1134" w:left="1418" w:header="709" w:footer="709" w:gutter="0"/>
          <w:cols w:space="720"/>
          <w:docGrid w:linePitch="326"/>
        </w:sectPr>
      </w:pPr>
    </w:p>
    <w:p w14:paraId="60FB2082" w14:textId="77777777" w:rsidR="006918A0" w:rsidRPr="006918A0" w:rsidRDefault="00287904" w:rsidP="00287904">
      <w:pPr>
        <w:pStyle w:val="ManualHeading2"/>
        <w:rPr>
          <w:noProof/>
        </w:rPr>
      </w:pPr>
      <w:bookmarkStart w:id="15" w:name="_Toc514938052"/>
      <w:bookmarkStart w:id="16" w:name="_Toc520485051"/>
      <w:r>
        <w:rPr>
          <w:noProof/>
        </w:rPr>
        <w:tab/>
      </w:r>
      <w:r w:rsidR="006918A0" w:rsidRPr="006918A0">
        <w:rPr>
          <w:noProof/>
        </w:rPr>
        <w:t>3.2</w:t>
      </w:r>
      <w:r w:rsidR="006918A0" w:rsidRPr="006918A0">
        <w:rPr>
          <w:noProof/>
        </w:rPr>
        <w:tab/>
        <w:t>Estimated financial impact of the proposal on appropriations</w:t>
      </w:r>
      <w:bookmarkEnd w:id="15"/>
      <w:bookmarkEnd w:id="16"/>
      <w:r w:rsidR="006918A0" w:rsidRPr="006918A0">
        <w:rPr>
          <w:noProof/>
        </w:rPr>
        <w:t xml:space="preserve"> </w:t>
      </w:r>
    </w:p>
    <w:p w14:paraId="1D1B1630" w14:textId="77777777" w:rsidR="006918A0" w:rsidRPr="006918A0" w:rsidRDefault="00287904" w:rsidP="00287904">
      <w:pPr>
        <w:pStyle w:val="ManualHeading3"/>
        <w:rPr>
          <w:noProof/>
        </w:rPr>
      </w:pPr>
      <w:bookmarkStart w:id="17" w:name="_Toc514938053"/>
      <w:bookmarkStart w:id="18" w:name="_Toc520485052"/>
      <w:r>
        <w:rPr>
          <w:noProof/>
        </w:rPr>
        <w:tab/>
      </w:r>
      <w:r w:rsidR="006918A0" w:rsidRPr="006918A0">
        <w:rPr>
          <w:noProof/>
        </w:rPr>
        <w:t>3.2.1</w:t>
      </w:r>
      <w:r w:rsidR="006918A0" w:rsidRPr="006918A0">
        <w:rPr>
          <w:noProof/>
        </w:rPr>
        <w:tab/>
        <w:t>Summary of estimated impact on operational appropriations</w:t>
      </w:r>
      <w:bookmarkEnd w:id="17"/>
      <w:bookmarkEnd w:id="18"/>
      <w:r w:rsidR="006918A0" w:rsidRPr="006918A0">
        <w:rPr>
          <w:noProof/>
        </w:rPr>
        <w:t xml:space="preserve"> </w:t>
      </w:r>
    </w:p>
    <w:p w14:paraId="332EE5B0" w14:textId="77777777" w:rsidR="006918A0" w:rsidRPr="006918A0" w:rsidRDefault="006918A0" w:rsidP="006918A0">
      <w:pPr>
        <w:tabs>
          <w:tab w:val="num" w:pos="1134"/>
        </w:tabs>
        <w:ind w:left="1134" w:hanging="283"/>
        <w:rPr>
          <w:rFonts w:eastAsia="Times New Roman"/>
          <w:noProof/>
          <w:lang w:eastAsia="de-DE"/>
        </w:rPr>
      </w:pPr>
      <w:r w:rsidRPr="005B3EB2">
        <w:rPr>
          <w:rFonts w:ascii="Wingdings" w:hAnsi="Wingdings"/>
          <w:noProof/>
        </w:rPr>
        <w:sym w:font="Wingdings" w:char="F0A8"/>
      </w:r>
      <w:r w:rsidRPr="006918A0">
        <w:rPr>
          <w:rFonts w:eastAsia="Times New Roman"/>
          <w:noProof/>
          <w:lang w:eastAsia="de-DE"/>
        </w:rPr>
        <w:tab/>
        <w:t xml:space="preserve">The proposal/initiative does not require the use of operational appropriations </w:t>
      </w:r>
    </w:p>
    <w:p w14:paraId="292E57E5" w14:textId="77777777" w:rsidR="006918A0" w:rsidRPr="006918A0" w:rsidRDefault="006918A0" w:rsidP="006918A0">
      <w:pPr>
        <w:tabs>
          <w:tab w:val="num" w:pos="1134"/>
        </w:tabs>
        <w:ind w:left="1134" w:hanging="283"/>
        <w:rPr>
          <w:rFonts w:eastAsia="Times New Roman"/>
          <w:noProof/>
          <w:lang w:eastAsia="de-DE"/>
        </w:rPr>
      </w:pPr>
      <w:r w:rsidRPr="005B3EB2">
        <w:rPr>
          <w:rFonts w:ascii="Wingdings" w:hAnsi="Wingdings"/>
          <w:noProof/>
        </w:rPr>
        <w:sym w:font="Wingdings" w:char="F0FD"/>
      </w:r>
      <w:r w:rsidRPr="006918A0">
        <w:rPr>
          <w:rFonts w:eastAsia="Times New Roman"/>
          <w:noProof/>
          <w:lang w:eastAsia="de-DE"/>
        </w:rPr>
        <w:tab/>
        <w:t>The proposal/initiative requires the use of operational appropriations, as explained below:</w:t>
      </w:r>
    </w:p>
    <w:p w14:paraId="71EEC68D" w14:textId="77777777" w:rsidR="006918A0" w:rsidRPr="006918A0" w:rsidRDefault="006918A0" w:rsidP="006918A0">
      <w:pPr>
        <w:jc w:val="right"/>
        <w:rPr>
          <w:noProof/>
          <w:sz w:val="18"/>
          <w:szCs w:val="18"/>
        </w:rPr>
      </w:pPr>
      <w:r w:rsidRPr="006918A0">
        <w:rPr>
          <w:noProof/>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918A0" w:rsidRPr="006918A0" w14:paraId="3EA898B8" w14:textId="77777777" w:rsidTr="000430BD">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704411AC" w14:textId="77777777" w:rsidR="006918A0" w:rsidRPr="006918A0" w:rsidRDefault="006918A0" w:rsidP="006918A0">
            <w:pPr>
              <w:spacing w:before="60" w:after="60" w:line="276" w:lineRule="auto"/>
              <w:jc w:val="center"/>
              <w:rPr>
                <w:b/>
                <w:noProof/>
              </w:rPr>
            </w:pPr>
            <w:r w:rsidRPr="006918A0">
              <w:rPr>
                <w:b/>
                <w:noProof/>
              </w:rPr>
              <w:t xml:space="preserve">Heading of multiannual financial </w:t>
            </w:r>
            <w:r w:rsidRPr="006918A0">
              <w:rPr>
                <w:noProof/>
              </w:rPr>
              <w:br/>
            </w:r>
            <w:r w:rsidRPr="006918A0">
              <w:rPr>
                <w:b/>
                <w:noProof/>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66D676" w14:textId="77777777" w:rsidR="006918A0" w:rsidRPr="00A83E47" w:rsidRDefault="006918A0" w:rsidP="006918A0">
            <w:pPr>
              <w:spacing w:before="60" w:after="60" w:line="276" w:lineRule="auto"/>
              <w:jc w:val="center"/>
              <w:rPr>
                <w:noProof/>
              </w:rPr>
            </w:pPr>
            <w:r w:rsidRPr="006918A0">
              <w:rPr>
                <w:noProof/>
              </w:rPr>
              <w:t>Number</w:t>
            </w:r>
          </w:p>
          <w:p w14:paraId="4A3E6B1F" w14:textId="77777777" w:rsidR="006918A0" w:rsidRPr="006918A0" w:rsidRDefault="006918A0" w:rsidP="006918A0">
            <w:pPr>
              <w:spacing w:before="60" w:after="60" w:line="276" w:lineRule="auto"/>
              <w:jc w:val="center"/>
              <w:rPr>
                <w:noProof/>
              </w:rPr>
            </w:pPr>
            <w:r w:rsidRPr="006918A0">
              <w:rPr>
                <w:noProof/>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14:paraId="57A060A6" w14:textId="77777777" w:rsidR="006918A0" w:rsidRPr="006918A0" w:rsidRDefault="006918A0" w:rsidP="006918A0">
            <w:pPr>
              <w:spacing w:before="60" w:after="60" w:line="276" w:lineRule="auto"/>
              <w:rPr>
                <w:noProof/>
              </w:rPr>
            </w:pPr>
            <w:r w:rsidRPr="006918A0">
              <w:rPr>
                <w:noProof/>
              </w:rPr>
              <w:t>Single Market, Innovation and Digital</w:t>
            </w:r>
          </w:p>
        </w:tc>
      </w:tr>
    </w:tbl>
    <w:p w14:paraId="64F7B192" w14:textId="77777777" w:rsidR="006918A0" w:rsidRPr="006918A0" w:rsidRDefault="006918A0" w:rsidP="006918A0">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2099"/>
        <w:gridCol w:w="23"/>
      </w:tblGrid>
      <w:tr w:rsidR="006918A0" w:rsidRPr="006918A0" w14:paraId="3A83AEBA" w14:textId="77777777" w:rsidTr="00E104B3">
        <w:trPr>
          <w:gridAfter w:val="1"/>
          <w:wAfter w:w="23" w:type="dxa"/>
        </w:trPr>
        <w:tc>
          <w:tcPr>
            <w:tcW w:w="3960" w:type="dxa"/>
            <w:tcBorders>
              <w:top w:val="single" w:sz="4" w:space="0" w:color="auto"/>
              <w:left w:val="single" w:sz="4" w:space="0" w:color="auto"/>
              <w:bottom w:val="single" w:sz="4" w:space="0" w:color="auto"/>
              <w:right w:val="single" w:sz="4" w:space="0" w:color="auto"/>
            </w:tcBorders>
            <w:vAlign w:val="center"/>
            <w:hideMark/>
          </w:tcPr>
          <w:p w14:paraId="0D640901" w14:textId="77777777" w:rsidR="006918A0" w:rsidRPr="006918A0" w:rsidRDefault="006918A0" w:rsidP="006918A0">
            <w:pPr>
              <w:spacing w:line="276" w:lineRule="auto"/>
              <w:jc w:val="center"/>
              <w:rPr>
                <w:noProof/>
              </w:rPr>
            </w:pPr>
            <w:r w:rsidRPr="006918A0">
              <w:rPr>
                <w:noProof/>
              </w:rPr>
              <w:t>DG: TAXUD</w:t>
            </w:r>
          </w:p>
        </w:tc>
        <w:tc>
          <w:tcPr>
            <w:tcW w:w="1560" w:type="dxa"/>
            <w:gridSpan w:val="2"/>
            <w:tcBorders>
              <w:top w:val="single" w:sz="4" w:space="0" w:color="auto"/>
              <w:left w:val="single" w:sz="4" w:space="0" w:color="auto"/>
              <w:bottom w:val="single" w:sz="4" w:space="0" w:color="auto"/>
              <w:right w:val="single" w:sz="4" w:space="0" w:color="auto"/>
            </w:tcBorders>
          </w:tcPr>
          <w:p w14:paraId="51BA3278" w14:textId="77777777" w:rsidR="006918A0" w:rsidRPr="006918A0" w:rsidRDefault="006918A0" w:rsidP="006918A0">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14:paraId="6F2F0DE4" w14:textId="77777777" w:rsidR="006918A0" w:rsidRPr="006918A0" w:rsidRDefault="006918A0" w:rsidP="006918A0">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B34DE08" w14:textId="77777777" w:rsidR="006918A0" w:rsidRPr="006918A0" w:rsidRDefault="006918A0" w:rsidP="006918A0">
            <w:pPr>
              <w:spacing w:line="276" w:lineRule="auto"/>
              <w:jc w:val="center"/>
              <w:rPr>
                <w:noProof/>
                <w:sz w:val="20"/>
              </w:rPr>
            </w:pPr>
            <w:r w:rsidRPr="006918A0">
              <w:rPr>
                <w:noProof/>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3636E300" w14:textId="77777777" w:rsidR="006918A0" w:rsidRPr="006918A0" w:rsidRDefault="006918A0" w:rsidP="006918A0">
            <w:pPr>
              <w:spacing w:line="276" w:lineRule="auto"/>
              <w:jc w:val="center"/>
              <w:rPr>
                <w:noProof/>
                <w:sz w:val="20"/>
              </w:rPr>
            </w:pPr>
            <w:r w:rsidRPr="006918A0">
              <w:rPr>
                <w:noProof/>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72AF47D8" w14:textId="77777777" w:rsidR="006918A0" w:rsidRPr="006918A0" w:rsidRDefault="006918A0" w:rsidP="006918A0">
            <w:pPr>
              <w:spacing w:line="276" w:lineRule="auto"/>
              <w:jc w:val="center"/>
              <w:rPr>
                <w:noProof/>
                <w:sz w:val="20"/>
              </w:rPr>
            </w:pPr>
            <w:r w:rsidRPr="006918A0">
              <w:rPr>
                <w:noProof/>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964294C" w14:textId="77777777" w:rsidR="006918A0" w:rsidRPr="006918A0" w:rsidRDefault="006918A0" w:rsidP="006918A0">
            <w:pPr>
              <w:spacing w:line="276" w:lineRule="auto"/>
              <w:jc w:val="center"/>
              <w:rPr>
                <w:noProof/>
                <w:sz w:val="20"/>
              </w:rPr>
            </w:pPr>
            <w:r w:rsidRPr="006918A0">
              <w:rPr>
                <w:noProof/>
              </w:rPr>
              <w:t>2026</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14:paraId="22911DF4" w14:textId="77777777" w:rsidR="006918A0" w:rsidRPr="006918A0" w:rsidRDefault="006918A0" w:rsidP="006918A0">
            <w:pPr>
              <w:spacing w:line="276" w:lineRule="auto"/>
              <w:jc w:val="center"/>
              <w:rPr>
                <w:b/>
                <w:noProof/>
                <w:sz w:val="18"/>
              </w:rPr>
            </w:pPr>
            <w:r w:rsidRPr="006918A0">
              <w:rPr>
                <w:noProof/>
                <w:sz w:val="18"/>
              </w:rPr>
              <w:t>Enter as many years as necessary to show the duration of the impact (see point 1.6)</w:t>
            </w:r>
          </w:p>
        </w:tc>
        <w:tc>
          <w:tcPr>
            <w:tcW w:w="2099" w:type="dxa"/>
            <w:tcBorders>
              <w:top w:val="single" w:sz="4" w:space="0" w:color="auto"/>
              <w:left w:val="single" w:sz="4" w:space="0" w:color="auto"/>
              <w:bottom w:val="single" w:sz="4" w:space="0" w:color="auto"/>
              <w:right w:val="single" w:sz="4" w:space="0" w:color="auto"/>
            </w:tcBorders>
            <w:vAlign w:val="center"/>
            <w:hideMark/>
          </w:tcPr>
          <w:p w14:paraId="3436EF36" w14:textId="77777777" w:rsidR="006918A0" w:rsidRPr="006918A0" w:rsidRDefault="006918A0" w:rsidP="006918A0">
            <w:pPr>
              <w:spacing w:line="276" w:lineRule="auto"/>
              <w:jc w:val="center"/>
              <w:rPr>
                <w:b/>
                <w:noProof/>
                <w:sz w:val="20"/>
              </w:rPr>
            </w:pPr>
            <w:r w:rsidRPr="006918A0">
              <w:rPr>
                <w:b/>
                <w:noProof/>
                <w:sz w:val="20"/>
              </w:rPr>
              <w:t>TOTAL</w:t>
            </w:r>
          </w:p>
        </w:tc>
      </w:tr>
      <w:tr w:rsidR="006918A0" w:rsidRPr="006918A0" w14:paraId="46A09A5A" w14:textId="77777777" w:rsidTr="00E104B3">
        <w:trPr>
          <w:gridAfter w:val="1"/>
          <w:wAfter w:w="23" w:type="dxa"/>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14:paraId="68D2F3AE" w14:textId="77777777" w:rsidR="006918A0" w:rsidRPr="006918A0" w:rsidRDefault="006918A0" w:rsidP="006918A0">
            <w:pPr>
              <w:spacing w:before="20" w:after="20" w:line="276" w:lineRule="auto"/>
              <w:rPr>
                <w:noProof/>
                <w:sz w:val="21"/>
              </w:rPr>
            </w:pPr>
            <w:r w:rsidRPr="005B3EB2">
              <w:rPr>
                <w:rFonts w:ascii="Wingdings" w:hAnsi="Wingdings"/>
                <w:noProof/>
                <w:sz w:val="21"/>
              </w:rPr>
              <w:sym w:font="Wingdings" w:char="F09F"/>
            </w:r>
            <w:r w:rsidRPr="006918A0">
              <w:rPr>
                <w:noProof/>
                <w:sz w:val="21"/>
              </w:rPr>
              <w:t xml:space="preserve"> Operational appropriations </w:t>
            </w:r>
          </w:p>
        </w:tc>
        <w:tc>
          <w:tcPr>
            <w:tcW w:w="868" w:type="dxa"/>
            <w:tcBorders>
              <w:top w:val="single" w:sz="4" w:space="0" w:color="auto"/>
              <w:left w:val="single" w:sz="4" w:space="0" w:color="auto"/>
              <w:bottom w:val="single" w:sz="4" w:space="0" w:color="auto"/>
              <w:right w:val="single" w:sz="4" w:space="0" w:color="auto"/>
            </w:tcBorders>
            <w:vAlign w:val="center"/>
          </w:tcPr>
          <w:p w14:paraId="7FDB3971" w14:textId="77777777" w:rsidR="006918A0" w:rsidRPr="006918A0"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8379F16" w14:textId="77777777" w:rsidR="006918A0" w:rsidRPr="006918A0"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8DECC5C" w14:textId="77777777" w:rsidR="006918A0" w:rsidRPr="006918A0"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652B633" w14:textId="77777777" w:rsidR="006918A0" w:rsidRPr="006918A0"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E246EA9" w14:textId="77777777" w:rsidR="006918A0" w:rsidRPr="006918A0"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6B622B5" w14:textId="77777777" w:rsidR="006918A0" w:rsidRPr="006918A0" w:rsidRDefault="006918A0" w:rsidP="006918A0">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45E6760" w14:textId="77777777" w:rsidR="006918A0" w:rsidRPr="006918A0" w:rsidRDefault="006918A0" w:rsidP="006918A0">
            <w:pPr>
              <w:spacing w:line="276" w:lineRule="auto"/>
              <w:rPr>
                <w:b/>
                <w:noProof/>
                <w:sz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44B09DC0" w14:textId="77777777" w:rsidR="006918A0" w:rsidRPr="006918A0" w:rsidRDefault="006918A0" w:rsidP="006918A0">
            <w:pPr>
              <w:spacing w:line="276" w:lineRule="auto"/>
              <w:rPr>
                <w:b/>
                <w:noProof/>
                <w:sz w:val="20"/>
              </w:rPr>
            </w:pPr>
          </w:p>
        </w:tc>
      </w:tr>
      <w:tr w:rsidR="006918A0" w:rsidRPr="006918A0" w14:paraId="31EED733" w14:textId="77777777" w:rsidTr="00E104B3">
        <w:trPr>
          <w:gridAfter w:val="1"/>
          <w:wAfter w:w="23" w:type="dxa"/>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1A4E531A" w14:textId="77777777" w:rsidR="006918A0" w:rsidRPr="006918A0" w:rsidRDefault="006918A0" w:rsidP="006918A0">
            <w:pPr>
              <w:spacing w:line="276" w:lineRule="auto"/>
              <w:rPr>
                <w:noProof/>
              </w:rPr>
            </w:pPr>
            <w:r w:rsidRPr="006918A0">
              <w:rPr>
                <w:noProof/>
                <w:sz w:val="20"/>
              </w:rPr>
              <w:t>Budget line</w:t>
            </w:r>
            <w:r w:rsidRPr="00F26004">
              <w:rPr>
                <w:rStyle w:val="FootnoteReference"/>
                <w:noProof/>
              </w:rPr>
              <w:footnoteReference w:id="50"/>
            </w:r>
            <w:r w:rsidRPr="006918A0">
              <w:rPr>
                <w:noProof/>
                <w:sz w:val="20"/>
              </w:rPr>
              <w:t xml:space="preserve"> 03.04.01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9D6CF35" w14:textId="77777777" w:rsidR="006918A0" w:rsidRPr="006918A0" w:rsidRDefault="006918A0" w:rsidP="006918A0">
            <w:pPr>
              <w:spacing w:before="20" w:after="20" w:line="276" w:lineRule="auto"/>
              <w:rPr>
                <w:noProof/>
                <w:sz w:val="18"/>
              </w:rPr>
            </w:pPr>
            <w:r w:rsidRPr="006918A0">
              <w:rPr>
                <w:noProof/>
                <w:sz w:val="18"/>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0D7F806" w14:textId="77777777" w:rsidR="006918A0" w:rsidRPr="006918A0" w:rsidRDefault="006918A0" w:rsidP="006918A0">
            <w:pPr>
              <w:spacing w:before="20" w:after="20" w:line="276" w:lineRule="auto"/>
              <w:jc w:val="center"/>
              <w:rPr>
                <w:noProof/>
                <w:sz w:val="14"/>
              </w:rPr>
            </w:pPr>
            <w:r w:rsidRPr="006918A0">
              <w:rPr>
                <w:noProof/>
                <w:sz w:val="14"/>
              </w:rPr>
              <w:t>(1a)</w:t>
            </w:r>
          </w:p>
        </w:tc>
        <w:tc>
          <w:tcPr>
            <w:tcW w:w="868" w:type="dxa"/>
            <w:tcBorders>
              <w:top w:val="single" w:sz="4" w:space="0" w:color="auto"/>
              <w:left w:val="single" w:sz="4" w:space="0" w:color="auto"/>
              <w:bottom w:val="single" w:sz="4" w:space="0" w:color="auto"/>
              <w:right w:val="single" w:sz="4" w:space="0" w:color="auto"/>
            </w:tcBorders>
            <w:hideMark/>
          </w:tcPr>
          <w:p w14:paraId="0852DADF" w14:textId="77777777" w:rsidR="006918A0" w:rsidRPr="006918A0" w:rsidRDefault="006918A0" w:rsidP="006918A0">
            <w:pPr>
              <w:spacing w:before="20" w:after="20" w:line="276" w:lineRule="auto"/>
              <w:jc w:val="right"/>
              <w:rPr>
                <w:noProof/>
                <w:sz w:val="20"/>
              </w:rPr>
            </w:pPr>
            <w:r w:rsidRPr="006918A0">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6DA34492" w14:textId="77777777" w:rsidR="006918A0" w:rsidRPr="006918A0" w:rsidRDefault="006918A0" w:rsidP="006918A0">
            <w:pPr>
              <w:spacing w:before="20" w:after="20" w:line="276" w:lineRule="auto"/>
              <w:jc w:val="right"/>
              <w:rPr>
                <w:noProof/>
                <w:sz w:val="20"/>
              </w:rPr>
            </w:pPr>
            <w:r w:rsidRPr="006918A0">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2B8A91A5" w14:textId="77777777" w:rsidR="006918A0" w:rsidRPr="006918A0" w:rsidRDefault="006918A0" w:rsidP="006918A0">
            <w:pPr>
              <w:spacing w:before="20" w:after="20" w:line="276" w:lineRule="auto"/>
              <w:jc w:val="right"/>
              <w:rPr>
                <w:noProof/>
                <w:sz w:val="20"/>
              </w:rPr>
            </w:pPr>
            <w:r w:rsidRPr="006918A0">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7E024379" w14:textId="77777777" w:rsidR="006918A0" w:rsidRPr="006918A0" w:rsidRDefault="006918A0" w:rsidP="006918A0">
            <w:pPr>
              <w:spacing w:before="20" w:after="20" w:line="276" w:lineRule="auto"/>
              <w:jc w:val="right"/>
              <w:rPr>
                <w:noProof/>
                <w:sz w:val="20"/>
              </w:rPr>
            </w:pPr>
            <w:r w:rsidRPr="006918A0">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37E385AC" w14:textId="77777777" w:rsidR="006918A0" w:rsidRPr="006918A0" w:rsidRDefault="006918A0" w:rsidP="006918A0">
            <w:pPr>
              <w:spacing w:before="20" w:after="20" w:line="276" w:lineRule="auto"/>
              <w:jc w:val="right"/>
              <w:rPr>
                <w:noProof/>
                <w:sz w:val="20"/>
              </w:rPr>
            </w:pPr>
            <w:r w:rsidRPr="006918A0">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2E8BF61F"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A6DC68C" w14:textId="77777777" w:rsidR="006918A0" w:rsidRPr="006918A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hideMark/>
          </w:tcPr>
          <w:p w14:paraId="7066C70B" w14:textId="77777777" w:rsidR="006918A0" w:rsidRPr="006918A0" w:rsidRDefault="006918A0" w:rsidP="006918A0">
            <w:pPr>
              <w:spacing w:before="20" w:after="20" w:line="276" w:lineRule="auto"/>
              <w:jc w:val="right"/>
              <w:rPr>
                <w:b/>
                <w:bCs/>
                <w:noProof/>
                <w:sz w:val="20"/>
              </w:rPr>
            </w:pPr>
            <w:r w:rsidRPr="006918A0">
              <w:rPr>
                <w:b/>
                <w:bCs/>
                <w:noProof/>
                <w:sz w:val="20"/>
              </w:rPr>
              <w:t>1.26</w:t>
            </w:r>
          </w:p>
        </w:tc>
      </w:tr>
      <w:tr w:rsidR="006918A0" w:rsidRPr="006918A0" w14:paraId="51CD9A64" w14:textId="77777777" w:rsidTr="00E104B3">
        <w:tc>
          <w:tcPr>
            <w:tcW w:w="3960" w:type="dxa"/>
            <w:vMerge/>
            <w:tcBorders>
              <w:top w:val="single" w:sz="4" w:space="0" w:color="auto"/>
              <w:left w:val="single" w:sz="4" w:space="0" w:color="auto"/>
              <w:bottom w:val="single" w:sz="4" w:space="0" w:color="auto"/>
              <w:right w:val="single" w:sz="4" w:space="0" w:color="auto"/>
            </w:tcBorders>
            <w:vAlign w:val="center"/>
            <w:hideMark/>
          </w:tcPr>
          <w:p w14:paraId="32C29014" w14:textId="77777777" w:rsidR="006918A0" w:rsidRPr="006918A0" w:rsidRDefault="006918A0" w:rsidP="006918A0">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D1E0CDB" w14:textId="77777777" w:rsidR="006918A0" w:rsidRPr="006918A0" w:rsidRDefault="006918A0" w:rsidP="006918A0">
            <w:pPr>
              <w:spacing w:before="20" w:after="20" w:line="276" w:lineRule="auto"/>
              <w:rPr>
                <w:noProof/>
                <w:sz w:val="18"/>
              </w:rPr>
            </w:pPr>
            <w:r w:rsidRPr="006918A0">
              <w:rPr>
                <w:noProof/>
                <w:sz w:val="18"/>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34E0133D" w14:textId="77777777" w:rsidR="006918A0" w:rsidRPr="006918A0" w:rsidRDefault="006918A0" w:rsidP="006918A0">
            <w:pPr>
              <w:spacing w:before="20" w:after="20" w:line="276" w:lineRule="auto"/>
              <w:jc w:val="center"/>
              <w:rPr>
                <w:noProof/>
                <w:sz w:val="14"/>
              </w:rPr>
            </w:pPr>
            <w:r w:rsidRPr="006918A0">
              <w:rPr>
                <w:noProof/>
                <w:sz w:val="14"/>
              </w:rPr>
              <w:t>(2a)</w:t>
            </w:r>
          </w:p>
        </w:tc>
        <w:tc>
          <w:tcPr>
            <w:tcW w:w="868" w:type="dxa"/>
            <w:tcBorders>
              <w:top w:val="single" w:sz="4" w:space="0" w:color="auto"/>
              <w:left w:val="single" w:sz="4" w:space="0" w:color="auto"/>
              <w:bottom w:val="single" w:sz="4" w:space="0" w:color="auto"/>
              <w:right w:val="single" w:sz="4" w:space="0" w:color="auto"/>
            </w:tcBorders>
          </w:tcPr>
          <w:p w14:paraId="134ED15F"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hideMark/>
          </w:tcPr>
          <w:p w14:paraId="51C2E48E" w14:textId="77777777" w:rsidR="006918A0" w:rsidRPr="006918A0" w:rsidRDefault="006918A0" w:rsidP="006918A0">
            <w:pPr>
              <w:spacing w:before="20" w:after="20" w:line="276" w:lineRule="auto"/>
              <w:jc w:val="right"/>
              <w:rPr>
                <w:noProof/>
                <w:sz w:val="20"/>
              </w:rPr>
            </w:pPr>
            <w:r w:rsidRPr="006918A0">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3CC6FA85" w14:textId="77777777" w:rsidR="006918A0" w:rsidRPr="006918A0" w:rsidRDefault="006918A0" w:rsidP="006918A0">
            <w:pPr>
              <w:spacing w:before="20" w:after="20" w:line="276" w:lineRule="auto"/>
              <w:jc w:val="right"/>
              <w:rPr>
                <w:noProof/>
                <w:sz w:val="20"/>
              </w:rPr>
            </w:pPr>
            <w:r w:rsidRPr="006918A0">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38859F7A" w14:textId="77777777" w:rsidR="006918A0" w:rsidRPr="006918A0" w:rsidRDefault="006918A0" w:rsidP="006918A0">
            <w:pPr>
              <w:spacing w:before="20" w:after="20" w:line="276" w:lineRule="auto"/>
              <w:jc w:val="right"/>
              <w:rPr>
                <w:noProof/>
                <w:sz w:val="20"/>
              </w:rPr>
            </w:pPr>
            <w:r w:rsidRPr="006918A0">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7943D905" w14:textId="77777777" w:rsidR="006918A0" w:rsidRPr="006918A0" w:rsidRDefault="006918A0" w:rsidP="006918A0">
            <w:pPr>
              <w:spacing w:before="20" w:after="20" w:line="276" w:lineRule="auto"/>
              <w:jc w:val="right"/>
              <w:rPr>
                <w:noProof/>
                <w:sz w:val="20"/>
              </w:rPr>
            </w:pPr>
            <w:r w:rsidRPr="006918A0">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3AE97C85" w14:textId="77777777" w:rsidR="006918A0" w:rsidRPr="006918A0" w:rsidRDefault="006918A0" w:rsidP="006918A0">
            <w:pPr>
              <w:spacing w:before="20" w:after="20" w:line="276" w:lineRule="auto"/>
              <w:jc w:val="right"/>
              <w:rPr>
                <w:noProof/>
                <w:sz w:val="20"/>
              </w:rPr>
            </w:pPr>
            <w:r w:rsidRPr="006918A0">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2A5ABCC8" w14:textId="77777777" w:rsidR="006918A0" w:rsidRPr="006918A0" w:rsidRDefault="006918A0" w:rsidP="006918A0">
            <w:pPr>
              <w:spacing w:before="20" w:after="20" w:line="276" w:lineRule="auto"/>
              <w:jc w:val="right"/>
              <w:rPr>
                <w:noProof/>
                <w:sz w:val="20"/>
              </w:rPr>
            </w:pPr>
          </w:p>
        </w:tc>
        <w:tc>
          <w:tcPr>
            <w:tcW w:w="2122" w:type="dxa"/>
            <w:gridSpan w:val="2"/>
            <w:tcBorders>
              <w:top w:val="single" w:sz="4" w:space="0" w:color="auto"/>
              <w:left w:val="single" w:sz="4" w:space="0" w:color="auto"/>
              <w:bottom w:val="single" w:sz="4" w:space="0" w:color="auto"/>
              <w:right w:val="single" w:sz="4" w:space="0" w:color="auto"/>
            </w:tcBorders>
            <w:hideMark/>
          </w:tcPr>
          <w:p w14:paraId="7608FC8D" w14:textId="77777777" w:rsidR="006918A0" w:rsidRPr="006918A0" w:rsidRDefault="006918A0" w:rsidP="006918A0">
            <w:pPr>
              <w:spacing w:before="20" w:after="20" w:line="276" w:lineRule="auto"/>
              <w:jc w:val="right"/>
              <w:rPr>
                <w:b/>
                <w:bCs/>
                <w:noProof/>
                <w:sz w:val="20"/>
              </w:rPr>
            </w:pPr>
            <w:r w:rsidRPr="006918A0">
              <w:rPr>
                <w:b/>
                <w:bCs/>
                <w:noProof/>
                <w:sz w:val="20"/>
              </w:rPr>
              <w:t>1.26</w:t>
            </w:r>
          </w:p>
        </w:tc>
      </w:tr>
      <w:tr w:rsidR="006918A0" w:rsidRPr="006918A0" w14:paraId="1E31DA89" w14:textId="77777777" w:rsidTr="00E104B3">
        <w:trPr>
          <w:gridAfter w:val="1"/>
          <w:wAfter w:w="23" w:type="dxa"/>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57A8E131" w14:textId="77777777" w:rsidR="006918A0" w:rsidRPr="006918A0" w:rsidRDefault="006918A0" w:rsidP="006918A0">
            <w:pPr>
              <w:spacing w:line="276" w:lineRule="auto"/>
              <w:rPr>
                <w:noProof/>
              </w:rPr>
            </w:pPr>
            <w:r w:rsidRPr="006918A0">
              <w:rPr>
                <w:noProof/>
                <w:sz w:val="20"/>
              </w:rPr>
              <w:t>Budget line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4D4001A" w14:textId="77777777" w:rsidR="006918A0" w:rsidRPr="006918A0" w:rsidRDefault="006918A0" w:rsidP="006918A0">
            <w:pPr>
              <w:spacing w:before="20" w:after="20" w:line="276" w:lineRule="auto"/>
              <w:rPr>
                <w:noProof/>
                <w:sz w:val="18"/>
              </w:rPr>
            </w:pPr>
            <w:r w:rsidRPr="006918A0">
              <w:rPr>
                <w:noProof/>
                <w:sz w:val="18"/>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4149D1E" w14:textId="77777777" w:rsidR="006918A0" w:rsidRPr="006918A0" w:rsidRDefault="006918A0" w:rsidP="006918A0">
            <w:pPr>
              <w:spacing w:before="20" w:after="20" w:line="276" w:lineRule="auto"/>
              <w:jc w:val="center"/>
              <w:rPr>
                <w:noProof/>
                <w:sz w:val="14"/>
              </w:rPr>
            </w:pPr>
            <w:r w:rsidRPr="006918A0">
              <w:rPr>
                <w:noProof/>
                <w:sz w:val="14"/>
              </w:rPr>
              <w:t>(1b)</w:t>
            </w:r>
          </w:p>
        </w:tc>
        <w:tc>
          <w:tcPr>
            <w:tcW w:w="868" w:type="dxa"/>
            <w:tcBorders>
              <w:top w:val="single" w:sz="4" w:space="0" w:color="auto"/>
              <w:left w:val="single" w:sz="4" w:space="0" w:color="auto"/>
              <w:bottom w:val="single" w:sz="4" w:space="0" w:color="auto"/>
              <w:right w:val="single" w:sz="4" w:space="0" w:color="auto"/>
            </w:tcBorders>
          </w:tcPr>
          <w:p w14:paraId="35DC602A"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262040C"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5422390"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355B3809"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7817A41"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D3BBFF2"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83F6075" w14:textId="77777777" w:rsidR="006918A0" w:rsidRPr="006918A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42645586" w14:textId="77777777" w:rsidR="006918A0" w:rsidRPr="006918A0" w:rsidRDefault="006918A0" w:rsidP="006918A0">
            <w:pPr>
              <w:spacing w:before="20" w:after="20" w:line="276" w:lineRule="auto"/>
              <w:jc w:val="right"/>
              <w:rPr>
                <w:b/>
                <w:bCs/>
                <w:noProof/>
                <w:sz w:val="20"/>
              </w:rPr>
            </w:pPr>
          </w:p>
        </w:tc>
      </w:tr>
      <w:tr w:rsidR="006918A0" w:rsidRPr="006918A0" w14:paraId="38FFB331" w14:textId="77777777" w:rsidTr="00E104B3">
        <w:trPr>
          <w:gridAfter w:val="1"/>
          <w:wAfter w:w="23" w:type="dxa"/>
        </w:trPr>
        <w:tc>
          <w:tcPr>
            <w:tcW w:w="3960" w:type="dxa"/>
            <w:vMerge/>
            <w:tcBorders>
              <w:top w:val="single" w:sz="4" w:space="0" w:color="auto"/>
              <w:left w:val="single" w:sz="4" w:space="0" w:color="auto"/>
              <w:bottom w:val="single" w:sz="4" w:space="0" w:color="auto"/>
              <w:right w:val="single" w:sz="4" w:space="0" w:color="auto"/>
            </w:tcBorders>
            <w:vAlign w:val="center"/>
            <w:hideMark/>
          </w:tcPr>
          <w:p w14:paraId="79997FF9" w14:textId="77777777" w:rsidR="006918A0" w:rsidRPr="006918A0" w:rsidRDefault="006918A0" w:rsidP="006918A0">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0CF7B3B" w14:textId="77777777" w:rsidR="006918A0" w:rsidRPr="006918A0" w:rsidRDefault="006918A0" w:rsidP="006918A0">
            <w:pPr>
              <w:spacing w:before="20" w:after="20" w:line="276" w:lineRule="auto"/>
              <w:rPr>
                <w:noProof/>
                <w:sz w:val="18"/>
              </w:rPr>
            </w:pPr>
            <w:r w:rsidRPr="006918A0">
              <w:rPr>
                <w:noProof/>
                <w:sz w:val="18"/>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2B73F02" w14:textId="77777777" w:rsidR="006918A0" w:rsidRPr="006918A0" w:rsidRDefault="006918A0" w:rsidP="006918A0">
            <w:pPr>
              <w:spacing w:before="20" w:after="20" w:line="276" w:lineRule="auto"/>
              <w:jc w:val="center"/>
              <w:rPr>
                <w:noProof/>
                <w:sz w:val="14"/>
              </w:rPr>
            </w:pPr>
            <w:r w:rsidRPr="006918A0">
              <w:rPr>
                <w:noProof/>
                <w:sz w:val="14"/>
              </w:rPr>
              <w:t>(2b)</w:t>
            </w:r>
          </w:p>
        </w:tc>
        <w:tc>
          <w:tcPr>
            <w:tcW w:w="868" w:type="dxa"/>
            <w:tcBorders>
              <w:top w:val="single" w:sz="4" w:space="0" w:color="auto"/>
              <w:left w:val="single" w:sz="4" w:space="0" w:color="auto"/>
              <w:bottom w:val="single" w:sz="4" w:space="0" w:color="auto"/>
              <w:right w:val="single" w:sz="4" w:space="0" w:color="auto"/>
            </w:tcBorders>
          </w:tcPr>
          <w:p w14:paraId="4AF8E886"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9FD2A62"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104FC9F2"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003024F"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E7C6FC8"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36D938C1"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6630992" w14:textId="77777777" w:rsidR="006918A0" w:rsidRPr="006918A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60730E7D" w14:textId="77777777" w:rsidR="006918A0" w:rsidRPr="006918A0" w:rsidRDefault="006918A0" w:rsidP="006918A0">
            <w:pPr>
              <w:spacing w:before="20" w:after="20" w:line="276" w:lineRule="auto"/>
              <w:jc w:val="right"/>
              <w:rPr>
                <w:b/>
                <w:bCs/>
                <w:noProof/>
                <w:sz w:val="20"/>
              </w:rPr>
            </w:pPr>
          </w:p>
        </w:tc>
      </w:tr>
      <w:tr w:rsidR="006918A0" w:rsidRPr="006918A0" w14:paraId="165122BE" w14:textId="77777777" w:rsidTr="00E104B3">
        <w:trPr>
          <w:gridAfter w:val="1"/>
          <w:wAfter w:w="23" w:type="dxa"/>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14:paraId="448A3A37" w14:textId="77777777" w:rsidR="006918A0" w:rsidRPr="006918A0" w:rsidRDefault="006918A0" w:rsidP="006918A0">
            <w:pPr>
              <w:spacing w:before="20" w:after="20" w:line="276" w:lineRule="auto"/>
              <w:rPr>
                <w:noProof/>
              </w:rPr>
            </w:pPr>
            <w:r w:rsidRPr="006918A0">
              <w:rPr>
                <w:noProof/>
                <w:sz w:val="21"/>
              </w:rPr>
              <w:t>Appropriations of an administrative nature financed from the envelope of specific programmes</w:t>
            </w:r>
            <w:r w:rsidRPr="00F26004">
              <w:rPr>
                <w:rStyle w:val="FootnoteReference"/>
                <w:noProof/>
              </w:rPr>
              <w:footnoteReference w:id="51"/>
            </w:r>
            <w:r w:rsidRPr="006918A0">
              <w:rPr>
                <w:noProof/>
                <w:sz w:val="21"/>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14:paraId="05E81A8A"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44EC958"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4D8F0B10"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3A83357"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6C651DE"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13F9381"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5F0A9E3E" w14:textId="77777777" w:rsidR="006918A0" w:rsidRPr="006918A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35659D52" w14:textId="77777777" w:rsidR="006918A0" w:rsidRPr="006918A0" w:rsidRDefault="006918A0" w:rsidP="006918A0">
            <w:pPr>
              <w:spacing w:before="20" w:after="20" w:line="276" w:lineRule="auto"/>
              <w:jc w:val="right"/>
              <w:rPr>
                <w:b/>
                <w:bCs/>
                <w:noProof/>
                <w:sz w:val="20"/>
              </w:rPr>
            </w:pPr>
          </w:p>
        </w:tc>
      </w:tr>
      <w:tr w:rsidR="006918A0" w:rsidRPr="006918A0" w14:paraId="5E53B413" w14:textId="77777777" w:rsidTr="00E104B3">
        <w:trPr>
          <w:gridAfter w:val="1"/>
          <w:wAfter w:w="23" w:type="dxa"/>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14:paraId="41AE7F3B" w14:textId="77777777" w:rsidR="006918A0" w:rsidRPr="006918A0" w:rsidRDefault="006918A0" w:rsidP="006918A0">
            <w:pPr>
              <w:spacing w:before="60" w:after="60" w:line="276" w:lineRule="auto"/>
              <w:rPr>
                <w:noProof/>
              </w:rPr>
            </w:pPr>
            <w:r w:rsidRPr="006918A0">
              <w:rPr>
                <w:noProof/>
                <w:sz w:val="20"/>
              </w:rPr>
              <w:t>Budget line</w:t>
            </w:r>
          </w:p>
        </w:tc>
        <w:tc>
          <w:tcPr>
            <w:tcW w:w="1440" w:type="dxa"/>
            <w:tcBorders>
              <w:top w:val="single" w:sz="4" w:space="0" w:color="auto"/>
              <w:left w:val="single" w:sz="4" w:space="0" w:color="auto"/>
              <w:bottom w:val="single" w:sz="4" w:space="0" w:color="auto"/>
              <w:right w:val="single" w:sz="4" w:space="0" w:color="auto"/>
            </w:tcBorders>
            <w:vAlign w:val="center"/>
          </w:tcPr>
          <w:p w14:paraId="5E53DAB7" w14:textId="77777777" w:rsidR="006918A0" w:rsidRPr="006918A0" w:rsidRDefault="006918A0" w:rsidP="006918A0">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1FA87FB" w14:textId="77777777" w:rsidR="006918A0" w:rsidRPr="006918A0" w:rsidRDefault="006918A0" w:rsidP="006918A0">
            <w:pPr>
              <w:spacing w:before="40" w:after="40" w:line="276" w:lineRule="auto"/>
              <w:jc w:val="center"/>
              <w:rPr>
                <w:noProof/>
                <w:sz w:val="14"/>
              </w:rPr>
            </w:pPr>
            <w:r w:rsidRPr="006918A0">
              <w:rPr>
                <w:noProof/>
                <w:sz w:val="14"/>
              </w:rPr>
              <w:t>(3)</w:t>
            </w:r>
          </w:p>
        </w:tc>
        <w:tc>
          <w:tcPr>
            <w:tcW w:w="868" w:type="dxa"/>
            <w:tcBorders>
              <w:top w:val="single" w:sz="4" w:space="0" w:color="auto"/>
              <w:left w:val="single" w:sz="4" w:space="0" w:color="auto"/>
              <w:bottom w:val="single" w:sz="4" w:space="0" w:color="auto"/>
              <w:right w:val="single" w:sz="4" w:space="0" w:color="auto"/>
            </w:tcBorders>
          </w:tcPr>
          <w:p w14:paraId="133F786F"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4FC0269"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52F51F94"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20C95BC4"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67D2305D"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0596488A"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7169870F" w14:textId="77777777" w:rsidR="006918A0" w:rsidRPr="006918A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tcPr>
          <w:p w14:paraId="786F3BBD" w14:textId="77777777" w:rsidR="006918A0" w:rsidRPr="006918A0" w:rsidRDefault="006918A0" w:rsidP="006918A0">
            <w:pPr>
              <w:spacing w:before="20" w:after="20" w:line="276" w:lineRule="auto"/>
              <w:jc w:val="right"/>
              <w:rPr>
                <w:b/>
                <w:bCs/>
                <w:noProof/>
                <w:sz w:val="20"/>
              </w:rPr>
            </w:pPr>
          </w:p>
        </w:tc>
      </w:tr>
      <w:tr w:rsidR="006918A0" w:rsidRPr="006918A0" w14:paraId="56663982" w14:textId="77777777" w:rsidTr="00E104B3">
        <w:trPr>
          <w:gridAfter w:val="1"/>
          <w:wAfter w:w="23" w:type="dxa"/>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4C3024D4" w14:textId="77777777" w:rsidR="006918A0" w:rsidRPr="006918A0" w:rsidRDefault="006918A0" w:rsidP="006918A0">
            <w:pPr>
              <w:spacing w:line="276" w:lineRule="auto"/>
              <w:jc w:val="center"/>
              <w:rPr>
                <w:b/>
                <w:noProof/>
              </w:rPr>
            </w:pPr>
            <w:r w:rsidRPr="006918A0">
              <w:rPr>
                <w:b/>
                <w:noProof/>
              </w:rPr>
              <w:t>TOTAL appropriations</w:t>
            </w:r>
            <w:r w:rsidRPr="006918A0">
              <w:rPr>
                <w:noProof/>
              </w:rPr>
              <w:br/>
            </w:r>
            <w:r w:rsidRPr="006918A0">
              <w:rPr>
                <w:b/>
                <w:noProof/>
              </w:rPr>
              <w:t xml:space="preserve">for DG </w:t>
            </w:r>
            <w:r w:rsidRPr="006918A0">
              <w:rPr>
                <w:noProof/>
              </w:rPr>
              <w:t>TAXUD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01B061" w14:textId="77777777" w:rsidR="006918A0" w:rsidRPr="006918A0" w:rsidRDefault="006918A0" w:rsidP="006918A0">
            <w:pPr>
              <w:spacing w:line="276" w:lineRule="auto"/>
              <w:rPr>
                <w:noProof/>
                <w:sz w:val="18"/>
              </w:rPr>
            </w:pPr>
            <w:r w:rsidRPr="006918A0">
              <w:rPr>
                <w:noProof/>
                <w:sz w:val="18"/>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1D8717F" w14:textId="77777777" w:rsidR="006918A0" w:rsidRPr="006918A0" w:rsidRDefault="006918A0" w:rsidP="006918A0">
            <w:pPr>
              <w:spacing w:line="276" w:lineRule="auto"/>
              <w:jc w:val="center"/>
              <w:rPr>
                <w:noProof/>
                <w:sz w:val="14"/>
              </w:rPr>
            </w:pPr>
            <w:r w:rsidRPr="006918A0">
              <w:rPr>
                <w:noProof/>
                <w:sz w:val="14"/>
              </w:rPr>
              <w:t>=1a+1b +3</w:t>
            </w:r>
          </w:p>
        </w:tc>
        <w:tc>
          <w:tcPr>
            <w:tcW w:w="868" w:type="dxa"/>
            <w:tcBorders>
              <w:top w:val="single" w:sz="4" w:space="0" w:color="auto"/>
              <w:left w:val="single" w:sz="4" w:space="0" w:color="auto"/>
              <w:bottom w:val="single" w:sz="4" w:space="0" w:color="auto"/>
              <w:right w:val="single" w:sz="4" w:space="0" w:color="auto"/>
            </w:tcBorders>
            <w:hideMark/>
          </w:tcPr>
          <w:p w14:paraId="77870381" w14:textId="77777777" w:rsidR="006918A0" w:rsidRPr="006918A0" w:rsidRDefault="006918A0" w:rsidP="006918A0">
            <w:pPr>
              <w:spacing w:before="20" w:after="20" w:line="276" w:lineRule="auto"/>
              <w:jc w:val="right"/>
              <w:rPr>
                <w:noProof/>
                <w:sz w:val="20"/>
              </w:rPr>
            </w:pPr>
            <w:r w:rsidRPr="006918A0">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119E5B0F" w14:textId="77777777" w:rsidR="006918A0" w:rsidRPr="006918A0" w:rsidRDefault="006918A0" w:rsidP="006918A0">
            <w:pPr>
              <w:spacing w:before="20" w:after="20" w:line="276" w:lineRule="auto"/>
              <w:jc w:val="right"/>
              <w:rPr>
                <w:noProof/>
                <w:sz w:val="20"/>
              </w:rPr>
            </w:pPr>
            <w:r w:rsidRPr="006918A0">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03181735" w14:textId="77777777" w:rsidR="006918A0" w:rsidRPr="006918A0" w:rsidRDefault="006918A0" w:rsidP="006918A0">
            <w:pPr>
              <w:spacing w:before="20" w:after="20" w:line="276" w:lineRule="auto"/>
              <w:jc w:val="right"/>
              <w:rPr>
                <w:noProof/>
                <w:sz w:val="20"/>
              </w:rPr>
            </w:pPr>
            <w:r w:rsidRPr="006918A0">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4E3F0E0A" w14:textId="77777777" w:rsidR="006918A0" w:rsidRPr="006918A0" w:rsidRDefault="006918A0" w:rsidP="006918A0">
            <w:pPr>
              <w:spacing w:before="20" w:after="20" w:line="276" w:lineRule="auto"/>
              <w:jc w:val="right"/>
              <w:rPr>
                <w:noProof/>
                <w:sz w:val="20"/>
              </w:rPr>
            </w:pPr>
            <w:r w:rsidRPr="006918A0">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640A81E8" w14:textId="77777777" w:rsidR="006918A0" w:rsidRPr="006918A0" w:rsidRDefault="006918A0" w:rsidP="006918A0">
            <w:pPr>
              <w:spacing w:before="20" w:after="20" w:line="276" w:lineRule="auto"/>
              <w:jc w:val="right"/>
              <w:rPr>
                <w:noProof/>
                <w:sz w:val="20"/>
              </w:rPr>
            </w:pPr>
            <w:r w:rsidRPr="006918A0">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02267DD2"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tcPr>
          <w:p w14:paraId="19B5A148" w14:textId="77777777" w:rsidR="006918A0" w:rsidRPr="006918A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hideMark/>
          </w:tcPr>
          <w:p w14:paraId="67F8FF47" w14:textId="77777777" w:rsidR="006918A0" w:rsidRPr="006918A0" w:rsidRDefault="006918A0" w:rsidP="006918A0">
            <w:pPr>
              <w:spacing w:before="20" w:after="20" w:line="276" w:lineRule="auto"/>
              <w:jc w:val="right"/>
              <w:rPr>
                <w:b/>
                <w:bCs/>
                <w:noProof/>
                <w:sz w:val="20"/>
              </w:rPr>
            </w:pPr>
            <w:r w:rsidRPr="006918A0">
              <w:rPr>
                <w:b/>
                <w:bCs/>
                <w:noProof/>
                <w:sz w:val="20"/>
              </w:rPr>
              <w:t>1.26</w:t>
            </w:r>
          </w:p>
        </w:tc>
      </w:tr>
      <w:tr w:rsidR="006918A0" w:rsidRPr="006918A0" w14:paraId="200388E7" w14:textId="77777777" w:rsidTr="00E104B3">
        <w:trPr>
          <w:gridAfter w:val="1"/>
          <w:wAfter w:w="23" w:type="dxa"/>
        </w:trPr>
        <w:tc>
          <w:tcPr>
            <w:tcW w:w="3960" w:type="dxa"/>
            <w:vMerge/>
            <w:tcBorders>
              <w:top w:val="single" w:sz="4" w:space="0" w:color="auto"/>
              <w:left w:val="single" w:sz="4" w:space="0" w:color="auto"/>
              <w:bottom w:val="single" w:sz="4" w:space="0" w:color="auto"/>
              <w:right w:val="single" w:sz="4" w:space="0" w:color="auto"/>
            </w:tcBorders>
            <w:vAlign w:val="center"/>
            <w:hideMark/>
          </w:tcPr>
          <w:p w14:paraId="2AB90D97" w14:textId="77777777" w:rsidR="006918A0" w:rsidRPr="006918A0" w:rsidRDefault="006918A0" w:rsidP="006918A0">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84B19C6" w14:textId="77777777" w:rsidR="006918A0" w:rsidRPr="006918A0" w:rsidRDefault="006918A0" w:rsidP="006918A0">
            <w:pPr>
              <w:spacing w:line="276" w:lineRule="auto"/>
              <w:rPr>
                <w:noProof/>
                <w:sz w:val="18"/>
              </w:rPr>
            </w:pPr>
            <w:r w:rsidRPr="006918A0">
              <w:rPr>
                <w:noProof/>
                <w:sz w:val="18"/>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14287216" w14:textId="77777777" w:rsidR="006918A0" w:rsidRPr="006918A0" w:rsidRDefault="006918A0" w:rsidP="006918A0">
            <w:pPr>
              <w:spacing w:line="276" w:lineRule="auto"/>
              <w:jc w:val="center"/>
              <w:rPr>
                <w:noProof/>
                <w:sz w:val="14"/>
              </w:rPr>
            </w:pPr>
            <w:r w:rsidRPr="006918A0">
              <w:rPr>
                <w:noProof/>
                <w:sz w:val="14"/>
              </w:rPr>
              <w:t>=2a+2b+3</w:t>
            </w:r>
          </w:p>
        </w:tc>
        <w:tc>
          <w:tcPr>
            <w:tcW w:w="868" w:type="dxa"/>
            <w:tcBorders>
              <w:top w:val="single" w:sz="4" w:space="0" w:color="auto"/>
              <w:left w:val="single" w:sz="4" w:space="0" w:color="auto"/>
              <w:bottom w:val="single" w:sz="4" w:space="0" w:color="auto"/>
              <w:right w:val="single" w:sz="4" w:space="0" w:color="auto"/>
            </w:tcBorders>
          </w:tcPr>
          <w:p w14:paraId="6EAD6F76" w14:textId="77777777" w:rsidR="006918A0" w:rsidRPr="006918A0" w:rsidRDefault="006918A0" w:rsidP="006918A0">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hideMark/>
          </w:tcPr>
          <w:p w14:paraId="0E99E7EC" w14:textId="77777777" w:rsidR="006918A0" w:rsidRPr="006918A0" w:rsidRDefault="006918A0" w:rsidP="006918A0">
            <w:pPr>
              <w:spacing w:before="20" w:after="20" w:line="276" w:lineRule="auto"/>
              <w:jc w:val="right"/>
              <w:rPr>
                <w:noProof/>
                <w:sz w:val="20"/>
              </w:rPr>
            </w:pPr>
            <w:r w:rsidRPr="006918A0">
              <w:rPr>
                <w:noProof/>
                <w:sz w:val="20"/>
              </w:rPr>
              <w:t>0.150</w:t>
            </w:r>
          </w:p>
        </w:tc>
        <w:tc>
          <w:tcPr>
            <w:tcW w:w="868" w:type="dxa"/>
            <w:tcBorders>
              <w:top w:val="single" w:sz="4" w:space="0" w:color="auto"/>
              <w:left w:val="single" w:sz="4" w:space="0" w:color="auto"/>
              <w:bottom w:val="single" w:sz="4" w:space="0" w:color="auto"/>
              <w:right w:val="single" w:sz="4" w:space="0" w:color="auto"/>
            </w:tcBorders>
            <w:hideMark/>
          </w:tcPr>
          <w:p w14:paraId="41630B7F" w14:textId="77777777" w:rsidR="006918A0" w:rsidRPr="006918A0" w:rsidRDefault="006918A0" w:rsidP="006918A0">
            <w:pPr>
              <w:spacing w:before="20" w:after="20" w:line="276" w:lineRule="auto"/>
              <w:jc w:val="right"/>
              <w:rPr>
                <w:noProof/>
                <w:sz w:val="20"/>
              </w:rPr>
            </w:pPr>
            <w:r w:rsidRPr="006918A0">
              <w:rPr>
                <w:noProof/>
                <w:sz w:val="20"/>
              </w:rPr>
              <w:t>0.400</w:t>
            </w:r>
          </w:p>
        </w:tc>
        <w:tc>
          <w:tcPr>
            <w:tcW w:w="868" w:type="dxa"/>
            <w:tcBorders>
              <w:top w:val="single" w:sz="4" w:space="0" w:color="auto"/>
              <w:left w:val="single" w:sz="4" w:space="0" w:color="auto"/>
              <w:bottom w:val="single" w:sz="4" w:space="0" w:color="auto"/>
              <w:right w:val="single" w:sz="4" w:space="0" w:color="auto"/>
            </w:tcBorders>
            <w:hideMark/>
          </w:tcPr>
          <w:p w14:paraId="0FBCDAE9" w14:textId="77777777" w:rsidR="006918A0" w:rsidRPr="006918A0" w:rsidRDefault="006918A0" w:rsidP="006918A0">
            <w:pPr>
              <w:spacing w:before="20" w:after="20" w:line="276" w:lineRule="auto"/>
              <w:jc w:val="right"/>
              <w:rPr>
                <w:noProof/>
                <w:sz w:val="20"/>
              </w:rPr>
            </w:pPr>
            <w:r w:rsidRPr="006918A0">
              <w:rPr>
                <w:noProof/>
                <w:sz w:val="20"/>
              </w:rPr>
              <w:t>0.200</w:t>
            </w:r>
          </w:p>
        </w:tc>
        <w:tc>
          <w:tcPr>
            <w:tcW w:w="868" w:type="dxa"/>
            <w:tcBorders>
              <w:top w:val="single" w:sz="4" w:space="0" w:color="auto"/>
              <w:left w:val="single" w:sz="4" w:space="0" w:color="auto"/>
              <w:bottom w:val="single" w:sz="4" w:space="0" w:color="auto"/>
              <w:right w:val="single" w:sz="4" w:space="0" w:color="auto"/>
            </w:tcBorders>
            <w:hideMark/>
          </w:tcPr>
          <w:p w14:paraId="5B26D2F7" w14:textId="77777777" w:rsidR="006918A0" w:rsidRPr="006918A0" w:rsidRDefault="006918A0" w:rsidP="006918A0">
            <w:pPr>
              <w:spacing w:before="20" w:after="20" w:line="276" w:lineRule="auto"/>
              <w:jc w:val="right"/>
              <w:rPr>
                <w:noProof/>
                <w:sz w:val="20"/>
              </w:rPr>
            </w:pPr>
            <w:r w:rsidRPr="006918A0">
              <w:rPr>
                <w:noProof/>
                <w:sz w:val="20"/>
              </w:rPr>
              <w:t>0.330</w:t>
            </w:r>
          </w:p>
        </w:tc>
        <w:tc>
          <w:tcPr>
            <w:tcW w:w="868" w:type="dxa"/>
            <w:tcBorders>
              <w:top w:val="single" w:sz="4" w:space="0" w:color="auto"/>
              <w:left w:val="single" w:sz="4" w:space="0" w:color="auto"/>
              <w:bottom w:val="single" w:sz="4" w:space="0" w:color="auto"/>
              <w:right w:val="single" w:sz="4" w:space="0" w:color="auto"/>
            </w:tcBorders>
            <w:hideMark/>
          </w:tcPr>
          <w:p w14:paraId="7B784204" w14:textId="77777777" w:rsidR="006918A0" w:rsidRPr="006918A0" w:rsidRDefault="006918A0" w:rsidP="006918A0">
            <w:pPr>
              <w:spacing w:before="20" w:after="20" w:line="276" w:lineRule="auto"/>
              <w:jc w:val="right"/>
              <w:rPr>
                <w:noProof/>
                <w:sz w:val="20"/>
              </w:rPr>
            </w:pPr>
            <w:r w:rsidRPr="006918A0">
              <w:rPr>
                <w:noProof/>
                <w:sz w:val="20"/>
              </w:rPr>
              <w:t>0.180</w:t>
            </w:r>
          </w:p>
        </w:tc>
        <w:tc>
          <w:tcPr>
            <w:tcW w:w="868" w:type="dxa"/>
            <w:tcBorders>
              <w:top w:val="single" w:sz="4" w:space="0" w:color="auto"/>
              <w:left w:val="single" w:sz="4" w:space="0" w:color="auto"/>
              <w:bottom w:val="single" w:sz="4" w:space="0" w:color="auto"/>
              <w:right w:val="single" w:sz="4" w:space="0" w:color="auto"/>
            </w:tcBorders>
          </w:tcPr>
          <w:p w14:paraId="4F89900F" w14:textId="77777777" w:rsidR="006918A0" w:rsidRPr="006918A0" w:rsidRDefault="006918A0" w:rsidP="006918A0">
            <w:pPr>
              <w:spacing w:before="20" w:after="20" w:line="276" w:lineRule="auto"/>
              <w:jc w:val="right"/>
              <w:rPr>
                <w:noProof/>
                <w:sz w:val="20"/>
              </w:rPr>
            </w:pPr>
          </w:p>
        </w:tc>
        <w:tc>
          <w:tcPr>
            <w:tcW w:w="2099" w:type="dxa"/>
            <w:tcBorders>
              <w:top w:val="single" w:sz="4" w:space="0" w:color="auto"/>
              <w:left w:val="single" w:sz="4" w:space="0" w:color="auto"/>
              <w:bottom w:val="single" w:sz="4" w:space="0" w:color="auto"/>
              <w:right w:val="single" w:sz="4" w:space="0" w:color="auto"/>
            </w:tcBorders>
            <w:hideMark/>
          </w:tcPr>
          <w:p w14:paraId="6B686BFC" w14:textId="77777777" w:rsidR="006918A0" w:rsidRPr="006918A0" w:rsidRDefault="006918A0" w:rsidP="006918A0">
            <w:pPr>
              <w:spacing w:before="20" w:after="20" w:line="276" w:lineRule="auto"/>
              <w:jc w:val="right"/>
              <w:rPr>
                <w:b/>
                <w:bCs/>
                <w:noProof/>
                <w:sz w:val="20"/>
              </w:rPr>
            </w:pPr>
            <w:r w:rsidRPr="006918A0">
              <w:rPr>
                <w:b/>
                <w:bCs/>
                <w:noProof/>
                <w:sz w:val="20"/>
              </w:rPr>
              <w:t>1.26</w:t>
            </w:r>
          </w:p>
        </w:tc>
      </w:tr>
    </w:tbl>
    <w:p w14:paraId="42A7BE30" w14:textId="77777777" w:rsidR="006918A0" w:rsidRPr="006918A0" w:rsidRDefault="006918A0" w:rsidP="006918A0">
      <w:pPr>
        <w:spacing w:before="0" w:after="0"/>
        <w:jc w:val="left"/>
        <w:rPr>
          <w:noProof/>
        </w:rPr>
      </w:pPr>
      <w:r w:rsidRPr="006918A0">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918A0" w:rsidRPr="006918A0" w14:paraId="063024C6" w14:textId="77777777" w:rsidTr="000430BD">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38382116" w14:textId="77777777" w:rsidR="006918A0" w:rsidRPr="006918A0" w:rsidRDefault="006918A0" w:rsidP="006918A0">
            <w:pPr>
              <w:spacing w:before="60" w:after="60" w:line="276" w:lineRule="auto"/>
              <w:jc w:val="center"/>
              <w:rPr>
                <w:b/>
                <w:noProof/>
              </w:rPr>
            </w:pPr>
            <w:r w:rsidRPr="006918A0">
              <w:rPr>
                <w:noProof/>
              </w:rPr>
              <w:br w:type="page"/>
            </w:r>
            <w:r w:rsidRPr="006918A0">
              <w:rPr>
                <w:b/>
                <w:noProof/>
              </w:rPr>
              <w:t xml:space="preserve">Heading of multiannual financial </w:t>
            </w:r>
            <w:r w:rsidRPr="006918A0">
              <w:rPr>
                <w:noProof/>
              </w:rPr>
              <w:br/>
            </w:r>
            <w:r w:rsidRPr="006918A0">
              <w:rPr>
                <w:b/>
                <w:noProof/>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5C5A272D" w14:textId="77777777" w:rsidR="006918A0" w:rsidRPr="006918A0" w:rsidRDefault="006918A0" w:rsidP="006918A0">
            <w:pPr>
              <w:spacing w:before="60" w:after="60" w:line="276" w:lineRule="auto"/>
              <w:jc w:val="center"/>
              <w:rPr>
                <w:noProof/>
              </w:rPr>
            </w:pPr>
            <w:r w:rsidRPr="006918A0">
              <w:rPr>
                <w:b/>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14:paraId="099DCF8E" w14:textId="77777777" w:rsidR="006918A0" w:rsidRPr="006918A0" w:rsidRDefault="006918A0" w:rsidP="006918A0">
            <w:pPr>
              <w:spacing w:before="60" w:after="60" w:line="276" w:lineRule="auto"/>
              <w:rPr>
                <w:noProof/>
              </w:rPr>
            </w:pPr>
            <w:r w:rsidRPr="006918A0">
              <w:rPr>
                <w:noProof/>
              </w:rPr>
              <w:t>‘Administrative expenditure’</w:t>
            </w:r>
          </w:p>
        </w:tc>
      </w:tr>
    </w:tbl>
    <w:p w14:paraId="7FFF7D84" w14:textId="77777777" w:rsidR="006918A0" w:rsidRPr="006918A0" w:rsidRDefault="006918A0" w:rsidP="006918A0">
      <w:pPr>
        <w:jc w:val="left"/>
        <w:rPr>
          <w:noProof/>
          <w:sz w:val="20"/>
        </w:rPr>
      </w:pPr>
      <w:r w:rsidRPr="006918A0">
        <w:rPr>
          <w:noProof/>
        </w:rPr>
        <w:t xml:space="preserve">This section should be filled in using the 'budget data of an administrative nature' to be firstly introduced in the </w:t>
      </w:r>
      <w:hyperlink r:id="rId17" w:history="1">
        <w:r w:rsidRPr="006918A0">
          <w:rPr>
            <w:noProof/>
            <w:color w:val="0000FF"/>
            <w:u w:val="single"/>
          </w:rPr>
          <w:t>Annex to the Legislative Financial Statement</w:t>
        </w:r>
      </w:hyperlink>
      <w:r w:rsidRPr="006918A0">
        <w:rPr>
          <w:noProof/>
        </w:rPr>
        <w:t xml:space="preserve"> (Annex V to the internal rules), which is uploaded to DECIDE for interservice consultation purposes.</w:t>
      </w:r>
    </w:p>
    <w:p w14:paraId="077F3CFF" w14:textId="77777777" w:rsidR="006918A0" w:rsidRPr="006918A0" w:rsidRDefault="006918A0" w:rsidP="006918A0">
      <w:pPr>
        <w:jc w:val="right"/>
        <w:rPr>
          <w:noProof/>
          <w:sz w:val="20"/>
        </w:rPr>
      </w:pPr>
      <w:r w:rsidRPr="006918A0">
        <w:rPr>
          <w:noProof/>
          <w:sz w:val="20"/>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1587"/>
        <w:gridCol w:w="520"/>
        <w:gridCol w:w="1155"/>
        <w:gridCol w:w="1300"/>
        <w:gridCol w:w="1155"/>
        <w:gridCol w:w="1129"/>
        <w:gridCol w:w="1183"/>
        <w:gridCol w:w="2161"/>
      </w:tblGrid>
      <w:tr w:rsidR="006918A0" w:rsidRPr="006918A0" w14:paraId="7AAD01D6" w14:textId="77777777" w:rsidTr="000430BD">
        <w:tc>
          <w:tcPr>
            <w:tcW w:w="1417" w:type="pct"/>
            <w:tcBorders>
              <w:top w:val="nil"/>
              <w:left w:val="nil"/>
              <w:bottom w:val="single" w:sz="4" w:space="0" w:color="auto"/>
              <w:right w:val="nil"/>
            </w:tcBorders>
            <w:vAlign w:val="center"/>
          </w:tcPr>
          <w:p w14:paraId="3753C8D8" w14:textId="77777777" w:rsidR="006918A0" w:rsidRPr="006918A0" w:rsidRDefault="006918A0" w:rsidP="006918A0">
            <w:pPr>
              <w:spacing w:line="276" w:lineRule="auto"/>
              <w:jc w:val="center"/>
              <w:rPr>
                <w:noProof/>
              </w:rPr>
            </w:pPr>
            <w:bookmarkStart w:id="19" w:name="_Hlk114153140"/>
          </w:p>
        </w:tc>
        <w:tc>
          <w:tcPr>
            <w:tcW w:w="558" w:type="pct"/>
            <w:tcBorders>
              <w:top w:val="nil"/>
              <w:left w:val="nil"/>
              <w:bottom w:val="single" w:sz="4" w:space="0" w:color="auto"/>
              <w:right w:val="nil"/>
            </w:tcBorders>
          </w:tcPr>
          <w:p w14:paraId="244CE7E1" w14:textId="77777777" w:rsidR="006918A0" w:rsidRPr="006918A0" w:rsidRDefault="006918A0" w:rsidP="006918A0">
            <w:pPr>
              <w:spacing w:line="276" w:lineRule="auto"/>
              <w:jc w:val="center"/>
              <w:rPr>
                <w:noProof/>
              </w:rPr>
            </w:pPr>
          </w:p>
        </w:tc>
        <w:tc>
          <w:tcPr>
            <w:tcW w:w="182" w:type="pct"/>
            <w:tcBorders>
              <w:top w:val="nil"/>
              <w:left w:val="nil"/>
              <w:bottom w:val="single" w:sz="4" w:space="0" w:color="auto"/>
              <w:right w:val="single" w:sz="4" w:space="0" w:color="auto"/>
            </w:tcBorders>
          </w:tcPr>
          <w:p w14:paraId="35685B4F" w14:textId="77777777" w:rsidR="006918A0" w:rsidRPr="006918A0" w:rsidRDefault="006918A0" w:rsidP="006918A0">
            <w:pPr>
              <w:spacing w:line="276" w:lineRule="auto"/>
              <w:jc w:val="center"/>
              <w:rPr>
                <w:noProof/>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7F83C4DB" w14:textId="77777777" w:rsidR="006918A0" w:rsidRPr="006918A0" w:rsidRDefault="006918A0" w:rsidP="006918A0">
            <w:pPr>
              <w:spacing w:line="276" w:lineRule="auto"/>
              <w:jc w:val="center"/>
              <w:rPr>
                <w:noProof/>
              </w:rPr>
            </w:pPr>
            <w:r w:rsidRPr="006918A0">
              <w:rPr>
                <w:noProof/>
              </w:rPr>
              <w:t>2023</w:t>
            </w:r>
          </w:p>
        </w:tc>
        <w:tc>
          <w:tcPr>
            <w:tcW w:w="457" w:type="pct"/>
            <w:tcBorders>
              <w:top w:val="single" w:sz="4" w:space="0" w:color="auto"/>
              <w:left w:val="single" w:sz="4" w:space="0" w:color="auto"/>
              <w:bottom w:val="single" w:sz="4" w:space="0" w:color="auto"/>
              <w:right w:val="single" w:sz="4" w:space="0" w:color="auto"/>
            </w:tcBorders>
            <w:vAlign w:val="center"/>
            <w:hideMark/>
          </w:tcPr>
          <w:p w14:paraId="7D23F99E" w14:textId="77777777" w:rsidR="006918A0" w:rsidRPr="006918A0" w:rsidRDefault="006918A0" w:rsidP="006918A0">
            <w:pPr>
              <w:spacing w:line="276" w:lineRule="auto"/>
              <w:jc w:val="center"/>
              <w:rPr>
                <w:noProof/>
              </w:rPr>
            </w:pPr>
            <w:r w:rsidRPr="006918A0">
              <w:rPr>
                <w:noProof/>
              </w:rPr>
              <w:t>2024</w:t>
            </w:r>
          </w:p>
        </w:tc>
        <w:tc>
          <w:tcPr>
            <w:tcW w:w="406" w:type="pct"/>
            <w:tcBorders>
              <w:top w:val="single" w:sz="4" w:space="0" w:color="auto"/>
              <w:left w:val="single" w:sz="4" w:space="0" w:color="auto"/>
              <w:bottom w:val="single" w:sz="4" w:space="0" w:color="auto"/>
              <w:right w:val="single" w:sz="4" w:space="0" w:color="auto"/>
            </w:tcBorders>
            <w:vAlign w:val="center"/>
            <w:hideMark/>
          </w:tcPr>
          <w:p w14:paraId="682C3089" w14:textId="77777777" w:rsidR="006918A0" w:rsidRPr="006918A0" w:rsidRDefault="006918A0" w:rsidP="006918A0">
            <w:pPr>
              <w:spacing w:line="276" w:lineRule="auto"/>
              <w:jc w:val="center"/>
              <w:rPr>
                <w:noProof/>
              </w:rPr>
            </w:pPr>
            <w:r w:rsidRPr="006918A0">
              <w:rPr>
                <w:noProof/>
              </w:rPr>
              <w:t>2025</w:t>
            </w:r>
          </w:p>
        </w:tc>
        <w:tc>
          <w:tcPr>
            <w:tcW w:w="397" w:type="pct"/>
            <w:tcBorders>
              <w:top w:val="single" w:sz="4" w:space="0" w:color="auto"/>
              <w:left w:val="single" w:sz="4" w:space="0" w:color="auto"/>
              <w:bottom w:val="single" w:sz="4" w:space="0" w:color="auto"/>
              <w:right w:val="single" w:sz="4" w:space="0" w:color="auto"/>
            </w:tcBorders>
            <w:vAlign w:val="center"/>
            <w:hideMark/>
          </w:tcPr>
          <w:p w14:paraId="024EE7A4" w14:textId="77777777" w:rsidR="006918A0" w:rsidRPr="006918A0" w:rsidRDefault="006918A0" w:rsidP="006918A0">
            <w:pPr>
              <w:spacing w:line="276" w:lineRule="auto"/>
              <w:jc w:val="center"/>
              <w:rPr>
                <w:noProof/>
              </w:rPr>
            </w:pPr>
            <w:r w:rsidRPr="006918A0">
              <w:rPr>
                <w:noProof/>
              </w:rPr>
              <w:t>2026</w:t>
            </w:r>
          </w:p>
        </w:tc>
        <w:tc>
          <w:tcPr>
            <w:tcW w:w="416" w:type="pct"/>
            <w:tcBorders>
              <w:top w:val="single" w:sz="4" w:space="0" w:color="auto"/>
              <w:left w:val="single" w:sz="4" w:space="0" w:color="auto"/>
              <w:bottom w:val="single" w:sz="4" w:space="0" w:color="auto"/>
              <w:right w:val="single" w:sz="4" w:space="0" w:color="auto"/>
            </w:tcBorders>
            <w:vAlign w:val="center"/>
            <w:hideMark/>
          </w:tcPr>
          <w:p w14:paraId="28193953" w14:textId="77777777" w:rsidR="006918A0" w:rsidRPr="006918A0" w:rsidRDefault="006918A0" w:rsidP="006918A0">
            <w:pPr>
              <w:spacing w:line="276" w:lineRule="auto"/>
              <w:jc w:val="center"/>
              <w:rPr>
                <w:noProof/>
              </w:rPr>
            </w:pPr>
            <w:r w:rsidRPr="006918A0">
              <w:rPr>
                <w:noProof/>
              </w:rPr>
              <w:t>2027</w:t>
            </w:r>
          </w:p>
        </w:tc>
        <w:tc>
          <w:tcPr>
            <w:tcW w:w="761" w:type="pct"/>
            <w:tcBorders>
              <w:top w:val="single" w:sz="4" w:space="0" w:color="auto"/>
              <w:left w:val="single" w:sz="4" w:space="0" w:color="auto"/>
              <w:bottom w:val="single" w:sz="4" w:space="0" w:color="auto"/>
              <w:right w:val="single" w:sz="4" w:space="0" w:color="auto"/>
            </w:tcBorders>
            <w:vAlign w:val="center"/>
            <w:hideMark/>
          </w:tcPr>
          <w:p w14:paraId="6AB8E837" w14:textId="77777777" w:rsidR="006918A0" w:rsidRPr="006918A0" w:rsidRDefault="006918A0" w:rsidP="006918A0">
            <w:pPr>
              <w:spacing w:line="276" w:lineRule="auto"/>
              <w:jc w:val="center"/>
              <w:rPr>
                <w:b/>
                <w:noProof/>
              </w:rPr>
            </w:pPr>
            <w:r w:rsidRPr="006918A0">
              <w:rPr>
                <w:b/>
                <w:noProof/>
              </w:rPr>
              <w:t>TOTAL</w:t>
            </w:r>
          </w:p>
          <w:p w14:paraId="52B16643" w14:textId="77777777" w:rsidR="006918A0" w:rsidRPr="006918A0" w:rsidRDefault="006918A0" w:rsidP="006918A0">
            <w:pPr>
              <w:spacing w:line="276" w:lineRule="auto"/>
              <w:jc w:val="center"/>
              <w:rPr>
                <w:b/>
                <w:noProof/>
              </w:rPr>
            </w:pPr>
            <w:r w:rsidRPr="006918A0">
              <w:rPr>
                <w:b/>
                <w:noProof/>
              </w:rPr>
              <w:t>2021 -2027 MFF</w:t>
            </w:r>
          </w:p>
        </w:tc>
      </w:tr>
      <w:tr w:rsidR="006918A0" w:rsidRPr="006918A0" w14:paraId="74391C36" w14:textId="77777777" w:rsidTr="000430BD">
        <w:trPr>
          <w:gridAfter w:val="8"/>
          <w:wAfter w:w="3583" w:type="pct"/>
        </w:trPr>
        <w:tc>
          <w:tcPr>
            <w:tcW w:w="1417" w:type="pct"/>
            <w:tcBorders>
              <w:top w:val="single" w:sz="4" w:space="0" w:color="auto"/>
              <w:left w:val="single" w:sz="4" w:space="0" w:color="auto"/>
              <w:bottom w:val="single" w:sz="4" w:space="0" w:color="auto"/>
              <w:right w:val="single" w:sz="4" w:space="0" w:color="auto"/>
            </w:tcBorders>
            <w:vAlign w:val="center"/>
            <w:hideMark/>
          </w:tcPr>
          <w:p w14:paraId="5A2C655A" w14:textId="77777777" w:rsidR="006918A0" w:rsidRPr="006918A0" w:rsidRDefault="006918A0" w:rsidP="006918A0">
            <w:pPr>
              <w:spacing w:before="60" w:after="60" w:line="276" w:lineRule="auto"/>
              <w:jc w:val="center"/>
              <w:rPr>
                <w:noProof/>
              </w:rPr>
            </w:pPr>
            <w:r w:rsidRPr="006918A0">
              <w:rPr>
                <w:noProof/>
              </w:rPr>
              <w:t>DG: TAXUD</w:t>
            </w:r>
          </w:p>
        </w:tc>
      </w:tr>
      <w:tr w:rsidR="006918A0" w:rsidRPr="006918A0" w14:paraId="14365A19" w14:textId="77777777" w:rsidTr="000430BD">
        <w:tc>
          <w:tcPr>
            <w:tcW w:w="2158" w:type="pct"/>
            <w:gridSpan w:val="3"/>
            <w:tcBorders>
              <w:top w:val="single" w:sz="4" w:space="0" w:color="auto"/>
              <w:left w:val="single" w:sz="4" w:space="0" w:color="auto"/>
              <w:bottom w:val="single" w:sz="4" w:space="0" w:color="auto"/>
              <w:right w:val="single" w:sz="4" w:space="0" w:color="auto"/>
            </w:tcBorders>
            <w:vAlign w:val="center"/>
            <w:hideMark/>
          </w:tcPr>
          <w:p w14:paraId="4DFC40BF" w14:textId="77777777" w:rsidR="006918A0" w:rsidRPr="00A83E47" w:rsidRDefault="006918A0" w:rsidP="006918A0">
            <w:pPr>
              <w:spacing w:before="60" w:after="60" w:line="276" w:lineRule="auto"/>
              <w:jc w:val="center"/>
              <w:rPr>
                <w:noProof/>
              </w:rPr>
            </w:pPr>
            <w:r w:rsidRPr="00E10B71">
              <w:rPr>
                <w:noProof/>
              </w:rPr>
              <w:sym w:font="Wingdings" w:char="F09F"/>
            </w:r>
            <w:r w:rsidRPr="006918A0">
              <w:rPr>
                <w:noProof/>
              </w:rPr>
              <w:t xml:space="preserve">  Human resources</w:t>
            </w:r>
          </w:p>
        </w:tc>
        <w:tc>
          <w:tcPr>
            <w:tcW w:w="406" w:type="pct"/>
            <w:tcBorders>
              <w:top w:val="single" w:sz="4" w:space="0" w:color="auto"/>
              <w:left w:val="single" w:sz="4" w:space="0" w:color="auto"/>
              <w:bottom w:val="single" w:sz="4" w:space="0" w:color="auto"/>
              <w:right w:val="single" w:sz="4" w:space="0" w:color="auto"/>
            </w:tcBorders>
            <w:vAlign w:val="center"/>
            <w:hideMark/>
          </w:tcPr>
          <w:p w14:paraId="614CC669" w14:textId="77777777" w:rsidR="006918A0" w:rsidRPr="006918A0" w:rsidRDefault="006918A0" w:rsidP="006918A0">
            <w:pPr>
              <w:spacing w:before="60" w:after="60" w:line="276" w:lineRule="auto"/>
              <w:jc w:val="center"/>
              <w:rPr>
                <w:noProof/>
                <w:sz w:val="20"/>
                <w:szCs w:val="20"/>
              </w:rPr>
            </w:pPr>
            <w:r w:rsidRPr="006918A0">
              <w:rPr>
                <w:noProof/>
                <w:color w:val="000000"/>
                <w:sz w:val="20"/>
                <w:szCs w:val="20"/>
              </w:rPr>
              <w:t>0.118</w:t>
            </w:r>
          </w:p>
        </w:tc>
        <w:tc>
          <w:tcPr>
            <w:tcW w:w="457" w:type="pct"/>
            <w:tcBorders>
              <w:top w:val="single" w:sz="4" w:space="0" w:color="auto"/>
              <w:left w:val="single" w:sz="4" w:space="0" w:color="auto"/>
              <w:bottom w:val="single" w:sz="4" w:space="0" w:color="auto"/>
              <w:right w:val="single" w:sz="4" w:space="0" w:color="auto"/>
            </w:tcBorders>
            <w:vAlign w:val="center"/>
            <w:hideMark/>
          </w:tcPr>
          <w:p w14:paraId="5964A0FB" w14:textId="77777777" w:rsidR="006918A0" w:rsidRPr="006918A0" w:rsidRDefault="006918A0" w:rsidP="006918A0">
            <w:pPr>
              <w:spacing w:before="60" w:after="60" w:line="276" w:lineRule="auto"/>
              <w:jc w:val="center"/>
              <w:rPr>
                <w:noProof/>
                <w:sz w:val="20"/>
                <w:szCs w:val="20"/>
              </w:rPr>
            </w:pPr>
            <w:r w:rsidRPr="006918A0">
              <w:rPr>
                <w:noProof/>
                <w:color w:val="000000"/>
                <w:sz w:val="20"/>
                <w:szCs w:val="20"/>
              </w:rPr>
              <w:t>0.157</w:t>
            </w:r>
          </w:p>
        </w:tc>
        <w:tc>
          <w:tcPr>
            <w:tcW w:w="406" w:type="pct"/>
            <w:tcBorders>
              <w:top w:val="single" w:sz="4" w:space="0" w:color="auto"/>
              <w:left w:val="single" w:sz="4" w:space="0" w:color="auto"/>
              <w:bottom w:val="single" w:sz="4" w:space="0" w:color="auto"/>
              <w:right w:val="single" w:sz="4" w:space="0" w:color="auto"/>
            </w:tcBorders>
            <w:vAlign w:val="center"/>
            <w:hideMark/>
          </w:tcPr>
          <w:p w14:paraId="04809A2C" w14:textId="77777777" w:rsidR="006918A0" w:rsidRPr="006918A0" w:rsidRDefault="006918A0" w:rsidP="006918A0">
            <w:pPr>
              <w:spacing w:before="60" w:after="60" w:line="276" w:lineRule="auto"/>
              <w:jc w:val="center"/>
              <w:rPr>
                <w:noProof/>
                <w:sz w:val="20"/>
                <w:szCs w:val="20"/>
              </w:rPr>
            </w:pPr>
            <w:r w:rsidRPr="006918A0">
              <w:rPr>
                <w:noProof/>
                <w:color w:val="000000"/>
                <w:sz w:val="20"/>
                <w:szCs w:val="20"/>
              </w:rPr>
              <w:t>0.157</w:t>
            </w:r>
          </w:p>
        </w:tc>
        <w:tc>
          <w:tcPr>
            <w:tcW w:w="397" w:type="pct"/>
            <w:tcBorders>
              <w:top w:val="single" w:sz="4" w:space="0" w:color="auto"/>
              <w:left w:val="single" w:sz="4" w:space="0" w:color="auto"/>
              <w:bottom w:val="single" w:sz="4" w:space="0" w:color="auto"/>
              <w:right w:val="single" w:sz="4" w:space="0" w:color="auto"/>
            </w:tcBorders>
            <w:vAlign w:val="center"/>
            <w:hideMark/>
          </w:tcPr>
          <w:p w14:paraId="54A74D6B" w14:textId="77777777" w:rsidR="006918A0" w:rsidRPr="006918A0" w:rsidRDefault="006918A0" w:rsidP="006918A0">
            <w:pPr>
              <w:spacing w:before="60" w:after="60" w:line="276" w:lineRule="auto"/>
              <w:jc w:val="center"/>
              <w:rPr>
                <w:noProof/>
                <w:sz w:val="20"/>
                <w:szCs w:val="20"/>
              </w:rPr>
            </w:pPr>
            <w:r w:rsidRPr="006918A0">
              <w:rPr>
                <w:noProof/>
                <w:color w:val="000000"/>
                <w:sz w:val="20"/>
                <w:szCs w:val="20"/>
              </w:rPr>
              <w:t>0.063</w:t>
            </w:r>
          </w:p>
        </w:tc>
        <w:tc>
          <w:tcPr>
            <w:tcW w:w="416" w:type="pct"/>
            <w:tcBorders>
              <w:top w:val="single" w:sz="4" w:space="0" w:color="auto"/>
              <w:left w:val="single" w:sz="4" w:space="0" w:color="auto"/>
              <w:bottom w:val="single" w:sz="4" w:space="0" w:color="auto"/>
              <w:right w:val="single" w:sz="4" w:space="0" w:color="auto"/>
            </w:tcBorders>
            <w:vAlign w:val="center"/>
            <w:hideMark/>
          </w:tcPr>
          <w:p w14:paraId="3151EDFE" w14:textId="77777777" w:rsidR="006918A0" w:rsidRPr="006918A0" w:rsidRDefault="006918A0" w:rsidP="006918A0">
            <w:pPr>
              <w:spacing w:before="60" w:after="60" w:line="276" w:lineRule="auto"/>
              <w:jc w:val="center"/>
              <w:rPr>
                <w:noProof/>
                <w:sz w:val="20"/>
                <w:szCs w:val="20"/>
              </w:rPr>
            </w:pPr>
            <w:r w:rsidRPr="006918A0">
              <w:rPr>
                <w:noProof/>
                <w:color w:val="000000"/>
                <w:sz w:val="20"/>
                <w:szCs w:val="20"/>
              </w:rPr>
              <w:t>0.016</w:t>
            </w:r>
          </w:p>
        </w:tc>
        <w:tc>
          <w:tcPr>
            <w:tcW w:w="761" w:type="pct"/>
            <w:tcBorders>
              <w:top w:val="single" w:sz="4" w:space="0" w:color="auto"/>
              <w:left w:val="single" w:sz="4" w:space="0" w:color="auto"/>
              <w:bottom w:val="single" w:sz="4" w:space="0" w:color="auto"/>
              <w:right w:val="single" w:sz="4" w:space="0" w:color="auto"/>
            </w:tcBorders>
            <w:vAlign w:val="center"/>
            <w:hideMark/>
          </w:tcPr>
          <w:p w14:paraId="2F24073C" w14:textId="77777777" w:rsidR="006918A0" w:rsidRPr="006918A0" w:rsidRDefault="006918A0" w:rsidP="006918A0">
            <w:pPr>
              <w:spacing w:before="60" w:after="60" w:line="276" w:lineRule="auto"/>
              <w:jc w:val="center"/>
              <w:rPr>
                <w:b/>
                <w:noProof/>
                <w:sz w:val="20"/>
                <w:szCs w:val="20"/>
              </w:rPr>
            </w:pPr>
            <w:r w:rsidRPr="006918A0">
              <w:rPr>
                <w:b/>
                <w:bCs/>
                <w:noProof/>
                <w:sz w:val="20"/>
                <w:szCs w:val="20"/>
              </w:rPr>
              <w:t>0,511</w:t>
            </w:r>
          </w:p>
        </w:tc>
      </w:tr>
      <w:tr w:rsidR="006918A0" w:rsidRPr="006918A0" w14:paraId="35C4FFFC" w14:textId="77777777" w:rsidTr="000430BD">
        <w:trPr>
          <w:trHeight w:val="351"/>
        </w:trPr>
        <w:tc>
          <w:tcPr>
            <w:tcW w:w="2158" w:type="pct"/>
            <w:gridSpan w:val="3"/>
            <w:tcBorders>
              <w:top w:val="single" w:sz="4" w:space="0" w:color="auto"/>
              <w:left w:val="single" w:sz="4" w:space="0" w:color="auto"/>
              <w:bottom w:val="single" w:sz="4" w:space="0" w:color="auto"/>
              <w:right w:val="single" w:sz="4" w:space="0" w:color="auto"/>
            </w:tcBorders>
            <w:vAlign w:val="center"/>
            <w:hideMark/>
          </w:tcPr>
          <w:p w14:paraId="042B27A2" w14:textId="77777777" w:rsidR="006918A0" w:rsidRPr="006918A0" w:rsidRDefault="006918A0" w:rsidP="006918A0">
            <w:pPr>
              <w:spacing w:before="20" w:after="20" w:line="276" w:lineRule="auto"/>
              <w:jc w:val="center"/>
              <w:rPr>
                <w:noProof/>
              </w:rPr>
            </w:pPr>
            <w:r w:rsidRPr="00E10B71">
              <w:rPr>
                <w:noProof/>
              </w:rPr>
              <w:sym w:font="Wingdings" w:char="F09F"/>
            </w:r>
            <w:r w:rsidRPr="006918A0">
              <w:rPr>
                <w:noProof/>
              </w:rPr>
              <w:t xml:space="preserve"> Other administrative expenditure</w:t>
            </w:r>
          </w:p>
        </w:tc>
        <w:tc>
          <w:tcPr>
            <w:tcW w:w="406" w:type="pct"/>
            <w:tcBorders>
              <w:top w:val="single" w:sz="4" w:space="0" w:color="auto"/>
              <w:left w:val="single" w:sz="4" w:space="0" w:color="auto"/>
              <w:bottom w:val="single" w:sz="4" w:space="0" w:color="auto"/>
              <w:right w:val="single" w:sz="4" w:space="0" w:color="auto"/>
            </w:tcBorders>
            <w:vAlign w:val="center"/>
            <w:hideMark/>
          </w:tcPr>
          <w:p w14:paraId="069C2E53" w14:textId="77777777" w:rsidR="006918A0" w:rsidRPr="006918A0" w:rsidRDefault="006918A0" w:rsidP="006918A0">
            <w:pPr>
              <w:spacing w:before="20" w:after="20" w:line="276" w:lineRule="auto"/>
              <w:jc w:val="center"/>
              <w:rPr>
                <w:noProof/>
                <w:sz w:val="20"/>
                <w:szCs w:val="20"/>
              </w:rPr>
            </w:pPr>
            <w:r w:rsidRPr="006918A0">
              <w:rPr>
                <w:noProof/>
                <w:color w:val="000000"/>
                <w:sz w:val="20"/>
                <w:szCs w:val="20"/>
              </w:rPr>
              <w:t>0.004</w:t>
            </w:r>
          </w:p>
        </w:tc>
        <w:tc>
          <w:tcPr>
            <w:tcW w:w="457" w:type="pct"/>
            <w:tcBorders>
              <w:top w:val="single" w:sz="4" w:space="0" w:color="auto"/>
              <w:left w:val="single" w:sz="4" w:space="0" w:color="auto"/>
              <w:bottom w:val="single" w:sz="4" w:space="0" w:color="auto"/>
              <w:right w:val="single" w:sz="4" w:space="0" w:color="auto"/>
            </w:tcBorders>
            <w:vAlign w:val="center"/>
            <w:hideMark/>
          </w:tcPr>
          <w:p w14:paraId="30A9C9AB" w14:textId="77777777" w:rsidR="006918A0" w:rsidRPr="006918A0" w:rsidRDefault="006918A0" w:rsidP="006918A0">
            <w:pPr>
              <w:spacing w:before="20" w:after="20" w:line="276" w:lineRule="auto"/>
              <w:jc w:val="center"/>
              <w:rPr>
                <w:noProof/>
                <w:sz w:val="20"/>
                <w:szCs w:val="20"/>
              </w:rPr>
            </w:pPr>
            <w:r w:rsidRPr="006918A0">
              <w:rPr>
                <w:noProof/>
                <w:color w:val="000000"/>
                <w:sz w:val="20"/>
                <w:szCs w:val="20"/>
              </w:rPr>
              <w:t>0.004</w:t>
            </w:r>
          </w:p>
        </w:tc>
        <w:tc>
          <w:tcPr>
            <w:tcW w:w="406" w:type="pct"/>
            <w:tcBorders>
              <w:top w:val="single" w:sz="4" w:space="0" w:color="auto"/>
              <w:left w:val="single" w:sz="4" w:space="0" w:color="auto"/>
              <w:bottom w:val="single" w:sz="4" w:space="0" w:color="auto"/>
              <w:right w:val="single" w:sz="4" w:space="0" w:color="auto"/>
            </w:tcBorders>
            <w:vAlign w:val="center"/>
            <w:hideMark/>
          </w:tcPr>
          <w:p w14:paraId="7CAA82B4" w14:textId="77777777" w:rsidR="006918A0" w:rsidRPr="006918A0" w:rsidRDefault="006918A0" w:rsidP="006918A0">
            <w:pPr>
              <w:spacing w:before="20" w:after="20" w:line="276" w:lineRule="auto"/>
              <w:jc w:val="center"/>
              <w:rPr>
                <w:noProof/>
                <w:sz w:val="20"/>
                <w:szCs w:val="20"/>
              </w:rPr>
            </w:pPr>
            <w:r w:rsidRPr="006918A0">
              <w:rPr>
                <w:noProof/>
                <w:color w:val="000000"/>
                <w:sz w:val="20"/>
                <w:szCs w:val="20"/>
              </w:rPr>
              <w:t>0.002</w:t>
            </w:r>
          </w:p>
        </w:tc>
        <w:tc>
          <w:tcPr>
            <w:tcW w:w="397" w:type="pct"/>
            <w:tcBorders>
              <w:top w:val="single" w:sz="4" w:space="0" w:color="auto"/>
              <w:left w:val="single" w:sz="4" w:space="0" w:color="auto"/>
              <w:bottom w:val="single" w:sz="4" w:space="0" w:color="auto"/>
              <w:right w:val="single" w:sz="4" w:space="0" w:color="auto"/>
            </w:tcBorders>
            <w:vAlign w:val="center"/>
            <w:hideMark/>
          </w:tcPr>
          <w:p w14:paraId="34652E93" w14:textId="77777777" w:rsidR="006918A0" w:rsidRPr="006918A0" w:rsidRDefault="006918A0" w:rsidP="006918A0">
            <w:pPr>
              <w:spacing w:before="20" w:after="20" w:line="276" w:lineRule="auto"/>
              <w:jc w:val="center"/>
              <w:rPr>
                <w:noProof/>
                <w:sz w:val="20"/>
                <w:szCs w:val="20"/>
              </w:rPr>
            </w:pPr>
            <w:r w:rsidRPr="006918A0">
              <w:rPr>
                <w:noProof/>
                <w:color w:val="000000"/>
                <w:sz w:val="20"/>
                <w:szCs w:val="20"/>
              </w:rPr>
              <w:t>0.002</w:t>
            </w:r>
          </w:p>
        </w:tc>
        <w:tc>
          <w:tcPr>
            <w:tcW w:w="416" w:type="pct"/>
            <w:tcBorders>
              <w:top w:val="single" w:sz="4" w:space="0" w:color="auto"/>
              <w:left w:val="single" w:sz="4" w:space="0" w:color="auto"/>
              <w:bottom w:val="single" w:sz="4" w:space="0" w:color="auto"/>
              <w:right w:val="single" w:sz="4" w:space="0" w:color="auto"/>
            </w:tcBorders>
            <w:vAlign w:val="center"/>
            <w:hideMark/>
          </w:tcPr>
          <w:p w14:paraId="28B8888F" w14:textId="77777777" w:rsidR="006918A0" w:rsidRPr="006918A0" w:rsidRDefault="006918A0" w:rsidP="006918A0">
            <w:pPr>
              <w:spacing w:before="20" w:after="20" w:line="276" w:lineRule="auto"/>
              <w:jc w:val="center"/>
              <w:rPr>
                <w:noProof/>
                <w:sz w:val="20"/>
                <w:szCs w:val="20"/>
              </w:rPr>
            </w:pPr>
            <w:r w:rsidRPr="006918A0">
              <w:rPr>
                <w:noProof/>
                <w:color w:val="000000"/>
                <w:sz w:val="20"/>
                <w:szCs w:val="20"/>
              </w:rPr>
              <w:t>0.001</w:t>
            </w:r>
          </w:p>
        </w:tc>
        <w:tc>
          <w:tcPr>
            <w:tcW w:w="761" w:type="pct"/>
            <w:tcBorders>
              <w:top w:val="single" w:sz="4" w:space="0" w:color="auto"/>
              <w:left w:val="single" w:sz="4" w:space="0" w:color="auto"/>
              <w:bottom w:val="single" w:sz="4" w:space="0" w:color="auto"/>
              <w:right w:val="single" w:sz="4" w:space="0" w:color="auto"/>
            </w:tcBorders>
            <w:vAlign w:val="center"/>
            <w:hideMark/>
          </w:tcPr>
          <w:p w14:paraId="4A5B908B" w14:textId="77777777" w:rsidR="006918A0" w:rsidRPr="006918A0" w:rsidRDefault="006918A0" w:rsidP="006918A0">
            <w:pPr>
              <w:spacing w:before="20" w:after="20" w:line="276" w:lineRule="auto"/>
              <w:jc w:val="center"/>
              <w:rPr>
                <w:b/>
                <w:noProof/>
                <w:sz w:val="20"/>
                <w:szCs w:val="20"/>
              </w:rPr>
            </w:pPr>
            <w:r w:rsidRPr="006918A0">
              <w:rPr>
                <w:b/>
                <w:bCs/>
                <w:noProof/>
                <w:sz w:val="20"/>
                <w:szCs w:val="20"/>
              </w:rPr>
              <w:t>0,013</w:t>
            </w:r>
          </w:p>
        </w:tc>
      </w:tr>
      <w:tr w:rsidR="006918A0" w:rsidRPr="006918A0" w14:paraId="4F672734" w14:textId="77777777" w:rsidTr="000430BD">
        <w:tc>
          <w:tcPr>
            <w:tcW w:w="1417" w:type="pct"/>
            <w:tcBorders>
              <w:top w:val="single" w:sz="4" w:space="0" w:color="auto"/>
              <w:left w:val="single" w:sz="4" w:space="0" w:color="auto"/>
              <w:bottom w:val="single" w:sz="4" w:space="0" w:color="auto"/>
              <w:right w:val="single" w:sz="4" w:space="0" w:color="auto"/>
            </w:tcBorders>
            <w:vAlign w:val="center"/>
            <w:hideMark/>
          </w:tcPr>
          <w:p w14:paraId="619D3811" w14:textId="77777777" w:rsidR="006918A0" w:rsidRPr="006918A0" w:rsidRDefault="006918A0" w:rsidP="006918A0">
            <w:pPr>
              <w:spacing w:line="276" w:lineRule="auto"/>
              <w:jc w:val="center"/>
              <w:rPr>
                <w:b/>
                <w:noProof/>
              </w:rPr>
            </w:pPr>
            <w:r w:rsidRPr="006918A0">
              <w:rPr>
                <w:b/>
                <w:noProof/>
              </w:rPr>
              <w:t>TOTAL DG TAXUD</w:t>
            </w:r>
          </w:p>
        </w:tc>
        <w:tc>
          <w:tcPr>
            <w:tcW w:w="741" w:type="pct"/>
            <w:gridSpan w:val="2"/>
            <w:tcBorders>
              <w:top w:val="single" w:sz="4" w:space="0" w:color="auto"/>
              <w:left w:val="single" w:sz="4" w:space="0" w:color="auto"/>
              <w:bottom w:val="single" w:sz="4" w:space="0" w:color="auto"/>
              <w:right w:val="single" w:sz="4" w:space="0" w:color="auto"/>
            </w:tcBorders>
            <w:vAlign w:val="center"/>
            <w:hideMark/>
          </w:tcPr>
          <w:p w14:paraId="677CD5FD" w14:textId="77777777" w:rsidR="006918A0" w:rsidRPr="006918A0" w:rsidRDefault="006918A0" w:rsidP="006918A0">
            <w:pPr>
              <w:rPr>
                <w:b/>
                <w:noProof/>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3B2A47BE" w14:textId="77777777" w:rsidR="006918A0" w:rsidRPr="006918A0" w:rsidRDefault="006918A0" w:rsidP="006918A0">
            <w:pPr>
              <w:spacing w:before="60" w:after="60" w:line="276" w:lineRule="auto"/>
              <w:jc w:val="center"/>
              <w:rPr>
                <w:noProof/>
                <w:sz w:val="20"/>
                <w:szCs w:val="20"/>
              </w:rPr>
            </w:pPr>
            <w:r w:rsidRPr="006918A0">
              <w:rPr>
                <w:noProof/>
                <w:sz w:val="20"/>
                <w:szCs w:val="20"/>
              </w:rPr>
              <w:t>0.122</w:t>
            </w:r>
          </w:p>
        </w:tc>
        <w:tc>
          <w:tcPr>
            <w:tcW w:w="457" w:type="pct"/>
            <w:tcBorders>
              <w:top w:val="single" w:sz="4" w:space="0" w:color="auto"/>
              <w:left w:val="single" w:sz="4" w:space="0" w:color="auto"/>
              <w:bottom w:val="single" w:sz="4" w:space="0" w:color="auto"/>
              <w:right w:val="single" w:sz="4" w:space="0" w:color="auto"/>
            </w:tcBorders>
            <w:vAlign w:val="center"/>
            <w:hideMark/>
          </w:tcPr>
          <w:p w14:paraId="600F0F06" w14:textId="77777777" w:rsidR="006918A0" w:rsidRPr="006918A0" w:rsidRDefault="006918A0" w:rsidP="006918A0">
            <w:pPr>
              <w:spacing w:before="20" w:after="20" w:line="276" w:lineRule="auto"/>
              <w:jc w:val="center"/>
              <w:rPr>
                <w:noProof/>
                <w:sz w:val="20"/>
                <w:szCs w:val="20"/>
              </w:rPr>
            </w:pPr>
            <w:r w:rsidRPr="006918A0">
              <w:rPr>
                <w:noProof/>
                <w:sz w:val="20"/>
                <w:szCs w:val="20"/>
              </w:rPr>
              <w:t>0.161</w:t>
            </w:r>
          </w:p>
        </w:tc>
        <w:tc>
          <w:tcPr>
            <w:tcW w:w="406" w:type="pct"/>
            <w:tcBorders>
              <w:top w:val="single" w:sz="4" w:space="0" w:color="auto"/>
              <w:left w:val="single" w:sz="4" w:space="0" w:color="auto"/>
              <w:bottom w:val="single" w:sz="4" w:space="0" w:color="auto"/>
              <w:right w:val="single" w:sz="4" w:space="0" w:color="auto"/>
            </w:tcBorders>
            <w:vAlign w:val="center"/>
            <w:hideMark/>
          </w:tcPr>
          <w:p w14:paraId="3CC05290" w14:textId="77777777" w:rsidR="006918A0" w:rsidRPr="006918A0" w:rsidRDefault="006918A0" w:rsidP="006918A0">
            <w:pPr>
              <w:spacing w:before="20" w:after="20" w:line="276" w:lineRule="auto"/>
              <w:jc w:val="center"/>
              <w:rPr>
                <w:noProof/>
                <w:sz w:val="20"/>
                <w:szCs w:val="20"/>
              </w:rPr>
            </w:pPr>
            <w:r w:rsidRPr="006918A0">
              <w:rPr>
                <w:noProof/>
                <w:sz w:val="20"/>
                <w:szCs w:val="20"/>
              </w:rPr>
              <w:t>0.159</w:t>
            </w:r>
          </w:p>
        </w:tc>
        <w:tc>
          <w:tcPr>
            <w:tcW w:w="397" w:type="pct"/>
            <w:tcBorders>
              <w:top w:val="single" w:sz="4" w:space="0" w:color="auto"/>
              <w:left w:val="single" w:sz="4" w:space="0" w:color="auto"/>
              <w:bottom w:val="single" w:sz="4" w:space="0" w:color="auto"/>
              <w:right w:val="single" w:sz="4" w:space="0" w:color="auto"/>
            </w:tcBorders>
            <w:vAlign w:val="center"/>
            <w:hideMark/>
          </w:tcPr>
          <w:p w14:paraId="392C420B" w14:textId="77777777" w:rsidR="006918A0" w:rsidRPr="006918A0" w:rsidRDefault="006918A0" w:rsidP="006918A0">
            <w:pPr>
              <w:spacing w:before="20" w:after="20" w:line="276" w:lineRule="auto"/>
              <w:jc w:val="center"/>
              <w:rPr>
                <w:noProof/>
                <w:sz w:val="20"/>
                <w:szCs w:val="20"/>
              </w:rPr>
            </w:pPr>
            <w:r w:rsidRPr="006918A0">
              <w:rPr>
                <w:noProof/>
                <w:sz w:val="20"/>
                <w:szCs w:val="20"/>
              </w:rPr>
              <w:t>0.065</w:t>
            </w:r>
          </w:p>
        </w:tc>
        <w:tc>
          <w:tcPr>
            <w:tcW w:w="416" w:type="pct"/>
            <w:tcBorders>
              <w:top w:val="single" w:sz="4" w:space="0" w:color="auto"/>
              <w:left w:val="single" w:sz="4" w:space="0" w:color="auto"/>
              <w:bottom w:val="single" w:sz="4" w:space="0" w:color="auto"/>
              <w:right w:val="single" w:sz="4" w:space="0" w:color="auto"/>
            </w:tcBorders>
            <w:vAlign w:val="center"/>
            <w:hideMark/>
          </w:tcPr>
          <w:p w14:paraId="71EE70C4" w14:textId="77777777" w:rsidR="006918A0" w:rsidRPr="006918A0" w:rsidRDefault="006918A0" w:rsidP="006918A0">
            <w:pPr>
              <w:spacing w:before="20" w:after="20" w:line="276" w:lineRule="auto"/>
              <w:jc w:val="center"/>
              <w:rPr>
                <w:noProof/>
                <w:sz w:val="20"/>
                <w:szCs w:val="20"/>
              </w:rPr>
            </w:pPr>
            <w:r w:rsidRPr="006918A0">
              <w:rPr>
                <w:noProof/>
                <w:sz w:val="20"/>
                <w:szCs w:val="20"/>
              </w:rPr>
              <w:t>0.017</w:t>
            </w:r>
          </w:p>
        </w:tc>
        <w:tc>
          <w:tcPr>
            <w:tcW w:w="761" w:type="pct"/>
            <w:tcBorders>
              <w:top w:val="single" w:sz="4" w:space="0" w:color="auto"/>
              <w:left w:val="single" w:sz="4" w:space="0" w:color="auto"/>
              <w:bottom w:val="single" w:sz="4" w:space="0" w:color="auto"/>
              <w:right w:val="single" w:sz="4" w:space="0" w:color="auto"/>
            </w:tcBorders>
            <w:vAlign w:val="center"/>
            <w:hideMark/>
          </w:tcPr>
          <w:p w14:paraId="63690810" w14:textId="77777777" w:rsidR="006918A0" w:rsidRPr="006918A0" w:rsidRDefault="006918A0" w:rsidP="006918A0">
            <w:pPr>
              <w:spacing w:before="20" w:after="20" w:line="276" w:lineRule="auto"/>
              <w:jc w:val="center"/>
              <w:rPr>
                <w:b/>
                <w:noProof/>
                <w:sz w:val="20"/>
                <w:szCs w:val="20"/>
              </w:rPr>
            </w:pPr>
            <w:r w:rsidRPr="006918A0">
              <w:rPr>
                <w:b/>
                <w:bCs/>
                <w:noProof/>
                <w:sz w:val="20"/>
                <w:szCs w:val="20"/>
              </w:rPr>
              <w:t>0,524</w:t>
            </w:r>
          </w:p>
        </w:tc>
      </w:tr>
      <w:bookmarkEnd w:id="19"/>
    </w:tbl>
    <w:p w14:paraId="4357C41E" w14:textId="77777777" w:rsidR="006918A0" w:rsidRPr="006918A0" w:rsidRDefault="006918A0" w:rsidP="006918A0">
      <w:pPr>
        <w:jc w:val="center"/>
        <w:rPr>
          <w:noProof/>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409"/>
        <w:gridCol w:w="1303"/>
        <w:gridCol w:w="1112"/>
        <w:gridCol w:w="1362"/>
        <w:gridCol w:w="1015"/>
        <w:gridCol w:w="1138"/>
        <w:gridCol w:w="2087"/>
      </w:tblGrid>
      <w:tr w:rsidR="006918A0" w:rsidRPr="006918A0" w14:paraId="598A144C" w14:textId="77777777" w:rsidTr="000430BD">
        <w:tc>
          <w:tcPr>
            <w:tcW w:w="1334" w:type="pct"/>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190B7EA7" w14:textId="77777777" w:rsidR="006918A0" w:rsidRPr="006918A0" w:rsidRDefault="006918A0" w:rsidP="006918A0">
            <w:pPr>
              <w:spacing w:line="276" w:lineRule="auto"/>
              <w:jc w:val="center"/>
              <w:rPr>
                <w:b/>
                <w:noProof/>
              </w:rPr>
            </w:pPr>
            <w:r w:rsidRPr="006918A0">
              <w:rPr>
                <w:b/>
                <w:noProof/>
              </w:rPr>
              <w:t>TOTAL appropriations</w:t>
            </w:r>
            <w:r w:rsidRPr="006918A0">
              <w:rPr>
                <w:noProof/>
              </w:rPr>
              <w:br/>
            </w:r>
            <w:r w:rsidRPr="006918A0">
              <w:rPr>
                <w:b/>
                <w:noProof/>
              </w:rPr>
              <w:t>under HEADING 7</w:t>
            </w:r>
            <w:r w:rsidRPr="006918A0">
              <w:rPr>
                <w:noProof/>
              </w:rPr>
              <w:br/>
              <w:t>of the multiannual financial framework</w:t>
            </w:r>
          </w:p>
        </w:tc>
        <w:tc>
          <w:tcPr>
            <w:tcW w:w="847" w:type="pct"/>
            <w:tcBorders>
              <w:top w:val="single" w:sz="4" w:space="0" w:color="auto"/>
              <w:left w:val="single" w:sz="4" w:space="0" w:color="auto"/>
              <w:bottom w:val="single" w:sz="4" w:space="0" w:color="auto"/>
              <w:right w:val="single" w:sz="4" w:space="0" w:color="auto"/>
            </w:tcBorders>
            <w:vAlign w:val="center"/>
            <w:hideMark/>
          </w:tcPr>
          <w:p w14:paraId="690698A5" w14:textId="77777777" w:rsidR="006918A0" w:rsidRPr="006918A0" w:rsidRDefault="006918A0" w:rsidP="006918A0">
            <w:pPr>
              <w:spacing w:before="40" w:after="40" w:line="276" w:lineRule="auto"/>
              <w:jc w:val="center"/>
              <w:rPr>
                <w:noProof/>
              </w:rPr>
            </w:pPr>
            <w:r w:rsidRPr="006918A0">
              <w:rPr>
                <w:noProof/>
                <w:sz w:val="18"/>
              </w:rPr>
              <w:t>(Total commitments = Total payments)</w:t>
            </w:r>
          </w:p>
        </w:tc>
        <w:tc>
          <w:tcPr>
            <w:tcW w:w="458" w:type="pct"/>
            <w:tcBorders>
              <w:top w:val="single" w:sz="4" w:space="0" w:color="auto"/>
              <w:left w:val="single" w:sz="4" w:space="0" w:color="auto"/>
              <w:bottom w:val="single" w:sz="4" w:space="0" w:color="auto"/>
              <w:right w:val="single" w:sz="4" w:space="0" w:color="auto"/>
            </w:tcBorders>
            <w:vAlign w:val="center"/>
            <w:hideMark/>
          </w:tcPr>
          <w:p w14:paraId="3D1AD2D3" w14:textId="77777777" w:rsidR="006918A0" w:rsidRPr="006918A0" w:rsidRDefault="006918A0" w:rsidP="006918A0">
            <w:pPr>
              <w:spacing w:before="20" w:after="20" w:line="276" w:lineRule="auto"/>
              <w:jc w:val="center"/>
              <w:rPr>
                <w:noProof/>
              </w:rPr>
            </w:pPr>
            <w:r w:rsidRPr="006918A0">
              <w:rPr>
                <w:noProof/>
                <w:sz w:val="20"/>
                <w:szCs w:val="20"/>
              </w:rPr>
              <w:t>0.122</w:t>
            </w:r>
          </w:p>
        </w:tc>
        <w:tc>
          <w:tcPr>
            <w:tcW w:w="391" w:type="pct"/>
            <w:tcBorders>
              <w:top w:val="single" w:sz="4" w:space="0" w:color="auto"/>
              <w:left w:val="single" w:sz="4" w:space="0" w:color="auto"/>
              <w:bottom w:val="single" w:sz="4" w:space="0" w:color="auto"/>
              <w:right w:val="single" w:sz="4" w:space="0" w:color="auto"/>
            </w:tcBorders>
            <w:vAlign w:val="center"/>
            <w:hideMark/>
          </w:tcPr>
          <w:p w14:paraId="4916BD2C" w14:textId="77777777" w:rsidR="006918A0" w:rsidRPr="006918A0" w:rsidRDefault="006918A0" w:rsidP="006918A0">
            <w:pPr>
              <w:spacing w:before="20" w:after="20" w:line="276" w:lineRule="auto"/>
              <w:jc w:val="center"/>
              <w:rPr>
                <w:noProof/>
              </w:rPr>
            </w:pPr>
            <w:r w:rsidRPr="006918A0">
              <w:rPr>
                <w:noProof/>
                <w:sz w:val="20"/>
                <w:szCs w:val="20"/>
              </w:rPr>
              <w:t>0.161</w:t>
            </w:r>
          </w:p>
        </w:tc>
        <w:tc>
          <w:tcPr>
            <w:tcW w:w="479" w:type="pct"/>
            <w:tcBorders>
              <w:top w:val="single" w:sz="4" w:space="0" w:color="auto"/>
              <w:left w:val="single" w:sz="4" w:space="0" w:color="auto"/>
              <w:bottom w:val="single" w:sz="4" w:space="0" w:color="auto"/>
              <w:right w:val="single" w:sz="4" w:space="0" w:color="auto"/>
            </w:tcBorders>
            <w:vAlign w:val="center"/>
            <w:hideMark/>
          </w:tcPr>
          <w:p w14:paraId="086416A2" w14:textId="77777777" w:rsidR="006918A0" w:rsidRPr="006918A0" w:rsidRDefault="006918A0" w:rsidP="006918A0">
            <w:pPr>
              <w:spacing w:before="20" w:after="20" w:line="276" w:lineRule="auto"/>
              <w:jc w:val="center"/>
              <w:rPr>
                <w:noProof/>
              </w:rPr>
            </w:pPr>
            <w:r w:rsidRPr="006918A0">
              <w:rPr>
                <w:noProof/>
                <w:sz w:val="20"/>
                <w:szCs w:val="20"/>
              </w:rPr>
              <w:t>0.159</w:t>
            </w:r>
          </w:p>
        </w:tc>
        <w:tc>
          <w:tcPr>
            <w:tcW w:w="357" w:type="pct"/>
            <w:tcBorders>
              <w:top w:val="single" w:sz="4" w:space="0" w:color="auto"/>
              <w:left w:val="single" w:sz="4" w:space="0" w:color="auto"/>
              <w:bottom w:val="single" w:sz="4" w:space="0" w:color="auto"/>
              <w:right w:val="single" w:sz="4" w:space="0" w:color="auto"/>
            </w:tcBorders>
            <w:vAlign w:val="center"/>
            <w:hideMark/>
          </w:tcPr>
          <w:p w14:paraId="02C4E992" w14:textId="77777777" w:rsidR="006918A0" w:rsidRPr="006918A0" w:rsidRDefault="006918A0" w:rsidP="006918A0">
            <w:pPr>
              <w:spacing w:before="20" w:after="20" w:line="276" w:lineRule="auto"/>
              <w:jc w:val="center"/>
              <w:rPr>
                <w:noProof/>
              </w:rPr>
            </w:pPr>
            <w:r w:rsidRPr="006918A0">
              <w:rPr>
                <w:noProof/>
                <w:sz w:val="20"/>
                <w:szCs w:val="20"/>
              </w:rPr>
              <w:t>0.065</w:t>
            </w:r>
          </w:p>
        </w:tc>
        <w:tc>
          <w:tcPr>
            <w:tcW w:w="400" w:type="pct"/>
            <w:tcBorders>
              <w:top w:val="single" w:sz="4" w:space="0" w:color="auto"/>
              <w:left w:val="single" w:sz="4" w:space="0" w:color="auto"/>
              <w:bottom w:val="single" w:sz="4" w:space="0" w:color="auto"/>
              <w:right w:val="single" w:sz="4" w:space="0" w:color="auto"/>
            </w:tcBorders>
            <w:vAlign w:val="center"/>
            <w:hideMark/>
          </w:tcPr>
          <w:p w14:paraId="574139AA" w14:textId="77777777" w:rsidR="006918A0" w:rsidRPr="006918A0" w:rsidRDefault="006918A0" w:rsidP="006918A0">
            <w:pPr>
              <w:spacing w:before="20" w:after="20" w:line="276" w:lineRule="auto"/>
              <w:jc w:val="center"/>
              <w:rPr>
                <w:noProof/>
              </w:rPr>
            </w:pPr>
            <w:r w:rsidRPr="006918A0">
              <w:rPr>
                <w:noProof/>
                <w:sz w:val="20"/>
                <w:szCs w:val="20"/>
              </w:rPr>
              <w:t>0.017</w:t>
            </w:r>
          </w:p>
        </w:tc>
        <w:tc>
          <w:tcPr>
            <w:tcW w:w="735" w:type="pct"/>
            <w:tcBorders>
              <w:top w:val="single" w:sz="4" w:space="0" w:color="auto"/>
              <w:left w:val="single" w:sz="4" w:space="0" w:color="auto"/>
              <w:bottom w:val="single" w:sz="4" w:space="0" w:color="auto"/>
              <w:right w:val="single" w:sz="4" w:space="0" w:color="auto"/>
            </w:tcBorders>
            <w:vAlign w:val="center"/>
            <w:hideMark/>
          </w:tcPr>
          <w:p w14:paraId="7C4E0E5E" w14:textId="77777777" w:rsidR="006918A0" w:rsidRPr="006918A0" w:rsidRDefault="006918A0" w:rsidP="006918A0">
            <w:pPr>
              <w:spacing w:before="20" w:after="20" w:line="276" w:lineRule="auto"/>
              <w:jc w:val="center"/>
              <w:rPr>
                <w:b/>
                <w:noProof/>
              </w:rPr>
            </w:pPr>
            <w:r w:rsidRPr="006918A0">
              <w:rPr>
                <w:b/>
                <w:bCs/>
                <w:noProof/>
                <w:sz w:val="20"/>
                <w:szCs w:val="20"/>
              </w:rPr>
              <w:t>0,524</w:t>
            </w:r>
          </w:p>
        </w:tc>
      </w:tr>
    </w:tbl>
    <w:p w14:paraId="21399408" w14:textId="77777777" w:rsidR="006918A0" w:rsidRPr="006918A0" w:rsidRDefault="006918A0" w:rsidP="006918A0">
      <w:pPr>
        <w:jc w:val="right"/>
        <w:rPr>
          <w:noProof/>
          <w:sz w:val="20"/>
        </w:rPr>
      </w:pPr>
      <w:r w:rsidRPr="006918A0">
        <w:rPr>
          <w:noProof/>
          <w:sz w:val="20"/>
        </w:rPr>
        <w:t>EUR million (to three decimal places)</w:t>
      </w:r>
    </w:p>
    <w:tbl>
      <w:tblPr>
        <w:tblW w:w="508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
        <w:gridCol w:w="3709"/>
        <w:gridCol w:w="324"/>
        <w:gridCol w:w="1236"/>
        <w:gridCol w:w="350"/>
        <w:gridCol w:w="182"/>
        <w:gridCol w:w="365"/>
        <w:gridCol w:w="504"/>
        <w:gridCol w:w="625"/>
        <w:gridCol w:w="243"/>
        <w:gridCol w:w="868"/>
        <w:gridCol w:w="188"/>
        <w:gridCol w:w="680"/>
        <w:gridCol w:w="475"/>
        <w:gridCol w:w="394"/>
        <w:gridCol w:w="761"/>
        <w:gridCol w:w="107"/>
        <w:gridCol w:w="868"/>
        <w:gridCol w:w="179"/>
        <w:gridCol w:w="1598"/>
        <w:gridCol w:w="564"/>
      </w:tblGrid>
      <w:tr w:rsidR="00750F4B" w:rsidRPr="006918A0" w14:paraId="54B62E77" w14:textId="77777777" w:rsidTr="000430BD">
        <w:trPr>
          <w:gridBefore w:val="1"/>
          <w:wBefore w:w="87" w:type="pct"/>
        </w:trPr>
        <w:tc>
          <w:tcPr>
            <w:tcW w:w="1393" w:type="pct"/>
            <w:gridSpan w:val="2"/>
            <w:tcBorders>
              <w:top w:val="nil"/>
              <w:left w:val="nil"/>
              <w:bottom w:val="single" w:sz="4" w:space="0" w:color="auto"/>
              <w:right w:val="nil"/>
            </w:tcBorders>
            <w:vAlign w:val="center"/>
          </w:tcPr>
          <w:p w14:paraId="38F0CA61" w14:textId="77777777" w:rsidR="006918A0" w:rsidRPr="006918A0" w:rsidRDefault="006918A0" w:rsidP="006918A0">
            <w:pPr>
              <w:spacing w:line="276" w:lineRule="auto"/>
              <w:jc w:val="center"/>
              <w:rPr>
                <w:noProof/>
              </w:rPr>
            </w:pPr>
          </w:p>
        </w:tc>
        <w:tc>
          <w:tcPr>
            <w:tcW w:w="548" w:type="pct"/>
            <w:gridSpan w:val="2"/>
            <w:tcBorders>
              <w:top w:val="nil"/>
              <w:left w:val="nil"/>
              <w:bottom w:val="single" w:sz="4" w:space="0" w:color="auto"/>
              <w:right w:val="nil"/>
            </w:tcBorders>
          </w:tcPr>
          <w:p w14:paraId="0890AC0E" w14:textId="77777777" w:rsidR="006918A0" w:rsidRPr="006918A0" w:rsidRDefault="006918A0" w:rsidP="006918A0">
            <w:pPr>
              <w:spacing w:line="276" w:lineRule="auto"/>
              <w:jc w:val="center"/>
              <w:rPr>
                <w:noProof/>
              </w:rPr>
            </w:pPr>
          </w:p>
        </w:tc>
        <w:tc>
          <w:tcPr>
            <w:tcW w:w="189" w:type="pct"/>
            <w:gridSpan w:val="2"/>
            <w:tcBorders>
              <w:top w:val="nil"/>
              <w:left w:val="nil"/>
              <w:bottom w:val="single" w:sz="4" w:space="0" w:color="auto"/>
              <w:right w:val="single" w:sz="4" w:space="0" w:color="auto"/>
            </w:tcBorders>
          </w:tcPr>
          <w:p w14:paraId="31254D22" w14:textId="77777777" w:rsidR="006918A0" w:rsidRPr="006918A0" w:rsidRDefault="006918A0" w:rsidP="006918A0">
            <w:pPr>
              <w:spacing w:line="276" w:lineRule="auto"/>
              <w:jc w:val="center"/>
              <w:rPr>
                <w:noProof/>
              </w:rPr>
            </w:pP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7F0CE618" w14:textId="77777777" w:rsidR="006918A0" w:rsidRPr="006918A0" w:rsidRDefault="006918A0" w:rsidP="006918A0">
            <w:pPr>
              <w:spacing w:line="276" w:lineRule="auto"/>
              <w:jc w:val="center"/>
              <w:rPr>
                <w:noProof/>
              </w:rPr>
            </w:pPr>
            <w:r w:rsidRPr="006918A0">
              <w:rPr>
                <w:noProof/>
              </w:rPr>
              <w:t>2023</w:t>
            </w:r>
          </w:p>
        </w:tc>
        <w:tc>
          <w:tcPr>
            <w:tcW w:w="449" w:type="pct"/>
            <w:gridSpan w:val="3"/>
            <w:tcBorders>
              <w:top w:val="single" w:sz="4" w:space="0" w:color="auto"/>
              <w:left w:val="single" w:sz="4" w:space="0" w:color="auto"/>
              <w:bottom w:val="single" w:sz="4" w:space="0" w:color="auto"/>
              <w:right w:val="single" w:sz="4" w:space="0" w:color="auto"/>
            </w:tcBorders>
            <w:vAlign w:val="center"/>
            <w:hideMark/>
          </w:tcPr>
          <w:p w14:paraId="2CE41145" w14:textId="77777777" w:rsidR="006918A0" w:rsidRPr="006918A0" w:rsidRDefault="006918A0" w:rsidP="006918A0">
            <w:pPr>
              <w:spacing w:line="276" w:lineRule="auto"/>
              <w:jc w:val="center"/>
              <w:rPr>
                <w:noProof/>
              </w:rPr>
            </w:pPr>
            <w:r w:rsidRPr="006918A0">
              <w:rPr>
                <w:noProof/>
              </w:rPr>
              <w:t>2024</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447742EE" w14:textId="77777777" w:rsidR="006918A0" w:rsidRPr="006918A0" w:rsidRDefault="006918A0" w:rsidP="006918A0">
            <w:pPr>
              <w:spacing w:line="276" w:lineRule="auto"/>
              <w:jc w:val="center"/>
              <w:rPr>
                <w:noProof/>
              </w:rPr>
            </w:pPr>
            <w:r w:rsidRPr="006918A0">
              <w:rPr>
                <w:noProof/>
              </w:rPr>
              <w:t>2025</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2E4F8D83" w14:textId="77777777" w:rsidR="006918A0" w:rsidRPr="006918A0" w:rsidRDefault="006918A0" w:rsidP="006918A0">
            <w:pPr>
              <w:spacing w:line="276" w:lineRule="auto"/>
              <w:jc w:val="center"/>
              <w:rPr>
                <w:noProof/>
              </w:rPr>
            </w:pPr>
            <w:r w:rsidRPr="006918A0">
              <w:rPr>
                <w:noProof/>
              </w:rPr>
              <w:t>2026</w:t>
            </w:r>
          </w:p>
        </w:tc>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3CF4A764" w14:textId="77777777" w:rsidR="006918A0" w:rsidRPr="006918A0" w:rsidRDefault="006918A0" w:rsidP="006918A0">
            <w:pPr>
              <w:spacing w:line="276" w:lineRule="auto"/>
              <w:jc w:val="center"/>
              <w:rPr>
                <w:b/>
                <w:noProof/>
                <w:sz w:val="18"/>
              </w:rPr>
            </w:pPr>
            <w:r w:rsidRPr="006918A0">
              <w:rPr>
                <w:noProof/>
              </w:rPr>
              <w:t>2027</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10C68824" w14:textId="77777777" w:rsidR="006918A0" w:rsidRPr="006918A0" w:rsidRDefault="006918A0" w:rsidP="006918A0">
            <w:pPr>
              <w:spacing w:line="276" w:lineRule="auto"/>
              <w:jc w:val="center"/>
              <w:rPr>
                <w:b/>
                <w:noProof/>
              </w:rPr>
            </w:pPr>
            <w:r w:rsidRPr="006918A0">
              <w:rPr>
                <w:b/>
                <w:noProof/>
              </w:rPr>
              <w:t>TOTAL</w:t>
            </w:r>
          </w:p>
          <w:p w14:paraId="2B617444" w14:textId="77777777" w:rsidR="006918A0" w:rsidRPr="006918A0" w:rsidRDefault="006918A0" w:rsidP="006918A0">
            <w:pPr>
              <w:spacing w:line="276" w:lineRule="auto"/>
              <w:jc w:val="center"/>
              <w:rPr>
                <w:b/>
                <w:noProof/>
              </w:rPr>
            </w:pPr>
            <w:r w:rsidRPr="006918A0">
              <w:rPr>
                <w:b/>
                <w:noProof/>
              </w:rPr>
              <w:t>2021 – 2027 MFF</w:t>
            </w:r>
          </w:p>
        </w:tc>
      </w:tr>
      <w:tr w:rsidR="00555CA4" w:rsidRPr="006918A0" w14:paraId="6E15A9F1" w14:textId="77777777" w:rsidTr="000430BD">
        <w:trPr>
          <w:gridBefore w:val="1"/>
          <w:wBefore w:w="87" w:type="pct"/>
        </w:trPr>
        <w:tc>
          <w:tcPr>
            <w:tcW w:w="1393" w:type="pct"/>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6C217C4B" w14:textId="77777777" w:rsidR="006918A0" w:rsidRPr="006918A0" w:rsidRDefault="006918A0" w:rsidP="006918A0">
            <w:pPr>
              <w:spacing w:line="276" w:lineRule="auto"/>
              <w:jc w:val="center"/>
              <w:rPr>
                <w:b/>
                <w:noProof/>
              </w:rPr>
            </w:pPr>
            <w:r w:rsidRPr="006918A0">
              <w:rPr>
                <w:b/>
                <w:noProof/>
              </w:rPr>
              <w:t xml:space="preserve">TOTAL appropriations </w:t>
            </w:r>
            <w:r w:rsidRPr="006918A0">
              <w:rPr>
                <w:noProof/>
              </w:rPr>
              <w:br/>
            </w:r>
            <w:r w:rsidRPr="006918A0">
              <w:rPr>
                <w:b/>
                <w:noProof/>
              </w:rPr>
              <w:t>under HEADINGS 1 to 7</w:t>
            </w:r>
            <w:r w:rsidRPr="006918A0">
              <w:rPr>
                <w:noProof/>
              </w:rPr>
              <w:br/>
              <w:t>of the multiannual financial framework</w:t>
            </w:r>
          </w:p>
        </w:tc>
        <w:tc>
          <w:tcPr>
            <w:tcW w:w="737" w:type="pct"/>
            <w:gridSpan w:val="4"/>
            <w:tcBorders>
              <w:top w:val="single" w:sz="4" w:space="0" w:color="auto"/>
              <w:left w:val="single" w:sz="4" w:space="0" w:color="auto"/>
              <w:bottom w:val="single" w:sz="4" w:space="0" w:color="auto"/>
              <w:right w:val="single" w:sz="4" w:space="0" w:color="auto"/>
            </w:tcBorders>
            <w:vAlign w:val="center"/>
            <w:hideMark/>
          </w:tcPr>
          <w:p w14:paraId="5BAA4D1E" w14:textId="77777777" w:rsidR="006918A0" w:rsidRPr="006918A0" w:rsidRDefault="006918A0" w:rsidP="006918A0">
            <w:pPr>
              <w:spacing w:line="276" w:lineRule="auto"/>
              <w:jc w:val="center"/>
              <w:rPr>
                <w:noProof/>
                <w:sz w:val="14"/>
              </w:rPr>
            </w:pPr>
            <w:r w:rsidRPr="006918A0">
              <w:rPr>
                <w:noProof/>
                <w:sz w:val="18"/>
              </w:rPr>
              <w:t>Commitments</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2F5D6C1D" w14:textId="77777777" w:rsidR="006918A0" w:rsidRPr="006918A0" w:rsidRDefault="006918A0" w:rsidP="006918A0">
            <w:pPr>
              <w:spacing w:before="60" w:after="60" w:line="276" w:lineRule="auto"/>
              <w:jc w:val="center"/>
              <w:rPr>
                <w:b/>
                <w:noProof/>
              </w:rPr>
            </w:pPr>
            <w:r w:rsidRPr="006918A0">
              <w:rPr>
                <w:noProof/>
                <w:color w:val="000000"/>
                <w:sz w:val="20"/>
                <w:szCs w:val="20"/>
              </w:rPr>
              <w:t>0.272</w:t>
            </w:r>
          </w:p>
        </w:tc>
        <w:tc>
          <w:tcPr>
            <w:tcW w:w="449" w:type="pct"/>
            <w:gridSpan w:val="3"/>
            <w:tcBorders>
              <w:top w:val="single" w:sz="4" w:space="0" w:color="auto"/>
              <w:left w:val="single" w:sz="4" w:space="0" w:color="auto"/>
              <w:bottom w:val="single" w:sz="4" w:space="0" w:color="auto"/>
              <w:right w:val="single" w:sz="4" w:space="0" w:color="auto"/>
            </w:tcBorders>
            <w:vAlign w:val="center"/>
            <w:hideMark/>
          </w:tcPr>
          <w:p w14:paraId="2E0963D0" w14:textId="77777777" w:rsidR="006918A0" w:rsidRPr="006918A0" w:rsidRDefault="006918A0" w:rsidP="006918A0">
            <w:pPr>
              <w:spacing w:before="60" w:after="60" w:line="276" w:lineRule="auto"/>
              <w:jc w:val="center"/>
              <w:rPr>
                <w:b/>
                <w:noProof/>
              </w:rPr>
            </w:pPr>
            <w:r w:rsidRPr="006918A0">
              <w:rPr>
                <w:noProof/>
                <w:color w:val="000000"/>
                <w:sz w:val="20"/>
                <w:szCs w:val="20"/>
              </w:rPr>
              <w:t>0.561</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3946DCC8" w14:textId="77777777" w:rsidR="006918A0" w:rsidRPr="006918A0" w:rsidRDefault="006918A0" w:rsidP="006918A0">
            <w:pPr>
              <w:spacing w:line="276" w:lineRule="auto"/>
              <w:jc w:val="center"/>
              <w:rPr>
                <w:b/>
                <w:noProof/>
                <w:color w:val="000000"/>
              </w:rPr>
            </w:pPr>
            <w:r w:rsidRPr="006918A0">
              <w:rPr>
                <w:noProof/>
                <w:color w:val="000000"/>
                <w:sz w:val="20"/>
                <w:szCs w:val="20"/>
              </w:rPr>
              <w:t>0.359</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6E90C3AA" w14:textId="77777777" w:rsidR="006918A0" w:rsidRPr="006918A0" w:rsidRDefault="006918A0" w:rsidP="006918A0">
            <w:pPr>
              <w:spacing w:line="276" w:lineRule="auto"/>
              <w:jc w:val="center"/>
              <w:rPr>
                <w:b/>
                <w:noProof/>
                <w:color w:val="000000"/>
              </w:rPr>
            </w:pPr>
            <w:r w:rsidRPr="006918A0">
              <w:rPr>
                <w:noProof/>
                <w:color w:val="000000"/>
                <w:sz w:val="20"/>
                <w:szCs w:val="20"/>
              </w:rPr>
              <w:t>0.395</w:t>
            </w:r>
          </w:p>
        </w:tc>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42AF36E3" w14:textId="77777777" w:rsidR="006918A0" w:rsidRPr="006918A0" w:rsidRDefault="006918A0" w:rsidP="006918A0">
            <w:pPr>
              <w:spacing w:line="276" w:lineRule="auto"/>
              <w:jc w:val="center"/>
              <w:rPr>
                <w:b/>
                <w:noProof/>
                <w:color w:val="000000"/>
              </w:rPr>
            </w:pPr>
            <w:r w:rsidRPr="006918A0">
              <w:rPr>
                <w:noProof/>
                <w:color w:val="000000"/>
                <w:sz w:val="20"/>
                <w:szCs w:val="20"/>
              </w:rPr>
              <w:t>0.197</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56D96C1E" w14:textId="77777777" w:rsidR="006918A0" w:rsidRPr="006918A0" w:rsidRDefault="006918A0" w:rsidP="006918A0">
            <w:pPr>
              <w:spacing w:line="276" w:lineRule="auto"/>
              <w:jc w:val="right"/>
              <w:rPr>
                <w:b/>
                <w:noProof/>
                <w:color w:val="000000"/>
              </w:rPr>
            </w:pPr>
            <w:r w:rsidRPr="006918A0">
              <w:rPr>
                <w:b/>
                <w:bCs/>
                <w:noProof/>
                <w:color w:val="000000"/>
                <w:sz w:val="20"/>
                <w:szCs w:val="20"/>
              </w:rPr>
              <w:t>1,784</w:t>
            </w:r>
          </w:p>
        </w:tc>
      </w:tr>
      <w:tr w:rsidR="006918A0" w:rsidRPr="006918A0" w14:paraId="3B859BAA" w14:textId="77777777" w:rsidTr="000430BD">
        <w:trPr>
          <w:gridBefore w:val="1"/>
          <w:wBefore w:w="87" w:type="pct"/>
        </w:trPr>
        <w:tc>
          <w:tcPr>
            <w:tcW w:w="0" w:type="auto"/>
            <w:gridSpan w:val="2"/>
            <w:vMerge/>
            <w:tcBorders>
              <w:top w:val="nil"/>
              <w:left w:val="nil"/>
              <w:bottom w:val="nil"/>
              <w:right w:val="nil"/>
            </w:tcBorders>
            <w:vAlign w:val="center"/>
            <w:hideMark/>
          </w:tcPr>
          <w:p w14:paraId="502563BB" w14:textId="77777777" w:rsidR="006918A0" w:rsidRPr="006918A0" w:rsidRDefault="006918A0" w:rsidP="006918A0">
            <w:pPr>
              <w:spacing w:before="0" w:after="0" w:line="276" w:lineRule="auto"/>
              <w:jc w:val="left"/>
              <w:rPr>
                <w:b/>
                <w:noProof/>
              </w:rPr>
            </w:pPr>
          </w:p>
        </w:tc>
        <w:tc>
          <w:tcPr>
            <w:tcW w:w="737" w:type="pct"/>
            <w:gridSpan w:val="4"/>
            <w:tcBorders>
              <w:top w:val="single" w:sz="4" w:space="0" w:color="auto"/>
              <w:left w:val="single" w:sz="4" w:space="0" w:color="auto"/>
              <w:bottom w:val="single" w:sz="4" w:space="0" w:color="auto"/>
              <w:right w:val="single" w:sz="4" w:space="0" w:color="auto"/>
            </w:tcBorders>
            <w:vAlign w:val="center"/>
            <w:hideMark/>
          </w:tcPr>
          <w:p w14:paraId="456FED67" w14:textId="77777777" w:rsidR="006918A0" w:rsidRPr="006918A0" w:rsidRDefault="006918A0" w:rsidP="006918A0">
            <w:pPr>
              <w:spacing w:line="276" w:lineRule="auto"/>
              <w:jc w:val="center"/>
              <w:rPr>
                <w:noProof/>
                <w:sz w:val="14"/>
              </w:rPr>
            </w:pPr>
            <w:r w:rsidRPr="006918A0">
              <w:rPr>
                <w:noProof/>
                <w:sz w:val="18"/>
              </w:rPr>
              <w:t>Payments</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71F3548B" w14:textId="77777777" w:rsidR="006918A0" w:rsidRPr="006918A0" w:rsidRDefault="006918A0" w:rsidP="006918A0">
            <w:pPr>
              <w:spacing w:before="60" w:after="60" w:line="276" w:lineRule="auto"/>
              <w:jc w:val="center"/>
              <w:rPr>
                <w:b/>
                <w:noProof/>
              </w:rPr>
            </w:pPr>
            <w:r w:rsidRPr="006918A0">
              <w:rPr>
                <w:noProof/>
                <w:sz w:val="20"/>
                <w:szCs w:val="20"/>
              </w:rPr>
              <w:t>0.122</w:t>
            </w:r>
          </w:p>
        </w:tc>
        <w:tc>
          <w:tcPr>
            <w:tcW w:w="449" w:type="pct"/>
            <w:gridSpan w:val="3"/>
            <w:tcBorders>
              <w:top w:val="single" w:sz="4" w:space="0" w:color="auto"/>
              <w:left w:val="single" w:sz="4" w:space="0" w:color="auto"/>
              <w:bottom w:val="single" w:sz="4" w:space="0" w:color="auto"/>
              <w:right w:val="single" w:sz="4" w:space="0" w:color="auto"/>
            </w:tcBorders>
            <w:vAlign w:val="center"/>
            <w:hideMark/>
          </w:tcPr>
          <w:p w14:paraId="1EFF4751" w14:textId="77777777" w:rsidR="006918A0" w:rsidRPr="006918A0" w:rsidRDefault="006918A0" w:rsidP="006918A0">
            <w:pPr>
              <w:spacing w:before="60" w:after="60" w:line="276" w:lineRule="auto"/>
              <w:jc w:val="center"/>
              <w:rPr>
                <w:b/>
                <w:noProof/>
              </w:rPr>
            </w:pPr>
            <w:r w:rsidRPr="006918A0">
              <w:rPr>
                <w:noProof/>
                <w:sz w:val="20"/>
                <w:szCs w:val="20"/>
              </w:rPr>
              <w:t>0.311</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425FBAC7" w14:textId="77777777" w:rsidR="006918A0" w:rsidRPr="006918A0" w:rsidRDefault="006918A0" w:rsidP="006918A0">
            <w:pPr>
              <w:spacing w:line="276" w:lineRule="auto"/>
              <w:jc w:val="center"/>
              <w:rPr>
                <w:b/>
                <w:noProof/>
                <w:color w:val="000000"/>
              </w:rPr>
            </w:pPr>
            <w:r w:rsidRPr="006918A0">
              <w:rPr>
                <w:noProof/>
                <w:sz w:val="20"/>
                <w:szCs w:val="20"/>
              </w:rPr>
              <w:t>0.559</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6D8D41A7" w14:textId="77777777" w:rsidR="006918A0" w:rsidRPr="006918A0" w:rsidRDefault="006918A0" w:rsidP="006918A0">
            <w:pPr>
              <w:spacing w:line="276" w:lineRule="auto"/>
              <w:jc w:val="center"/>
              <w:rPr>
                <w:b/>
                <w:noProof/>
                <w:color w:val="000000"/>
              </w:rPr>
            </w:pPr>
            <w:r w:rsidRPr="006918A0">
              <w:rPr>
                <w:noProof/>
                <w:sz w:val="20"/>
                <w:szCs w:val="20"/>
              </w:rPr>
              <w:t>0.265</w:t>
            </w:r>
          </w:p>
        </w:tc>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5F1C89F2" w14:textId="77777777" w:rsidR="006918A0" w:rsidRPr="006918A0" w:rsidRDefault="006918A0" w:rsidP="006918A0">
            <w:pPr>
              <w:spacing w:line="276" w:lineRule="auto"/>
              <w:jc w:val="center"/>
              <w:rPr>
                <w:b/>
                <w:noProof/>
                <w:color w:val="000000"/>
              </w:rPr>
            </w:pPr>
            <w:r w:rsidRPr="006918A0">
              <w:rPr>
                <w:noProof/>
                <w:sz w:val="20"/>
                <w:szCs w:val="20"/>
              </w:rPr>
              <w:t>0.347</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64E4E081" w14:textId="77777777" w:rsidR="006918A0" w:rsidRPr="006918A0" w:rsidRDefault="006918A0" w:rsidP="006918A0">
            <w:pPr>
              <w:spacing w:line="276" w:lineRule="auto"/>
              <w:jc w:val="right"/>
              <w:rPr>
                <w:b/>
                <w:noProof/>
                <w:color w:val="000000"/>
              </w:rPr>
            </w:pPr>
            <w:r w:rsidRPr="006918A0">
              <w:rPr>
                <w:b/>
                <w:bCs/>
                <w:noProof/>
                <w:color w:val="000000"/>
                <w:sz w:val="20"/>
                <w:szCs w:val="20"/>
              </w:rPr>
              <w:t>1,604</w:t>
            </w:r>
          </w:p>
        </w:tc>
      </w:tr>
      <w:tr w:rsidR="00750F4B" w:rsidRPr="006918A0" w14:paraId="7813AC18" w14:textId="77777777" w:rsidTr="000430BD">
        <w:trPr>
          <w:gridAfter w:val="1"/>
          <w:wAfter w:w="195" w:type="pct"/>
        </w:trPr>
        <w:tc>
          <w:tcPr>
            <w:tcW w:w="1368" w:type="pct"/>
            <w:gridSpan w:val="2"/>
            <w:tcBorders>
              <w:top w:val="nil"/>
              <w:left w:val="nil"/>
              <w:bottom w:val="single" w:sz="4" w:space="0" w:color="auto"/>
              <w:right w:val="nil"/>
            </w:tcBorders>
            <w:vAlign w:val="center"/>
          </w:tcPr>
          <w:p w14:paraId="0FB1AAB1" w14:textId="77777777" w:rsidR="006918A0" w:rsidRPr="006918A0" w:rsidRDefault="006918A0" w:rsidP="006918A0">
            <w:pPr>
              <w:spacing w:line="276" w:lineRule="auto"/>
              <w:jc w:val="center"/>
              <w:rPr>
                <w:noProof/>
              </w:rPr>
            </w:pPr>
          </w:p>
        </w:tc>
        <w:tc>
          <w:tcPr>
            <w:tcW w:w="539" w:type="pct"/>
            <w:gridSpan w:val="2"/>
            <w:tcBorders>
              <w:top w:val="nil"/>
              <w:left w:val="nil"/>
              <w:bottom w:val="single" w:sz="4" w:space="0" w:color="auto"/>
              <w:right w:val="nil"/>
            </w:tcBorders>
          </w:tcPr>
          <w:p w14:paraId="2DEE0B4A" w14:textId="77777777" w:rsidR="006918A0" w:rsidRPr="006918A0" w:rsidRDefault="006918A0" w:rsidP="006918A0">
            <w:pPr>
              <w:spacing w:line="276" w:lineRule="auto"/>
              <w:rPr>
                <w:noProof/>
                <w:sz w:val="20"/>
              </w:rPr>
            </w:pPr>
          </w:p>
        </w:tc>
        <w:tc>
          <w:tcPr>
            <w:tcW w:w="184" w:type="pct"/>
            <w:gridSpan w:val="2"/>
            <w:tcBorders>
              <w:top w:val="nil"/>
              <w:left w:val="nil"/>
              <w:bottom w:val="single" w:sz="4" w:space="0" w:color="auto"/>
              <w:right w:val="single" w:sz="4" w:space="0" w:color="auto"/>
            </w:tcBorders>
          </w:tcPr>
          <w:p w14:paraId="2033D832" w14:textId="77777777" w:rsidR="006918A0" w:rsidRPr="006918A0" w:rsidRDefault="006918A0" w:rsidP="006918A0">
            <w:pPr>
              <w:spacing w:line="276" w:lineRule="auto"/>
              <w:jc w:val="center"/>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7FF9C67C" w14:textId="77777777" w:rsidR="006918A0" w:rsidRPr="006918A0" w:rsidRDefault="006918A0" w:rsidP="006918A0">
            <w:pPr>
              <w:spacing w:line="276" w:lineRule="auto"/>
              <w:jc w:val="center"/>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2C407876" w14:textId="77777777" w:rsidR="006918A0" w:rsidRPr="006918A0" w:rsidRDefault="006918A0" w:rsidP="006918A0">
            <w:pPr>
              <w:spacing w:line="276" w:lineRule="auto"/>
              <w:jc w:val="center"/>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405A129F" w14:textId="77777777" w:rsidR="006918A0" w:rsidRPr="006918A0" w:rsidRDefault="006918A0" w:rsidP="006918A0">
            <w:pPr>
              <w:spacing w:line="276" w:lineRule="auto"/>
              <w:jc w:val="center"/>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5A8929BD" w14:textId="77777777" w:rsidR="006918A0" w:rsidRPr="006918A0" w:rsidRDefault="006918A0" w:rsidP="006918A0">
            <w:pPr>
              <w:spacing w:line="276" w:lineRule="auto"/>
              <w:jc w:val="center"/>
              <w:rPr>
                <w:noProof/>
                <w:sz w:val="20"/>
              </w:rPr>
            </w:pPr>
          </w:p>
        </w:tc>
        <w:tc>
          <w:tcPr>
            <w:tcW w:w="900" w:type="pct"/>
            <w:gridSpan w:val="5"/>
            <w:tcBorders>
              <w:top w:val="single" w:sz="4" w:space="0" w:color="auto"/>
              <w:left w:val="single" w:sz="4" w:space="0" w:color="auto"/>
              <w:bottom w:val="single" w:sz="4" w:space="0" w:color="auto"/>
              <w:right w:val="single" w:sz="4" w:space="0" w:color="auto"/>
            </w:tcBorders>
            <w:vAlign w:val="center"/>
          </w:tcPr>
          <w:p w14:paraId="5B13188B" w14:textId="77777777" w:rsidR="006918A0" w:rsidRPr="006918A0" w:rsidRDefault="006918A0" w:rsidP="006918A0">
            <w:pPr>
              <w:spacing w:line="276" w:lineRule="auto"/>
              <w:jc w:val="center"/>
              <w:rPr>
                <w:b/>
                <w:noProof/>
                <w:sz w:val="18"/>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06A16105" w14:textId="77777777" w:rsidR="006918A0" w:rsidRPr="006918A0" w:rsidRDefault="006918A0" w:rsidP="006918A0">
            <w:pPr>
              <w:spacing w:line="276" w:lineRule="auto"/>
              <w:jc w:val="center"/>
              <w:rPr>
                <w:b/>
                <w:noProof/>
                <w:sz w:val="20"/>
              </w:rPr>
            </w:pPr>
          </w:p>
        </w:tc>
      </w:tr>
      <w:tr w:rsidR="00555CA4" w:rsidRPr="006918A0" w14:paraId="02C9FE61" w14:textId="77777777" w:rsidTr="000430BD">
        <w:trPr>
          <w:gridAfter w:val="1"/>
          <w:wAfter w:w="195" w:type="pct"/>
        </w:trPr>
        <w:tc>
          <w:tcPr>
            <w:tcW w:w="1368" w:type="pct"/>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25BE062A" w14:textId="77777777" w:rsidR="006918A0" w:rsidRPr="006918A0" w:rsidRDefault="006918A0" w:rsidP="006918A0">
            <w:pPr>
              <w:spacing w:line="276" w:lineRule="auto"/>
              <w:jc w:val="center"/>
              <w:rPr>
                <w:b/>
                <w:noProof/>
              </w:rPr>
            </w:pPr>
            <w:r w:rsidRPr="006918A0">
              <w:rPr>
                <w:b/>
                <w:noProof/>
              </w:rPr>
              <w:t xml:space="preserve">TOTAL appropriations </w:t>
            </w:r>
            <w:r w:rsidRPr="006918A0">
              <w:rPr>
                <w:noProof/>
              </w:rPr>
              <w:br/>
            </w:r>
            <w:r w:rsidRPr="006918A0">
              <w:rPr>
                <w:b/>
                <w:noProof/>
              </w:rPr>
              <w:t>under HEADINGS 1 to 7</w:t>
            </w:r>
            <w:r w:rsidRPr="006918A0">
              <w:rPr>
                <w:noProof/>
              </w:rPr>
              <w:br/>
              <w:t>of the multiannual financial framework</w:t>
            </w:r>
            <w:r w:rsidRPr="006918A0">
              <w:rPr>
                <w:b/>
                <w:noProof/>
              </w:rPr>
              <w:t xml:space="preserve"> </w:t>
            </w:r>
          </w:p>
        </w:tc>
        <w:tc>
          <w:tcPr>
            <w:tcW w:w="723" w:type="pct"/>
            <w:gridSpan w:val="4"/>
            <w:tcBorders>
              <w:top w:val="single" w:sz="4" w:space="0" w:color="auto"/>
              <w:left w:val="single" w:sz="4" w:space="0" w:color="auto"/>
              <w:bottom w:val="single" w:sz="4" w:space="0" w:color="auto"/>
              <w:right w:val="single" w:sz="4" w:space="0" w:color="auto"/>
            </w:tcBorders>
            <w:vAlign w:val="center"/>
          </w:tcPr>
          <w:p w14:paraId="05FF2D0A" w14:textId="77777777" w:rsidR="006918A0" w:rsidRPr="006918A0" w:rsidRDefault="006918A0" w:rsidP="006918A0">
            <w:pPr>
              <w:spacing w:line="276" w:lineRule="auto"/>
              <w:rPr>
                <w:noProof/>
                <w:sz w:val="14"/>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296F7974" w14:textId="77777777" w:rsidR="006918A0" w:rsidRPr="006918A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3493200C" w14:textId="77777777" w:rsidR="006918A0" w:rsidRPr="006918A0" w:rsidRDefault="006918A0" w:rsidP="006918A0">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0B413C16" w14:textId="77777777" w:rsidR="006918A0" w:rsidRPr="006918A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60AAD5A8" w14:textId="77777777" w:rsidR="006918A0" w:rsidRPr="006918A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14D37AAE" w14:textId="77777777" w:rsidR="006918A0" w:rsidRPr="006918A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1016273A" w14:textId="77777777" w:rsidR="006918A0" w:rsidRPr="006918A0" w:rsidRDefault="006918A0" w:rsidP="006918A0">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3CEB9085" w14:textId="77777777" w:rsidR="006918A0" w:rsidRPr="006918A0" w:rsidRDefault="006918A0" w:rsidP="006918A0">
            <w:pPr>
              <w:spacing w:before="20" w:after="20" w:line="276" w:lineRule="auto"/>
              <w:jc w:val="right"/>
              <w:rPr>
                <w:noProof/>
                <w:sz w:val="20"/>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34141DDA" w14:textId="77777777" w:rsidR="006918A0" w:rsidRPr="006918A0" w:rsidRDefault="006918A0" w:rsidP="006918A0">
            <w:pPr>
              <w:spacing w:before="20" w:after="20" w:line="276" w:lineRule="auto"/>
              <w:jc w:val="right"/>
              <w:rPr>
                <w:b/>
                <w:bCs/>
                <w:noProof/>
                <w:sz w:val="20"/>
              </w:rPr>
            </w:pPr>
          </w:p>
        </w:tc>
      </w:tr>
      <w:tr w:rsidR="006918A0" w:rsidRPr="006918A0" w14:paraId="039EE65B" w14:textId="77777777" w:rsidTr="000430BD">
        <w:trPr>
          <w:gridAfter w:val="1"/>
          <w:wAfter w:w="195"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307BF9" w14:textId="77777777" w:rsidR="006918A0" w:rsidRPr="006918A0" w:rsidRDefault="006918A0" w:rsidP="006918A0">
            <w:pPr>
              <w:spacing w:before="0" w:after="0" w:line="276" w:lineRule="auto"/>
              <w:jc w:val="left"/>
              <w:rPr>
                <w:b/>
                <w:noProof/>
              </w:rPr>
            </w:pPr>
          </w:p>
        </w:tc>
        <w:tc>
          <w:tcPr>
            <w:tcW w:w="723" w:type="pct"/>
            <w:gridSpan w:val="4"/>
            <w:tcBorders>
              <w:top w:val="single" w:sz="4" w:space="0" w:color="auto"/>
              <w:left w:val="single" w:sz="4" w:space="0" w:color="auto"/>
              <w:bottom w:val="single" w:sz="4" w:space="0" w:color="auto"/>
              <w:right w:val="single" w:sz="4" w:space="0" w:color="auto"/>
            </w:tcBorders>
            <w:vAlign w:val="center"/>
          </w:tcPr>
          <w:p w14:paraId="5110C3CB" w14:textId="77777777" w:rsidR="006918A0" w:rsidRPr="006918A0" w:rsidRDefault="006918A0" w:rsidP="006918A0">
            <w:pPr>
              <w:spacing w:line="276" w:lineRule="auto"/>
              <w:rPr>
                <w:noProof/>
                <w:sz w:val="14"/>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B342667" w14:textId="77777777" w:rsidR="006918A0" w:rsidRPr="006918A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6AB20738" w14:textId="77777777" w:rsidR="006918A0" w:rsidRPr="006918A0" w:rsidRDefault="006918A0" w:rsidP="006918A0">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4ACBEC53" w14:textId="77777777" w:rsidR="006918A0" w:rsidRPr="006918A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C360519" w14:textId="77777777" w:rsidR="006918A0" w:rsidRPr="006918A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F6E3480" w14:textId="77777777" w:rsidR="006918A0" w:rsidRPr="006918A0" w:rsidRDefault="006918A0" w:rsidP="006918A0">
            <w:pPr>
              <w:spacing w:before="20" w:after="20" w:line="276" w:lineRule="auto"/>
              <w:jc w:val="right"/>
              <w:rPr>
                <w:noProof/>
                <w:sz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11E0D09E" w14:textId="77777777" w:rsidR="006918A0" w:rsidRPr="006918A0" w:rsidRDefault="006918A0" w:rsidP="006918A0">
            <w:pPr>
              <w:spacing w:before="20" w:after="20" w:line="276" w:lineRule="auto"/>
              <w:jc w:val="right"/>
              <w:rPr>
                <w:noProof/>
                <w:sz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78B00720" w14:textId="77777777" w:rsidR="006918A0" w:rsidRPr="006918A0" w:rsidRDefault="006918A0" w:rsidP="006918A0">
            <w:pPr>
              <w:spacing w:before="20" w:after="20" w:line="276" w:lineRule="auto"/>
              <w:jc w:val="right"/>
              <w:rPr>
                <w:noProof/>
                <w:sz w:val="20"/>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140E4CA4" w14:textId="77777777" w:rsidR="006918A0" w:rsidRPr="006918A0" w:rsidRDefault="006918A0" w:rsidP="006918A0">
            <w:pPr>
              <w:spacing w:before="20" w:after="20" w:line="276" w:lineRule="auto"/>
              <w:jc w:val="right"/>
              <w:rPr>
                <w:b/>
                <w:bCs/>
                <w:noProof/>
                <w:sz w:val="20"/>
              </w:rPr>
            </w:pPr>
          </w:p>
        </w:tc>
      </w:tr>
    </w:tbl>
    <w:p w14:paraId="01F7DC12" w14:textId="77777777" w:rsidR="006918A0" w:rsidRPr="006918A0" w:rsidRDefault="006918A0" w:rsidP="006918A0">
      <w:pPr>
        <w:rPr>
          <w:noProof/>
        </w:rPr>
      </w:pPr>
    </w:p>
    <w:p w14:paraId="1CC25C0F" w14:textId="77777777" w:rsidR="006918A0" w:rsidRPr="006918A0" w:rsidRDefault="00287904" w:rsidP="00287904">
      <w:pPr>
        <w:pStyle w:val="ManualHeading3"/>
        <w:rPr>
          <w:noProof/>
          <w:szCs w:val="24"/>
        </w:rPr>
      </w:pPr>
      <w:r>
        <w:rPr>
          <w:noProof/>
        </w:rPr>
        <w:tab/>
      </w:r>
      <w:r w:rsidR="006918A0" w:rsidRPr="006918A0">
        <w:rPr>
          <w:noProof/>
        </w:rPr>
        <w:t>3.2.2.</w:t>
      </w:r>
      <w:r w:rsidR="006918A0" w:rsidRPr="006918A0">
        <w:rPr>
          <w:noProof/>
        </w:rPr>
        <w:tab/>
        <w:t xml:space="preserve">Estimated impact on operational appropriations </w:t>
      </w:r>
    </w:p>
    <w:p w14:paraId="675263CC" w14:textId="77777777" w:rsidR="006918A0" w:rsidRPr="006918A0" w:rsidRDefault="006918A0" w:rsidP="006918A0">
      <w:pPr>
        <w:tabs>
          <w:tab w:val="num" w:pos="1134"/>
        </w:tabs>
        <w:ind w:left="1134" w:hanging="283"/>
        <w:rPr>
          <w:rFonts w:eastAsia="Times New Roman"/>
          <w:noProof/>
          <w:lang w:eastAsia="de-DE"/>
        </w:rPr>
      </w:pPr>
      <w:r w:rsidRPr="006918A0">
        <w:rPr>
          <w:rFonts w:ascii="Wingdings" w:eastAsia="Wingdings" w:hAnsi="Wingdings" w:cs="Wingdings"/>
          <w:noProof/>
          <w:lang w:eastAsia="de-DE"/>
        </w:rPr>
        <w:t></w:t>
      </w:r>
      <w:r w:rsidRPr="006918A0">
        <w:rPr>
          <w:rFonts w:eastAsia="Times New Roman"/>
          <w:noProof/>
          <w:lang w:eastAsia="de-DE"/>
        </w:rPr>
        <w:tab/>
        <w:t xml:space="preserve">The proposal/initiative does not require the use of operational appropriations </w:t>
      </w:r>
    </w:p>
    <w:p w14:paraId="5ECB6A5D" w14:textId="77777777" w:rsidR="006918A0" w:rsidRPr="006918A0" w:rsidRDefault="006918A0" w:rsidP="006918A0">
      <w:pPr>
        <w:tabs>
          <w:tab w:val="num" w:pos="1134"/>
        </w:tabs>
        <w:ind w:left="1134" w:hanging="283"/>
        <w:rPr>
          <w:rFonts w:eastAsia="Times New Roman"/>
          <w:noProof/>
          <w:lang w:eastAsia="de-DE"/>
        </w:rPr>
      </w:pPr>
      <w:r w:rsidRPr="006918A0">
        <w:rPr>
          <w:rFonts w:ascii="Wingdings" w:eastAsia="Wingdings" w:hAnsi="Wingdings" w:cs="Wingdings"/>
          <w:noProof/>
          <w:lang w:eastAsia="de-DE"/>
        </w:rPr>
        <w:t></w:t>
      </w:r>
      <w:r w:rsidRPr="006918A0">
        <w:rPr>
          <w:rFonts w:eastAsia="Times New Roman"/>
          <w:noProof/>
          <w:lang w:eastAsia="de-DE"/>
        </w:rPr>
        <w:tab/>
        <w:t>The proposal/initiative requires the use of operational appropriations, as explained below:</w:t>
      </w:r>
    </w:p>
    <w:p w14:paraId="3CBC6925" w14:textId="77777777" w:rsidR="006918A0" w:rsidRPr="006918A0" w:rsidRDefault="006918A0" w:rsidP="006918A0">
      <w:pPr>
        <w:jc w:val="right"/>
        <w:rPr>
          <w:noProof/>
          <w:sz w:val="20"/>
        </w:rPr>
      </w:pPr>
      <w:r w:rsidRPr="006918A0">
        <w:rPr>
          <w:noProof/>
          <w:sz w:val="20"/>
        </w:rPr>
        <w:t>Commitment appropriations in EUR million (to three decimal places)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746"/>
        <w:gridCol w:w="995"/>
        <w:gridCol w:w="808"/>
        <w:gridCol w:w="755"/>
        <w:gridCol w:w="797"/>
        <w:gridCol w:w="726"/>
        <w:gridCol w:w="846"/>
        <w:gridCol w:w="698"/>
        <w:gridCol w:w="1042"/>
        <w:gridCol w:w="638"/>
        <w:gridCol w:w="732"/>
        <w:gridCol w:w="683"/>
        <w:gridCol w:w="23"/>
        <w:gridCol w:w="683"/>
        <w:gridCol w:w="749"/>
        <w:gridCol w:w="152"/>
        <w:gridCol w:w="211"/>
        <w:gridCol w:w="223"/>
        <w:gridCol w:w="197"/>
        <w:gridCol w:w="25"/>
        <w:gridCol w:w="1120"/>
      </w:tblGrid>
      <w:tr w:rsidR="006918A0" w:rsidRPr="006918A0" w14:paraId="7F4E5216" w14:textId="77777777" w:rsidTr="000430BD">
        <w:trPr>
          <w:jc w:val="center"/>
        </w:trPr>
        <w:tc>
          <w:tcPr>
            <w:tcW w:w="483" w:type="pct"/>
            <w:vMerge w:val="restart"/>
            <w:tcBorders>
              <w:top w:val="single" w:sz="4" w:space="0" w:color="auto"/>
              <w:left w:val="single" w:sz="4" w:space="0" w:color="auto"/>
              <w:bottom w:val="single" w:sz="4" w:space="0" w:color="auto"/>
              <w:right w:val="single" w:sz="4" w:space="0" w:color="auto"/>
            </w:tcBorders>
            <w:vAlign w:val="center"/>
          </w:tcPr>
          <w:p w14:paraId="231A97D8" w14:textId="77777777" w:rsidR="006918A0" w:rsidRPr="006918A0" w:rsidRDefault="006918A0" w:rsidP="006918A0">
            <w:pPr>
              <w:spacing w:line="276" w:lineRule="auto"/>
              <w:ind w:right="-29"/>
              <w:jc w:val="center"/>
              <w:rPr>
                <w:b/>
                <w:noProof/>
                <w:sz w:val="18"/>
                <w:szCs w:val="18"/>
              </w:rPr>
            </w:pPr>
            <w:r w:rsidRPr="006918A0">
              <w:rPr>
                <w:b/>
                <w:noProof/>
                <w:sz w:val="18"/>
              </w:rPr>
              <w:t xml:space="preserve">Indicate objectives and outputs </w:t>
            </w:r>
          </w:p>
          <w:p w14:paraId="4E40066B" w14:textId="77777777" w:rsidR="006918A0" w:rsidRPr="006918A0" w:rsidRDefault="006918A0" w:rsidP="006918A0">
            <w:pPr>
              <w:spacing w:line="276" w:lineRule="auto"/>
              <w:ind w:right="-29"/>
              <w:jc w:val="center"/>
              <w:rPr>
                <w:b/>
                <w:noProof/>
                <w:sz w:val="18"/>
                <w:szCs w:val="18"/>
              </w:rPr>
            </w:pPr>
          </w:p>
          <w:p w14:paraId="0943259E" w14:textId="77777777" w:rsidR="006918A0" w:rsidRPr="006918A0" w:rsidRDefault="006918A0" w:rsidP="006918A0">
            <w:pPr>
              <w:spacing w:line="276" w:lineRule="auto"/>
              <w:ind w:right="-29"/>
              <w:jc w:val="center"/>
              <w:rPr>
                <w:noProof/>
                <w:sz w:val="18"/>
                <w:szCs w:val="18"/>
              </w:rPr>
            </w:pPr>
            <w:r w:rsidRPr="004202F1">
              <w:rPr>
                <w:noProof/>
                <w:sz w:val="18"/>
              </w:rPr>
              <w:sym w:font="Wingdings" w:char="F0F2"/>
            </w:r>
          </w:p>
        </w:tc>
        <w:tc>
          <w:tcPr>
            <w:tcW w:w="249" w:type="pct"/>
            <w:tcBorders>
              <w:top w:val="single" w:sz="4" w:space="0" w:color="auto"/>
              <w:left w:val="single" w:sz="4" w:space="0" w:color="auto"/>
              <w:bottom w:val="single" w:sz="4" w:space="0" w:color="auto"/>
              <w:right w:val="single" w:sz="4" w:space="0" w:color="auto"/>
            </w:tcBorders>
            <w:vAlign w:val="center"/>
          </w:tcPr>
          <w:p w14:paraId="7006E3B4" w14:textId="77777777" w:rsidR="006918A0" w:rsidRPr="006918A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vAlign w:val="center"/>
          </w:tcPr>
          <w:p w14:paraId="535A7144" w14:textId="77777777" w:rsidR="006918A0" w:rsidRPr="006918A0" w:rsidRDefault="006918A0" w:rsidP="006918A0">
            <w:pPr>
              <w:spacing w:line="276" w:lineRule="auto"/>
              <w:ind w:right="-29"/>
              <w:jc w:val="center"/>
              <w:rPr>
                <w:noProof/>
                <w:sz w:val="18"/>
                <w:szCs w:val="18"/>
              </w:rPr>
            </w:pPr>
          </w:p>
        </w:tc>
        <w:tc>
          <w:tcPr>
            <w:tcW w:w="551" w:type="pct"/>
            <w:gridSpan w:val="2"/>
            <w:tcBorders>
              <w:top w:val="single" w:sz="4" w:space="0" w:color="auto"/>
              <w:left w:val="nil"/>
              <w:bottom w:val="single" w:sz="4" w:space="0" w:color="auto"/>
              <w:right w:val="single" w:sz="4" w:space="0" w:color="auto"/>
            </w:tcBorders>
            <w:vAlign w:val="center"/>
            <w:hideMark/>
          </w:tcPr>
          <w:p w14:paraId="4FB827BA" w14:textId="77777777" w:rsidR="006918A0" w:rsidRPr="006918A0" w:rsidRDefault="006918A0" w:rsidP="006918A0">
            <w:pPr>
              <w:spacing w:line="276" w:lineRule="auto"/>
              <w:ind w:right="-29"/>
              <w:jc w:val="center"/>
              <w:rPr>
                <w:noProof/>
                <w:sz w:val="18"/>
                <w:szCs w:val="18"/>
              </w:rPr>
            </w:pPr>
            <w:r w:rsidRPr="006918A0">
              <w:rPr>
                <w:noProof/>
                <w:sz w:val="18"/>
              </w:rPr>
              <w:t>2023</w:t>
            </w:r>
          </w:p>
        </w:tc>
        <w:tc>
          <w:tcPr>
            <w:tcW w:w="537" w:type="pct"/>
            <w:gridSpan w:val="2"/>
            <w:tcBorders>
              <w:top w:val="single" w:sz="4" w:space="0" w:color="auto"/>
              <w:left w:val="single" w:sz="4" w:space="0" w:color="auto"/>
              <w:bottom w:val="single" w:sz="4" w:space="0" w:color="auto"/>
              <w:right w:val="single" w:sz="4" w:space="0" w:color="auto"/>
            </w:tcBorders>
            <w:vAlign w:val="center"/>
            <w:hideMark/>
          </w:tcPr>
          <w:p w14:paraId="66D8E53B" w14:textId="77777777" w:rsidR="006918A0" w:rsidRPr="006918A0" w:rsidRDefault="006918A0" w:rsidP="006918A0">
            <w:pPr>
              <w:spacing w:line="276" w:lineRule="auto"/>
              <w:ind w:right="-29"/>
              <w:jc w:val="center"/>
              <w:rPr>
                <w:noProof/>
                <w:sz w:val="18"/>
                <w:szCs w:val="18"/>
              </w:rPr>
            </w:pPr>
            <w:r w:rsidRPr="006918A0">
              <w:rPr>
                <w:noProof/>
                <w:sz w:val="18"/>
              </w:rPr>
              <w:t>2024</w:t>
            </w:r>
          </w:p>
        </w:tc>
        <w:tc>
          <w:tcPr>
            <w:tcW w:w="544" w:type="pct"/>
            <w:gridSpan w:val="2"/>
            <w:tcBorders>
              <w:top w:val="single" w:sz="4" w:space="0" w:color="auto"/>
              <w:left w:val="single" w:sz="4" w:space="0" w:color="auto"/>
              <w:bottom w:val="single" w:sz="4" w:space="0" w:color="auto"/>
              <w:right w:val="single" w:sz="4" w:space="0" w:color="auto"/>
            </w:tcBorders>
            <w:vAlign w:val="center"/>
            <w:hideMark/>
          </w:tcPr>
          <w:p w14:paraId="29DF0065" w14:textId="77777777" w:rsidR="006918A0" w:rsidRPr="006918A0" w:rsidRDefault="006918A0" w:rsidP="006918A0">
            <w:pPr>
              <w:spacing w:line="276" w:lineRule="auto"/>
              <w:ind w:right="-29"/>
              <w:jc w:val="center"/>
              <w:rPr>
                <w:noProof/>
                <w:sz w:val="18"/>
                <w:szCs w:val="18"/>
              </w:rPr>
            </w:pPr>
            <w:r w:rsidRPr="006918A0">
              <w:rPr>
                <w:noProof/>
                <w:sz w:val="18"/>
              </w:rPr>
              <w:t>2025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14:paraId="6B1EF51C" w14:textId="77777777" w:rsidR="006918A0" w:rsidRPr="006918A0" w:rsidRDefault="006918A0" w:rsidP="006918A0">
            <w:pPr>
              <w:spacing w:line="276" w:lineRule="auto"/>
              <w:ind w:right="-29"/>
              <w:jc w:val="center"/>
              <w:rPr>
                <w:noProof/>
                <w:sz w:val="18"/>
                <w:szCs w:val="18"/>
              </w:rPr>
            </w:pPr>
            <w:r w:rsidRPr="006918A0">
              <w:rPr>
                <w:noProof/>
                <w:sz w:val="18"/>
              </w:rPr>
              <w:t>2026</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1DAE2BE2" w14:textId="77777777" w:rsidR="006918A0" w:rsidRPr="006918A0" w:rsidRDefault="006918A0" w:rsidP="006918A0">
            <w:pPr>
              <w:spacing w:line="276" w:lineRule="auto"/>
              <w:jc w:val="center"/>
              <w:rPr>
                <w:noProof/>
                <w:sz w:val="18"/>
                <w:szCs w:val="18"/>
              </w:rPr>
            </w:pPr>
            <w:r w:rsidRPr="006918A0">
              <w:rPr>
                <w:noProof/>
                <w:sz w:val="18"/>
                <w:szCs w:val="18"/>
              </w:rPr>
              <w:t>2027</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14:paraId="3DD6488E" w14:textId="77777777" w:rsidR="006918A0" w:rsidRPr="006918A0" w:rsidRDefault="006918A0" w:rsidP="006918A0">
            <w:pPr>
              <w:spacing w:line="276" w:lineRule="auto"/>
              <w:jc w:val="center"/>
              <w:rPr>
                <w:noProof/>
                <w:sz w:val="18"/>
                <w:szCs w:val="18"/>
              </w:rPr>
            </w:pPr>
            <w:r w:rsidRPr="006918A0">
              <w:rPr>
                <w:noProof/>
                <w:sz w:val="18"/>
                <w:szCs w:val="18"/>
              </w:rPr>
              <w:t>2028</w:t>
            </w:r>
          </w:p>
        </w:tc>
        <w:tc>
          <w:tcPr>
            <w:tcW w:w="627" w:type="pct"/>
            <w:gridSpan w:val="5"/>
            <w:tcBorders>
              <w:top w:val="single" w:sz="4" w:space="0" w:color="auto"/>
              <w:left w:val="nil"/>
              <w:bottom w:val="nil"/>
              <w:right w:val="single" w:sz="4" w:space="0" w:color="auto"/>
            </w:tcBorders>
            <w:vAlign w:val="center"/>
            <w:hideMark/>
          </w:tcPr>
          <w:p w14:paraId="60AA460D" w14:textId="77777777" w:rsidR="006918A0" w:rsidRPr="006918A0" w:rsidRDefault="006918A0" w:rsidP="006918A0">
            <w:pPr>
              <w:spacing w:line="276" w:lineRule="auto"/>
              <w:ind w:right="-29"/>
              <w:jc w:val="center"/>
              <w:rPr>
                <w:noProof/>
                <w:sz w:val="18"/>
                <w:szCs w:val="18"/>
              </w:rPr>
            </w:pPr>
            <w:r w:rsidRPr="006918A0">
              <w:rPr>
                <w:b/>
                <w:noProof/>
                <w:sz w:val="18"/>
              </w:rPr>
              <w:t>TOTAL</w:t>
            </w:r>
          </w:p>
        </w:tc>
      </w:tr>
      <w:tr w:rsidR="006918A0" w:rsidRPr="006918A0" w14:paraId="00BF4029" w14:textId="77777777" w:rsidTr="004202F1">
        <w:trPr>
          <w:jc w:val="center"/>
        </w:trPr>
        <w:tc>
          <w:tcPr>
            <w:tcW w:w="0" w:type="auto"/>
            <w:vMerge/>
            <w:vAlign w:val="center"/>
            <w:hideMark/>
          </w:tcPr>
          <w:p w14:paraId="7AB00F5F" w14:textId="77777777" w:rsidR="006918A0" w:rsidRPr="006918A0" w:rsidRDefault="006918A0" w:rsidP="006918A0">
            <w:pPr>
              <w:spacing w:before="0" w:after="0" w:line="276" w:lineRule="auto"/>
              <w:jc w:val="left"/>
              <w:rPr>
                <w:noProof/>
                <w:sz w:val="18"/>
                <w:szCs w:val="18"/>
              </w:rPr>
            </w:pPr>
          </w:p>
        </w:tc>
        <w:tc>
          <w:tcPr>
            <w:tcW w:w="4517" w:type="pct"/>
            <w:gridSpan w:val="21"/>
            <w:tcBorders>
              <w:top w:val="single" w:sz="4" w:space="0" w:color="auto"/>
              <w:left w:val="single" w:sz="4" w:space="0" w:color="auto"/>
              <w:bottom w:val="single" w:sz="4" w:space="0" w:color="auto"/>
              <w:right w:val="single" w:sz="4" w:space="0" w:color="auto"/>
            </w:tcBorders>
            <w:vAlign w:val="center"/>
            <w:hideMark/>
          </w:tcPr>
          <w:p w14:paraId="4F4AB99B" w14:textId="77777777" w:rsidR="006918A0" w:rsidRPr="006918A0" w:rsidRDefault="006918A0" w:rsidP="006918A0">
            <w:pPr>
              <w:spacing w:before="60" w:after="60" w:line="276" w:lineRule="auto"/>
              <w:ind w:right="-29"/>
              <w:jc w:val="center"/>
              <w:rPr>
                <w:noProof/>
                <w:sz w:val="18"/>
                <w:szCs w:val="18"/>
              </w:rPr>
            </w:pPr>
            <w:r w:rsidRPr="006918A0">
              <w:rPr>
                <w:b/>
                <w:noProof/>
                <w:sz w:val="18"/>
              </w:rPr>
              <w:t>OUTPUTS</w:t>
            </w:r>
          </w:p>
        </w:tc>
      </w:tr>
      <w:tr w:rsidR="00263B08" w:rsidRPr="006918A0" w14:paraId="1132C755" w14:textId="77777777" w:rsidTr="000430BD">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D17FF" w14:textId="77777777" w:rsidR="006918A0" w:rsidRPr="006918A0" w:rsidRDefault="006918A0" w:rsidP="006918A0">
            <w:pPr>
              <w:spacing w:before="0" w:after="0" w:line="276" w:lineRule="auto"/>
              <w:jc w:val="left"/>
              <w:rPr>
                <w:noProof/>
                <w:sz w:val="18"/>
                <w:szCs w:val="18"/>
              </w:rPr>
            </w:pPr>
          </w:p>
        </w:tc>
        <w:tc>
          <w:tcPr>
            <w:tcW w:w="249" w:type="pct"/>
            <w:tcBorders>
              <w:top w:val="single" w:sz="4" w:space="0" w:color="auto"/>
              <w:left w:val="single" w:sz="4" w:space="0" w:color="auto"/>
              <w:bottom w:val="single" w:sz="4" w:space="0" w:color="auto"/>
              <w:right w:val="single" w:sz="4" w:space="0" w:color="auto"/>
            </w:tcBorders>
            <w:vAlign w:val="center"/>
          </w:tcPr>
          <w:p w14:paraId="455E66D5" w14:textId="77777777" w:rsidR="006918A0" w:rsidRPr="006918A0" w:rsidRDefault="006918A0" w:rsidP="006918A0">
            <w:pPr>
              <w:spacing w:line="276" w:lineRule="auto"/>
              <w:jc w:val="center"/>
              <w:rPr>
                <w:noProof/>
                <w:sz w:val="18"/>
                <w:szCs w:val="18"/>
              </w:rPr>
            </w:pPr>
            <w:r w:rsidRPr="006918A0">
              <w:rPr>
                <w:noProof/>
                <w:sz w:val="18"/>
              </w:rPr>
              <w:t>Type</w:t>
            </w:r>
            <w:r w:rsidRPr="00F26004">
              <w:rPr>
                <w:rStyle w:val="FootnoteReference"/>
                <w:noProof/>
              </w:rPr>
              <w:footnoteReference w:id="52"/>
            </w:r>
          </w:p>
          <w:p w14:paraId="519BCC79" w14:textId="77777777" w:rsidR="006918A0" w:rsidRPr="006918A0" w:rsidRDefault="006918A0" w:rsidP="006918A0">
            <w:pPr>
              <w:spacing w:before="0" w:after="0" w:line="276" w:lineRule="auto"/>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vAlign w:val="center"/>
            <w:hideMark/>
          </w:tcPr>
          <w:p w14:paraId="610028A7" w14:textId="77777777" w:rsidR="006918A0" w:rsidRPr="006918A0" w:rsidRDefault="006918A0" w:rsidP="006918A0">
            <w:pPr>
              <w:spacing w:line="276" w:lineRule="auto"/>
              <w:jc w:val="center"/>
              <w:rPr>
                <w:noProof/>
                <w:sz w:val="18"/>
                <w:szCs w:val="18"/>
              </w:rPr>
            </w:pPr>
            <w:r w:rsidRPr="006918A0">
              <w:rPr>
                <w:noProof/>
                <w:sz w:val="18"/>
              </w:rPr>
              <w:t>Average cost</w:t>
            </w:r>
          </w:p>
        </w:tc>
        <w:tc>
          <w:tcPr>
            <w:tcW w:w="285" w:type="pct"/>
            <w:tcBorders>
              <w:top w:val="single" w:sz="4" w:space="0" w:color="auto"/>
              <w:left w:val="nil"/>
              <w:bottom w:val="single" w:sz="4" w:space="0" w:color="auto"/>
              <w:right w:val="dashSmallGap" w:sz="4" w:space="0" w:color="auto"/>
            </w:tcBorders>
            <w:shd w:val="pct10" w:color="auto" w:fill="auto"/>
            <w:textDirection w:val="btLr"/>
            <w:vAlign w:val="center"/>
            <w:hideMark/>
          </w:tcPr>
          <w:p w14:paraId="5E2481AE" w14:textId="77777777" w:rsidR="006918A0" w:rsidRPr="006918A0" w:rsidRDefault="006918A0" w:rsidP="006918A0">
            <w:pPr>
              <w:spacing w:line="276" w:lineRule="auto"/>
              <w:ind w:left="113" w:right="113"/>
              <w:jc w:val="center"/>
              <w:rPr>
                <w:noProof/>
                <w:sz w:val="18"/>
                <w:szCs w:val="18"/>
              </w:rPr>
            </w:pPr>
            <w:r w:rsidRPr="006918A0">
              <w:rPr>
                <w:noProof/>
                <w:sz w:val="18"/>
              </w:rPr>
              <w:t>No</w:t>
            </w:r>
          </w:p>
        </w:tc>
        <w:tc>
          <w:tcPr>
            <w:tcW w:w="266"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398FE972" w14:textId="77777777" w:rsidR="006918A0" w:rsidRPr="006918A0" w:rsidRDefault="006918A0" w:rsidP="006918A0">
            <w:pPr>
              <w:spacing w:line="276" w:lineRule="auto"/>
              <w:jc w:val="center"/>
              <w:rPr>
                <w:noProof/>
                <w:sz w:val="18"/>
                <w:szCs w:val="18"/>
              </w:rPr>
            </w:pPr>
            <w:r w:rsidRPr="006918A0">
              <w:rPr>
                <w:noProof/>
                <w:sz w:val="18"/>
              </w:rPr>
              <w:t>Cost</w:t>
            </w:r>
          </w:p>
        </w:tc>
        <w:tc>
          <w:tcPr>
            <w:tcW w:w="281"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0FB9035" w14:textId="77777777" w:rsidR="006918A0" w:rsidRPr="006918A0" w:rsidRDefault="006918A0" w:rsidP="006918A0">
            <w:pPr>
              <w:spacing w:line="276" w:lineRule="auto"/>
              <w:ind w:left="113" w:right="113"/>
              <w:jc w:val="center"/>
              <w:rPr>
                <w:noProof/>
                <w:sz w:val="18"/>
                <w:szCs w:val="18"/>
              </w:rPr>
            </w:pPr>
            <w:r w:rsidRPr="006918A0">
              <w:rPr>
                <w:noProof/>
                <w:sz w:val="18"/>
              </w:rPr>
              <w:t>No</w:t>
            </w:r>
          </w:p>
        </w:tc>
        <w:tc>
          <w:tcPr>
            <w:tcW w:w="256"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2DD81A45" w14:textId="77777777" w:rsidR="006918A0" w:rsidRPr="006918A0" w:rsidRDefault="006918A0" w:rsidP="006918A0">
            <w:pPr>
              <w:spacing w:line="276" w:lineRule="auto"/>
              <w:jc w:val="center"/>
              <w:rPr>
                <w:noProof/>
                <w:sz w:val="18"/>
                <w:szCs w:val="18"/>
              </w:rPr>
            </w:pPr>
            <w:r w:rsidRPr="006918A0">
              <w:rPr>
                <w:noProof/>
                <w:sz w:val="18"/>
              </w:rPr>
              <w:t>Cost</w:t>
            </w:r>
          </w:p>
        </w:tc>
        <w:tc>
          <w:tcPr>
            <w:tcW w:w="298"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56749AD0" w14:textId="77777777" w:rsidR="006918A0" w:rsidRPr="006918A0" w:rsidRDefault="006918A0" w:rsidP="006918A0">
            <w:pPr>
              <w:spacing w:line="276" w:lineRule="auto"/>
              <w:ind w:left="113" w:right="113"/>
              <w:jc w:val="center"/>
              <w:rPr>
                <w:noProof/>
                <w:sz w:val="18"/>
                <w:szCs w:val="18"/>
              </w:rPr>
            </w:pPr>
            <w:r w:rsidRPr="006918A0">
              <w:rPr>
                <w:noProof/>
                <w:sz w:val="18"/>
              </w:rPr>
              <w:t>No</w:t>
            </w:r>
          </w:p>
        </w:tc>
        <w:tc>
          <w:tcPr>
            <w:tcW w:w="246"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5263FDEB" w14:textId="77777777" w:rsidR="006918A0" w:rsidRPr="006918A0" w:rsidRDefault="006918A0" w:rsidP="006918A0">
            <w:pPr>
              <w:spacing w:line="276" w:lineRule="auto"/>
              <w:jc w:val="center"/>
              <w:rPr>
                <w:noProof/>
                <w:sz w:val="18"/>
                <w:szCs w:val="18"/>
              </w:rPr>
            </w:pPr>
            <w:r w:rsidRPr="006918A0">
              <w:rPr>
                <w:noProof/>
                <w:sz w:val="18"/>
              </w:rPr>
              <w:t>Cost</w:t>
            </w:r>
          </w:p>
        </w:tc>
        <w:tc>
          <w:tcPr>
            <w:tcW w:w="367"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11110D6" w14:textId="77777777" w:rsidR="006918A0" w:rsidRPr="006918A0" w:rsidRDefault="006918A0" w:rsidP="006918A0">
            <w:pPr>
              <w:spacing w:line="276" w:lineRule="auto"/>
              <w:ind w:left="113" w:right="113"/>
              <w:jc w:val="center"/>
              <w:rPr>
                <w:noProof/>
                <w:sz w:val="18"/>
                <w:szCs w:val="18"/>
              </w:rPr>
            </w:pPr>
            <w:r w:rsidRPr="006918A0">
              <w:rPr>
                <w:noProof/>
                <w:sz w:val="18"/>
              </w:rPr>
              <w:t>No</w:t>
            </w:r>
          </w:p>
        </w:tc>
        <w:tc>
          <w:tcPr>
            <w:tcW w:w="225"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66BFD43B" w14:textId="77777777" w:rsidR="006918A0" w:rsidRPr="006918A0" w:rsidRDefault="006918A0" w:rsidP="006918A0">
            <w:pPr>
              <w:spacing w:line="276" w:lineRule="auto"/>
              <w:jc w:val="center"/>
              <w:rPr>
                <w:noProof/>
                <w:sz w:val="18"/>
                <w:szCs w:val="18"/>
              </w:rPr>
            </w:pPr>
            <w:r w:rsidRPr="006918A0">
              <w:rPr>
                <w:noProof/>
                <w:sz w:val="18"/>
              </w:rPr>
              <w:t>Cost</w:t>
            </w:r>
          </w:p>
        </w:tc>
        <w:tc>
          <w:tcPr>
            <w:tcW w:w="258" w:type="pct"/>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83DCA40" w14:textId="77777777" w:rsidR="006918A0" w:rsidRPr="006918A0" w:rsidRDefault="006918A0" w:rsidP="006918A0">
            <w:pPr>
              <w:spacing w:line="276" w:lineRule="auto"/>
              <w:ind w:left="113" w:right="113"/>
              <w:jc w:val="center"/>
              <w:rPr>
                <w:noProof/>
                <w:sz w:val="18"/>
                <w:szCs w:val="18"/>
              </w:rPr>
            </w:pPr>
            <w:r w:rsidRPr="006918A0">
              <w:rPr>
                <w:noProof/>
                <w:sz w:val="18"/>
              </w:rPr>
              <w:t>No</w:t>
            </w:r>
          </w:p>
        </w:tc>
        <w:tc>
          <w:tcPr>
            <w:tcW w:w="241" w:type="pct"/>
            <w:tcBorders>
              <w:top w:val="single" w:sz="4" w:space="0" w:color="auto"/>
              <w:left w:val="dashSmallGap" w:sz="4" w:space="0" w:color="auto"/>
              <w:bottom w:val="single" w:sz="4" w:space="0" w:color="auto"/>
              <w:right w:val="single" w:sz="4" w:space="0" w:color="auto"/>
            </w:tcBorders>
            <w:shd w:val="pct10" w:color="auto" w:fill="auto"/>
            <w:vAlign w:val="center"/>
            <w:hideMark/>
          </w:tcPr>
          <w:p w14:paraId="2584EBE4" w14:textId="77777777" w:rsidR="006918A0" w:rsidRPr="006918A0" w:rsidRDefault="006918A0" w:rsidP="006918A0">
            <w:pPr>
              <w:spacing w:line="276" w:lineRule="auto"/>
              <w:jc w:val="center"/>
              <w:rPr>
                <w:noProof/>
                <w:sz w:val="18"/>
                <w:szCs w:val="18"/>
              </w:rPr>
            </w:pPr>
            <w:r w:rsidRPr="006918A0">
              <w:rPr>
                <w:noProof/>
                <w:sz w:val="18"/>
              </w:rPr>
              <w:t>Cost</w:t>
            </w:r>
          </w:p>
        </w:tc>
        <w:tc>
          <w:tcPr>
            <w:tcW w:w="249" w:type="pct"/>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775A6038" w14:textId="77777777" w:rsidR="006918A0" w:rsidRPr="006918A0" w:rsidRDefault="006918A0" w:rsidP="006918A0">
            <w:pPr>
              <w:spacing w:line="276" w:lineRule="auto"/>
              <w:ind w:left="113" w:right="113"/>
              <w:jc w:val="center"/>
              <w:rPr>
                <w:noProof/>
                <w:sz w:val="18"/>
                <w:szCs w:val="18"/>
              </w:rPr>
            </w:pPr>
            <w:r w:rsidRPr="006918A0">
              <w:rPr>
                <w:noProof/>
                <w:sz w:val="18"/>
              </w:rPr>
              <w:t>No</w:t>
            </w:r>
          </w:p>
        </w:tc>
        <w:tc>
          <w:tcPr>
            <w:tcW w:w="318" w:type="pct"/>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14:paraId="612A2EBD" w14:textId="77777777" w:rsidR="006918A0" w:rsidRPr="006918A0" w:rsidRDefault="006918A0" w:rsidP="006918A0">
            <w:pPr>
              <w:spacing w:line="276" w:lineRule="auto"/>
              <w:jc w:val="center"/>
              <w:rPr>
                <w:noProof/>
                <w:sz w:val="18"/>
                <w:szCs w:val="18"/>
              </w:rPr>
            </w:pPr>
            <w:r w:rsidRPr="006918A0">
              <w:rPr>
                <w:noProof/>
                <w:sz w:val="18"/>
              </w:rPr>
              <w:t>Cost</w:t>
            </w:r>
          </w:p>
        </w:tc>
        <w:tc>
          <w:tcPr>
            <w:tcW w:w="223" w:type="pct"/>
            <w:gridSpan w:val="3"/>
            <w:tcBorders>
              <w:top w:val="single" w:sz="4" w:space="0" w:color="auto"/>
              <w:left w:val="single" w:sz="4" w:space="0" w:color="auto"/>
              <w:bottom w:val="single" w:sz="4" w:space="0" w:color="auto"/>
              <w:right w:val="dashSmallGap" w:sz="4" w:space="0" w:color="auto"/>
            </w:tcBorders>
            <w:shd w:val="pct10" w:color="auto" w:fill="auto"/>
            <w:vAlign w:val="center"/>
            <w:hideMark/>
          </w:tcPr>
          <w:p w14:paraId="2A50062B" w14:textId="77777777" w:rsidR="006918A0" w:rsidRPr="006918A0" w:rsidRDefault="006918A0" w:rsidP="006918A0">
            <w:pPr>
              <w:spacing w:line="276" w:lineRule="auto"/>
              <w:jc w:val="center"/>
              <w:rPr>
                <w:noProof/>
                <w:sz w:val="18"/>
                <w:szCs w:val="18"/>
              </w:rPr>
            </w:pPr>
            <w:r w:rsidRPr="006918A0">
              <w:rPr>
                <w:noProof/>
                <w:sz w:val="18"/>
              </w:rPr>
              <w:t>Total No</w:t>
            </w:r>
          </w:p>
        </w:tc>
        <w:tc>
          <w:tcPr>
            <w:tcW w:w="403" w:type="pct"/>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14:paraId="5B095C9D" w14:textId="77777777" w:rsidR="006918A0" w:rsidRPr="006918A0" w:rsidRDefault="006918A0" w:rsidP="006918A0">
            <w:pPr>
              <w:spacing w:line="276" w:lineRule="auto"/>
              <w:jc w:val="center"/>
              <w:rPr>
                <w:noProof/>
                <w:sz w:val="18"/>
                <w:szCs w:val="18"/>
              </w:rPr>
            </w:pPr>
            <w:r w:rsidRPr="006918A0">
              <w:rPr>
                <w:noProof/>
                <w:sz w:val="18"/>
              </w:rPr>
              <w:t>Total cost</w:t>
            </w:r>
          </w:p>
        </w:tc>
      </w:tr>
      <w:tr w:rsidR="006918A0" w:rsidRPr="006918A0" w14:paraId="341F7E24" w14:textId="77777777" w:rsidTr="000430BD">
        <w:trPr>
          <w:jc w:val="center"/>
        </w:trPr>
        <w:tc>
          <w:tcPr>
            <w:tcW w:w="1083" w:type="pct"/>
            <w:gridSpan w:val="3"/>
            <w:tcBorders>
              <w:top w:val="single" w:sz="4" w:space="0" w:color="auto"/>
              <w:left w:val="single" w:sz="4" w:space="0" w:color="auto"/>
              <w:bottom w:val="single" w:sz="4" w:space="0" w:color="auto"/>
              <w:right w:val="single" w:sz="4" w:space="0" w:color="auto"/>
            </w:tcBorders>
            <w:vAlign w:val="center"/>
            <w:hideMark/>
          </w:tcPr>
          <w:p w14:paraId="6415C89D" w14:textId="77777777" w:rsidR="006918A0" w:rsidRPr="006918A0" w:rsidRDefault="006918A0" w:rsidP="006918A0">
            <w:pPr>
              <w:spacing w:before="60" w:after="60" w:line="276" w:lineRule="auto"/>
              <w:ind w:right="-29"/>
              <w:jc w:val="center"/>
              <w:rPr>
                <w:noProof/>
                <w:sz w:val="18"/>
                <w:szCs w:val="18"/>
              </w:rPr>
            </w:pPr>
            <w:r w:rsidRPr="006918A0">
              <w:rPr>
                <w:noProof/>
                <w:sz w:val="18"/>
              </w:rPr>
              <w:t>SPECIFIC OBJECTIVE No 1</w:t>
            </w:r>
            <w:r w:rsidRPr="00F26004">
              <w:rPr>
                <w:rStyle w:val="FootnoteReference"/>
                <w:noProof/>
              </w:rPr>
              <w:footnoteReference w:id="53"/>
            </w:r>
            <w:r w:rsidRPr="006918A0">
              <w:rPr>
                <w:noProof/>
                <w:sz w:val="18"/>
              </w:rPr>
              <w:t>…</w:t>
            </w:r>
          </w:p>
        </w:tc>
        <w:tc>
          <w:tcPr>
            <w:tcW w:w="285" w:type="pct"/>
            <w:tcBorders>
              <w:top w:val="nil"/>
              <w:left w:val="nil"/>
              <w:bottom w:val="nil"/>
              <w:right w:val="nil"/>
            </w:tcBorders>
          </w:tcPr>
          <w:p w14:paraId="32BE2CD7" w14:textId="77777777" w:rsidR="006918A0" w:rsidRPr="006918A0" w:rsidRDefault="006918A0" w:rsidP="006918A0">
            <w:pPr>
              <w:spacing w:before="60" w:after="60" w:line="276" w:lineRule="auto"/>
              <w:ind w:right="-29"/>
              <w:jc w:val="center"/>
              <w:rPr>
                <w:noProof/>
                <w:sz w:val="18"/>
                <w:szCs w:val="18"/>
              </w:rPr>
            </w:pPr>
          </w:p>
        </w:tc>
        <w:tc>
          <w:tcPr>
            <w:tcW w:w="266" w:type="pct"/>
            <w:tcBorders>
              <w:top w:val="nil"/>
              <w:left w:val="nil"/>
              <w:bottom w:val="nil"/>
              <w:right w:val="nil"/>
            </w:tcBorders>
          </w:tcPr>
          <w:p w14:paraId="44CB0CF8" w14:textId="77777777" w:rsidR="006918A0" w:rsidRPr="006918A0" w:rsidRDefault="006918A0" w:rsidP="006918A0">
            <w:pPr>
              <w:spacing w:before="60" w:after="60" w:line="276" w:lineRule="auto"/>
              <w:ind w:right="-29"/>
              <w:jc w:val="center"/>
              <w:rPr>
                <w:noProof/>
                <w:sz w:val="18"/>
                <w:szCs w:val="18"/>
              </w:rPr>
            </w:pPr>
          </w:p>
        </w:tc>
        <w:tc>
          <w:tcPr>
            <w:tcW w:w="281" w:type="pct"/>
            <w:tcBorders>
              <w:top w:val="nil"/>
              <w:left w:val="nil"/>
              <w:bottom w:val="nil"/>
              <w:right w:val="nil"/>
            </w:tcBorders>
          </w:tcPr>
          <w:p w14:paraId="3CBD7045" w14:textId="77777777" w:rsidR="006918A0" w:rsidRPr="006918A0" w:rsidRDefault="006918A0" w:rsidP="006918A0">
            <w:pPr>
              <w:spacing w:before="60" w:after="60" w:line="276" w:lineRule="auto"/>
              <w:ind w:right="-29"/>
              <w:jc w:val="center"/>
              <w:rPr>
                <w:noProof/>
                <w:sz w:val="18"/>
                <w:szCs w:val="18"/>
              </w:rPr>
            </w:pPr>
          </w:p>
        </w:tc>
        <w:tc>
          <w:tcPr>
            <w:tcW w:w="256" w:type="pct"/>
            <w:tcBorders>
              <w:top w:val="nil"/>
              <w:left w:val="nil"/>
              <w:bottom w:val="nil"/>
              <w:right w:val="nil"/>
            </w:tcBorders>
          </w:tcPr>
          <w:p w14:paraId="4A88C94D" w14:textId="77777777" w:rsidR="006918A0" w:rsidRPr="006918A0" w:rsidRDefault="006918A0" w:rsidP="006918A0">
            <w:pPr>
              <w:spacing w:before="60" w:after="60" w:line="276" w:lineRule="auto"/>
              <w:ind w:right="-29"/>
              <w:jc w:val="center"/>
              <w:rPr>
                <w:noProof/>
                <w:sz w:val="18"/>
                <w:szCs w:val="18"/>
              </w:rPr>
            </w:pPr>
          </w:p>
        </w:tc>
        <w:tc>
          <w:tcPr>
            <w:tcW w:w="298" w:type="pct"/>
            <w:tcBorders>
              <w:top w:val="nil"/>
              <w:left w:val="nil"/>
              <w:bottom w:val="nil"/>
              <w:right w:val="nil"/>
            </w:tcBorders>
          </w:tcPr>
          <w:p w14:paraId="7C9F7EB0" w14:textId="77777777" w:rsidR="006918A0" w:rsidRPr="006918A0" w:rsidRDefault="006918A0" w:rsidP="006918A0">
            <w:pPr>
              <w:spacing w:before="60" w:after="60" w:line="276" w:lineRule="auto"/>
              <w:ind w:right="-29"/>
              <w:jc w:val="center"/>
              <w:rPr>
                <w:noProof/>
                <w:sz w:val="18"/>
                <w:szCs w:val="18"/>
              </w:rPr>
            </w:pPr>
          </w:p>
        </w:tc>
        <w:tc>
          <w:tcPr>
            <w:tcW w:w="246" w:type="pct"/>
            <w:tcBorders>
              <w:top w:val="nil"/>
              <w:left w:val="nil"/>
              <w:bottom w:val="nil"/>
              <w:right w:val="nil"/>
            </w:tcBorders>
          </w:tcPr>
          <w:p w14:paraId="0DCC1F79" w14:textId="77777777" w:rsidR="006918A0" w:rsidRPr="006918A0" w:rsidRDefault="006918A0" w:rsidP="006918A0">
            <w:pPr>
              <w:spacing w:before="60" w:after="60" w:line="276" w:lineRule="auto"/>
              <w:ind w:right="-29"/>
              <w:jc w:val="center"/>
              <w:rPr>
                <w:noProof/>
                <w:sz w:val="18"/>
                <w:szCs w:val="18"/>
              </w:rPr>
            </w:pPr>
          </w:p>
        </w:tc>
        <w:tc>
          <w:tcPr>
            <w:tcW w:w="367" w:type="pct"/>
            <w:tcBorders>
              <w:top w:val="nil"/>
              <w:left w:val="nil"/>
              <w:bottom w:val="nil"/>
              <w:right w:val="nil"/>
            </w:tcBorders>
          </w:tcPr>
          <w:p w14:paraId="6AE03068" w14:textId="77777777" w:rsidR="006918A0" w:rsidRPr="006918A0" w:rsidRDefault="006918A0" w:rsidP="006918A0">
            <w:pPr>
              <w:spacing w:before="60" w:after="60" w:line="276" w:lineRule="auto"/>
              <w:ind w:right="-29"/>
              <w:jc w:val="center"/>
              <w:rPr>
                <w:noProof/>
                <w:sz w:val="18"/>
                <w:szCs w:val="18"/>
              </w:rPr>
            </w:pPr>
          </w:p>
        </w:tc>
        <w:tc>
          <w:tcPr>
            <w:tcW w:w="225" w:type="pct"/>
            <w:tcBorders>
              <w:top w:val="nil"/>
              <w:left w:val="nil"/>
              <w:bottom w:val="nil"/>
              <w:right w:val="nil"/>
            </w:tcBorders>
          </w:tcPr>
          <w:p w14:paraId="35AE029D" w14:textId="77777777" w:rsidR="006918A0" w:rsidRPr="006918A0" w:rsidRDefault="006918A0" w:rsidP="006918A0">
            <w:pPr>
              <w:spacing w:before="60" w:after="60" w:line="276" w:lineRule="auto"/>
              <w:ind w:right="-29"/>
              <w:jc w:val="center"/>
              <w:rPr>
                <w:noProof/>
                <w:sz w:val="18"/>
                <w:szCs w:val="18"/>
              </w:rPr>
            </w:pPr>
          </w:p>
        </w:tc>
        <w:tc>
          <w:tcPr>
            <w:tcW w:w="258" w:type="pct"/>
            <w:tcBorders>
              <w:top w:val="nil"/>
              <w:left w:val="nil"/>
              <w:bottom w:val="nil"/>
              <w:right w:val="nil"/>
            </w:tcBorders>
          </w:tcPr>
          <w:p w14:paraId="6FA70C30" w14:textId="77777777" w:rsidR="006918A0" w:rsidRPr="006918A0" w:rsidRDefault="006918A0" w:rsidP="006918A0">
            <w:pPr>
              <w:spacing w:before="60" w:after="60" w:line="276" w:lineRule="auto"/>
              <w:ind w:right="-29"/>
              <w:jc w:val="center"/>
              <w:rPr>
                <w:noProof/>
                <w:sz w:val="18"/>
                <w:szCs w:val="18"/>
              </w:rPr>
            </w:pPr>
          </w:p>
        </w:tc>
        <w:tc>
          <w:tcPr>
            <w:tcW w:w="241" w:type="pct"/>
            <w:tcBorders>
              <w:top w:val="nil"/>
              <w:left w:val="nil"/>
              <w:bottom w:val="nil"/>
              <w:right w:val="nil"/>
            </w:tcBorders>
          </w:tcPr>
          <w:p w14:paraId="768B6E64" w14:textId="77777777" w:rsidR="006918A0" w:rsidRPr="006918A0" w:rsidRDefault="006918A0" w:rsidP="006918A0">
            <w:pPr>
              <w:spacing w:before="60" w:after="60" w:line="276" w:lineRule="auto"/>
              <w:ind w:right="-29"/>
              <w:jc w:val="center"/>
              <w:rPr>
                <w:noProof/>
                <w:sz w:val="18"/>
                <w:szCs w:val="18"/>
              </w:rPr>
            </w:pPr>
          </w:p>
        </w:tc>
        <w:tc>
          <w:tcPr>
            <w:tcW w:w="249" w:type="pct"/>
            <w:gridSpan w:val="2"/>
            <w:tcBorders>
              <w:top w:val="nil"/>
              <w:left w:val="nil"/>
              <w:bottom w:val="nil"/>
              <w:right w:val="nil"/>
            </w:tcBorders>
          </w:tcPr>
          <w:p w14:paraId="5E16F454" w14:textId="77777777" w:rsidR="006918A0" w:rsidRPr="006918A0" w:rsidRDefault="006918A0" w:rsidP="006918A0">
            <w:pPr>
              <w:spacing w:before="60" w:after="60" w:line="276" w:lineRule="auto"/>
              <w:ind w:right="-29"/>
              <w:jc w:val="center"/>
              <w:rPr>
                <w:noProof/>
                <w:sz w:val="18"/>
                <w:szCs w:val="18"/>
              </w:rPr>
            </w:pPr>
          </w:p>
        </w:tc>
        <w:tc>
          <w:tcPr>
            <w:tcW w:w="264" w:type="pct"/>
            <w:tcBorders>
              <w:top w:val="nil"/>
              <w:left w:val="nil"/>
              <w:bottom w:val="nil"/>
              <w:right w:val="nil"/>
            </w:tcBorders>
          </w:tcPr>
          <w:p w14:paraId="31A81A0D" w14:textId="77777777" w:rsidR="006918A0" w:rsidRPr="006918A0" w:rsidRDefault="006918A0" w:rsidP="006918A0">
            <w:pPr>
              <w:spacing w:before="60" w:after="60" w:line="276" w:lineRule="auto"/>
              <w:ind w:right="-29"/>
              <w:jc w:val="center"/>
              <w:rPr>
                <w:noProof/>
                <w:sz w:val="18"/>
                <w:szCs w:val="18"/>
              </w:rPr>
            </w:pPr>
          </w:p>
        </w:tc>
        <w:tc>
          <w:tcPr>
            <w:tcW w:w="129" w:type="pct"/>
            <w:gridSpan w:val="2"/>
            <w:tcBorders>
              <w:top w:val="nil"/>
              <w:left w:val="nil"/>
              <w:bottom w:val="nil"/>
              <w:right w:val="nil"/>
            </w:tcBorders>
          </w:tcPr>
          <w:p w14:paraId="18FC2EE8" w14:textId="77777777" w:rsidR="006918A0" w:rsidRPr="006918A0" w:rsidRDefault="006918A0" w:rsidP="006918A0">
            <w:pPr>
              <w:spacing w:before="60" w:after="60" w:line="276" w:lineRule="auto"/>
              <w:ind w:right="-29"/>
              <w:jc w:val="center"/>
              <w:rPr>
                <w:noProof/>
                <w:sz w:val="18"/>
                <w:szCs w:val="18"/>
              </w:rPr>
            </w:pPr>
          </w:p>
        </w:tc>
        <w:tc>
          <w:tcPr>
            <w:tcW w:w="79" w:type="pct"/>
            <w:tcBorders>
              <w:top w:val="nil"/>
              <w:left w:val="nil"/>
              <w:bottom w:val="nil"/>
              <w:right w:val="nil"/>
            </w:tcBorders>
          </w:tcPr>
          <w:p w14:paraId="1DA02704" w14:textId="77777777" w:rsidR="006918A0" w:rsidRPr="006918A0" w:rsidRDefault="006918A0" w:rsidP="006918A0">
            <w:pPr>
              <w:spacing w:before="60" w:after="60" w:line="276" w:lineRule="auto"/>
              <w:ind w:right="-29"/>
              <w:jc w:val="center"/>
              <w:rPr>
                <w:noProof/>
                <w:sz w:val="18"/>
                <w:szCs w:val="18"/>
              </w:rPr>
            </w:pPr>
          </w:p>
        </w:tc>
        <w:tc>
          <w:tcPr>
            <w:tcW w:w="78" w:type="pct"/>
            <w:gridSpan w:val="2"/>
            <w:tcBorders>
              <w:top w:val="nil"/>
              <w:left w:val="nil"/>
              <w:bottom w:val="nil"/>
              <w:right w:val="nil"/>
            </w:tcBorders>
          </w:tcPr>
          <w:p w14:paraId="240588CA" w14:textId="77777777" w:rsidR="006918A0" w:rsidRPr="006918A0" w:rsidRDefault="006918A0" w:rsidP="006918A0">
            <w:pPr>
              <w:spacing w:before="60" w:after="60" w:line="276" w:lineRule="auto"/>
              <w:ind w:right="-29"/>
              <w:jc w:val="center"/>
              <w:rPr>
                <w:noProof/>
                <w:sz w:val="18"/>
                <w:szCs w:val="18"/>
              </w:rPr>
            </w:pPr>
          </w:p>
        </w:tc>
        <w:tc>
          <w:tcPr>
            <w:tcW w:w="394" w:type="pct"/>
            <w:tcBorders>
              <w:top w:val="nil"/>
              <w:left w:val="nil"/>
              <w:bottom w:val="nil"/>
              <w:right w:val="nil"/>
            </w:tcBorders>
          </w:tcPr>
          <w:p w14:paraId="035D7A0A" w14:textId="77777777" w:rsidR="006918A0" w:rsidRPr="006918A0" w:rsidRDefault="006918A0" w:rsidP="006918A0">
            <w:pPr>
              <w:spacing w:before="60" w:after="60" w:line="276" w:lineRule="auto"/>
              <w:ind w:right="-29"/>
              <w:jc w:val="center"/>
              <w:rPr>
                <w:noProof/>
                <w:sz w:val="18"/>
                <w:szCs w:val="18"/>
              </w:rPr>
            </w:pPr>
          </w:p>
        </w:tc>
      </w:tr>
      <w:tr w:rsidR="006918A0" w:rsidRPr="006918A0" w14:paraId="56AA0DB7"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373700DF" w14:textId="77777777" w:rsidR="006918A0" w:rsidRPr="006918A0" w:rsidRDefault="006918A0" w:rsidP="006918A0">
            <w:pPr>
              <w:spacing w:line="276" w:lineRule="auto"/>
              <w:ind w:right="-29"/>
              <w:jc w:val="center"/>
              <w:rPr>
                <w:noProof/>
                <w:sz w:val="18"/>
                <w:szCs w:val="18"/>
              </w:rPr>
            </w:pPr>
            <w:r w:rsidRPr="006918A0">
              <w:rPr>
                <w:noProof/>
                <w:sz w:val="18"/>
              </w:rPr>
              <w:t>Specifications</w:t>
            </w:r>
          </w:p>
        </w:tc>
        <w:tc>
          <w:tcPr>
            <w:tcW w:w="249" w:type="pct"/>
            <w:tcBorders>
              <w:top w:val="single" w:sz="4" w:space="0" w:color="auto"/>
              <w:left w:val="single" w:sz="4" w:space="0" w:color="auto"/>
              <w:bottom w:val="single" w:sz="4" w:space="0" w:color="auto"/>
              <w:right w:val="single" w:sz="4" w:space="0" w:color="auto"/>
            </w:tcBorders>
          </w:tcPr>
          <w:p w14:paraId="54294407" w14:textId="77777777" w:rsidR="006918A0" w:rsidRPr="006918A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4E23924A" w14:textId="77777777" w:rsidR="006918A0" w:rsidRPr="006918A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dashSmallGap" w:sz="4" w:space="0" w:color="auto"/>
            </w:tcBorders>
          </w:tcPr>
          <w:p w14:paraId="45B0013E" w14:textId="77777777" w:rsidR="006918A0" w:rsidRPr="006918A0" w:rsidRDefault="006918A0" w:rsidP="006918A0">
            <w:pPr>
              <w:spacing w:line="276" w:lineRule="auto"/>
              <w:ind w:right="-29"/>
              <w:jc w:val="center"/>
              <w:rPr>
                <w:noProof/>
                <w:sz w:val="18"/>
                <w:szCs w:val="18"/>
              </w:rPr>
            </w:pPr>
          </w:p>
        </w:tc>
        <w:tc>
          <w:tcPr>
            <w:tcW w:w="266" w:type="pct"/>
            <w:tcBorders>
              <w:top w:val="single" w:sz="4" w:space="0" w:color="auto"/>
              <w:left w:val="dashSmallGap" w:sz="4" w:space="0" w:color="auto"/>
              <w:bottom w:val="single" w:sz="4" w:space="0" w:color="auto"/>
              <w:right w:val="single" w:sz="4" w:space="0" w:color="auto"/>
            </w:tcBorders>
            <w:hideMark/>
          </w:tcPr>
          <w:p w14:paraId="0C2C71A2" w14:textId="77777777" w:rsidR="006918A0" w:rsidRPr="006918A0" w:rsidRDefault="006918A0" w:rsidP="006918A0">
            <w:pPr>
              <w:spacing w:line="276" w:lineRule="auto"/>
              <w:ind w:right="-29"/>
              <w:jc w:val="center"/>
              <w:rPr>
                <w:noProof/>
                <w:sz w:val="18"/>
                <w:szCs w:val="18"/>
              </w:rPr>
            </w:pPr>
            <w:r w:rsidRPr="006918A0">
              <w:rPr>
                <w:noProof/>
                <w:sz w:val="18"/>
                <w:szCs w:val="18"/>
              </w:rPr>
              <w:t>0.150</w:t>
            </w:r>
          </w:p>
        </w:tc>
        <w:tc>
          <w:tcPr>
            <w:tcW w:w="281" w:type="pct"/>
            <w:tcBorders>
              <w:top w:val="single" w:sz="4" w:space="0" w:color="auto"/>
              <w:left w:val="single" w:sz="4" w:space="0" w:color="auto"/>
              <w:bottom w:val="single" w:sz="4" w:space="0" w:color="auto"/>
              <w:right w:val="dashSmallGap" w:sz="4" w:space="0" w:color="auto"/>
            </w:tcBorders>
          </w:tcPr>
          <w:p w14:paraId="200FF99E" w14:textId="77777777" w:rsidR="006918A0" w:rsidRPr="006918A0" w:rsidRDefault="006918A0" w:rsidP="006918A0">
            <w:pPr>
              <w:spacing w:line="276" w:lineRule="auto"/>
              <w:ind w:right="-29"/>
              <w:jc w:val="center"/>
              <w:rPr>
                <w:noProof/>
                <w:sz w:val="18"/>
                <w:szCs w:val="18"/>
              </w:rPr>
            </w:pPr>
          </w:p>
        </w:tc>
        <w:tc>
          <w:tcPr>
            <w:tcW w:w="256" w:type="pct"/>
            <w:tcBorders>
              <w:top w:val="single" w:sz="4" w:space="0" w:color="auto"/>
              <w:left w:val="dashSmallGap" w:sz="4" w:space="0" w:color="auto"/>
              <w:bottom w:val="single" w:sz="4" w:space="0" w:color="auto"/>
              <w:right w:val="single" w:sz="4" w:space="0" w:color="auto"/>
            </w:tcBorders>
            <w:hideMark/>
          </w:tcPr>
          <w:p w14:paraId="1FE7EADB" w14:textId="77777777" w:rsidR="006918A0" w:rsidRPr="006918A0" w:rsidRDefault="006918A0" w:rsidP="006918A0">
            <w:pPr>
              <w:spacing w:line="276" w:lineRule="auto"/>
              <w:ind w:right="-29"/>
              <w:jc w:val="center"/>
              <w:rPr>
                <w:noProof/>
                <w:sz w:val="18"/>
                <w:szCs w:val="18"/>
              </w:rPr>
            </w:pPr>
            <w:r w:rsidRPr="006918A0">
              <w:rPr>
                <w:noProof/>
                <w:sz w:val="18"/>
                <w:szCs w:val="18"/>
              </w:rPr>
              <w:t>0.100</w:t>
            </w:r>
          </w:p>
        </w:tc>
        <w:tc>
          <w:tcPr>
            <w:tcW w:w="298" w:type="pct"/>
            <w:tcBorders>
              <w:top w:val="single" w:sz="4" w:space="0" w:color="auto"/>
              <w:left w:val="single" w:sz="4" w:space="0" w:color="auto"/>
              <w:bottom w:val="single" w:sz="4" w:space="0" w:color="auto"/>
              <w:right w:val="dashSmallGap" w:sz="4" w:space="0" w:color="auto"/>
            </w:tcBorders>
          </w:tcPr>
          <w:p w14:paraId="1F299FD7" w14:textId="77777777" w:rsidR="006918A0" w:rsidRPr="006918A0" w:rsidRDefault="006918A0" w:rsidP="006918A0">
            <w:pPr>
              <w:spacing w:line="276" w:lineRule="auto"/>
              <w:ind w:right="-29"/>
              <w:jc w:val="center"/>
              <w:rPr>
                <w:noProof/>
                <w:sz w:val="18"/>
                <w:szCs w:val="18"/>
              </w:rPr>
            </w:pPr>
          </w:p>
        </w:tc>
        <w:tc>
          <w:tcPr>
            <w:tcW w:w="246" w:type="pct"/>
            <w:tcBorders>
              <w:top w:val="single" w:sz="4" w:space="0" w:color="auto"/>
              <w:left w:val="dashSmallGap" w:sz="4" w:space="0" w:color="auto"/>
              <w:bottom w:val="single" w:sz="4" w:space="0" w:color="auto"/>
              <w:right w:val="single" w:sz="4" w:space="0" w:color="auto"/>
            </w:tcBorders>
          </w:tcPr>
          <w:p w14:paraId="1AE5AB23" w14:textId="77777777" w:rsidR="006918A0" w:rsidRPr="006918A0" w:rsidRDefault="006918A0" w:rsidP="006918A0">
            <w:pPr>
              <w:spacing w:line="276" w:lineRule="auto"/>
              <w:ind w:right="-29"/>
              <w:jc w:val="center"/>
              <w:rPr>
                <w:noProof/>
                <w:sz w:val="18"/>
                <w:szCs w:val="18"/>
              </w:rPr>
            </w:pPr>
          </w:p>
        </w:tc>
        <w:tc>
          <w:tcPr>
            <w:tcW w:w="367" w:type="pct"/>
            <w:tcBorders>
              <w:top w:val="single" w:sz="4" w:space="0" w:color="auto"/>
              <w:left w:val="single" w:sz="4" w:space="0" w:color="auto"/>
              <w:bottom w:val="single" w:sz="4" w:space="0" w:color="auto"/>
              <w:right w:val="dashSmallGap" w:sz="4" w:space="0" w:color="auto"/>
            </w:tcBorders>
          </w:tcPr>
          <w:p w14:paraId="77E321BF" w14:textId="77777777" w:rsidR="006918A0" w:rsidRPr="006918A0" w:rsidRDefault="006918A0" w:rsidP="006918A0">
            <w:pPr>
              <w:spacing w:line="276" w:lineRule="auto"/>
              <w:ind w:right="-29"/>
              <w:jc w:val="center"/>
              <w:rPr>
                <w:noProof/>
                <w:sz w:val="18"/>
                <w:szCs w:val="18"/>
              </w:rPr>
            </w:pPr>
          </w:p>
        </w:tc>
        <w:tc>
          <w:tcPr>
            <w:tcW w:w="225" w:type="pct"/>
            <w:tcBorders>
              <w:top w:val="single" w:sz="4" w:space="0" w:color="auto"/>
              <w:left w:val="dashSmallGap" w:sz="4" w:space="0" w:color="auto"/>
              <w:bottom w:val="single" w:sz="4" w:space="0" w:color="auto"/>
              <w:right w:val="single" w:sz="4" w:space="0" w:color="auto"/>
            </w:tcBorders>
          </w:tcPr>
          <w:p w14:paraId="5F9299E4" w14:textId="77777777" w:rsidR="006918A0" w:rsidRPr="006918A0" w:rsidRDefault="006918A0" w:rsidP="006918A0">
            <w:pPr>
              <w:spacing w:line="276" w:lineRule="auto"/>
              <w:ind w:right="-29"/>
              <w:jc w:val="center"/>
              <w:rPr>
                <w:noProof/>
                <w:sz w:val="18"/>
                <w:szCs w:val="18"/>
              </w:rPr>
            </w:pPr>
          </w:p>
        </w:tc>
        <w:tc>
          <w:tcPr>
            <w:tcW w:w="258" w:type="pct"/>
            <w:tcBorders>
              <w:top w:val="single" w:sz="4" w:space="0" w:color="auto"/>
              <w:left w:val="single" w:sz="4" w:space="0" w:color="auto"/>
              <w:bottom w:val="single" w:sz="4" w:space="0" w:color="auto"/>
              <w:right w:val="dashSmallGap" w:sz="4" w:space="0" w:color="auto"/>
            </w:tcBorders>
          </w:tcPr>
          <w:p w14:paraId="1626A343" w14:textId="77777777" w:rsidR="006918A0" w:rsidRPr="006918A0" w:rsidRDefault="006918A0" w:rsidP="006918A0">
            <w:pPr>
              <w:spacing w:line="276" w:lineRule="auto"/>
              <w:ind w:right="-29"/>
              <w:jc w:val="center"/>
              <w:rPr>
                <w:noProof/>
                <w:sz w:val="18"/>
                <w:szCs w:val="18"/>
              </w:rPr>
            </w:pPr>
          </w:p>
        </w:tc>
        <w:tc>
          <w:tcPr>
            <w:tcW w:w="241" w:type="pct"/>
            <w:tcBorders>
              <w:top w:val="single" w:sz="4" w:space="0" w:color="auto"/>
              <w:left w:val="dashSmallGap" w:sz="4" w:space="0" w:color="auto"/>
              <w:bottom w:val="single" w:sz="4" w:space="0" w:color="auto"/>
              <w:right w:val="single" w:sz="4" w:space="0" w:color="auto"/>
            </w:tcBorders>
          </w:tcPr>
          <w:p w14:paraId="6351F63D" w14:textId="77777777" w:rsidR="006918A0" w:rsidRPr="006918A0"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dashSmallGap" w:sz="4" w:space="0" w:color="auto"/>
            </w:tcBorders>
          </w:tcPr>
          <w:p w14:paraId="5A606524" w14:textId="77777777" w:rsidR="006918A0" w:rsidRPr="006918A0" w:rsidRDefault="006918A0" w:rsidP="006918A0">
            <w:pPr>
              <w:spacing w:line="276" w:lineRule="auto"/>
              <w:ind w:right="-29"/>
              <w:jc w:val="center"/>
              <w:rPr>
                <w:noProof/>
                <w:sz w:val="18"/>
                <w:szCs w:val="18"/>
              </w:rPr>
            </w:pPr>
          </w:p>
        </w:tc>
        <w:tc>
          <w:tcPr>
            <w:tcW w:w="318" w:type="pct"/>
            <w:gridSpan w:val="2"/>
            <w:tcBorders>
              <w:top w:val="single" w:sz="4" w:space="0" w:color="auto"/>
              <w:left w:val="dashSmallGap" w:sz="4" w:space="0" w:color="auto"/>
              <w:bottom w:val="single" w:sz="4" w:space="0" w:color="auto"/>
              <w:right w:val="single" w:sz="4" w:space="0" w:color="auto"/>
            </w:tcBorders>
          </w:tcPr>
          <w:p w14:paraId="3F14EDE5" w14:textId="77777777" w:rsidR="006918A0" w:rsidRPr="006918A0"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20F73F89" w14:textId="77777777" w:rsidR="006918A0" w:rsidRPr="006918A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484D4056" w14:textId="77777777" w:rsidR="006918A0" w:rsidRPr="006918A0" w:rsidRDefault="006918A0" w:rsidP="006918A0">
            <w:pPr>
              <w:spacing w:line="276" w:lineRule="auto"/>
              <w:ind w:right="-29"/>
              <w:jc w:val="right"/>
              <w:rPr>
                <w:noProof/>
                <w:sz w:val="18"/>
                <w:szCs w:val="18"/>
              </w:rPr>
            </w:pPr>
            <w:r w:rsidRPr="006918A0">
              <w:rPr>
                <w:b/>
                <w:noProof/>
                <w:sz w:val="18"/>
                <w:szCs w:val="18"/>
              </w:rPr>
              <w:t>0.250</w:t>
            </w:r>
          </w:p>
        </w:tc>
      </w:tr>
      <w:tr w:rsidR="006918A0" w:rsidRPr="006918A0" w14:paraId="6ECF543E"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54DD0397" w14:textId="77777777" w:rsidR="006918A0" w:rsidRPr="006918A0" w:rsidRDefault="006918A0" w:rsidP="006918A0">
            <w:pPr>
              <w:spacing w:line="276" w:lineRule="auto"/>
              <w:ind w:right="-29"/>
              <w:jc w:val="center"/>
              <w:rPr>
                <w:noProof/>
                <w:sz w:val="18"/>
                <w:szCs w:val="18"/>
              </w:rPr>
            </w:pPr>
            <w:r w:rsidRPr="006918A0">
              <w:rPr>
                <w:noProof/>
                <w:sz w:val="18"/>
              </w:rPr>
              <w:t>Development</w:t>
            </w:r>
          </w:p>
        </w:tc>
        <w:tc>
          <w:tcPr>
            <w:tcW w:w="249" w:type="pct"/>
            <w:tcBorders>
              <w:top w:val="single" w:sz="4" w:space="0" w:color="auto"/>
              <w:left w:val="single" w:sz="4" w:space="0" w:color="auto"/>
              <w:bottom w:val="single" w:sz="4" w:space="0" w:color="auto"/>
              <w:right w:val="single" w:sz="4" w:space="0" w:color="auto"/>
            </w:tcBorders>
          </w:tcPr>
          <w:p w14:paraId="3DDF9717" w14:textId="77777777" w:rsidR="006918A0" w:rsidRPr="006918A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45B42206" w14:textId="77777777" w:rsidR="006918A0" w:rsidRPr="006918A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dashSmallGap" w:sz="4" w:space="0" w:color="auto"/>
            </w:tcBorders>
          </w:tcPr>
          <w:p w14:paraId="2A8A23C3" w14:textId="77777777" w:rsidR="006918A0" w:rsidRPr="006918A0" w:rsidRDefault="006918A0" w:rsidP="006918A0">
            <w:pPr>
              <w:spacing w:line="276" w:lineRule="auto"/>
              <w:ind w:right="-29"/>
              <w:jc w:val="center"/>
              <w:rPr>
                <w:noProof/>
                <w:sz w:val="18"/>
                <w:szCs w:val="18"/>
              </w:rPr>
            </w:pPr>
          </w:p>
        </w:tc>
        <w:tc>
          <w:tcPr>
            <w:tcW w:w="266" w:type="pct"/>
            <w:tcBorders>
              <w:top w:val="single" w:sz="4" w:space="0" w:color="auto"/>
              <w:left w:val="dashSmallGap" w:sz="4" w:space="0" w:color="auto"/>
              <w:bottom w:val="single" w:sz="4" w:space="0" w:color="auto"/>
              <w:right w:val="single" w:sz="4" w:space="0" w:color="auto"/>
            </w:tcBorders>
          </w:tcPr>
          <w:p w14:paraId="108AB2AE" w14:textId="77777777" w:rsidR="006918A0" w:rsidRPr="006918A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dashSmallGap" w:sz="4" w:space="0" w:color="auto"/>
            </w:tcBorders>
          </w:tcPr>
          <w:p w14:paraId="33F57196" w14:textId="77777777" w:rsidR="006918A0" w:rsidRPr="006918A0" w:rsidRDefault="006918A0" w:rsidP="006918A0">
            <w:pPr>
              <w:spacing w:line="276" w:lineRule="auto"/>
              <w:ind w:right="-29"/>
              <w:jc w:val="center"/>
              <w:rPr>
                <w:noProof/>
                <w:sz w:val="18"/>
                <w:szCs w:val="18"/>
              </w:rPr>
            </w:pPr>
          </w:p>
        </w:tc>
        <w:tc>
          <w:tcPr>
            <w:tcW w:w="256" w:type="pct"/>
            <w:tcBorders>
              <w:top w:val="single" w:sz="4" w:space="0" w:color="auto"/>
              <w:left w:val="dashSmallGap" w:sz="4" w:space="0" w:color="auto"/>
              <w:bottom w:val="single" w:sz="4" w:space="0" w:color="auto"/>
              <w:right w:val="single" w:sz="4" w:space="0" w:color="auto"/>
            </w:tcBorders>
            <w:hideMark/>
          </w:tcPr>
          <w:p w14:paraId="6A13600E" w14:textId="77777777" w:rsidR="006918A0" w:rsidRPr="006918A0" w:rsidRDefault="006918A0" w:rsidP="006918A0">
            <w:pPr>
              <w:spacing w:line="276" w:lineRule="auto"/>
              <w:ind w:right="-29"/>
              <w:jc w:val="center"/>
              <w:rPr>
                <w:noProof/>
                <w:sz w:val="18"/>
                <w:szCs w:val="18"/>
              </w:rPr>
            </w:pPr>
            <w:r w:rsidRPr="006918A0">
              <w:rPr>
                <w:noProof/>
                <w:sz w:val="18"/>
                <w:szCs w:val="18"/>
              </w:rPr>
              <w:t>0.300</w:t>
            </w:r>
          </w:p>
        </w:tc>
        <w:tc>
          <w:tcPr>
            <w:tcW w:w="298" w:type="pct"/>
            <w:tcBorders>
              <w:top w:val="single" w:sz="4" w:space="0" w:color="auto"/>
              <w:left w:val="single" w:sz="4" w:space="0" w:color="auto"/>
              <w:bottom w:val="single" w:sz="4" w:space="0" w:color="auto"/>
              <w:right w:val="dashSmallGap" w:sz="4" w:space="0" w:color="auto"/>
            </w:tcBorders>
          </w:tcPr>
          <w:p w14:paraId="0458EDC1" w14:textId="77777777" w:rsidR="006918A0" w:rsidRPr="006918A0" w:rsidRDefault="006918A0" w:rsidP="006918A0">
            <w:pPr>
              <w:spacing w:line="276" w:lineRule="auto"/>
              <w:ind w:right="-29"/>
              <w:jc w:val="center"/>
              <w:rPr>
                <w:noProof/>
                <w:sz w:val="18"/>
                <w:szCs w:val="18"/>
              </w:rPr>
            </w:pPr>
          </w:p>
        </w:tc>
        <w:tc>
          <w:tcPr>
            <w:tcW w:w="246" w:type="pct"/>
            <w:tcBorders>
              <w:top w:val="single" w:sz="4" w:space="0" w:color="auto"/>
              <w:left w:val="dashSmallGap" w:sz="4" w:space="0" w:color="auto"/>
              <w:bottom w:val="single" w:sz="4" w:space="0" w:color="auto"/>
              <w:right w:val="single" w:sz="4" w:space="0" w:color="auto"/>
            </w:tcBorders>
            <w:hideMark/>
          </w:tcPr>
          <w:p w14:paraId="62A5B178" w14:textId="77777777" w:rsidR="006918A0" w:rsidRPr="006918A0" w:rsidRDefault="006918A0" w:rsidP="006918A0">
            <w:pPr>
              <w:spacing w:line="276" w:lineRule="auto"/>
              <w:ind w:right="-29"/>
              <w:jc w:val="center"/>
              <w:rPr>
                <w:noProof/>
                <w:sz w:val="18"/>
                <w:szCs w:val="18"/>
              </w:rPr>
            </w:pPr>
            <w:r w:rsidRPr="006918A0">
              <w:rPr>
                <w:noProof/>
                <w:sz w:val="18"/>
                <w:szCs w:val="18"/>
              </w:rPr>
              <w:t>0.200</w:t>
            </w:r>
          </w:p>
        </w:tc>
        <w:tc>
          <w:tcPr>
            <w:tcW w:w="367" w:type="pct"/>
            <w:tcBorders>
              <w:top w:val="single" w:sz="4" w:space="0" w:color="auto"/>
              <w:left w:val="single" w:sz="4" w:space="0" w:color="auto"/>
              <w:bottom w:val="single" w:sz="4" w:space="0" w:color="auto"/>
              <w:right w:val="dashSmallGap" w:sz="4" w:space="0" w:color="auto"/>
            </w:tcBorders>
          </w:tcPr>
          <w:p w14:paraId="099636D1" w14:textId="77777777" w:rsidR="006918A0" w:rsidRPr="006918A0" w:rsidRDefault="006918A0" w:rsidP="006918A0">
            <w:pPr>
              <w:spacing w:line="276" w:lineRule="auto"/>
              <w:ind w:right="-29"/>
              <w:jc w:val="center"/>
              <w:rPr>
                <w:noProof/>
                <w:sz w:val="18"/>
                <w:szCs w:val="18"/>
              </w:rPr>
            </w:pPr>
          </w:p>
        </w:tc>
        <w:tc>
          <w:tcPr>
            <w:tcW w:w="225" w:type="pct"/>
            <w:tcBorders>
              <w:top w:val="single" w:sz="4" w:space="0" w:color="auto"/>
              <w:left w:val="dashSmallGap" w:sz="4" w:space="0" w:color="auto"/>
              <w:bottom w:val="single" w:sz="4" w:space="0" w:color="auto"/>
              <w:right w:val="single" w:sz="4" w:space="0" w:color="auto"/>
            </w:tcBorders>
            <w:hideMark/>
          </w:tcPr>
          <w:p w14:paraId="62C1AAD1" w14:textId="77777777" w:rsidR="006918A0" w:rsidRPr="006918A0" w:rsidRDefault="006918A0" w:rsidP="006918A0">
            <w:pPr>
              <w:spacing w:line="276" w:lineRule="auto"/>
              <w:ind w:right="-29"/>
              <w:jc w:val="center"/>
              <w:rPr>
                <w:noProof/>
                <w:sz w:val="18"/>
                <w:szCs w:val="18"/>
              </w:rPr>
            </w:pPr>
            <w:r w:rsidRPr="006918A0">
              <w:rPr>
                <w:noProof/>
                <w:sz w:val="18"/>
                <w:szCs w:val="18"/>
              </w:rPr>
              <w:t>0.150</w:t>
            </w:r>
          </w:p>
        </w:tc>
        <w:tc>
          <w:tcPr>
            <w:tcW w:w="258" w:type="pct"/>
            <w:tcBorders>
              <w:top w:val="single" w:sz="4" w:space="0" w:color="auto"/>
              <w:left w:val="single" w:sz="4" w:space="0" w:color="auto"/>
              <w:bottom w:val="single" w:sz="4" w:space="0" w:color="auto"/>
              <w:right w:val="dashSmallGap" w:sz="4" w:space="0" w:color="auto"/>
            </w:tcBorders>
          </w:tcPr>
          <w:p w14:paraId="3AC30B4A" w14:textId="77777777" w:rsidR="006918A0" w:rsidRPr="006918A0" w:rsidRDefault="006918A0" w:rsidP="006918A0">
            <w:pPr>
              <w:spacing w:line="276" w:lineRule="auto"/>
              <w:ind w:right="-29"/>
              <w:jc w:val="center"/>
              <w:rPr>
                <w:noProof/>
                <w:sz w:val="18"/>
                <w:szCs w:val="18"/>
              </w:rPr>
            </w:pPr>
          </w:p>
        </w:tc>
        <w:tc>
          <w:tcPr>
            <w:tcW w:w="241" w:type="pct"/>
            <w:tcBorders>
              <w:top w:val="single" w:sz="4" w:space="0" w:color="auto"/>
              <w:left w:val="dashSmallGap" w:sz="4" w:space="0" w:color="auto"/>
              <w:bottom w:val="single" w:sz="4" w:space="0" w:color="auto"/>
              <w:right w:val="single" w:sz="4" w:space="0" w:color="auto"/>
            </w:tcBorders>
          </w:tcPr>
          <w:p w14:paraId="6794D6EB" w14:textId="77777777" w:rsidR="006918A0" w:rsidRPr="006918A0"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dashSmallGap" w:sz="4" w:space="0" w:color="auto"/>
            </w:tcBorders>
          </w:tcPr>
          <w:p w14:paraId="5405E8AF" w14:textId="77777777" w:rsidR="006918A0" w:rsidRPr="006918A0" w:rsidRDefault="006918A0" w:rsidP="006918A0">
            <w:pPr>
              <w:spacing w:line="276" w:lineRule="auto"/>
              <w:ind w:right="-29"/>
              <w:jc w:val="center"/>
              <w:rPr>
                <w:noProof/>
                <w:sz w:val="18"/>
                <w:szCs w:val="18"/>
              </w:rPr>
            </w:pPr>
          </w:p>
        </w:tc>
        <w:tc>
          <w:tcPr>
            <w:tcW w:w="318" w:type="pct"/>
            <w:gridSpan w:val="2"/>
            <w:tcBorders>
              <w:top w:val="single" w:sz="4" w:space="0" w:color="auto"/>
              <w:left w:val="dashSmallGap" w:sz="4" w:space="0" w:color="auto"/>
              <w:bottom w:val="single" w:sz="4" w:space="0" w:color="auto"/>
              <w:right w:val="single" w:sz="4" w:space="0" w:color="auto"/>
            </w:tcBorders>
          </w:tcPr>
          <w:p w14:paraId="01BC7053" w14:textId="77777777" w:rsidR="006918A0" w:rsidRPr="006918A0"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352DBF19" w14:textId="77777777" w:rsidR="006918A0" w:rsidRPr="006918A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3708FC99" w14:textId="77777777" w:rsidR="006918A0" w:rsidRPr="006918A0" w:rsidRDefault="006918A0" w:rsidP="006918A0">
            <w:pPr>
              <w:spacing w:line="276" w:lineRule="auto"/>
              <w:ind w:right="-29"/>
              <w:jc w:val="right"/>
              <w:rPr>
                <w:noProof/>
                <w:sz w:val="18"/>
                <w:szCs w:val="18"/>
              </w:rPr>
            </w:pPr>
            <w:r w:rsidRPr="006918A0">
              <w:rPr>
                <w:b/>
                <w:noProof/>
                <w:sz w:val="18"/>
                <w:szCs w:val="18"/>
              </w:rPr>
              <w:t>0.650</w:t>
            </w:r>
          </w:p>
        </w:tc>
      </w:tr>
      <w:tr w:rsidR="006918A0" w:rsidRPr="006918A0" w14:paraId="188A4ED3"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22DFC67C" w14:textId="77777777" w:rsidR="006918A0" w:rsidRPr="006918A0" w:rsidRDefault="006918A0" w:rsidP="006918A0">
            <w:pPr>
              <w:spacing w:line="276" w:lineRule="auto"/>
              <w:ind w:right="-29"/>
              <w:jc w:val="center"/>
              <w:rPr>
                <w:noProof/>
                <w:sz w:val="18"/>
                <w:szCs w:val="18"/>
              </w:rPr>
            </w:pPr>
            <w:r w:rsidRPr="006918A0">
              <w:rPr>
                <w:noProof/>
                <w:sz w:val="18"/>
              </w:rPr>
              <w:t>Maintenance</w:t>
            </w:r>
          </w:p>
        </w:tc>
        <w:tc>
          <w:tcPr>
            <w:tcW w:w="249" w:type="pct"/>
            <w:tcBorders>
              <w:top w:val="single" w:sz="4" w:space="0" w:color="auto"/>
              <w:left w:val="single" w:sz="4" w:space="0" w:color="auto"/>
              <w:bottom w:val="single" w:sz="4" w:space="0" w:color="auto"/>
              <w:right w:val="single" w:sz="4" w:space="0" w:color="auto"/>
            </w:tcBorders>
          </w:tcPr>
          <w:p w14:paraId="7DCE558A" w14:textId="77777777" w:rsidR="006918A0" w:rsidRPr="006918A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6FB48ECF" w14:textId="77777777" w:rsidR="006918A0" w:rsidRPr="006918A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7CD788D1" w14:textId="77777777" w:rsidR="006918A0" w:rsidRPr="006918A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73A8B03C" w14:textId="77777777" w:rsidR="006918A0" w:rsidRPr="006918A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297DE6CF" w14:textId="77777777" w:rsidR="006918A0" w:rsidRPr="006918A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5E0C5429" w14:textId="77777777" w:rsidR="006918A0" w:rsidRPr="006918A0"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1A05953E" w14:textId="77777777" w:rsidR="006918A0" w:rsidRPr="006918A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tcPr>
          <w:p w14:paraId="633B3806" w14:textId="77777777" w:rsidR="006918A0" w:rsidRPr="006918A0" w:rsidRDefault="006918A0" w:rsidP="006918A0">
            <w:pPr>
              <w:spacing w:line="276" w:lineRule="auto"/>
              <w:ind w:right="-29"/>
              <w:jc w:val="center"/>
              <w:rPr>
                <w:noProof/>
                <w:sz w:val="18"/>
                <w:szCs w:val="18"/>
              </w:rPr>
            </w:pPr>
          </w:p>
        </w:tc>
        <w:tc>
          <w:tcPr>
            <w:tcW w:w="367" w:type="pct"/>
            <w:tcBorders>
              <w:top w:val="single" w:sz="4" w:space="0" w:color="auto"/>
              <w:left w:val="single" w:sz="4" w:space="0" w:color="auto"/>
              <w:bottom w:val="single" w:sz="4" w:space="0" w:color="auto"/>
              <w:right w:val="single" w:sz="4" w:space="0" w:color="auto"/>
            </w:tcBorders>
          </w:tcPr>
          <w:p w14:paraId="71E12979" w14:textId="77777777" w:rsidR="006918A0" w:rsidRPr="006918A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hideMark/>
          </w:tcPr>
          <w:p w14:paraId="66010B5A" w14:textId="77777777" w:rsidR="006918A0" w:rsidRPr="006918A0" w:rsidRDefault="006918A0" w:rsidP="006918A0">
            <w:pPr>
              <w:spacing w:line="276" w:lineRule="auto"/>
              <w:ind w:right="-29"/>
              <w:jc w:val="center"/>
              <w:rPr>
                <w:noProof/>
                <w:sz w:val="18"/>
                <w:szCs w:val="18"/>
              </w:rPr>
            </w:pPr>
            <w:r w:rsidRPr="006918A0">
              <w:rPr>
                <w:noProof/>
                <w:sz w:val="18"/>
                <w:szCs w:val="18"/>
              </w:rPr>
              <w:t>0.100</w:t>
            </w:r>
          </w:p>
        </w:tc>
        <w:tc>
          <w:tcPr>
            <w:tcW w:w="258" w:type="pct"/>
            <w:tcBorders>
              <w:top w:val="single" w:sz="4" w:space="0" w:color="auto"/>
              <w:left w:val="single" w:sz="4" w:space="0" w:color="auto"/>
              <w:bottom w:val="single" w:sz="4" w:space="0" w:color="auto"/>
              <w:right w:val="single" w:sz="4" w:space="0" w:color="auto"/>
            </w:tcBorders>
          </w:tcPr>
          <w:p w14:paraId="511D7A66" w14:textId="77777777" w:rsidR="006918A0" w:rsidRPr="006918A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hideMark/>
          </w:tcPr>
          <w:p w14:paraId="72ED7ACF" w14:textId="77777777" w:rsidR="006918A0" w:rsidRPr="006918A0" w:rsidRDefault="006918A0" w:rsidP="006918A0">
            <w:pPr>
              <w:spacing w:line="276" w:lineRule="auto"/>
              <w:ind w:right="-29"/>
              <w:jc w:val="center"/>
              <w:rPr>
                <w:noProof/>
                <w:sz w:val="18"/>
                <w:szCs w:val="18"/>
              </w:rPr>
            </w:pPr>
            <w:r w:rsidRPr="006918A0">
              <w:rPr>
                <w:noProof/>
                <w:sz w:val="18"/>
                <w:szCs w:val="18"/>
              </w:rPr>
              <w:t>0.100</w:t>
            </w:r>
          </w:p>
        </w:tc>
        <w:tc>
          <w:tcPr>
            <w:tcW w:w="249" w:type="pct"/>
            <w:gridSpan w:val="2"/>
            <w:tcBorders>
              <w:top w:val="single" w:sz="4" w:space="0" w:color="auto"/>
              <w:left w:val="single" w:sz="4" w:space="0" w:color="auto"/>
              <w:bottom w:val="single" w:sz="4" w:space="0" w:color="auto"/>
              <w:right w:val="single" w:sz="4" w:space="0" w:color="auto"/>
            </w:tcBorders>
          </w:tcPr>
          <w:p w14:paraId="1B8D5CA6" w14:textId="77777777" w:rsidR="006918A0" w:rsidRPr="006918A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hideMark/>
          </w:tcPr>
          <w:p w14:paraId="1928131D" w14:textId="77777777" w:rsidR="006918A0" w:rsidRPr="006918A0" w:rsidRDefault="006918A0" w:rsidP="006918A0">
            <w:pPr>
              <w:spacing w:line="276" w:lineRule="auto"/>
              <w:ind w:right="-29"/>
              <w:jc w:val="center"/>
              <w:rPr>
                <w:noProof/>
                <w:sz w:val="18"/>
                <w:szCs w:val="18"/>
              </w:rPr>
            </w:pPr>
            <w:r w:rsidRPr="006918A0">
              <w:rPr>
                <w:noProof/>
                <w:sz w:val="18"/>
                <w:szCs w:val="18"/>
              </w:rPr>
              <w:t>0.100</w:t>
            </w:r>
          </w:p>
        </w:tc>
        <w:tc>
          <w:tcPr>
            <w:tcW w:w="223" w:type="pct"/>
            <w:gridSpan w:val="3"/>
            <w:tcBorders>
              <w:top w:val="single" w:sz="4" w:space="0" w:color="auto"/>
              <w:left w:val="single" w:sz="4" w:space="0" w:color="auto"/>
              <w:bottom w:val="single" w:sz="4" w:space="0" w:color="auto"/>
              <w:right w:val="single" w:sz="4" w:space="0" w:color="auto"/>
            </w:tcBorders>
          </w:tcPr>
          <w:p w14:paraId="31720BF7" w14:textId="77777777" w:rsidR="006918A0" w:rsidRPr="006918A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F41C0B1" w14:textId="77777777" w:rsidR="006918A0" w:rsidRPr="006918A0" w:rsidRDefault="006918A0" w:rsidP="006918A0">
            <w:pPr>
              <w:spacing w:line="276" w:lineRule="auto"/>
              <w:ind w:right="-29"/>
              <w:jc w:val="right"/>
              <w:rPr>
                <w:noProof/>
                <w:sz w:val="18"/>
                <w:szCs w:val="18"/>
              </w:rPr>
            </w:pPr>
            <w:r w:rsidRPr="006918A0">
              <w:rPr>
                <w:b/>
                <w:noProof/>
                <w:sz w:val="18"/>
                <w:szCs w:val="18"/>
              </w:rPr>
              <w:t>0.300</w:t>
            </w:r>
          </w:p>
        </w:tc>
      </w:tr>
      <w:tr w:rsidR="006918A0" w:rsidRPr="006918A0" w14:paraId="6D06F24B"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0CFEA655" w14:textId="77777777" w:rsidR="006918A0" w:rsidRPr="006918A0" w:rsidRDefault="006918A0" w:rsidP="006918A0">
            <w:pPr>
              <w:spacing w:line="276" w:lineRule="auto"/>
              <w:ind w:right="-29"/>
              <w:jc w:val="center"/>
              <w:rPr>
                <w:noProof/>
                <w:sz w:val="18"/>
              </w:rPr>
            </w:pPr>
            <w:r w:rsidRPr="006918A0">
              <w:rPr>
                <w:noProof/>
                <w:sz w:val="18"/>
              </w:rPr>
              <w:t>Support</w:t>
            </w:r>
          </w:p>
        </w:tc>
        <w:tc>
          <w:tcPr>
            <w:tcW w:w="249" w:type="pct"/>
            <w:tcBorders>
              <w:top w:val="single" w:sz="4" w:space="0" w:color="auto"/>
              <w:left w:val="single" w:sz="4" w:space="0" w:color="auto"/>
              <w:bottom w:val="single" w:sz="4" w:space="0" w:color="auto"/>
              <w:right w:val="single" w:sz="4" w:space="0" w:color="auto"/>
            </w:tcBorders>
          </w:tcPr>
          <w:p w14:paraId="203FCEC4" w14:textId="77777777" w:rsidR="006918A0" w:rsidRPr="006918A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4AEBFE68" w14:textId="77777777" w:rsidR="006918A0" w:rsidRPr="006918A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5A8BC761" w14:textId="77777777" w:rsidR="006918A0" w:rsidRPr="006918A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3F6CA7C9" w14:textId="77777777" w:rsidR="006918A0" w:rsidRPr="006918A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466D91CD" w14:textId="77777777" w:rsidR="006918A0" w:rsidRPr="006918A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7F3FC2" w14:textId="77777777" w:rsidR="006918A0" w:rsidRPr="006918A0"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50BDF0F5" w14:textId="77777777" w:rsidR="006918A0" w:rsidRPr="006918A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hideMark/>
          </w:tcPr>
          <w:p w14:paraId="21D1CE08" w14:textId="77777777" w:rsidR="006918A0" w:rsidRPr="006918A0" w:rsidRDefault="006918A0" w:rsidP="006918A0">
            <w:pPr>
              <w:spacing w:line="276" w:lineRule="auto"/>
              <w:ind w:right="-29"/>
              <w:jc w:val="center"/>
              <w:rPr>
                <w:noProof/>
                <w:sz w:val="18"/>
                <w:szCs w:val="18"/>
              </w:rPr>
            </w:pPr>
            <w:r w:rsidRPr="006918A0">
              <w:rPr>
                <w:noProof/>
                <w:sz w:val="18"/>
                <w:szCs w:val="18"/>
              </w:rPr>
              <w:t>0.020</w:t>
            </w:r>
          </w:p>
        </w:tc>
        <w:tc>
          <w:tcPr>
            <w:tcW w:w="367" w:type="pct"/>
            <w:tcBorders>
              <w:top w:val="single" w:sz="4" w:space="0" w:color="auto"/>
              <w:left w:val="single" w:sz="4" w:space="0" w:color="auto"/>
              <w:bottom w:val="single" w:sz="4" w:space="0" w:color="auto"/>
              <w:right w:val="single" w:sz="4" w:space="0" w:color="auto"/>
            </w:tcBorders>
          </w:tcPr>
          <w:p w14:paraId="08D9D962" w14:textId="77777777" w:rsidR="006918A0" w:rsidRPr="006918A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hideMark/>
          </w:tcPr>
          <w:p w14:paraId="28753B3A" w14:textId="77777777" w:rsidR="006918A0" w:rsidRPr="006918A0" w:rsidRDefault="006918A0" w:rsidP="006918A0">
            <w:pPr>
              <w:spacing w:line="276" w:lineRule="auto"/>
              <w:ind w:right="-29"/>
              <w:jc w:val="center"/>
              <w:rPr>
                <w:noProof/>
                <w:sz w:val="18"/>
                <w:szCs w:val="18"/>
              </w:rPr>
            </w:pPr>
            <w:r w:rsidRPr="006918A0">
              <w:rPr>
                <w:noProof/>
                <w:sz w:val="18"/>
                <w:szCs w:val="18"/>
              </w:rPr>
              <w:t>0.020</w:t>
            </w:r>
          </w:p>
        </w:tc>
        <w:tc>
          <w:tcPr>
            <w:tcW w:w="258" w:type="pct"/>
            <w:tcBorders>
              <w:top w:val="single" w:sz="4" w:space="0" w:color="auto"/>
              <w:left w:val="single" w:sz="4" w:space="0" w:color="auto"/>
              <w:bottom w:val="single" w:sz="4" w:space="0" w:color="auto"/>
              <w:right w:val="single" w:sz="4" w:space="0" w:color="auto"/>
            </w:tcBorders>
          </w:tcPr>
          <w:p w14:paraId="346DE382" w14:textId="77777777" w:rsidR="006918A0" w:rsidRPr="006918A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hideMark/>
          </w:tcPr>
          <w:p w14:paraId="76BDB7FB" w14:textId="77777777" w:rsidR="006918A0" w:rsidRPr="006918A0" w:rsidRDefault="006918A0" w:rsidP="006918A0">
            <w:pPr>
              <w:spacing w:line="276" w:lineRule="auto"/>
              <w:ind w:right="-29"/>
              <w:jc w:val="center"/>
              <w:rPr>
                <w:noProof/>
                <w:sz w:val="18"/>
                <w:szCs w:val="18"/>
              </w:rPr>
            </w:pPr>
            <w:r w:rsidRPr="006918A0">
              <w:rPr>
                <w:noProof/>
                <w:sz w:val="18"/>
                <w:szCs w:val="18"/>
              </w:rPr>
              <w:t>0.020</w:t>
            </w:r>
          </w:p>
        </w:tc>
        <w:tc>
          <w:tcPr>
            <w:tcW w:w="249" w:type="pct"/>
            <w:gridSpan w:val="2"/>
            <w:tcBorders>
              <w:top w:val="single" w:sz="4" w:space="0" w:color="auto"/>
              <w:left w:val="single" w:sz="4" w:space="0" w:color="auto"/>
              <w:bottom w:val="single" w:sz="4" w:space="0" w:color="auto"/>
              <w:right w:val="single" w:sz="4" w:space="0" w:color="auto"/>
            </w:tcBorders>
          </w:tcPr>
          <w:p w14:paraId="67481C81" w14:textId="77777777" w:rsidR="006918A0" w:rsidRPr="006918A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hideMark/>
          </w:tcPr>
          <w:p w14:paraId="547A78AC" w14:textId="77777777" w:rsidR="006918A0" w:rsidRPr="006918A0" w:rsidRDefault="006918A0" w:rsidP="006918A0">
            <w:pPr>
              <w:spacing w:line="276" w:lineRule="auto"/>
              <w:ind w:right="-29"/>
              <w:jc w:val="center"/>
              <w:rPr>
                <w:noProof/>
                <w:sz w:val="18"/>
                <w:szCs w:val="18"/>
              </w:rPr>
            </w:pPr>
            <w:r w:rsidRPr="006918A0">
              <w:rPr>
                <w:noProof/>
                <w:sz w:val="18"/>
                <w:szCs w:val="18"/>
              </w:rPr>
              <w:t>0.020</w:t>
            </w:r>
          </w:p>
        </w:tc>
        <w:tc>
          <w:tcPr>
            <w:tcW w:w="223" w:type="pct"/>
            <w:gridSpan w:val="3"/>
            <w:tcBorders>
              <w:top w:val="single" w:sz="4" w:space="0" w:color="auto"/>
              <w:left w:val="single" w:sz="4" w:space="0" w:color="auto"/>
              <w:bottom w:val="single" w:sz="4" w:space="0" w:color="auto"/>
              <w:right w:val="single" w:sz="4" w:space="0" w:color="auto"/>
            </w:tcBorders>
          </w:tcPr>
          <w:p w14:paraId="79744954" w14:textId="77777777" w:rsidR="006918A0" w:rsidRPr="006918A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D2E1C77" w14:textId="77777777" w:rsidR="006918A0" w:rsidRPr="006918A0" w:rsidRDefault="006918A0" w:rsidP="006918A0">
            <w:pPr>
              <w:spacing w:line="276" w:lineRule="auto"/>
              <w:ind w:right="-29"/>
              <w:jc w:val="right"/>
              <w:rPr>
                <w:noProof/>
                <w:sz w:val="18"/>
                <w:szCs w:val="18"/>
              </w:rPr>
            </w:pPr>
            <w:r w:rsidRPr="006918A0">
              <w:rPr>
                <w:b/>
                <w:noProof/>
                <w:sz w:val="18"/>
                <w:szCs w:val="18"/>
              </w:rPr>
              <w:t>0.080</w:t>
            </w:r>
          </w:p>
        </w:tc>
      </w:tr>
      <w:tr w:rsidR="006918A0" w:rsidRPr="006918A0" w14:paraId="25B012D3"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3E8A2B32" w14:textId="77777777" w:rsidR="006918A0" w:rsidRPr="006918A0" w:rsidRDefault="006918A0" w:rsidP="006918A0">
            <w:pPr>
              <w:spacing w:line="276" w:lineRule="auto"/>
              <w:ind w:right="-29"/>
              <w:jc w:val="center"/>
              <w:rPr>
                <w:noProof/>
                <w:sz w:val="18"/>
              </w:rPr>
            </w:pPr>
            <w:r w:rsidRPr="006918A0">
              <w:rPr>
                <w:noProof/>
                <w:sz w:val="18"/>
              </w:rPr>
              <w:t>Training</w:t>
            </w:r>
          </w:p>
        </w:tc>
        <w:tc>
          <w:tcPr>
            <w:tcW w:w="249" w:type="pct"/>
            <w:tcBorders>
              <w:top w:val="single" w:sz="4" w:space="0" w:color="auto"/>
              <w:left w:val="single" w:sz="4" w:space="0" w:color="auto"/>
              <w:bottom w:val="single" w:sz="4" w:space="0" w:color="auto"/>
              <w:right w:val="single" w:sz="4" w:space="0" w:color="auto"/>
            </w:tcBorders>
          </w:tcPr>
          <w:p w14:paraId="55A7F20F" w14:textId="77777777" w:rsidR="006918A0" w:rsidRPr="006918A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26FDFB93" w14:textId="77777777" w:rsidR="006918A0" w:rsidRPr="006918A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78A8ECDF" w14:textId="77777777" w:rsidR="006918A0" w:rsidRPr="006918A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0394293E" w14:textId="77777777" w:rsidR="006918A0" w:rsidRPr="006918A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65FED74F" w14:textId="77777777" w:rsidR="006918A0" w:rsidRPr="006918A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7C96DCD8" w14:textId="77777777" w:rsidR="006918A0" w:rsidRPr="006918A0"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42A340EE" w14:textId="77777777" w:rsidR="006918A0" w:rsidRPr="006918A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hideMark/>
          </w:tcPr>
          <w:p w14:paraId="0BFECB0C" w14:textId="77777777" w:rsidR="006918A0" w:rsidRPr="006918A0" w:rsidRDefault="006918A0" w:rsidP="006918A0">
            <w:pPr>
              <w:spacing w:line="276" w:lineRule="auto"/>
              <w:ind w:right="-29"/>
              <w:jc w:val="center"/>
              <w:rPr>
                <w:noProof/>
                <w:sz w:val="18"/>
                <w:szCs w:val="18"/>
              </w:rPr>
            </w:pPr>
            <w:r w:rsidRPr="006918A0">
              <w:rPr>
                <w:noProof/>
                <w:sz w:val="18"/>
                <w:szCs w:val="18"/>
              </w:rPr>
              <w:t>0.020</w:t>
            </w:r>
          </w:p>
        </w:tc>
        <w:tc>
          <w:tcPr>
            <w:tcW w:w="367" w:type="pct"/>
            <w:tcBorders>
              <w:top w:val="single" w:sz="4" w:space="0" w:color="auto"/>
              <w:left w:val="single" w:sz="4" w:space="0" w:color="auto"/>
              <w:bottom w:val="single" w:sz="4" w:space="0" w:color="auto"/>
              <w:right w:val="single" w:sz="4" w:space="0" w:color="auto"/>
            </w:tcBorders>
          </w:tcPr>
          <w:p w14:paraId="48C04401" w14:textId="77777777" w:rsidR="006918A0" w:rsidRPr="006918A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12FDC07E" w14:textId="77777777" w:rsidR="006918A0" w:rsidRPr="006918A0" w:rsidRDefault="006918A0" w:rsidP="006918A0">
            <w:pPr>
              <w:spacing w:line="276" w:lineRule="auto"/>
              <w:ind w:right="-29"/>
              <w:jc w:val="center"/>
              <w:rPr>
                <w:noProof/>
                <w:sz w:val="18"/>
                <w:szCs w:val="18"/>
              </w:rPr>
            </w:pPr>
          </w:p>
        </w:tc>
        <w:tc>
          <w:tcPr>
            <w:tcW w:w="258" w:type="pct"/>
            <w:tcBorders>
              <w:top w:val="single" w:sz="4" w:space="0" w:color="auto"/>
              <w:left w:val="single" w:sz="4" w:space="0" w:color="auto"/>
              <w:bottom w:val="single" w:sz="4" w:space="0" w:color="auto"/>
              <w:right w:val="single" w:sz="4" w:space="0" w:color="auto"/>
            </w:tcBorders>
          </w:tcPr>
          <w:p w14:paraId="2BCE6B5B" w14:textId="77777777" w:rsidR="006918A0" w:rsidRPr="006918A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tcPr>
          <w:p w14:paraId="28F943C6" w14:textId="77777777" w:rsidR="006918A0" w:rsidRPr="006918A0"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single" w:sz="4" w:space="0" w:color="auto"/>
            </w:tcBorders>
          </w:tcPr>
          <w:p w14:paraId="7DA9C1DE" w14:textId="77777777" w:rsidR="006918A0" w:rsidRPr="006918A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tcPr>
          <w:p w14:paraId="747F51AA" w14:textId="77777777" w:rsidR="006918A0" w:rsidRPr="006918A0"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536CD5E0" w14:textId="77777777" w:rsidR="006918A0" w:rsidRPr="006918A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1155DA9A" w14:textId="77777777" w:rsidR="006918A0" w:rsidRPr="006918A0" w:rsidRDefault="006918A0" w:rsidP="006918A0">
            <w:pPr>
              <w:spacing w:line="276" w:lineRule="auto"/>
              <w:ind w:right="-29"/>
              <w:jc w:val="right"/>
              <w:rPr>
                <w:noProof/>
                <w:sz w:val="18"/>
                <w:szCs w:val="18"/>
              </w:rPr>
            </w:pPr>
            <w:r w:rsidRPr="006918A0">
              <w:rPr>
                <w:b/>
                <w:noProof/>
                <w:sz w:val="18"/>
                <w:szCs w:val="18"/>
              </w:rPr>
              <w:t>0.020</w:t>
            </w:r>
          </w:p>
        </w:tc>
      </w:tr>
      <w:tr w:rsidR="006918A0" w:rsidRPr="006918A0" w14:paraId="6B20B7AE" w14:textId="77777777" w:rsidTr="000430BD">
        <w:trPr>
          <w:trHeight w:hRule="exact" w:val="1106"/>
          <w:jc w:val="center"/>
        </w:trPr>
        <w:tc>
          <w:tcPr>
            <w:tcW w:w="483" w:type="pct"/>
            <w:tcBorders>
              <w:top w:val="single" w:sz="4" w:space="0" w:color="auto"/>
              <w:left w:val="single" w:sz="4" w:space="0" w:color="auto"/>
              <w:bottom w:val="single" w:sz="4" w:space="0" w:color="auto"/>
              <w:right w:val="single" w:sz="4" w:space="0" w:color="auto"/>
            </w:tcBorders>
            <w:hideMark/>
          </w:tcPr>
          <w:p w14:paraId="6ECEEA10" w14:textId="77777777" w:rsidR="006918A0" w:rsidRPr="006918A0" w:rsidRDefault="006918A0" w:rsidP="006918A0">
            <w:pPr>
              <w:spacing w:line="276" w:lineRule="auto"/>
              <w:ind w:right="-29"/>
              <w:jc w:val="center"/>
              <w:rPr>
                <w:noProof/>
                <w:sz w:val="18"/>
                <w:lang w:val="fr-FR"/>
              </w:rPr>
            </w:pPr>
            <w:bookmarkStart w:id="20" w:name="OLE_LINK1"/>
            <w:r w:rsidRPr="006918A0">
              <w:rPr>
                <w:noProof/>
                <w:sz w:val="18"/>
                <w:lang w:val="fr-FR"/>
              </w:rPr>
              <w:t>ITSM (Infrastructure, hosting, licences, etc.),</w:t>
            </w:r>
            <w:bookmarkEnd w:id="20"/>
          </w:p>
        </w:tc>
        <w:tc>
          <w:tcPr>
            <w:tcW w:w="249" w:type="pct"/>
            <w:tcBorders>
              <w:top w:val="single" w:sz="4" w:space="0" w:color="auto"/>
              <w:left w:val="single" w:sz="4" w:space="0" w:color="auto"/>
              <w:bottom w:val="single" w:sz="4" w:space="0" w:color="auto"/>
              <w:right w:val="single" w:sz="4" w:space="0" w:color="auto"/>
            </w:tcBorders>
          </w:tcPr>
          <w:p w14:paraId="12F6579C" w14:textId="77777777" w:rsidR="006918A0" w:rsidRPr="006918A0" w:rsidRDefault="006918A0" w:rsidP="006918A0">
            <w:pPr>
              <w:spacing w:line="276" w:lineRule="auto"/>
              <w:ind w:right="-29"/>
              <w:jc w:val="center"/>
              <w:rPr>
                <w:noProof/>
                <w:sz w:val="18"/>
                <w:szCs w:val="18"/>
                <w:lang w:val="fr-FR"/>
              </w:rPr>
            </w:pPr>
          </w:p>
        </w:tc>
        <w:tc>
          <w:tcPr>
            <w:tcW w:w="351" w:type="pct"/>
            <w:tcBorders>
              <w:top w:val="single" w:sz="4" w:space="0" w:color="auto"/>
              <w:left w:val="single" w:sz="4" w:space="0" w:color="auto"/>
              <w:bottom w:val="single" w:sz="4" w:space="0" w:color="auto"/>
              <w:right w:val="single" w:sz="4" w:space="0" w:color="auto"/>
            </w:tcBorders>
          </w:tcPr>
          <w:p w14:paraId="0F8BAF73" w14:textId="77777777" w:rsidR="006918A0" w:rsidRPr="006918A0" w:rsidRDefault="006918A0" w:rsidP="006918A0">
            <w:pPr>
              <w:spacing w:line="276" w:lineRule="auto"/>
              <w:ind w:right="-29"/>
              <w:jc w:val="center"/>
              <w:rPr>
                <w:noProof/>
                <w:sz w:val="18"/>
                <w:szCs w:val="18"/>
                <w:lang w:val="fr-FR"/>
              </w:rPr>
            </w:pPr>
          </w:p>
        </w:tc>
        <w:tc>
          <w:tcPr>
            <w:tcW w:w="285" w:type="pct"/>
            <w:tcBorders>
              <w:top w:val="single" w:sz="4" w:space="0" w:color="auto"/>
              <w:left w:val="single" w:sz="4" w:space="0" w:color="auto"/>
              <w:bottom w:val="single" w:sz="4" w:space="0" w:color="auto"/>
              <w:right w:val="single" w:sz="4" w:space="0" w:color="auto"/>
            </w:tcBorders>
          </w:tcPr>
          <w:p w14:paraId="7CD695F5" w14:textId="77777777" w:rsidR="006918A0" w:rsidRPr="006918A0" w:rsidRDefault="006918A0" w:rsidP="006918A0">
            <w:pPr>
              <w:spacing w:line="276" w:lineRule="auto"/>
              <w:ind w:right="-29"/>
              <w:jc w:val="center"/>
              <w:rPr>
                <w:noProof/>
                <w:sz w:val="18"/>
                <w:szCs w:val="18"/>
                <w:lang w:val="fr-FR"/>
              </w:rPr>
            </w:pPr>
          </w:p>
        </w:tc>
        <w:tc>
          <w:tcPr>
            <w:tcW w:w="266" w:type="pct"/>
            <w:tcBorders>
              <w:top w:val="single" w:sz="4" w:space="0" w:color="auto"/>
              <w:left w:val="single" w:sz="4" w:space="0" w:color="auto"/>
              <w:bottom w:val="single" w:sz="4" w:space="0" w:color="auto"/>
              <w:right w:val="single" w:sz="4" w:space="0" w:color="auto"/>
            </w:tcBorders>
          </w:tcPr>
          <w:p w14:paraId="4F43C746" w14:textId="77777777" w:rsidR="006918A0" w:rsidRPr="006918A0" w:rsidRDefault="006918A0" w:rsidP="006918A0">
            <w:pPr>
              <w:spacing w:line="276" w:lineRule="auto"/>
              <w:ind w:right="-29"/>
              <w:jc w:val="center"/>
              <w:rPr>
                <w:noProof/>
                <w:sz w:val="18"/>
                <w:szCs w:val="18"/>
                <w:lang w:val="fr-FR"/>
              </w:rPr>
            </w:pPr>
          </w:p>
        </w:tc>
        <w:tc>
          <w:tcPr>
            <w:tcW w:w="281" w:type="pct"/>
            <w:tcBorders>
              <w:top w:val="single" w:sz="4" w:space="0" w:color="auto"/>
              <w:left w:val="single" w:sz="4" w:space="0" w:color="auto"/>
              <w:bottom w:val="single" w:sz="4" w:space="0" w:color="auto"/>
              <w:right w:val="single" w:sz="4" w:space="0" w:color="auto"/>
            </w:tcBorders>
          </w:tcPr>
          <w:p w14:paraId="7640983A" w14:textId="77777777" w:rsidR="006918A0" w:rsidRPr="006918A0" w:rsidRDefault="006918A0" w:rsidP="006918A0">
            <w:pPr>
              <w:spacing w:line="276" w:lineRule="auto"/>
              <w:ind w:right="-29"/>
              <w:jc w:val="center"/>
              <w:rPr>
                <w:noProof/>
                <w:sz w:val="18"/>
                <w:szCs w:val="18"/>
                <w:lang w:val="fr-FR"/>
              </w:rPr>
            </w:pPr>
          </w:p>
        </w:tc>
        <w:tc>
          <w:tcPr>
            <w:tcW w:w="256" w:type="pct"/>
            <w:tcBorders>
              <w:top w:val="single" w:sz="4" w:space="0" w:color="auto"/>
              <w:left w:val="single" w:sz="4" w:space="0" w:color="auto"/>
              <w:bottom w:val="single" w:sz="4" w:space="0" w:color="auto"/>
              <w:right w:val="single" w:sz="4" w:space="0" w:color="auto"/>
            </w:tcBorders>
            <w:hideMark/>
          </w:tcPr>
          <w:p w14:paraId="271CD412" w14:textId="77777777" w:rsidR="006918A0" w:rsidRPr="006918A0" w:rsidRDefault="006918A0" w:rsidP="006918A0">
            <w:pPr>
              <w:spacing w:line="276" w:lineRule="auto"/>
              <w:ind w:right="-29"/>
              <w:jc w:val="center"/>
              <w:rPr>
                <w:noProof/>
                <w:sz w:val="18"/>
                <w:szCs w:val="18"/>
                <w:lang w:val="fr-FR"/>
              </w:rPr>
            </w:pPr>
            <w:r w:rsidRPr="006918A0">
              <w:rPr>
                <w:noProof/>
                <w:sz w:val="18"/>
                <w:szCs w:val="18"/>
                <w:lang w:val="fr-FR"/>
              </w:rPr>
              <w:t>0.020</w:t>
            </w:r>
          </w:p>
        </w:tc>
        <w:tc>
          <w:tcPr>
            <w:tcW w:w="298" w:type="pct"/>
            <w:tcBorders>
              <w:top w:val="single" w:sz="4" w:space="0" w:color="auto"/>
              <w:left w:val="single" w:sz="4" w:space="0" w:color="auto"/>
              <w:bottom w:val="single" w:sz="4" w:space="0" w:color="auto"/>
              <w:right w:val="single" w:sz="4" w:space="0" w:color="auto"/>
            </w:tcBorders>
          </w:tcPr>
          <w:p w14:paraId="180078B4" w14:textId="77777777" w:rsidR="006918A0" w:rsidRPr="006918A0" w:rsidRDefault="006918A0" w:rsidP="006918A0">
            <w:pPr>
              <w:spacing w:line="276" w:lineRule="auto"/>
              <w:ind w:right="-29"/>
              <w:jc w:val="center"/>
              <w:rPr>
                <w:noProof/>
                <w:sz w:val="18"/>
                <w:szCs w:val="18"/>
                <w:lang w:val="fr-FR"/>
              </w:rPr>
            </w:pPr>
          </w:p>
        </w:tc>
        <w:tc>
          <w:tcPr>
            <w:tcW w:w="246" w:type="pct"/>
            <w:tcBorders>
              <w:top w:val="single" w:sz="4" w:space="0" w:color="auto"/>
              <w:left w:val="single" w:sz="4" w:space="0" w:color="auto"/>
              <w:bottom w:val="single" w:sz="4" w:space="0" w:color="auto"/>
              <w:right w:val="single" w:sz="4" w:space="0" w:color="auto"/>
            </w:tcBorders>
            <w:hideMark/>
          </w:tcPr>
          <w:p w14:paraId="652353C6" w14:textId="77777777" w:rsidR="006918A0" w:rsidRPr="006918A0" w:rsidRDefault="006918A0" w:rsidP="006918A0">
            <w:pPr>
              <w:spacing w:line="276" w:lineRule="auto"/>
              <w:ind w:right="-29"/>
              <w:jc w:val="center"/>
              <w:rPr>
                <w:noProof/>
                <w:sz w:val="18"/>
                <w:szCs w:val="18"/>
                <w:lang w:val="fr-FR"/>
              </w:rPr>
            </w:pPr>
            <w:r w:rsidRPr="006918A0">
              <w:rPr>
                <w:noProof/>
                <w:sz w:val="18"/>
                <w:szCs w:val="18"/>
              </w:rPr>
              <w:t>0.060</w:t>
            </w:r>
          </w:p>
        </w:tc>
        <w:tc>
          <w:tcPr>
            <w:tcW w:w="367" w:type="pct"/>
            <w:tcBorders>
              <w:top w:val="single" w:sz="4" w:space="0" w:color="auto"/>
              <w:left w:val="single" w:sz="4" w:space="0" w:color="auto"/>
              <w:bottom w:val="single" w:sz="4" w:space="0" w:color="auto"/>
              <w:right w:val="single" w:sz="4" w:space="0" w:color="auto"/>
            </w:tcBorders>
          </w:tcPr>
          <w:p w14:paraId="1751D096" w14:textId="77777777" w:rsidR="006918A0" w:rsidRPr="006918A0" w:rsidRDefault="006918A0" w:rsidP="006918A0">
            <w:pPr>
              <w:spacing w:line="276" w:lineRule="auto"/>
              <w:ind w:right="-29"/>
              <w:jc w:val="center"/>
              <w:rPr>
                <w:noProof/>
                <w:sz w:val="18"/>
                <w:szCs w:val="18"/>
                <w:lang w:val="fr-FR"/>
              </w:rPr>
            </w:pPr>
          </w:p>
        </w:tc>
        <w:tc>
          <w:tcPr>
            <w:tcW w:w="225" w:type="pct"/>
            <w:tcBorders>
              <w:top w:val="single" w:sz="4" w:space="0" w:color="auto"/>
              <w:left w:val="single" w:sz="4" w:space="0" w:color="auto"/>
              <w:bottom w:val="single" w:sz="4" w:space="0" w:color="auto"/>
              <w:right w:val="single" w:sz="4" w:space="0" w:color="auto"/>
            </w:tcBorders>
            <w:hideMark/>
          </w:tcPr>
          <w:p w14:paraId="38BBD56C" w14:textId="77777777" w:rsidR="006918A0" w:rsidRPr="006918A0" w:rsidRDefault="006918A0" w:rsidP="006918A0">
            <w:pPr>
              <w:spacing w:line="276" w:lineRule="auto"/>
              <w:ind w:right="-29"/>
              <w:jc w:val="center"/>
              <w:rPr>
                <w:noProof/>
                <w:sz w:val="18"/>
                <w:szCs w:val="18"/>
                <w:lang w:val="fr-FR"/>
              </w:rPr>
            </w:pPr>
            <w:r w:rsidRPr="006918A0">
              <w:rPr>
                <w:noProof/>
                <w:sz w:val="18"/>
                <w:szCs w:val="18"/>
                <w:lang w:val="fr-FR"/>
              </w:rPr>
              <w:t>0.060</w:t>
            </w:r>
          </w:p>
        </w:tc>
        <w:tc>
          <w:tcPr>
            <w:tcW w:w="258" w:type="pct"/>
            <w:tcBorders>
              <w:top w:val="single" w:sz="4" w:space="0" w:color="auto"/>
              <w:left w:val="single" w:sz="4" w:space="0" w:color="auto"/>
              <w:bottom w:val="single" w:sz="4" w:space="0" w:color="auto"/>
              <w:right w:val="single" w:sz="4" w:space="0" w:color="auto"/>
            </w:tcBorders>
          </w:tcPr>
          <w:p w14:paraId="18F75C4A" w14:textId="77777777" w:rsidR="006918A0" w:rsidRPr="006918A0" w:rsidRDefault="006918A0" w:rsidP="006918A0">
            <w:pPr>
              <w:spacing w:line="276" w:lineRule="auto"/>
              <w:ind w:right="-29"/>
              <w:jc w:val="center"/>
              <w:rPr>
                <w:noProof/>
                <w:sz w:val="18"/>
                <w:szCs w:val="18"/>
                <w:lang w:val="fr-FR"/>
              </w:rPr>
            </w:pPr>
          </w:p>
        </w:tc>
        <w:tc>
          <w:tcPr>
            <w:tcW w:w="241" w:type="pct"/>
            <w:tcBorders>
              <w:top w:val="single" w:sz="4" w:space="0" w:color="auto"/>
              <w:left w:val="single" w:sz="4" w:space="0" w:color="auto"/>
              <w:bottom w:val="single" w:sz="4" w:space="0" w:color="auto"/>
              <w:right w:val="single" w:sz="4" w:space="0" w:color="auto"/>
            </w:tcBorders>
            <w:hideMark/>
          </w:tcPr>
          <w:p w14:paraId="649C445E" w14:textId="77777777" w:rsidR="006918A0" w:rsidRPr="006918A0" w:rsidRDefault="006918A0" w:rsidP="006918A0">
            <w:pPr>
              <w:spacing w:line="276" w:lineRule="auto"/>
              <w:ind w:right="-29"/>
              <w:jc w:val="center"/>
              <w:rPr>
                <w:noProof/>
                <w:sz w:val="18"/>
                <w:szCs w:val="18"/>
                <w:lang w:val="fr-FR"/>
              </w:rPr>
            </w:pPr>
            <w:r w:rsidRPr="006918A0">
              <w:rPr>
                <w:noProof/>
                <w:sz w:val="18"/>
                <w:szCs w:val="18"/>
              </w:rPr>
              <w:t>0.060</w:t>
            </w:r>
          </w:p>
        </w:tc>
        <w:tc>
          <w:tcPr>
            <w:tcW w:w="249" w:type="pct"/>
            <w:gridSpan w:val="2"/>
            <w:tcBorders>
              <w:top w:val="single" w:sz="4" w:space="0" w:color="auto"/>
              <w:left w:val="single" w:sz="4" w:space="0" w:color="auto"/>
              <w:bottom w:val="single" w:sz="4" w:space="0" w:color="auto"/>
              <w:right w:val="single" w:sz="4" w:space="0" w:color="auto"/>
            </w:tcBorders>
          </w:tcPr>
          <w:p w14:paraId="59F7C0E9" w14:textId="77777777" w:rsidR="006918A0" w:rsidRPr="006918A0" w:rsidRDefault="006918A0" w:rsidP="006918A0">
            <w:pPr>
              <w:spacing w:line="276" w:lineRule="auto"/>
              <w:ind w:right="-29"/>
              <w:jc w:val="center"/>
              <w:rPr>
                <w:noProof/>
                <w:sz w:val="18"/>
                <w:szCs w:val="18"/>
                <w:lang w:val="fr-FR"/>
              </w:rPr>
            </w:pPr>
          </w:p>
        </w:tc>
        <w:tc>
          <w:tcPr>
            <w:tcW w:w="318" w:type="pct"/>
            <w:gridSpan w:val="2"/>
            <w:tcBorders>
              <w:top w:val="single" w:sz="4" w:space="0" w:color="auto"/>
              <w:left w:val="single" w:sz="4" w:space="0" w:color="auto"/>
              <w:bottom w:val="single" w:sz="4" w:space="0" w:color="auto"/>
              <w:right w:val="single" w:sz="4" w:space="0" w:color="auto"/>
            </w:tcBorders>
            <w:hideMark/>
          </w:tcPr>
          <w:p w14:paraId="10B080AA" w14:textId="77777777" w:rsidR="006918A0" w:rsidRPr="006918A0" w:rsidRDefault="006918A0" w:rsidP="006918A0">
            <w:pPr>
              <w:spacing w:line="276" w:lineRule="auto"/>
              <w:ind w:right="-29"/>
              <w:jc w:val="center"/>
              <w:rPr>
                <w:noProof/>
                <w:sz w:val="18"/>
                <w:szCs w:val="18"/>
                <w:lang w:val="fr-FR"/>
              </w:rPr>
            </w:pPr>
            <w:r w:rsidRPr="006918A0">
              <w:rPr>
                <w:noProof/>
                <w:sz w:val="18"/>
                <w:szCs w:val="18"/>
              </w:rPr>
              <w:t>0.060</w:t>
            </w:r>
          </w:p>
        </w:tc>
        <w:tc>
          <w:tcPr>
            <w:tcW w:w="223" w:type="pct"/>
            <w:gridSpan w:val="3"/>
            <w:tcBorders>
              <w:top w:val="single" w:sz="4" w:space="0" w:color="auto"/>
              <w:left w:val="single" w:sz="4" w:space="0" w:color="auto"/>
              <w:bottom w:val="single" w:sz="4" w:space="0" w:color="auto"/>
              <w:right w:val="single" w:sz="4" w:space="0" w:color="auto"/>
            </w:tcBorders>
          </w:tcPr>
          <w:p w14:paraId="5E44C150" w14:textId="77777777" w:rsidR="006918A0" w:rsidRPr="006918A0" w:rsidRDefault="006918A0" w:rsidP="006918A0">
            <w:pPr>
              <w:spacing w:line="276" w:lineRule="auto"/>
              <w:ind w:right="-29"/>
              <w:jc w:val="center"/>
              <w:rPr>
                <w:noProof/>
                <w:sz w:val="18"/>
                <w:szCs w:val="18"/>
                <w:lang w:val="fr-FR"/>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0EB905D0" w14:textId="77777777" w:rsidR="006918A0" w:rsidRPr="006918A0" w:rsidRDefault="006918A0" w:rsidP="006918A0">
            <w:pPr>
              <w:spacing w:line="276" w:lineRule="auto"/>
              <w:ind w:right="-29"/>
              <w:jc w:val="right"/>
              <w:rPr>
                <w:noProof/>
                <w:sz w:val="18"/>
                <w:szCs w:val="18"/>
                <w:lang w:val="fr-FR"/>
              </w:rPr>
            </w:pPr>
            <w:r w:rsidRPr="006918A0">
              <w:rPr>
                <w:b/>
                <w:noProof/>
                <w:sz w:val="18"/>
                <w:szCs w:val="18"/>
                <w:lang w:val="fr-FR"/>
              </w:rPr>
              <w:t>0.260</w:t>
            </w:r>
          </w:p>
        </w:tc>
      </w:tr>
      <w:tr w:rsidR="006918A0" w:rsidRPr="006918A0" w14:paraId="7A0845E2" w14:textId="77777777" w:rsidTr="000430BD">
        <w:trPr>
          <w:trHeight w:val="77"/>
          <w:jc w:val="center"/>
        </w:trPr>
        <w:tc>
          <w:tcPr>
            <w:tcW w:w="1083" w:type="pct"/>
            <w:gridSpan w:val="3"/>
            <w:tcBorders>
              <w:top w:val="single" w:sz="4" w:space="0" w:color="auto"/>
              <w:left w:val="single" w:sz="4" w:space="0" w:color="auto"/>
              <w:bottom w:val="single" w:sz="12" w:space="0" w:color="auto"/>
              <w:right w:val="single" w:sz="4" w:space="0" w:color="auto"/>
            </w:tcBorders>
            <w:vAlign w:val="center"/>
            <w:hideMark/>
          </w:tcPr>
          <w:p w14:paraId="6133741D" w14:textId="77777777" w:rsidR="006918A0" w:rsidRPr="006918A0" w:rsidRDefault="006918A0" w:rsidP="006918A0">
            <w:pPr>
              <w:spacing w:line="276" w:lineRule="auto"/>
              <w:ind w:right="-29"/>
              <w:jc w:val="center"/>
              <w:rPr>
                <w:noProof/>
                <w:sz w:val="18"/>
                <w:szCs w:val="18"/>
              </w:rPr>
            </w:pPr>
            <w:r w:rsidRPr="006918A0">
              <w:rPr>
                <w:noProof/>
                <w:sz w:val="18"/>
              </w:rPr>
              <w:t>Subtotal for specific objective No 1</w:t>
            </w:r>
          </w:p>
        </w:tc>
        <w:tc>
          <w:tcPr>
            <w:tcW w:w="285" w:type="pct"/>
            <w:tcBorders>
              <w:top w:val="single" w:sz="4" w:space="0" w:color="auto"/>
              <w:left w:val="single" w:sz="4" w:space="0" w:color="auto"/>
              <w:bottom w:val="single" w:sz="12" w:space="0" w:color="auto"/>
              <w:right w:val="single" w:sz="4" w:space="0" w:color="auto"/>
            </w:tcBorders>
          </w:tcPr>
          <w:p w14:paraId="0DFA5794" w14:textId="77777777" w:rsidR="006918A0" w:rsidRPr="006918A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12" w:space="0" w:color="auto"/>
              <w:right w:val="single" w:sz="4" w:space="0" w:color="auto"/>
            </w:tcBorders>
            <w:hideMark/>
          </w:tcPr>
          <w:p w14:paraId="57FE707A" w14:textId="77777777" w:rsidR="006918A0" w:rsidRPr="006918A0" w:rsidRDefault="006918A0" w:rsidP="006918A0">
            <w:pPr>
              <w:spacing w:line="276" w:lineRule="auto"/>
              <w:ind w:right="-29"/>
              <w:jc w:val="center"/>
              <w:rPr>
                <w:noProof/>
                <w:sz w:val="18"/>
                <w:szCs w:val="18"/>
              </w:rPr>
            </w:pPr>
            <w:r w:rsidRPr="006918A0">
              <w:rPr>
                <w:b/>
                <w:noProof/>
                <w:sz w:val="18"/>
                <w:szCs w:val="18"/>
              </w:rPr>
              <w:t>0.150</w:t>
            </w:r>
          </w:p>
        </w:tc>
        <w:tc>
          <w:tcPr>
            <w:tcW w:w="281" w:type="pct"/>
            <w:tcBorders>
              <w:top w:val="single" w:sz="4" w:space="0" w:color="auto"/>
              <w:left w:val="single" w:sz="4" w:space="0" w:color="auto"/>
              <w:bottom w:val="single" w:sz="12" w:space="0" w:color="auto"/>
              <w:right w:val="single" w:sz="4" w:space="0" w:color="auto"/>
            </w:tcBorders>
          </w:tcPr>
          <w:p w14:paraId="572DDC80" w14:textId="77777777" w:rsidR="006918A0" w:rsidRPr="006918A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12" w:space="0" w:color="auto"/>
              <w:right w:val="single" w:sz="4" w:space="0" w:color="auto"/>
            </w:tcBorders>
            <w:hideMark/>
          </w:tcPr>
          <w:p w14:paraId="1570EEB9" w14:textId="77777777" w:rsidR="006918A0" w:rsidRPr="006918A0" w:rsidRDefault="006918A0" w:rsidP="006918A0">
            <w:pPr>
              <w:spacing w:line="276" w:lineRule="auto"/>
              <w:ind w:right="-29"/>
              <w:jc w:val="center"/>
              <w:rPr>
                <w:noProof/>
                <w:sz w:val="18"/>
                <w:szCs w:val="18"/>
              </w:rPr>
            </w:pPr>
            <w:r w:rsidRPr="006918A0">
              <w:rPr>
                <w:b/>
                <w:noProof/>
                <w:sz w:val="18"/>
                <w:szCs w:val="18"/>
              </w:rPr>
              <w:t>0.420</w:t>
            </w:r>
          </w:p>
        </w:tc>
        <w:tc>
          <w:tcPr>
            <w:tcW w:w="298" w:type="pct"/>
            <w:tcBorders>
              <w:top w:val="single" w:sz="4" w:space="0" w:color="auto"/>
              <w:left w:val="single" w:sz="4" w:space="0" w:color="auto"/>
              <w:bottom w:val="single" w:sz="12" w:space="0" w:color="auto"/>
              <w:right w:val="single" w:sz="4" w:space="0" w:color="auto"/>
            </w:tcBorders>
          </w:tcPr>
          <w:p w14:paraId="2882E8FA" w14:textId="77777777" w:rsidR="006918A0" w:rsidRPr="006918A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12" w:space="0" w:color="auto"/>
              <w:right w:val="single" w:sz="4" w:space="0" w:color="auto"/>
            </w:tcBorders>
            <w:hideMark/>
          </w:tcPr>
          <w:p w14:paraId="41309A62" w14:textId="77777777" w:rsidR="006918A0" w:rsidRPr="006918A0" w:rsidRDefault="006918A0" w:rsidP="006918A0">
            <w:pPr>
              <w:spacing w:line="276" w:lineRule="auto"/>
              <w:ind w:right="-29"/>
              <w:jc w:val="center"/>
              <w:rPr>
                <w:noProof/>
                <w:sz w:val="18"/>
                <w:szCs w:val="18"/>
              </w:rPr>
            </w:pPr>
            <w:r w:rsidRPr="006918A0">
              <w:rPr>
                <w:b/>
                <w:noProof/>
                <w:sz w:val="18"/>
                <w:szCs w:val="18"/>
              </w:rPr>
              <w:t>0.300</w:t>
            </w:r>
          </w:p>
        </w:tc>
        <w:tc>
          <w:tcPr>
            <w:tcW w:w="367" w:type="pct"/>
            <w:tcBorders>
              <w:top w:val="single" w:sz="4" w:space="0" w:color="auto"/>
              <w:left w:val="single" w:sz="4" w:space="0" w:color="auto"/>
              <w:bottom w:val="single" w:sz="12" w:space="0" w:color="auto"/>
              <w:right w:val="single" w:sz="4" w:space="0" w:color="auto"/>
            </w:tcBorders>
          </w:tcPr>
          <w:p w14:paraId="009F7A19" w14:textId="77777777" w:rsidR="006918A0" w:rsidRPr="006918A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12" w:space="0" w:color="auto"/>
              <w:right w:val="single" w:sz="4" w:space="0" w:color="auto"/>
            </w:tcBorders>
            <w:hideMark/>
          </w:tcPr>
          <w:p w14:paraId="011BB20E" w14:textId="77777777" w:rsidR="006918A0" w:rsidRPr="006918A0" w:rsidRDefault="006918A0" w:rsidP="006918A0">
            <w:pPr>
              <w:spacing w:line="276" w:lineRule="auto"/>
              <w:ind w:right="-29"/>
              <w:jc w:val="center"/>
              <w:rPr>
                <w:noProof/>
                <w:sz w:val="18"/>
                <w:szCs w:val="18"/>
              </w:rPr>
            </w:pPr>
            <w:r w:rsidRPr="006918A0">
              <w:rPr>
                <w:b/>
                <w:noProof/>
                <w:sz w:val="18"/>
                <w:szCs w:val="18"/>
              </w:rPr>
              <w:t>0.330</w:t>
            </w:r>
          </w:p>
        </w:tc>
        <w:tc>
          <w:tcPr>
            <w:tcW w:w="258" w:type="pct"/>
            <w:tcBorders>
              <w:top w:val="single" w:sz="4" w:space="0" w:color="auto"/>
              <w:left w:val="single" w:sz="4" w:space="0" w:color="auto"/>
              <w:bottom w:val="single" w:sz="12" w:space="0" w:color="auto"/>
              <w:right w:val="single" w:sz="4" w:space="0" w:color="auto"/>
            </w:tcBorders>
          </w:tcPr>
          <w:p w14:paraId="1E8A7391" w14:textId="77777777" w:rsidR="006918A0" w:rsidRPr="006918A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12" w:space="0" w:color="auto"/>
              <w:right w:val="single" w:sz="4" w:space="0" w:color="auto"/>
            </w:tcBorders>
            <w:hideMark/>
          </w:tcPr>
          <w:p w14:paraId="408054A8" w14:textId="77777777" w:rsidR="006918A0" w:rsidRPr="006918A0" w:rsidRDefault="006918A0" w:rsidP="006918A0">
            <w:pPr>
              <w:spacing w:line="276" w:lineRule="auto"/>
              <w:ind w:right="-29"/>
              <w:jc w:val="center"/>
              <w:rPr>
                <w:noProof/>
                <w:sz w:val="18"/>
                <w:szCs w:val="18"/>
              </w:rPr>
            </w:pPr>
            <w:r w:rsidRPr="006918A0">
              <w:rPr>
                <w:b/>
                <w:noProof/>
                <w:sz w:val="18"/>
                <w:szCs w:val="18"/>
              </w:rPr>
              <w:t>0.180</w:t>
            </w:r>
          </w:p>
        </w:tc>
        <w:tc>
          <w:tcPr>
            <w:tcW w:w="249" w:type="pct"/>
            <w:gridSpan w:val="2"/>
            <w:tcBorders>
              <w:top w:val="single" w:sz="4" w:space="0" w:color="auto"/>
              <w:left w:val="single" w:sz="4" w:space="0" w:color="auto"/>
              <w:bottom w:val="single" w:sz="12" w:space="0" w:color="auto"/>
              <w:right w:val="single" w:sz="4" w:space="0" w:color="auto"/>
            </w:tcBorders>
          </w:tcPr>
          <w:p w14:paraId="163C8D75" w14:textId="77777777" w:rsidR="006918A0" w:rsidRPr="006918A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12" w:space="0" w:color="auto"/>
              <w:right w:val="single" w:sz="4" w:space="0" w:color="auto"/>
            </w:tcBorders>
            <w:hideMark/>
          </w:tcPr>
          <w:p w14:paraId="2C0B8A30" w14:textId="77777777" w:rsidR="006918A0" w:rsidRPr="006918A0" w:rsidRDefault="006918A0" w:rsidP="006918A0">
            <w:pPr>
              <w:spacing w:line="276" w:lineRule="auto"/>
              <w:ind w:right="-29"/>
              <w:jc w:val="center"/>
              <w:rPr>
                <w:noProof/>
                <w:sz w:val="18"/>
                <w:szCs w:val="18"/>
              </w:rPr>
            </w:pPr>
            <w:r w:rsidRPr="006918A0">
              <w:rPr>
                <w:b/>
                <w:noProof/>
                <w:sz w:val="18"/>
                <w:szCs w:val="18"/>
              </w:rPr>
              <w:t>0.180</w:t>
            </w:r>
          </w:p>
        </w:tc>
        <w:tc>
          <w:tcPr>
            <w:tcW w:w="223" w:type="pct"/>
            <w:gridSpan w:val="3"/>
            <w:tcBorders>
              <w:top w:val="single" w:sz="4" w:space="0" w:color="auto"/>
              <w:left w:val="single" w:sz="4" w:space="0" w:color="auto"/>
              <w:bottom w:val="single" w:sz="12" w:space="0" w:color="auto"/>
              <w:right w:val="single" w:sz="4" w:space="0" w:color="auto"/>
            </w:tcBorders>
          </w:tcPr>
          <w:p w14:paraId="51C10E41" w14:textId="77777777" w:rsidR="006918A0" w:rsidRPr="006918A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12" w:space="0" w:color="auto"/>
              <w:right w:val="single" w:sz="4" w:space="0" w:color="auto"/>
            </w:tcBorders>
            <w:vAlign w:val="center"/>
            <w:hideMark/>
          </w:tcPr>
          <w:p w14:paraId="764CC401" w14:textId="77777777" w:rsidR="006918A0" w:rsidRPr="006918A0" w:rsidRDefault="006918A0" w:rsidP="006918A0">
            <w:pPr>
              <w:spacing w:line="276" w:lineRule="auto"/>
              <w:ind w:right="-29"/>
              <w:jc w:val="right"/>
              <w:rPr>
                <w:noProof/>
                <w:sz w:val="18"/>
                <w:szCs w:val="18"/>
              </w:rPr>
            </w:pPr>
            <w:r w:rsidRPr="006918A0">
              <w:rPr>
                <w:b/>
                <w:noProof/>
                <w:sz w:val="18"/>
                <w:szCs w:val="18"/>
              </w:rPr>
              <w:t>1.560</w:t>
            </w:r>
          </w:p>
        </w:tc>
      </w:tr>
      <w:tr w:rsidR="006918A0" w:rsidRPr="006918A0" w14:paraId="1BDF07BB" w14:textId="77777777" w:rsidTr="000430BD">
        <w:trPr>
          <w:jc w:val="center"/>
        </w:trPr>
        <w:tc>
          <w:tcPr>
            <w:tcW w:w="1083" w:type="pct"/>
            <w:gridSpan w:val="3"/>
            <w:tcBorders>
              <w:top w:val="single" w:sz="4" w:space="0" w:color="auto"/>
              <w:left w:val="single" w:sz="4" w:space="0" w:color="auto"/>
              <w:bottom w:val="single" w:sz="4" w:space="0" w:color="auto"/>
              <w:right w:val="single" w:sz="4" w:space="0" w:color="auto"/>
            </w:tcBorders>
            <w:vAlign w:val="center"/>
            <w:hideMark/>
          </w:tcPr>
          <w:p w14:paraId="2A6DE21E" w14:textId="77777777" w:rsidR="006918A0" w:rsidRPr="006918A0" w:rsidRDefault="006918A0" w:rsidP="006918A0">
            <w:pPr>
              <w:spacing w:before="60" w:after="60" w:line="276" w:lineRule="auto"/>
              <w:ind w:right="-29"/>
              <w:jc w:val="center"/>
              <w:rPr>
                <w:noProof/>
                <w:sz w:val="18"/>
                <w:szCs w:val="18"/>
              </w:rPr>
            </w:pPr>
            <w:r w:rsidRPr="006918A0">
              <w:rPr>
                <w:noProof/>
                <w:sz w:val="18"/>
              </w:rPr>
              <w:t>SPECIFIC OBJECTIVE No 2 ...</w:t>
            </w:r>
          </w:p>
        </w:tc>
        <w:tc>
          <w:tcPr>
            <w:tcW w:w="285" w:type="pct"/>
            <w:tcBorders>
              <w:top w:val="nil"/>
              <w:left w:val="nil"/>
              <w:bottom w:val="nil"/>
              <w:right w:val="nil"/>
            </w:tcBorders>
          </w:tcPr>
          <w:p w14:paraId="54886BD8" w14:textId="77777777" w:rsidR="006918A0" w:rsidRPr="006918A0" w:rsidRDefault="006918A0" w:rsidP="006918A0">
            <w:pPr>
              <w:spacing w:before="60" w:after="60" w:line="276" w:lineRule="auto"/>
              <w:ind w:right="-29"/>
              <w:jc w:val="center"/>
              <w:rPr>
                <w:noProof/>
                <w:sz w:val="18"/>
                <w:szCs w:val="18"/>
              </w:rPr>
            </w:pPr>
          </w:p>
        </w:tc>
        <w:tc>
          <w:tcPr>
            <w:tcW w:w="266" w:type="pct"/>
            <w:tcBorders>
              <w:top w:val="nil"/>
              <w:left w:val="nil"/>
              <w:bottom w:val="nil"/>
              <w:right w:val="nil"/>
            </w:tcBorders>
          </w:tcPr>
          <w:p w14:paraId="109E1A3C" w14:textId="77777777" w:rsidR="006918A0" w:rsidRPr="006918A0" w:rsidRDefault="006918A0" w:rsidP="006918A0">
            <w:pPr>
              <w:spacing w:before="60" w:after="60" w:line="276" w:lineRule="auto"/>
              <w:ind w:right="-29"/>
              <w:jc w:val="center"/>
              <w:rPr>
                <w:noProof/>
                <w:sz w:val="18"/>
                <w:szCs w:val="18"/>
              </w:rPr>
            </w:pPr>
          </w:p>
        </w:tc>
        <w:tc>
          <w:tcPr>
            <w:tcW w:w="281" w:type="pct"/>
            <w:tcBorders>
              <w:top w:val="nil"/>
              <w:left w:val="nil"/>
              <w:bottom w:val="nil"/>
              <w:right w:val="nil"/>
            </w:tcBorders>
          </w:tcPr>
          <w:p w14:paraId="1C611E54" w14:textId="77777777" w:rsidR="006918A0" w:rsidRPr="006918A0" w:rsidRDefault="006918A0" w:rsidP="006918A0">
            <w:pPr>
              <w:spacing w:before="60" w:after="60" w:line="276" w:lineRule="auto"/>
              <w:ind w:right="-29"/>
              <w:jc w:val="center"/>
              <w:rPr>
                <w:noProof/>
                <w:sz w:val="18"/>
                <w:szCs w:val="18"/>
              </w:rPr>
            </w:pPr>
          </w:p>
        </w:tc>
        <w:tc>
          <w:tcPr>
            <w:tcW w:w="256" w:type="pct"/>
            <w:tcBorders>
              <w:top w:val="nil"/>
              <w:left w:val="nil"/>
              <w:bottom w:val="nil"/>
              <w:right w:val="nil"/>
            </w:tcBorders>
          </w:tcPr>
          <w:p w14:paraId="54D54EA3" w14:textId="77777777" w:rsidR="006918A0" w:rsidRPr="006918A0" w:rsidRDefault="006918A0" w:rsidP="006918A0">
            <w:pPr>
              <w:spacing w:before="60" w:after="60" w:line="276" w:lineRule="auto"/>
              <w:ind w:right="-29"/>
              <w:jc w:val="center"/>
              <w:rPr>
                <w:noProof/>
                <w:sz w:val="18"/>
                <w:szCs w:val="18"/>
              </w:rPr>
            </w:pPr>
          </w:p>
        </w:tc>
        <w:tc>
          <w:tcPr>
            <w:tcW w:w="298" w:type="pct"/>
            <w:tcBorders>
              <w:top w:val="nil"/>
              <w:left w:val="nil"/>
              <w:bottom w:val="nil"/>
              <w:right w:val="nil"/>
            </w:tcBorders>
          </w:tcPr>
          <w:p w14:paraId="1636A00E" w14:textId="77777777" w:rsidR="006918A0" w:rsidRPr="006918A0" w:rsidRDefault="006918A0" w:rsidP="006918A0">
            <w:pPr>
              <w:spacing w:before="60" w:after="60" w:line="276" w:lineRule="auto"/>
              <w:ind w:right="-29"/>
              <w:jc w:val="center"/>
              <w:rPr>
                <w:noProof/>
                <w:sz w:val="18"/>
                <w:szCs w:val="18"/>
              </w:rPr>
            </w:pPr>
          </w:p>
        </w:tc>
        <w:tc>
          <w:tcPr>
            <w:tcW w:w="246" w:type="pct"/>
            <w:tcBorders>
              <w:top w:val="nil"/>
              <w:left w:val="nil"/>
              <w:bottom w:val="nil"/>
              <w:right w:val="nil"/>
            </w:tcBorders>
          </w:tcPr>
          <w:p w14:paraId="48A6EE96" w14:textId="77777777" w:rsidR="006918A0" w:rsidRPr="006918A0" w:rsidRDefault="006918A0" w:rsidP="006918A0">
            <w:pPr>
              <w:spacing w:before="60" w:after="60" w:line="276" w:lineRule="auto"/>
              <w:ind w:right="-29"/>
              <w:jc w:val="center"/>
              <w:rPr>
                <w:noProof/>
                <w:sz w:val="18"/>
                <w:szCs w:val="18"/>
              </w:rPr>
            </w:pPr>
          </w:p>
        </w:tc>
        <w:tc>
          <w:tcPr>
            <w:tcW w:w="367" w:type="pct"/>
            <w:tcBorders>
              <w:top w:val="nil"/>
              <w:left w:val="nil"/>
              <w:bottom w:val="nil"/>
              <w:right w:val="nil"/>
            </w:tcBorders>
          </w:tcPr>
          <w:p w14:paraId="471BBE7E" w14:textId="77777777" w:rsidR="006918A0" w:rsidRPr="006918A0" w:rsidRDefault="006918A0" w:rsidP="006918A0">
            <w:pPr>
              <w:spacing w:before="60" w:after="60" w:line="276" w:lineRule="auto"/>
              <w:ind w:right="-29"/>
              <w:jc w:val="center"/>
              <w:rPr>
                <w:noProof/>
                <w:sz w:val="18"/>
                <w:szCs w:val="18"/>
              </w:rPr>
            </w:pPr>
          </w:p>
        </w:tc>
        <w:tc>
          <w:tcPr>
            <w:tcW w:w="225" w:type="pct"/>
            <w:tcBorders>
              <w:top w:val="nil"/>
              <w:left w:val="nil"/>
              <w:bottom w:val="nil"/>
              <w:right w:val="nil"/>
            </w:tcBorders>
          </w:tcPr>
          <w:p w14:paraId="0E67C4FD" w14:textId="77777777" w:rsidR="006918A0" w:rsidRPr="006918A0" w:rsidRDefault="006918A0" w:rsidP="006918A0">
            <w:pPr>
              <w:spacing w:before="60" w:after="60" w:line="276" w:lineRule="auto"/>
              <w:ind w:right="-29"/>
              <w:jc w:val="center"/>
              <w:rPr>
                <w:noProof/>
                <w:sz w:val="18"/>
                <w:szCs w:val="18"/>
              </w:rPr>
            </w:pPr>
          </w:p>
        </w:tc>
        <w:tc>
          <w:tcPr>
            <w:tcW w:w="258" w:type="pct"/>
            <w:tcBorders>
              <w:top w:val="nil"/>
              <w:left w:val="nil"/>
              <w:bottom w:val="nil"/>
              <w:right w:val="nil"/>
            </w:tcBorders>
          </w:tcPr>
          <w:p w14:paraId="3DFCCFE3" w14:textId="77777777" w:rsidR="006918A0" w:rsidRPr="006918A0" w:rsidRDefault="006918A0" w:rsidP="006918A0">
            <w:pPr>
              <w:spacing w:before="60" w:after="60" w:line="276" w:lineRule="auto"/>
              <w:ind w:right="-29"/>
              <w:jc w:val="center"/>
              <w:rPr>
                <w:noProof/>
                <w:sz w:val="18"/>
                <w:szCs w:val="18"/>
              </w:rPr>
            </w:pPr>
          </w:p>
        </w:tc>
        <w:tc>
          <w:tcPr>
            <w:tcW w:w="241" w:type="pct"/>
            <w:tcBorders>
              <w:top w:val="nil"/>
              <w:left w:val="nil"/>
              <w:bottom w:val="nil"/>
              <w:right w:val="nil"/>
            </w:tcBorders>
          </w:tcPr>
          <w:p w14:paraId="26C0173A" w14:textId="77777777" w:rsidR="006918A0" w:rsidRPr="006918A0" w:rsidRDefault="006918A0" w:rsidP="006918A0">
            <w:pPr>
              <w:spacing w:before="60" w:after="60" w:line="276" w:lineRule="auto"/>
              <w:ind w:right="-29"/>
              <w:jc w:val="center"/>
              <w:rPr>
                <w:noProof/>
                <w:sz w:val="18"/>
                <w:szCs w:val="18"/>
              </w:rPr>
            </w:pPr>
          </w:p>
        </w:tc>
        <w:tc>
          <w:tcPr>
            <w:tcW w:w="249" w:type="pct"/>
            <w:gridSpan w:val="2"/>
            <w:tcBorders>
              <w:top w:val="nil"/>
              <w:left w:val="nil"/>
              <w:bottom w:val="nil"/>
              <w:right w:val="nil"/>
            </w:tcBorders>
          </w:tcPr>
          <w:p w14:paraId="3247C4CB" w14:textId="77777777" w:rsidR="006918A0" w:rsidRPr="006918A0" w:rsidRDefault="006918A0" w:rsidP="006918A0">
            <w:pPr>
              <w:spacing w:before="60" w:after="60" w:line="276" w:lineRule="auto"/>
              <w:ind w:right="-29"/>
              <w:jc w:val="center"/>
              <w:rPr>
                <w:noProof/>
                <w:sz w:val="18"/>
                <w:szCs w:val="18"/>
              </w:rPr>
            </w:pPr>
          </w:p>
        </w:tc>
        <w:tc>
          <w:tcPr>
            <w:tcW w:w="264" w:type="pct"/>
            <w:tcBorders>
              <w:top w:val="nil"/>
              <w:left w:val="nil"/>
              <w:bottom w:val="nil"/>
              <w:right w:val="nil"/>
            </w:tcBorders>
          </w:tcPr>
          <w:p w14:paraId="0655667B" w14:textId="77777777" w:rsidR="006918A0" w:rsidRPr="006918A0" w:rsidRDefault="006918A0" w:rsidP="006918A0">
            <w:pPr>
              <w:spacing w:before="60" w:after="60" w:line="276" w:lineRule="auto"/>
              <w:ind w:right="-29"/>
              <w:jc w:val="center"/>
              <w:rPr>
                <w:noProof/>
                <w:sz w:val="18"/>
                <w:szCs w:val="18"/>
              </w:rPr>
            </w:pPr>
          </w:p>
        </w:tc>
        <w:tc>
          <w:tcPr>
            <w:tcW w:w="129" w:type="pct"/>
            <w:gridSpan w:val="2"/>
            <w:tcBorders>
              <w:top w:val="nil"/>
              <w:left w:val="nil"/>
              <w:bottom w:val="nil"/>
              <w:right w:val="nil"/>
            </w:tcBorders>
          </w:tcPr>
          <w:p w14:paraId="15494225" w14:textId="77777777" w:rsidR="006918A0" w:rsidRPr="006918A0" w:rsidRDefault="006918A0" w:rsidP="006918A0">
            <w:pPr>
              <w:spacing w:before="60" w:after="60" w:line="276" w:lineRule="auto"/>
              <w:ind w:right="-29"/>
              <w:jc w:val="center"/>
              <w:rPr>
                <w:noProof/>
                <w:sz w:val="18"/>
                <w:szCs w:val="18"/>
              </w:rPr>
            </w:pPr>
          </w:p>
        </w:tc>
        <w:tc>
          <w:tcPr>
            <w:tcW w:w="79" w:type="pct"/>
            <w:tcBorders>
              <w:top w:val="nil"/>
              <w:left w:val="nil"/>
              <w:bottom w:val="nil"/>
              <w:right w:val="nil"/>
            </w:tcBorders>
          </w:tcPr>
          <w:p w14:paraId="367B4787" w14:textId="77777777" w:rsidR="006918A0" w:rsidRPr="006918A0" w:rsidRDefault="006918A0" w:rsidP="006918A0">
            <w:pPr>
              <w:spacing w:before="60" w:after="60" w:line="276" w:lineRule="auto"/>
              <w:ind w:right="-29"/>
              <w:jc w:val="center"/>
              <w:rPr>
                <w:noProof/>
                <w:sz w:val="18"/>
                <w:szCs w:val="18"/>
              </w:rPr>
            </w:pPr>
          </w:p>
        </w:tc>
        <w:tc>
          <w:tcPr>
            <w:tcW w:w="78" w:type="pct"/>
            <w:gridSpan w:val="2"/>
            <w:tcBorders>
              <w:top w:val="nil"/>
              <w:left w:val="nil"/>
              <w:bottom w:val="nil"/>
              <w:right w:val="nil"/>
            </w:tcBorders>
            <w:vAlign w:val="center"/>
          </w:tcPr>
          <w:p w14:paraId="3273E7D3" w14:textId="77777777" w:rsidR="006918A0" w:rsidRPr="006918A0" w:rsidRDefault="006918A0" w:rsidP="006918A0">
            <w:pPr>
              <w:spacing w:before="60" w:after="60" w:line="276" w:lineRule="auto"/>
              <w:ind w:right="-29"/>
              <w:jc w:val="right"/>
              <w:rPr>
                <w:noProof/>
                <w:sz w:val="18"/>
                <w:szCs w:val="18"/>
              </w:rPr>
            </w:pPr>
          </w:p>
        </w:tc>
        <w:tc>
          <w:tcPr>
            <w:tcW w:w="394" w:type="pct"/>
            <w:tcBorders>
              <w:top w:val="nil"/>
              <w:left w:val="nil"/>
              <w:bottom w:val="nil"/>
              <w:right w:val="nil"/>
            </w:tcBorders>
            <w:vAlign w:val="center"/>
          </w:tcPr>
          <w:p w14:paraId="23916511" w14:textId="77777777" w:rsidR="006918A0" w:rsidRPr="006918A0" w:rsidRDefault="006918A0" w:rsidP="006918A0">
            <w:pPr>
              <w:spacing w:before="60" w:after="60" w:line="276" w:lineRule="auto"/>
              <w:ind w:right="-29"/>
              <w:jc w:val="right"/>
              <w:rPr>
                <w:noProof/>
                <w:sz w:val="18"/>
                <w:szCs w:val="18"/>
              </w:rPr>
            </w:pPr>
          </w:p>
        </w:tc>
      </w:tr>
      <w:tr w:rsidR="006918A0" w:rsidRPr="006918A0" w14:paraId="65C43922" w14:textId="77777777" w:rsidTr="000430BD">
        <w:trPr>
          <w:trHeight w:hRule="exact" w:val="369"/>
          <w:jc w:val="center"/>
        </w:trPr>
        <w:tc>
          <w:tcPr>
            <w:tcW w:w="483" w:type="pct"/>
            <w:tcBorders>
              <w:top w:val="single" w:sz="4" w:space="0" w:color="auto"/>
              <w:left w:val="single" w:sz="4" w:space="0" w:color="auto"/>
              <w:bottom w:val="single" w:sz="4" w:space="0" w:color="auto"/>
              <w:right w:val="single" w:sz="4" w:space="0" w:color="auto"/>
            </w:tcBorders>
            <w:hideMark/>
          </w:tcPr>
          <w:p w14:paraId="56386082" w14:textId="77777777" w:rsidR="006918A0" w:rsidRPr="006918A0" w:rsidRDefault="006918A0" w:rsidP="006918A0">
            <w:pPr>
              <w:spacing w:line="276" w:lineRule="auto"/>
              <w:ind w:right="-29"/>
              <w:jc w:val="center"/>
              <w:rPr>
                <w:noProof/>
                <w:sz w:val="18"/>
                <w:szCs w:val="18"/>
              </w:rPr>
            </w:pPr>
            <w:r w:rsidRPr="006918A0">
              <w:rPr>
                <w:noProof/>
                <w:sz w:val="18"/>
              </w:rPr>
              <w:t>- Output</w:t>
            </w:r>
          </w:p>
        </w:tc>
        <w:tc>
          <w:tcPr>
            <w:tcW w:w="249" w:type="pct"/>
            <w:tcBorders>
              <w:top w:val="single" w:sz="4" w:space="0" w:color="auto"/>
              <w:left w:val="single" w:sz="4" w:space="0" w:color="auto"/>
              <w:bottom w:val="single" w:sz="4" w:space="0" w:color="auto"/>
              <w:right w:val="single" w:sz="4" w:space="0" w:color="auto"/>
            </w:tcBorders>
          </w:tcPr>
          <w:p w14:paraId="4BDB3152" w14:textId="77777777" w:rsidR="006918A0" w:rsidRPr="006918A0" w:rsidRDefault="006918A0" w:rsidP="006918A0">
            <w:pPr>
              <w:spacing w:line="276" w:lineRule="auto"/>
              <w:ind w:right="-29"/>
              <w:jc w:val="center"/>
              <w:rPr>
                <w:noProof/>
                <w:sz w:val="18"/>
                <w:szCs w:val="18"/>
              </w:rPr>
            </w:pPr>
          </w:p>
        </w:tc>
        <w:tc>
          <w:tcPr>
            <w:tcW w:w="351" w:type="pct"/>
            <w:tcBorders>
              <w:top w:val="single" w:sz="4" w:space="0" w:color="auto"/>
              <w:left w:val="single" w:sz="4" w:space="0" w:color="auto"/>
              <w:bottom w:val="single" w:sz="4" w:space="0" w:color="auto"/>
              <w:right w:val="single" w:sz="4" w:space="0" w:color="auto"/>
            </w:tcBorders>
          </w:tcPr>
          <w:p w14:paraId="32FFE551" w14:textId="77777777" w:rsidR="006918A0" w:rsidRPr="006918A0" w:rsidRDefault="006918A0" w:rsidP="006918A0">
            <w:pPr>
              <w:spacing w:line="276" w:lineRule="auto"/>
              <w:ind w:right="-29"/>
              <w:jc w:val="center"/>
              <w:rPr>
                <w:noProof/>
                <w:sz w:val="18"/>
                <w:szCs w:val="18"/>
              </w:rPr>
            </w:pPr>
          </w:p>
        </w:tc>
        <w:tc>
          <w:tcPr>
            <w:tcW w:w="285" w:type="pct"/>
            <w:tcBorders>
              <w:top w:val="single" w:sz="4" w:space="0" w:color="auto"/>
              <w:left w:val="single" w:sz="4" w:space="0" w:color="auto"/>
              <w:bottom w:val="single" w:sz="4" w:space="0" w:color="auto"/>
              <w:right w:val="single" w:sz="4" w:space="0" w:color="auto"/>
            </w:tcBorders>
          </w:tcPr>
          <w:p w14:paraId="1E0D15B1" w14:textId="77777777" w:rsidR="006918A0" w:rsidRPr="006918A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4" w:space="0" w:color="auto"/>
              <w:right w:val="single" w:sz="4" w:space="0" w:color="auto"/>
            </w:tcBorders>
          </w:tcPr>
          <w:p w14:paraId="7705E2CA" w14:textId="77777777" w:rsidR="006918A0" w:rsidRPr="006918A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4" w:space="0" w:color="auto"/>
              <w:right w:val="single" w:sz="4" w:space="0" w:color="auto"/>
            </w:tcBorders>
          </w:tcPr>
          <w:p w14:paraId="37DA6821" w14:textId="77777777" w:rsidR="006918A0" w:rsidRPr="006918A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4" w:space="0" w:color="auto"/>
              <w:right w:val="single" w:sz="4" w:space="0" w:color="auto"/>
            </w:tcBorders>
          </w:tcPr>
          <w:p w14:paraId="50D9807F" w14:textId="77777777" w:rsidR="006918A0" w:rsidRPr="006918A0"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4" w:space="0" w:color="auto"/>
              <w:right w:val="single" w:sz="4" w:space="0" w:color="auto"/>
            </w:tcBorders>
          </w:tcPr>
          <w:p w14:paraId="43235F0E" w14:textId="77777777" w:rsidR="006918A0" w:rsidRPr="006918A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4" w:space="0" w:color="auto"/>
              <w:right w:val="single" w:sz="4" w:space="0" w:color="auto"/>
            </w:tcBorders>
          </w:tcPr>
          <w:p w14:paraId="3F026A89" w14:textId="77777777" w:rsidR="006918A0" w:rsidRPr="006918A0" w:rsidRDefault="006918A0" w:rsidP="006918A0">
            <w:pPr>
              <w:spacing w:line="276" w:lineRule="auto"/>
              <w:ind w:right="-29"/>
              <w:jc w:val="center"/>
              <w:rPr>
                <w:noProof/>
                <w:sz w:val="18"/>
                <w:szCs w:val="18"/>
              </w:rPr>
            </w:pPr>
          </w:p>
        </w:tc>
        <w:tc>
          <w:tcPr>
            <w:tcW w:w="367" w:type="pct"/>
            <w:tcBorders>
              <w:top w:val="single" w:sz="4" w:space="0" w:color="auto"/>
              <w:left w:val="single" w:sz="4" w:space="0" w:color="auto"/>
              <w:bottom w:val="single" w:sz="4" w:space="0" w:color="auto"/>
              <w:right w:val="single" w:sz="4" w:space="0" w:color="auto"/>
            </w:tcBorders>
          </w:tcPr>
          <w:p w14:paraId="5ABDEA6D" w14:textId="77777777" w:rsidR="006918A0" w:rsidRPr="006918A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4" w:space="0" w:color="auto"/>
              <w:right w:val="single" w:sz="4" w:space="0" w:color="auto"/>
            </w:tcBorders>
          </w:tcPr>
          <w:p w14:paraId="42D73D93" w14:textId="77777777" w:rsidR="006918A0" w:rsidRPr="006918A0" w:rsidRDefault="006918A0" w:rsidP="006918A0">
            <w:pPr>
              <w:spacing w:line="276" w:lineRule="auto"/>
              <w:ind w:right="-29"/>
              <w:jc w:val="center"/>
              <w:rPr>
                <w:noProof/>
                <w:sz w:val="18"/>
                <w:szCs w:val="18"/>
              </w:rPr>
            </w:pPr>
          </w:p>
        </w:tc>
        <w:tc>
          <w:tcPr>
            <w:tcW w:w="258" w:type="pct"/>
            <w:tcBorders>
              <w:top w:val="single" w:sz="4" w:space="0" w:color="auto"/>
              <w:left w:val="single" w:sz="4" w:space="0" w:color="auto"/>
              <w:bottom w:val="single" w:sz="4" w:space="0" w:color="auto"/>
              <w:right w:val="single" w:sz="4" w:space="0" w:color="auto"/>
            </w:tcBorders>
          </w:tcPr>
          <w:p w14:paraId="56621268" w14:textId="77777777" w:rsidR="006918A0" w:rsidRPr="006918A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4" w:space="0" w:color="auto"/>
              <w:right w:val="single" w:sz="4" w:space="0" w:color="auto"/>
            </w:tcBorders>
          </w:tcPr>
          <w:p w14:paraId="0B69101A" w14:textId="77777777" w:rsidR="006918A0" w:rsidRPr="006918A0"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4" w:space="0" w:color="auto"/>
              <w:right w:val="single" w:sz="4" w:space="0" w:color="auto"/>
            </w:tcBorders>
          </w:tcPr>
          <w:p w14:paraId="589B73A2" w14:textId="77777777" w:rsidR="006918A0" w:rsidRPr="006918A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4" w:space="0" w:color="auto"/>
              <w:right w:val="single" w:sz="4" w:space="0" w:color="auto"/>
            </w:tcBorders>
          </w:tcPr>
          <w:p w14:paraId="5EB004E9" w14:textId="77777777" w:rsidR="006918A0" w:rsidRPr="006918A0"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4" w:space="0" w:color="auto"/>
              <w:right w:val="single" w:sz="4" w:space="0" w:color="auto"/>
            </w:tcBorders>
          </w:tcPr>
          <w:p w14:paraId="21B9508A" w14:textId="77777777" w:rsidR="006918A0" w:rsidRPr="006918A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5D537534" w14:textId="77777777" w:rsidR="006918A0" w:rsidRPr="006918A0" w:rsidRDefault="006918A0" w:rsidP="006918A0">
            <w:pPr>
              <w:spacing w:line="276" w:lineRule="auto"/>
              <w:ind w:right="-29"/>
              <w:jc w:val="right"/>
              <w:rPr>
                <w:noProof/>
                <w:sz w:val="18"/>
                <w:szCs w:val="18"/>
              </w:rPr>
            </w:pPr>
          </w:p>
        </w:tc>
      </w:tr>
      <w:tr w:rsidR="006918A0" w:rsidRPr="006918A0" w14:paraId="0C5C5DD0" w14:textId="77777777" w:rsidTr="000430BD">
        <w:trPr>
          <w:jc w:val="center"/>
        </w:trPr>
        <w:tc>
          <w:tcPr>
            <w:tcW w:w="1083" w:type="pct"/>
            <w:gridSpan w:val="3"/>
            <w:tcBorders>
              <w:top w:val="single" w:sz="4" w:space="0" w:color="auto"/>
              <w:left w:val="single" w:sz="4" w:space="0" w:color="auto"/>
              <w:bottom w:val="single" w:sz="12" w:space="0" w:color="auto"/>
              <w:right w:val="single" w:sz="4" w:space="0" w:color="auto"/>
            </w:tcBorders>
            <w:vAlign w:val="center"/>
            <w:hideMark/>
          </w:tcPr>
          <w:p w14:paraId="33D0C71C" w14:textId="77777777" w:rsidR="006918A0" w:rsidRPr="006918A0" w:rsidRDefault="006918A0" w:rsidP="006918A0">
            <w:pPr>
              <w:spacing w:line="276" w:lineRule="auto"/>
              <w:jc w:val="center"/>
              <w:rPr>
                <w:noProof/>
                <w:sz w:val="18"/>
                <w:szCs w:val="18"/>
              </w:rPr>
            </w:pPr>
            <w:r w:rsidRPr="006918A0">
              <w:rPr>
                <w:noProof/>
                <w:sz w:val="18"/>
              </w:rPr>
              <w:t>Subtotal for specific objective No 2</w:t>
            </w:r>
          </w:p>
        </w:tc>
        <w:tc>
          <w:tcPr>
            <w:tcW w:w="285" w:type="pct"/>
            <w:tcBorders>
              <w:top w:val="single" w:sz="4" w:space="0" w:color="auto"/>
              <w:left w:val="single" w:sz="4" w:space="0" w:color="auto"/>
              <w:bottom w:val="single" w:sz="12" w:space="0" w:color="auto"/>
              <w:right w:val="single" w:sz="4" w:space="0" w:color="auto"/>
            </w:tcBorders>
          </w:tcPr>
          <w:p w14:paraId="6B735D61" w14:textId="77777777" w:rsidR="006918A0" w:rsidRPr="006918A0" w:rsidRDefault="006918A0" w:rsidP="006918A0">
            <w:pPr>
              <w:spacing w:line="276" w:lineRule="auto"/>
              <w:ind w:right="-29"/>
              <w:jc w:val="center"/>
              <w:rPr>
                <w:noProof/>
                <w:sz w:val="18"/>
                <w:szCs w:val="18"/>
              </w:rPr>
            </w:pPr>
          </w:p>
        </w:tc>
        <w:tc>
          <w:tcPr>
            <w:tcW w:w="266" w:type="pct"/>
            <w:tcBorders>
              <w:top w:val="single" w:sz="4" w:space="0" w:color="auto"/>
              <w:left w:val="single" w:sz="4" w:space="0" w:color="auto"/>
              <w:bottom w:val="single" w:sz="12" w:space="0" w:color="auto"/>
              <w:right w:val="single" w:sz="4" w:space="0" w:color="auto"/>
            </w:tcBorders>
          </w:tcPr>
          <w:p w14:paraId="43D234C5" w14:textId="77777777" w:rsidR="006918A0" w:rsidRPr="006918A0" w:rsidRDefault="006918A0" w:rsidP="006918A0">
            <w:pPr>
              <w:spacing w:line="276" w:lineRule="auto"/>
              <w:ind w:right="-29"/>
              <w:jc w:val="center"/>
              <w:rPr>
                <w:noProof/>
                <w:sz w:val="18"/>
                <w:szCs w:val="18"/>
              </w:rPr>
            </w:pPr>
          </w:p>
        </w:tc>
        <w:tc>
          <w:tcPr>
            <w:tcW w:w="281" w:type="pct"/>
            <w:tcBorders>
              <w:top w:val="single" w:sz="4" w:space="0" w:color="auto"/>
              <w:left w:val="single" w:sz="4" w:space="0" w:color="auto"/>
              <w:bottom w:val="single" w:sz="12" w:space="0" w:color="auto"/>
              <w:right w:val="single" w:sz="4" w:space="0" w:color="auto"/>
            </w:tcBorders>
          </w:tcPr>
          <w:p w14:paraId="723F3E02" w14:textId="77777777" w:rsidR="006918A0" w:rsidRPr="006918A0" w:rsidRDefault="006918A0" w:rsidP="006918A0">
            <w:pPr>
              <w:spacing w:line="276" w:lineRule="auto"/>
              <w:ind w:right="-29"/>
              <w:jc w:val="center"/>
              <w:rPr>
                <w:noProof/>
                <w:sz w:val="18"/>
                <w:szCs w:val="18"/>
              </w:rPr>
            </w:pPr>
          </w:p>
        </w:tc>
        <w:tc>
          <w:tcPr>
            <w:tcW w:w="256" w:type="pct"/>
            <w:tcBorders>
              <w:top w:val="single" w:sz="4" w:space="0" w:color="auto"/>
              <w:left w:val="single" w:sz="4" w:space="0" w:color="auto"/>
              <w:bottom w:val="single" w:sz="12" w:space="0" w:color="auto"/>
              <w:right w:val="single" w:sz="4" w:space="0" w:color="auto"/>
            </w:tcBorders>
          </w:tcPr>
          <w:p w14:paraId="7F3AC7C3" w14:textId="77777777" w:rsidR="006918A0" w:rsidRPr="006918A0" w:rsidRDefault="006918A0" w:rsidP="006918A0">
            <w:pPr>
              <w:spacing w:line="276" w:lineRule="auto"/>
              <w:ind w:right="-29"/>
              <w:jc w:val="center"/>
              <w:rPr>
                <w:noProof/>
                <w:sz w:val="18"/>
                <w:szCs w:val="18"/>
              </w:rPr>
            </w:pPr>
          </w:p>
        </w:tc>
        <w:tc>
          <w:tcPr>
            <w:tcW w:w="298" w:type="pct"/>
            <w:tcBorders>
              <w:top w:val="single" w:sz="4" w:space="0" w:color="auto"/>
              <w:left w:val="single" w:sz="4" w:space="0" w:color="auto"/>
              <w:bottom w:val="single" w:sz="12" w:space="0" w:color="auto"/>
              <w:right w:val="single" w:sz="4" w:space="0" w:color="auto"/>
            </w:tcBorders>
          </w:tcPr>
          <w:p w14:paraId="0D0E798E" w14:textId="77777777" w:rsidR="006918A0" w:rsidRPr="006918A0" w:rsidRDefault="006918A0" w:rsidP="006918A0">
            <w:pPr>
              <w:spacing w:line="276" w:lineRule="auto"/>
              <w:ind w:right="-29"/>
              <w:jc w:val="center"/>
              <w:rPr>
                <w:noProof/>
                <w:sz w:val="18"/>
                <w:szCs w:val="18"/>
              </w:rPr>
            </w:pPr>
          </w:p>
        </w:tc>
        <w:tc>
          <w:tcPr>
            <w:tcW w:w="246" w:type="pct"/>
            <w:tcBorders>
              <w:top w:val="single" w:sz="4" w:space="0" w:color="auto"/>
              <w:left w:val="single" w:sz="4" w:space="0" w:color="auto"/>
              <w:bottom w:val="single" w:sz="12" w:space="0" w:color="auto"/>
              <w:right w:val="single" w:sz="4" w:space="0" w:color="auto"/>
            </w:tcBorders>
          </w:tcPr>
          <w:p w14:paraId="7F59FDD8" w14:textId="77777777" w:rsidR="006918A0" w:rsidRPr="006918A0" w:rsidRDefault="006918A0" w:rsidP="006918A0">
            <w:pPr>
              <w:spacing w:line="276" w:lineRule="auto"/>
              <w:ind w:right="-29"/>
              <w:jc w:val="center"/>
              <w:rPr>
                <w:noProof/>
                <w:sz w:val="18"/>
                <w:szCs w:val="18"/>
              </w:rPr>
            </w:pPr>
          </w:p>
        </w:tc>
        <w:tc>
          <w:tcPr>
            <w:tcW w:w="367" w:type="pct"/>
            <w:tcBorders>
              <w:top w:val="single" w:sz="4" w:space="0" w:color="auto"/>
              <w:left w:val="single" w:sz="4" w:space="0" w:color="auto"/>
              <w:bottom w:val="single" w:sz="12" w:space="0" w:color="auto"/>
              <w:right w:val="single" w:sz="4" w:space="0" w:color="auto"/>
            </w:tcBorders>
          </w:tcPr>
          <w:p w14:paraId="3A6C4FB0" w14:textId="77777777" w:rsidR="006918A0" w:rsidRPr="006918A0" w:rsidRDefault="006918A0" w:rsidP="006918A0">
            <w:pPr>
              <w:spacing w:line="276" w:lineRule="auto"/>
              <w:ind w:right="-29"/>
              <w:jc w:val="center"/>
              <w:rPr>
                <w:noProof/>
                <w:sz w:val="18"/>
                <w:szCs w:val="18"/>
              </w:rPr>
            </w:pPr>
          </w:p>
        </w:tc>
        <w:tc>
          <w:tcPr>
            <w:tcW w:w="225" w:type="pct"/>
            <w:tcBorders>
              <w:top w:val="single" w:sz="4" w:space="0" w:color="auto"/>
              <w:left w:val="single" w:sz="4" w:space="0" w:color="auto"/>
              <w:bottom w:val="single" w:sz="12" w:space="0" w:color="auto"/>
              <w:right w:val="single" w:sz="4" w:space="0" w:color="auto"/>
            </w:tcBorders>
          </w:tcPr>
          <w:p w14:paraId="6839F577" w14:textId="77777777" w:rsidR="006918A0" w:rsidRPr="006918A0" w:rsidRDefault="006918A0" w:rsidP="006918A0">
            <w:pPr>
              <w:spacing w:line="276" w:lineRule="auto"/>
              <w:ind w:right="-29"/>
              <w:jc w:val="center"/>
              <w:rPr>
                <w:noProof/>
                <w:sz w:val="18"/>
                <w:szCs w:val="18"/>
              </w:rPr>
            </w:pPr>
          </w:p>
        </w:tc>
        <w:tc>
          <w:tcPr>
            <w:tcW w:w="258" w:type="pct"/>
            <w:tcBorders>
              <w:top w:val="single" w:sz="4" w:space="0" w:color="auto"/>
              <w:left w:val="single" w:sz="4" w:space="0" w:color="auto"/>
              <w:bottom w:val="single" w:sz="12" w:space="0" w:color="auto"/>
              <w:right w:val="single" w:sz="4" w:space="0" w:color="auto"/>
            </w:tcBorders>
          </w:tcPr>
          <w:p w14:paraId="128AD0F7" w14:textId="77777777" w:rsidR="006918A0" w:rsidRPr="006918A0" w:rsidRDefault="006918A0" w:rsidP="006918A0">
            <w:pPr>
              <w:spacing w:line="276" w:lineRule="auto"/>
              <w:ind w:right="-29"/>
              <w:jc w:val="center"/>
              <w:rPr>
                <w:noProof/>
                <w:sz w:val="18"/>
                <w:szCs w:val="18"/>
              </w:rPr>
            </w:pPr>
          </w:p>
        </w:tc>
        <w:tc>
          <w:tcPr>
            <w:tcW w:w="241" w:type="pct"/>
            <w:tcBorders>
              <w:top w:val="single" w:sz="4" w:space="0" w:color="auto"/>
              <w:left w:val="single" w:sz="4" w:space="0" w:color="auto"/>
              <w:bottom w:val="single" w:sz="12" w:space="0" w:color="auto"/>
              <w:right w:val="single" w:sz="4" w:space="0" w:color="auto"/>
            </w:tcBorders>
          </w:tcPr>
          <w:p w14:paraId="727F5B6F" w14:textId="77777777" w:rsidR="006918A0" w:rsidRPr="006918A0" w:rsidRDefault="006918A0" w:rsidP="006918A0">
            <w:pPr>
              <w:spacing w:line="276" w:lineRule="auto"/>
              <w:ind w:right="-29"/>
              <w:jc w:val="center"/>
              <w:rPr>
                <w:noProof/>
                <w:sz w:val="18"/>
                <w:szCs w:val="18"/>
              </w:rPr>
            </w:pPr>
          </w:p>
        </w:tc>
        <w:tc>
          <w:tcPr>
            <w:tcW w:w="249" w:type="pct"/>
            <w:gridSpan w:val="2"/>
            <w:tcBorders>
              <w:top w:val="single" w:sz="4" w:space="0" w:color="auto"/>
              <w:left w:val="single" w:sz="4" w:space="0" w:color="auto"/>
              <w:bottom w:val="single" w:sz="12" w:space="0" w:color="auto"/>
              <w:right w:val="single" w:sz="4" w:space="0" w:color="auto"/>
            </w:tcBorders>
          </w:tcPr>
          <w:p w14:paraId="1AE3AB03" w14:textId="77777777" w:rsidR="006918A0" w:rsidRPr="006918A0" w:rsidRDefault="006918A0" w:rsidP="006918A0">
            <w:pPr>
              <w:spacing w:line="276" w:lineRule="auto"/>
              <w:ind w:right="-29"/>
              <w:jc w:val="center"/>
              <w:rPr>
                <w:noProof/>
                <w:sz w:val="18"/>
                <w:szCs w:val="18"/>
              </w:rPr>
            </w:pPr>
          </w:p>
        </w:tc>
        <w:tc>
          <w:tcPr>
            <w:tcW w:w="318" w:type="pct"/>
            <w:gridSpan w:val="2"/>
            <w:tcBorders>
              <w:top w:val="single" w:sz="4" w:space="0" w:color="auto"/>
              <w:left w:val="single" w:sz="4" w:space="0" w:color="auto"/>
              <w:bottom w:val="single" w:sz="12" w:space="0" w:color="auto"/>
              <w:right w:val="single" w:sz="4" w:space="0" w:color="auto"/>
            </w:tcBorders>
          </w:tcPr>
          <w:p w14:paraId="2B2444F8" w14:textId="77777777" w:rsidR="006918A0" w:rsidRPr="006918A0" w:rsidRDefault="006918A0" w:rsidP="006918A0">
            <w:pPr>
              <w:spacing w:line="276" w:lineRule="auto"/>
              <w:ind w:right="-29"/>
              <w:jc w:val="center"/>
              <w:rPr>
                <w:noProof/>
                <w:sz w:val="18"/>
                <w:szCs w:val="18"/>
              </w:rPr>
            </w:pPr>
          </w:p>
        </w:tc>
        <w:tc>
          <w:tcPr>
            <w:tcW w:w="223" w:type="pct"/>
            <w:gridSpan w:val="3"/>
            <w:tcBorders>
              <w:top w:val="single" w:sz="4" w:space="0" w:color="auto"/>
              <w:left w:val="single" w:sz="4" w:space="0" w:color="auto"/>
              <w:bottom w:val="single" w:sz="12" w:space="0" w:color="auto"/>
              <w:right w:val="single" w:sz="4" w:space="0" w:color="auto"/>
            </w:tcBorders>
          </w:tcPr>
          <w:p w14:paraId="29769E62" w14:textId="77777777" w:rsidR="006918A0" w:rsidRPr="006918A0" w:rsidRDefault="006918A0" w:rsidP="006918A0">
            <w:pPr>
              <w:spacing w:line="276" w:lineRule="auto"/>
              <w:ind w:right="-29"/>
              <w:jc w:val="center"/>
              <w:rPr>
                <w:noProof/>
                <w:sz w:val="18"/>
                <w:szCs w:val="18"/>
              </w:rPr>
            </w:pPr>
          </w:p>
        </w:tc>
        <w:tc>
          <w:tcPr>
            <w:tcW w:w="403" w:type="pct"/>
            <w:gridSpan w:val="2"/>
            <w:tcBorders>
              <w:top w:val="single" w:sz="4" w:space="0" w:color="auto"/>
              <w:left w:val="single" w:sz="4" w:space="0" w:color="auto"/>
              <w:bottom w:val="single" w:sz="12" w:space="0" w:color="auto"/>
              <w:right w:val="single" w:sz="4" w:space="0" w:color="auto"/>
            </w:tcBorders>
            <w:vAlign w:val="center"/>
          </w:tcPr>
          <w:p w14:paraId="46A6E999" w14:textId="77777777" w:rsidR="006918A0" w:rsidRPr="006918A0" w:rsidRDefault="006918A0" w:rsidP="006918A0">
            <w:pPr>
              <w:spacing w:line="276" w:lineRule="auto"/>
              <w:ind w:right="-29"/>
              <w:jc w:val="right"/>
              <w:rPr>
                <w:noProof/>
                <w:sz w:val="18"/>
                <w:szCs w:val="18"/>
              </w:rPr>
            </w:pPr>
          </w:p>
        </w:tc>
      </w:tr>
      <w:tr w:rsidR="006918A0" w:rsidRPr="006918A0" w14:paraId="5ACCDF85" w14:textId="77777777" w:rsidTr="000430BD">
        <w:trPr>
          <w:jc w:val="center"/>
        </w:trPr>
        <w:tc>
          <w:tcPr>
            <w:tcW w:w="1083" w:type="pct"/>
            <w:gridSpan w:val="3"/>
            <w:tcBorders>
              <w:top w:val="single" w:sz="12" w:space="0" w:color="auto"/>
              <w:left w:val="single" w:sz="12" w:space="0" w:color="auto"/>
              <w:bottom w:val="single" w:sz="12" w:space="0" w:color="auto"/>
              <w:right w:val="single" w:sz="4" w:space="0" w:color="auto"/>
            </w:tcBorders>
            <w:vAlign w:val="center"/>
            <w:hideMark/>
          </w:tcPr>
          <w:p w14:paraId="4E87B620" w14:textId="77777777" w:rsidR="006918A0" w:rsidRPr="006918A0" w:rsidRDefault="006918A0" w:rsidP="006918A0">
            <w:pPr>
              <w:spacing w:line="276" w:lineRule="auto"/>
              <w:ind w:right="-29"/>
              <w:jc w:val="center"/>
              <w:rPr>
                <w:noProof/>
                <w:sz w:val="18"/>
                <w:szCs w:val="18"/>
              </w:rPr>
            </w:pPr>
            <w:r w:rsidRPr="006918A0">
              <w:rPr>
                <w:b/>
                <w:noProof/>
                <w:sz w:val="18"/>
              </w:rPr>
              <w:t>TOTALS</w:t>
            </w:r>
          </w:p>
        </w:tc>
        <w:tc>
          <w:tcPr>
            <w:tcW w:w="285" w:type="pct"/>
            <w:tcBorders>
              <w:top w:val="single" w:sz="12" w:space="0" w:color="auto"/>
              <w:left w:val="single" w:sz="4" w:space="0" w:color="auto"/>
              <w:bottom w:val="single" w:sz="12" w:space="0" w:color="auto"/>
              <w:right w:val="single" w:sz="4" w:space="0" w:color="auto"/>
            </w:tcBorders>
          </w:tcPr>
          <w:p w14:paraId="4762C0FE" w14:textId="77777777" w:rsidR="006918A0" w:rsidRPr="006918A0" w:rsidRDefault="006918A0" w:rsidP="006918A0">
            <w:pPr>
              <w:spacing w:before="180" w:after="180" w:line="276" w:lineRule="auto"/>
              <w:ind w:right="-29"/>
              <w:jc w:val="center"/>
              <w:rPr>
                <w:noProof/>
                <w:sz w:val="18"/>
                <w:szCs w:val="18"/>
              </w:rPr>
            </w:pPr>
          </w:p>
        </w:tc>
        <w:tc>
          <w:tcPr>
            <w:tcW w:w="266" w:type="pct"/>
            <w:tcBorders>
              <w:top w:val="single" w:sz="12" w:space="0" w:color="auto"/>
              <w:left w:val="single" w:sz="4" w:space="0" w:color="auto"/>
              <w:bottom w:val="single" w:sz="12" w:space="0" w:color="auto"/>
              <w:right w:val="single" w:sz="4" w:space="0" w:color="auto"/>
            </w:tcBorders>
            <w:hideMark/>
          </w:tcPr>
          <w:p w14:paraId="3292A22C" w14:textId="77777777" w:rsidR="006918A0" w:rsidRPr="006918A0" w:rsidRDefault="006918A0" w:rsidP="006918A0">
            <w:pPr>
              <w:spacing w:before="180" w:after="180" w:line="276" w:lineRule="auto"/>
              <w:ind w:right="-29"/>
              <w:jc w:val="center"/>
              <w:rPr>
                <w:noProof/>
                <w:sz w:val="18"/>
                <w:szCs w:val="18"/>
              </w:rPr>
            </w:pPr>
            <w:r w:rsidRPr="006918A0">
              <w:rPr>
                <w:b/>
                <w:noProof/>
                <w:sz w:val="18"/>
                <w:szCs w:val="18"/>
              </w:rPr>
              <w:t>0.150</w:t>
            </w:r>
          </w:p>
        </w:tc>
        <w:tc>
          <w:tcPr>
            <w:tcW w:w="281" w:type="pct"/>
            <w:tcBorders>
              <w:top w:val="single" w:sz="12" w:space="0" w:color="auto"/>
              <w:left w:val="single" w:sz="4" w:space="0" w:color="auto"/>
              <w:bottom w:val="single" w:sz="12" w:space="0" w:color="auto"/>
              <w:right w:val="single" w:sz="4" w:space="0" w:color="auto"/>
            </w:tcBorders>
          </w:tcPr>
          <w:p w14:paraId="3E6439EA" w14:textId="77777777" w:rsidR="006918A0" w:rsidRPr="006918A0" w:rsidRDefault="006918A0" w:rsidP="006918A0">
            <w:pPr>
              <w:spacing w:before="180" w:after="180" w:line="276" w:lineRule="auto"/>
              <w:ind w:right="-29"/>
              <w:jc w:val="center"/>
              <w:rPr>
                <w:noProof/>
                <w:sz w:val="18"/>
                <w:szCs w:val="18"/>
              </w:rPr>
            </w:pPr>
          </w:p>
        </w:tc>
        <w:tc>
          <w:tcPr>
            <w:tcW w:w="256" w:type="pct"/>
            <w:tcBorders>
              <w:top w:val="single" w:sz="12" w:space="0" w:color="auto"/>
              <w:left w:val="single" w:sz="4" w:space="0" w:color="auto"/>
              <w:bottom w:val="single" w:sz="12" w:space="0" w:color="auto"/>
              <w:right w:val="single" w:sz="4" w:space="0" w:color="auto"/>
            </w:tcBorders>
            <w:hideMark/>
          </w:tcPr>
          <w:p w14:paraId="260EAE3C" w14:textId="77777777" w:rsidR="006918A0" w:rsidRPr="006918A0" w:rsidRDefault="006918A0" w:rsidP="006918A0">
            <w:pPr>
              <w:spacing w:before="180" w:after="180" w:line="276" w:lineRule="auto"/>
              <w:ind w:right="-29"/>
              <w:jc w:val="center"/>
              <w:rPr>
                <w:noProof/>
                <w:sz w:val="18"/>
                <w:szCs w:val="18"/>
              </w:rPr>
            </w:pPr>
            <w:r w:rsidRPr="006918A0">
              <w:rPr>
                <w:b/>
                <w:noProof/>
                <w:sz w:val="18"/>
                <w:szCs w:val="18"/>
              </w:rPr>
              <w:t>0.420</w:t>
            </w:r>
          </w:p>
        </w:tc>
        <w:tc>
          <w:tcPr>
            <w:tcW w:w="298" w:type="pct"/>
            <w:tcBorders>
              <w:top w:val="single" w:sz="12" w:space="0" w:color="auto"/>
              <w:left w:val="single" w:sz="4" w:space="0" w:color="auto"/>
              <w:bottom w:val="single" w:sz="12" w:space="0" w:color="auto"/>
              <w:right w:val="single" w:sz="4" w:space="0" w:color="auto"/>
            </w:tcBorders>
          </w:tcPr>
          <w:p w14:paraId="1C3F00AD" w14:textId="77777777" w:rsidR="006918A0" w:rsidRPr="006918A0" w:rsidRDefault="006918A0" w:rsidP="006918A0">
            <w:pPr>
              <w:spacing w:before="180" w:after="180" w:line="276" w:lineRule="auto"/>
              <w:ind w:right="-29"/>
              <w:jc w:val="center"/>
              <w:rPr>
                <w:noProof/>
                <w:sz w:val="18"/>
                <w:szCs w:val="18"/>
              </w:rPr>
            </w:pPr>
          </w:p>
        </w:tc>
        <w:tc>
          <w:tcPr>
            <w:tcW w:w="246" w:type="pct"/>
            <w:tcBorders>
              <w:top w:val="single" w:sz="12" w:space="0" w:color="auto"/>
              <w:left w:val="single" w:sz="4" w:space="0" w:color="auto"/>
              <w:bottom w:val="single" w:sz="12" w:space="0" w:color="auto"/>
              <w:right w:val="single" w:sz="4" w:space="0" w:color="auto"/>
            </w:tcBorders>
            <w:hideMark/>
          </w:tcPr>
          <w:p w14:paraId="3809AE43" w14:textId="77777777" w:rsidR="006918A0" w:rsidRPr="006918A0" w:rsidRDefault="006918A0" w:rsidP="006918A0">
            <w:pPr>
              <w:spacing w:before="180" w:after="180" w:line="276" w:lineRule="auto"/>
              <w:ind w:right="-29"/>
              <w:jc w:val="center"/>
              <w:rPr>
                <w:noProof/>
                <w:sz w:val="18"/>
                <w:szCs w:val="18"/>
              </w:rPr>
            </w:pPr>
            <w:r w:rsidRPr="006918A0">
              <w:rPr>
                <w:b/>
                <w:noProof/>
                <w:sz w:val="18"/>
                <w:szCs w:val="18"/>
              </w:rPr>
              <w:t>0.300</w:t>
            </w:r>
          </w:p>
        </w:tc>
        <w:tc>
          <w:tcPr>
            <w:tcW w:w="367" w:type="pct"/>
            <w:tcBorders>
              <w:top w:val="single" w:sz="12" w:space="0" w:color="auto"/>
              <w:left w:val="single" w:sz="4" w:space="0" w:color="auto"/>
              <w:bottom w:val="single" w:sz="12" w:space="0" w:color="auto"/>
              <w:right w:val="single" w:sz="4" w:space="0" w:color="auto"/>
            </w:tcBorders>
          </w:tcPr>
          <w:p w14:paraId="666F09C4" w14:textId="77777777" w:rsidR="006918A0" w:rsidRPr="006918A0" w:rsidRDefault="006918A0" w:rsidP="006918A0">
            <w:pPr>
              <w:spacing w:before="180" w:after="180" w:line="276" w:lineRule="auto"/>
              <w:ind w:right="-29"/>
              <w:jc w:val="center"/>
              <w:rPr>
                <w:noProof/>
                <w:sz w:val="18"/>
                <w:szCs w:val="18"/>
              </w:rPr>
            </w:pPr>
          </w:p>
        </w:tc>
        <w:tc>
          <w:tcPr>
            <w:tcW w:w="225" w:type="pct"/>
            <w:tcBorders>
              <w:top w:val="single" w:sz="12" w:space="0" w:color="auto"/>
              <w:left w:val="single" w:sz="4" w:space="0" w:color="auto"/>
              <w:bottom w:val="single" w:sz="12" w:space="0" w:color="auto"/>
              <w:right w:val="single" w:sz="4" w:space="0" w:color="auto"/>
            </w:tcBorders>
            <w:hideMark/>
          </w:tcPr>
          <w:p w14:paraId="4CD6A4B4" w14:textId="77777777" w:rsidR="006918A0" w:rsidRPr="006918A0" w:rsidRDefault="006918A0" w:rsidP="006918A0">
            <w:pPr>
              <w:spacing w:before="180" w:after="180" w:line="276" w:lineRule="auto"/>
              <w:ind w:right="-29"/>
              <w:jc w:val="center"/>
              <w:rPr>
                <w:noProof/>
                <w:sz w:val="18"/>
                <w:szCs w:val="18"/>
              </w:rPr>
            </w:pPr>
            <w:r w:rsidRPr="006918A0">
              <w:rPr>
                <w:b/>
                <w:noProof/>
                <w:sz w:val="18"/>
                <w:szCs w:val="18"/>
              </w:rPr>
              <w:t>0.330</w:t>
            </w:r>
          </w:p>
        </w:tc>
        <w:tc>
          <w:tcPr>
            <w:tcW w:w="258" w:type="pct"/>
            <w:tcBorders>
              <w:top w:val="single" w:sz="12" w:space="0" w:color="auto"/>
              <w:left w:val="single" w:sz="4" w:space="0" w:color="auto"/>
              <w:bottom w:val="single" w:sz="12" w:space="0" w:color="auto"/>
              <w:right w:val="single" w:sz="4" w:space="0" w:color="auto"/>
            </w:tcBorders>
          </w:tcPr>
          <w:p w14:paraId="61797AEF" w14:textId="77777777" w:rsidR="006918A0" w:rsidRPr="006918A0" w:rsidRDefault="006918A0" w:rsidP="006918A0">
            <w:pPr>
              <w:spacing w:before="180" w:after="180" w:line="276" w:lineRule="auto"/>
              <w:ind w:right="-29"/>
              <w:jc w:val="center"/>
              <w:rPr>
                <w:noProof/>
                <w:sz w:val="18"/>
                <w:szCs w:val="18"/>
              </w:rPr>
            </w:pPr>
          </w:p>
        </w:tc>
        <w:tc>
          <w:tcPr>
            <w:tcW w:w="241" w:type="pct"/>
            <w:tcBorders>
              <w:top w:val="single" w:sz="12" w:space="0" w:color="auto"/>
              <w:left w:val="single" w:sz="4" w:space="0" w:color="auto"/>
              <w:bottom w:val="single" w:sz="12" w:space="0" w:color="auto"/>
              <w:right w:val="single" w:sz="4" w:space="0" w:color="auto"/>
            </w:tcBorders>
            <w:hideMark/>
          </w:tcPr>
          <w:p w14:paraId="0C6E1219" w14:textId="77777777" w:rsidR="006918A0" w:rsidRPr="006918A0" w:rsidRDefault="006918A0" w:rsidP="006918A0">
            <w:pPr>
              <w:spacing w:before="180" w:after="180" w:line="276" w:lineRule="auto"/>
              <w:ind w:right="-29"/>
              <w:jc w:val="center"/>
              <w:rPr>
                <w:noProof/>
                <w:sz w:val="18"/>
                <w:szCs w:val="18"/>
              </w:rPr>
            </w:pPr>
            <w:r w:rsidRPr="006918A0">
              <w:rPr>
                <w:b/>
                <w:noProof/>
                <w:sz w:val="18"/>
                <w:szCs w:val="18"/>
              </w:rPr>
              <w:t>0.180</w:t>
            </w:r>
          </w:p>
        </w:tc>
        <w:tc>
          <w:tcPr>
            <w:tcW w:w="249" w:type="pct"/>
            <w:gridSpan w:val="2"/>
            <w:tcBorders>
              <w:top w:val="single" w:sz="12" w:space="0" w:color="auto"/>
              <w:left w:val="single" w:sz="4" w:space="0" w:color="auto"/>
              <w:bottom w:val="single" w:sz="12" w:space="0" w:color="auto"/>
              <w:right w:val="single" w:sz="4" w:space="0" w:color="auto"/>
            </w:tcBorders>
          </w:tcPr>
          <w:p w14:paraId="75B8F271" w14:textId="77777777" w:rsidR="006918A0" w:rsidRPr="006918A0" w:rsidRDefault="006918A0" w:rsidP="006918A0">
            <w:pPr>
              <w:spacing w:before="180" w:after="180" w:line="276" w:lineRule="auto"/>
              <w:ind w:right="-29"/>
              <w:jc w:val="center"/>
              <w:rPr>
                <w:noProof/>
                <w:sz w:val="18"/>
                <w:szCs w:val="18"/>
              </w:rPr>
            </w:pPr>
          </w:p>
        </w:tc>
        <w:tc>
          <w:tcPr>
            <w:tcW w:w="318" w:type="pct"/>
            <w:gridSpan w:val="2"/>
            <w:tcBorders>
              <w:top w:val="single" w:sz="12" w:space="0" w:color="auto"/>
              <w:left w:val="single" w:sz="4" w:space="0" w:color="auto"/>
              <w:bottom w:val="single" w:sz="12" w:space="0" w:color="auto"/>
              <w:right w:val="single" w:sz="4" w:space="0" w:color="auto"/>
            </w:tcBorders>
            <w:hideMark/>
          </w:tcPr>
          <w:p w14:paraId="5339BD14" w14:textId="77777777" w:rsidR="006918A0" w:rsidRPr="006918A0" w:rsidRDefault="006918A0" w:rsidP="006918A0">
            <w:pPr>
              <w:spacing w:before="180" w:after="180" w:line="276" w:lineRule="auto"/>
              <w:ind w:right="-29"/>
              <w:jc w:val="center"/>
              <w:rPr>
                <w:noProof/>
                <w:sz w:val="18"/>
                <w:szCs w:val="18"/>
              </w:rPr>
            </w:pPr>
            <w:r w:rsidRPr="006918A0">
              <w:rPr>
                <w:b/>
                <w:noProof/>
                <w:sz w:val="18"/>
                <w:szCs w:val="18"/>
              </w:rPr>
              <w:t>0.180</w:t>
            </w:r>
          </w:p>
        </w:tc>
        <w:tc>
          <w:tcPr>
            <w:tcW w:w="223" w:type="pct"/>
            <w:gridSpan w:val="3"/>
            <w:tcBorders>
              <w:top w:val="single" w:sz="12" w:space="0" w:color="auto"/>
              <w:left w:val="single" w:sz="4" w:space="0" w:color="auto"/>
              <w:bottom w:val="single" w:sz="12" w:space="0" w:color="auto"/>
              <w:right w:val="single" w:sz="4" w:space="0" w:color="auto"/>
            </w:tcBorders>
          </w:tcPr>
          <w:p w14:paraId="691794FC" w14:textId="77777777" w:rsidR="006918A0" w:rsidRPr="006918A0" w:rsidRDefault="006918A0" w:rsidP="006918A0">
            <w:pPr>
              <w:spacing w:before="180" w:after="180" w:line="276" w:lineRule="auto"/>
              <w:ind w:right="-29"/>
              <w:jc w:val="center"/>
              <w:rPr>
                <w:noProof/>
                <w:sz w:val="18"/>
                <w:szCs w:val="18"/>
              </w:rPr>
            </w:pPr>
          </w:p>
        </w:tc>
        <w:tc>
          <w:tcPr>
            <w:tcW w:w="403" w:type="pct"/>
            <w:gridSpan w:val="2"/>
            <w:tcBorders>
              <w:top w:val="single" w:sz="12" w:space="0" w:color="auto"/>
              <w:left w:val="single" w:sz="4" w:space="0" w:color="auto"/>
              <w:bottom w:val="single" w:sz="12" w:space="0" w:color="auto"/>
              <w:right w:val="single" w:sz="12" w:space="0" w:color="auto"/>
            </w:tcBorders>
            <w:vAlign w:val="center"/>
            <w:hideMark/>
          </w:tcPr>
          <w:p w14:paraId="48BB76E4" w14:textId="77777777" w:rsidR="006918A0" w:rsidRPr="006918A0" w:rsidRDefault="006918A0" w:rsidP="006918A0">
            <w:pPr>
              <w:spacing w:before="180" w:after="180" w:line="276" w:lineRule="auto"/>
              <w:ind w:right="-29"/>
              <w:jc w:val="right"/>
              <w:rPr>
                <w:noProof/>
                <w:sz w:val="18"/>
                <w:szCs w:val="18"/>
              </w:rPr>
            </w:pPr>
            <w:r w:rsidRPr="006918A0">
              <w:rPr>
                <w:b/>
                <w:noProof/>
                <w:sz w:val="18"/>
                <w:szCs w:val="18"/>
              </w:rPr>
              <w:t>1.560</w:t>
            </w:r>
          </w:p>
        </w:tc>
      </w:tr>
    </w:tbl>
    <w:p w14:paraId="00A7D13B" w14:textId="77777777" w:rsidR="006918A0" w:rsidRPr="006918A0" w:rsidRDefault="006918A0" w:rsidP="006918A0">
      <w:pPr>
        <w:spacing w:before="0" w:after="0"/>
        <w:jc w:val="left"/>
        <w:rPr>
          <w:noProof/>
        </w:rPr>
        <w:sectPr w:rsidR="006918A0" w:rsidRPr="006918A0" w:rsidSect="00B018F6">
          <w:headerReference w:type="default" r:id="rId18"/>
          <w:footerReference w:type="default" r:id="rId19"/>
          <w:headerReference w:type="first" r:id="rId20"/>
          <w:footerReference w:type="first" r:id="rId21"/>
          <w:pgSz w:w="16840" w:h="11907" w:orient="landscape"/>
          <w:pgMar w:top="851" w:right="1418" w:bottom="426" w:left="1418" w:header="709" w:footer="709" w:gutter="0"/>
          <w:cols w:space="720"/>
          <w:docGrid w:linePitch="326"/>
        </w:sectPr>
      </w:pPr>
    </w:p>
    <w:p w14:paraId="411264BA" w14:textId="77777777" w:rsidR="006918A0" w:rsidRPr="006918A0" w:rsidRDefault="00287904" w:rsidP="00287904">
      <w:pPr>
        <w:pStyle w:val="ManualHeading3"/>
        <w:rPr>
          <w:noProof/>
          <w:szCs w:val="24"/>
        </w:rPr>
      </w:pPr>
      <w:r>
        <w:rPr>
          <w:noProof/>
        </w:rPr>
        <w:tab/>
      </w:r>
      <w:r w:rsidR="006918A0" w:rsidRPr="006918A0">
        <w:rPr>
          <w:noProof/>
        </w:rPr>
        <w:t xml:space="preserve">3.2.3 </w:t>
      </w:r>
      <w:bookmarkStart w:id="21" w:name="_Toc514938055"/>
      <w:bookmarkStart w:id="22" w:name="_Toc520485054"/>
      <w:r w:rsidR="006918A0" w:rsidRPr="006918A0">
        <w:rPr>
          <w:noProof/>
        </w:rPr>
        <w:t>Summary of estimated impact on administrative appropriations</w:t>
      </w:r>
      <w:bookmarkEnd w:id="21"/>
      <w:bookmarkEnd w:id="22"/>
      <w:r w:rsidR="006918A0" w:rsidRPr="006918A0">
        <w:rPr>
          <w:noProof/>
        </w:rPr>
        <w:t xml:space="preserve"> </w:t>
      </w:r>
    </w:p>
    <w:p w14:paraId="79AF186C" w14:textId="77777777" w:rsidR="006918A0" w:rsidRPr="006918A0" w:rsidRDefault="006918A0" w:rsidP="006918A0">
      <w:pPr>
        <w:tabs>
          <w:tab w:val="num" w:pos="1134"/>
        </w:tabs>
        <w:ind w:left="1134" w:hanging="283"/>
        <w:rPr>
          <w:rFonts w:eastAsia="Times New Roman"/>
          <w:noProof/>
          <w:lang w:eastAsia="de-DE"/>
        </w:rPr>
      </w:pPr>
      <w:r w:rsidRPr="006918A0">
        <w:rPr>
          <w:rFonts w:ascii="Wingdings" w:eastAsia="Wingdings" w:hAnsi="Wingdings" w:cs="Wingdings"/>
          <w:noProof/>
          <w:lang w:eastAsia="de-DE"/>
        </w:rPr>
        <w:t></w:t>
      </w:r>
      <w:r w:rsidRPr="006918A0">
        <w:rPr>
          <w:rFonts w:eastAsia="Times New Roman"/>
          <w:noProof/>
          <w:lang w:eastAsia="de-DE"/>
        </w:rPr>
        <w:tab/>
        <w:t xml:space="preserve">The proposal/initiative does not require the use of appropriations of an administrative nature </w:t>
      </w:r>
    </w:p>
    <w:p w14:paraId="4D48DF45" w14:textId="77777777" w:rsidR="006918A0" w:rsidRPr="006918A0" w:rsidRDefault="006918A0" w:rsidP="006918A0">
      <w:pPr>
        <w:tabs>
          <w:tab w:val="num" w:pos="1134"/>
        </w:tabs>
        <w:ind w:left="1134" w:hanging="283"/>
        <w:rPr>
          <w:rFonts w:eastAsia="Times New Roman"/>
          <w:noProof/>
          <w:lang w:eastAsia="de-DE"/>
        </w:rPr>
      </w:pPr>
      <w:r w:rsidRPr="006918A0">
        <w:rPr>
          <w:rFonts w:ascii="Wingdings" w:eastAsia="Wingdings" w:hAnsi="Wingdings" w:cs="Wingdings"/>
          <w:noProof/>
          <w:lang w:eastAsia="de-DE"/>
        </w:rPr>
        <w:t></w:t>
      </w:r>
      <w:r w:rsidRPr="006918A0">
        <w:rPr>
          <w:rFonts w:eastAsia="Times New Roman"/>
          <w:noProof/>
          <w:lang w:eastAsia="de-DE"/>
        </w:rPr>
        <w:tab/>
        <w:t>The proposal/initiative requires the use of appropriations of an administrative nature, as explained below:</w:t>
      </w:r>
    </w:p>
    <w:p w14:paraId="7FAA339A" w14:textId="77777777" w:rsidR="006918A0" w:rsidRPr="006918A0" w:rsidRDefault="006918A0" w:rsidP="006918A0">
      <w:pPr>
        <w:rPr>
          <w:noProof/>
          <w:sz w:val="20"/>
        </w:rPr>
      </w:pPr>
      <w:r w:rsidRPr="006918A0">
        <w:rPr>
          <w:noProof/>
          <w:sz w:val="20"/>
        </w:rPr>
        <w:t>EUR million (to three decimal places)</w:t>
      </w:r>
    </w:p>
    <w:tbl>
      <w:tblPr>
        <w:tblW w:w="909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1"/>
        <w:gridCol w:w="1081"/>
        <w:gridCol w:w="1081"/>
        <w:gridCol w:w="1081"/>
        <w:gridCol w:w="1081"/>
        <w:gridCol w:w="1705"/>
      </w:tblGrid>
      <w:tr w:rsidR="006918A0" w:rsidRPr="006918A0" w14:paraId="0C3F1274"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tcPr>
          <w:p w14:paraId="3F8A9D79" w14:textId="77777777" w:rsidR="006918A0" w:rsidRPr="006918A0" w:rsidRDefault="006918A0" w:rsidP="006918A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hideMark/>
          </w:tcPr>
          <w:p w14:paraId="43C7EE9E" w14:textId="77777777" w:rsidR="006918A0" w:rsidRPr="006918A0" w:rsidRDefault="006918A0" w:rsidP="006918A0">
            <w:pPr>
              <w:spacing w:before="60" w:after="60" w:line="200" w:lineRule="exact"/>
              <w:jc w:val="center"/>
              <w:rPr>
                <w:noProof/>
                <w:sz w:val="16"/>
                <w:szCs w:val="16"/>
              </w:rPr>
            </w:pPr>
            <w:r w:rsidRPr="006918A0">
              <w:rPr>
                <w:noProof/>
                <w:sz w:val="16"/>
              </w:rPr>
              <w:t>Year</w:t>
            </w:r>
            <w:r w:rsidRPr="006918A0">
              <w:rPr>
                <w:noProof/>
              </w:rPr>
              <w:br/>
            </w:r>
            <w:r w:rsidRPr="006918A0">
              <w:rPr>
                <w:b/>
                <w:noProof/>
                <w:sz w:val="16"/>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819FE0F" w14:textId="77777777" w:rsidR="006918A0" w:rsidRPr="006918A0" w:rsidRDefault="006918A0" w:rsidP="006918A0">
            <w:pPr>
              <w:spacing w:before="60" w:after="60" w:line="200" w:lineRule="exact"/>
              <w:jc w:val="center"/>
              <w:rPr>
                <w:noProof/>
                <w:sz w:val="16"/>
                <w:szCs w:val="16"/>
              </w:rPr>
            </w:pPr>
            <w:r w:rsidRPr="006918A0">
              <w:rPr>
                <w:noProof/>
                <w:sz w:val="16"/>
              </w:rPr>
              <w:t>Year</w:t>
            </w:r>
            <w:r w:rsidRPr="006918A0">
              <w:rPr>
                <w:noProof/>
              </w:rPr>
              <w:br/>
            </w:r>
            <w:r w:rsidRPr="006918A0">
              <w:rPr>
                <w:b/>
                <w:noProof/>
                <w:sz w:val="16"/>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8347D69" w14:textId="77777777" w:rsidR="006918A0" w:rsidRPr="006918A0" w:rsidRDefault="006918A0" w:rsidP="006918A0">
            <w:pPr>
              <w:spacing w:before="60" w:after="60" w:line="200" w:lineRule="exact"/>
              <w:jc w:val="center"/>
              <w:rPr>
                <w:noProof/>
                <w:sz w:val="16"/>
                <w:szCs w:val="16"/>
              </w:rPr>
            </w:pPr>
            <w:r w:rsidRPr="006918A0">
              <w:rPr>
                <w:noProof/>
                <w:sz w:val="16"/>
              </w:rPr>
              <w:t>Year</w:t>
            </w:r>
            <w:r w:rsidRPr="006918A0">
              <w:rPr>
                <w:noProof/>
              </w:rPr>
              <w:br/>
            </w:r>
            <w:r w:rsidRPr="006918A0">
              <w:rPr>
                <w:b/>
                <w:noProof/>
                <w:sz w:val="16"/>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0BBF791" w14:textId="77777777" w:rsidR="006918A0" w:rsidRPr="006918A0" w:rsidRDefault="006918A0" w:rsidP="006918A0">
            <w:pPr>
              <w:spacing w:before="60" w:after="60" w:line="200" w:lineRule="exact"/>
              <w:jc w:val="center"/>
              <w:rPr>
                <w:noProof/>
                <w:sz w:val="16"/>
                <w:szCs w:val="16"/>
              </w:rPr>
            </w:pPr>
            <w:r w:rsidRPr="006918A0">
              <w:rPr>
                <w:noProof/>
                <w:sz w:val="16"/>
              </w:rPr>
              <w:t>Year</w:t>
            </w:r>
            <w:r w:rsidRPr="006918A0">
              <w:rPr>
                <w:noProof/>
              </w:rPr>
              <w:br/>
            </w:r>
            <w:r w:rsidRPr="006918A0">
              <w:rPr>
                <w:b/>
                <w:noProof/>
                <w:sz w:val="16"/>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6154805" w14:textId="77777777" w:rsidR="006918A0" w:rsidRPr="006918A0" w:rsidRDefault="006918A0" w:rsidP="006918A0">
            <w:pPr>
              <w:spacing w:line="200" w:lineRule="exact"/>
              <w:jc w:val="center"/>
              <w:rPr>
                <w:b/>
                <w:noProof/>
                <w:sz w:val="16"/>
                <w:szCs w:val="16"/>
              </w:rPr>
            </w:pPr>
            <w:r w:rsidRPr="006918A0">
              <w:rPr>
                <w:noProof/>
                <w:sz w:val="16"/>
              </w:rPr>
              <w:t>Year</w:t>
            </w:r>
            <w:r w:rsidRPr="006918A0">
              <w:rPr>
                <w:noProof/>
              </w:rPr>
              <w:br/>
            </w:r>
            <w:r w:rsidRPr="006918A0">
              <w:rPr>
                <w:b/>
                <w:noProof/>
                <w:sz w:val="16"/>
              </w:rPr>
              <w:t>2027</w:t>
            </w:r>
          </w:p>
        </w:tc>
        <w:tc>
          <w:tcPr>
            <w:tcW w:w="1704" w:type="dxa"/>
            <w:tcBorders>
              <w:top w:val="single" w:sz="2" w:space="0" w:color="auto"/>
              <w:left w:val="single" w:sz="2" w:space="0" w:color="auto"/>
              <w:bottom w:val="single" w:sz="2" w:space="0" w:color="auto"/>
              <w:right w:val="single" w:sz="2" w:space="0" w:color="auto"/>
            </w:tcBorders>
            <w:vAlign w:val="center"/>
            <w:hideMark/>
          </w:tcPr>
          <w:p w14:paraId="5978D98E" w14:textId="77777777" w:rsidR="006918A0" w:rsidRPr="006918A0" w:rsidRDefault="006918A0" w:rsidP="006918A0">
            <w:pPr>
              <w:spacing w:before="60" w:after="60" w:line="200" w:lineRule="exact"/>
              <w:jc w:val="center"/>
              <w:rPr>
                <w:b/>
                <w:noProof/>
                <w:sz w:val="16"/>
                <w:szCs w:val="16"/>
              </w:rPr>
            </w:pPr>
            <w:r w:rsidRPr="006918A0">
              <w:rPr>
                <w:b/>
                <w:noProof/>
                <w:sz w:val="16"/>
              </w:rPr>
              <w:t>TOTAL</w:t>
            </w:r>
          </w:p>
        </w:tc>
      </w:tr>
    </w:tbl>
    <w:p w14:paraId="6AB394E6" w14:textId="77777777" w:rsidR="006918A0" w:rsidRPr="006918A0" w:rsidRDefault="006918A0" w:rsidP="006918A0">
      <w:pPr>
        <w:spacing w:line="200" w:lineRule="exact"/>
        <w:rPr>
          <w:noProof/>
          <w:sz w:val="16"/>
          <w:szCs w:val="16"/>
        </w:rPr>
      </w:pPr>
    </w:p>
    <w:tbl>
      <w:tblPr>
        <w:tblW w:w="9090" w:type="dxa"/>
        <w:tblInd w:w="-612" w:type="dxa"/>
        <w:tblLayout w:type="fixed"/>
        <w:tblLook w:val="01E0" w:firstRow="1" w:lastRow="1" w:firstColumn="1" w:lastColumn="1" w:noHBand="0" w:noVBand="0"/>
      </w:tblPr>
      <w:tblGrid>
        <w:gridCol w:w="1980"/>
        <w:gridCol w:w="1081"/>
        <w:gridCol w:w="1081"/>
        <w:gridCol w:w="1081"/>
        <w:gridCol w:w="1081"/>
        <w:gridCol w:w="1081"/>
        <w:gridCol w:w="1705"/>
      </w:tblGrid>
      <w:tr w:rsidR="006918A0" w:rsidRPr="006918A0" w14:paraId="1BB919B4"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CCCCCC"/>
            <w:vAlign w:val="center"/>
            <w:hideMark/>
          </w:tcPr>
          <w:p w14:paraId="06643491" w14:textId="77777777" w:rsidR="006918A0" w:rsidRPr="006918A0" w:rsidRDefault="006918A0" w:rsidP="006918A0">
            <w:pPr>
              <w:spacing w:before="60" w:after="60" w:line="200" w:lineRule="exact"/>
              <w:jc w:val="center"/>
              <w:rPr>
                <w:b/>
                <w:noProof/>
                <w:sz w:val="16"/>
              </w:rPr>
            </w:pPr>
            <w:r w:rsidRPr="006918A0">
              <w:rPr>
                <w:b/>
                <w:noProof/>
                <w:sz w:val="16"/>
              </w:rPr>
              <w:t>HEADING 7</w:t>
            </w:r>
            <w:r w:rsidRPr="006918A0">
              <w:rPr>
                <w:b/>
                <w:noProof/>
                <w:sz w:val="16"/>
              </w:rPr>
              <w:br/>
              <w:t>of the multiannual financial framework</w:t>
            </w:r>
          </w:p>
        </w:tc>
        <w:tc>
          <w:tcPr>
            <w:tcW w:w="1081" w:type="dxa"/>
            <w:tcBorders>
              <w:top w:val="single" w:sz="12" w:space="0" w:color="auto"/>
              <w:left w:val="single" w:sz="2" w:space="0" w:color="auto"/>
              <w:bottom w:val="single" w:sz="12" w:space="0" w:color="auto"/>
              <w:right w:val="single" w:sz="2" w:space="0" w:color="auto"/>
            </w:tcBorders>
            <w:vAlign w:val="center"/>
          </w:tcPr>
          <w:p w14:paraId="4D415F90" w14:textId="77777777" w:rsidR="006918A0" w:rsidRPr="006918A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5FFBFCB0" w14:textId="77777777" w:rsidR="006918A0" w:rsidRPr="006918A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6119E2EC" w14:textId="77777777" w:rsidR="006918A0" w:rsidRPr="006918A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392362A8" w14:textId="77777777" w:rsidR="006918A0" w:rsidRPr="006918A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1D8CA897" w14:textId="77777777" w:rsidR="006918A0" w:rsidRPr="006918A0" w:rsidRDefault="006918A0" w:rsidP="006918A0">
            <w:pPr>
              <w:spacing w:before="60" w:after="60" w:line="200" w:lineRule="exact"/>
              <w:jc w:val="right"/>
              <w:rPr>
                <w:b/>
                <w:bCs/>
                <w:noProof/>
                <w:sz w:val="20"/>
                <w:szCs w:val="20"/>
              </w:rPr>
            </w:pPr>
          </w:p>
        </w:tc>
        <w:tc>
          <w:tcPr>
            <w:tcW w:w="1705" w:type="dxa"/>
            <w:tcBorders>
              <w:top w:val="single" w:sz="12" w:space="0" w:color="auto"/>
              <w:left w:val="single" w:sz="2" w:space="0" w:color="auto"/>
              <w:bottom w:val="single" w:sz="12" w:space="0" w:color="auto"/>
              <w:right w:val="single" w:sz="2" w:space="0" w:color="auto"/>
            </w:tcBorders>
            <w:vAlign w:val="center"/>
          </w:tcPr>
          <w:p w14:paraId="382C6F5D" w14:textId="77777777" w:rsidR="006918A0" w:rsidRPr="006918A0" w:rsidRDefault="006918A0" w:rsidP="006918A0">
            <w:pPr>
              <w:spacing w:before="60" w:after="60" w:line="200" w:lineRule="exact"/>
              <w:jc w:val="right"/>
              <w:rPr>
                <w:b/>
                <w:bCs/>
                <w:noProof/>
                <w:color w:val="000000"/>
                <w:sz w:val="20"/>
                <w:szCs w:val="20"/>
              </w:rPr>
            </w:pPr>
          </w:p>
        </w:tc>
      </w:tr>
      <w:tr w:rsidR="006918A0" w:rsidRPr="006918A0" w14:paraId="31B69A4E"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271BDCD8" w14:textId="77777777" w:rsidR="006918A0" w:rsidRPr="006918A0" w:rsidRDefault="006918A0" w:rsidP="006918A0">
            <w:pPr>
              <w:spacing w:before="60" w:after="60" w:line="200" w:lineRule="exact"/>
              <w:jc w:val="center"/>
              <w:rPr>
                <w:b/>
                <w:noProof/>
                <w:sz w:val="16"/>
              </w:rPr>
            </w:pPr>
            <w:r w:rsidRPr="006918A0">
              <w:rPr>
                <w:b/>
                <w:noProof/>
                <w:sz w:val="16"/>
              </w:rPr>
              <w:t xml:space="preserve">Human resources </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72F404C3" w14:textId="77777777" w:rsidR="006918A0" w:rsidRPr="006918A0" w:rsidRDefault="006918A0" w:rsidP="006918A0">
            <w:pPr>
              <w:spacing w:before="20" w:after="20" w:line="276" w:lineRule="auto"/>
              <w:jc w:val="right"/>
              <w:rPr>
                <w:b/>
                <w:bCs/>
                <w:noProof/>
                <w:sz w:val="20"/>
                <w:szCs w:val="20"/>
              </w:rPr>
            </w:pPr>
            <w:r w:rsidRPr="006918A0">
              <w:rPr>
                <w:b/>
                <w:bCs/>
                <w:noProof/>
                <w:sz w:val="20"/>
                <w:szCs w:val="20"/>
              </w:rPr>
              <w:t>0.118</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66792D2" w14:textId="77777777" w:rsidR="006918A0" w:rsidRPr="006918A0" w:rsidRDefault="006918A0" w:rsidP="006918A0">
            <w:pPr>
              <w:spacing w:before="20" w:after="20" w:line="276" w:lineRule="auto"/>
              <w:jc w:val="right"/>
              <w:rPr>
                <w:b/>
                <w:bCs/>
                <w:noProof/>
                <w:sz w:val="20"/>
                <w:szCs w:val="20"/>
              </w:rPr>
            </w:pPr>
            <w:r w:rsidRPr="006918A0">
              <w:rPr>
                <w:b/>
                <w:bCs/>
                <w:noProof/>
                <w:sz w:val="20"/>
                <w:szCs w:val="20"/>
              </w:rPr>
              <w:t>0.157</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E783E02" w14:textId="77777777" w:rsidR="006918A0" w:rsidRPr="006918A0" w:rsidRDefault="006918A0" w:rsidP="006918A0">
            <w:pPr>
              <w:spacing w:before="20" w:after="20" w:line="276" w:lineRule="auto"/>
              <w:jc w:val="right"/>
              <w:rPr>
                <w:b/>
                <w:bCs/>
                <w:noProof/>
                <w:sz w:val="20"/>
                <w:szCs w:val="20"/>
              </w:rPr>
            </w:pPr>
            <w:r w:rsidRPr="006918A0">
              <w:rPr>
                <w:b/>
                <w:bCs/>
                <w:noProof/>
                <w:sz w:val="20"/>
                <w:szCs w:val="20"/>
              </w:rPr>
              <w:t>0.157</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05EFA3A7" w14:textId="77777777" w:rsidR="006918A0" w:rsidRPr="006918A0" w:rsidRDefault="006918A0" w:rsidP="006918A0">
            <w:pPr>
              <w:spacing w:before="20" w:after="20" w:line="276" w:lineRule="auto"/>
              <w:jc w:val="right"/>
              <w:rPr>
                <w:b/>
                <w:bCs/>
                <w:noProof/>
                <w:sz w:val="20"/>
                <w:szCs w:val="20"/>
              </w:rPr>
            </w:pPr>
            <w:r w:rsidRPr="006918A0">
              <w:rPr>
                <w:b/>
                <w:bCs/>
                <w:noProof/>
                <w:sz w:val="20"/>
                <w:szCs w:val="20"/>
              </w:rPr>
              <w:t>0.063</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565F7BD" w14:textId="77777777" w:rsidR="006918A0" w:rsidRPr="006918A0" w:rsidRDefault="006918A0" w:rsidP="006918A0">
            <w:pPr>
              <w:spacing w:before="60" w:after="60" w:line="200" w:lineRule="exact"/>
              <w:jc w:val="right"/>
              <w:rPr>
                <w:b/>
                <w:bCs/>
                <w:noProof/>
                <w:sz w:val="20"/>
                <w:szCs w:val="20"/>
              </w:rPr>
            </w:pPr>
            <w:r w:rsidRPr="006918A0">
              <w:rPr>
                <w:b/>
                <w:bCs/>
                <w:noProof/>
                <w:sz w:val="20"/>
                <w:szCs w:val="20"/>
              </w:rPr>
              <w:t>0.016</w:t>
            </w:r>
          </w:p>
        </w:tc>
        <w:tc>
          <w:tcPr>
            <w:tcW w:w="1705" w:type="dxa"/>
            <w:tcBorders>
              <w:top w:val="single" w:sz="12" w:space="0" w:color="auto"/>
              <w:left w:val="single" w:sz="2" w:space="0" w:color="auto"/>
              <w:bottom w:val="single" w:sz="12" w:space="0" w:color="auto"/>
              <w:right w:val="single" w:sz="2" w:space="0" w:color="auto"/>
            </w:tcBorders>
            <w:vAlign w:val="center"/>
            <w:hideMark/>
          </w:tcPr>
          <w:p w14:paraId="43DDDEBC" w14:textId="77777777" w:rsidR="006918A0" w:rsidRPr="006918A0" w:rsidRDefault="006918A0" w:rsidP="006918A0">
            <w:pPr>
              <w:spacing w:before="60" w:after="60" w:line="200" w:lineRule="exact"/>
              <w:jc w:val="right"/>
              <w:rPr>
                <w:b/>
                <w:bCs/>
                <w:noProof/>
                <w:color w:val="000000"/>
                <w:sz w:val="20"/>
                <w:szCs w:val="20"/>
              </w:rPr>
            </w:pPr>
            <w:r w:rsidRPr="006918A0">
              <w:rPr>
                <w:b/>
                <w:bCs/>
                <w:noProof/>
                <w:color w:val="000000"/>
                <w:sz w:val="20"/>
                <w:szCs w:val="20"/>
              </w:rPr>
              <w:t>0,511</w:t>
            </w:r>
          </w:p>
        </w:tc>
      </w:tr>
      <w:tr w:rsidR="006918A0" w:rsidRPr="006918A0" w14:paraId="45443AC1"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454A6B2B" w14:textId="77777777" w:rsidR="006918A0" w:rsidRPr="006918A0" w:rsidRDefault="006918A0" w:rsidP="006918A0">
            <w:pPr>
              <w:spacing w:before="60" w:after="60" w:line="200" w:lineRule="exact"/>
              <w:jc w:val="center"/>
              <w:rPr>
                <w:b/>
                <w:noProof/>
                <w:sz w:val="16"/>
              </w:rPr>
            </w:pPr>
            <w:r w:rsidRPr="006918A0">
              <w:rPr>
                <w:b/>
                <w:noProof/>
                <w:sz w:val="16"/>
              </w:rPr>
              <w:t xml:space="preserve">Other administrative expenditure </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2FE1960" w14:textId="77777777" w:rsidR="006918A0" w:rsidRPr="006918A0" w:rsidRDefault="006918A0" w:rsidP="006918A0">
            <w:pPr>
              <w:spacing w:before="20" w:after="20" w:line="276" w:lineRule="auto"/>
              <w:jc w:val="right"/>
              <w:rPr>
                <w:b/>
                <w:bCs/>
                <w:noProof/>
                <w:sz w:val="20"/>
                <w:szCs w:val="20"/>
              </w:rPr>
            </w:pPr>
            <w:r w:rsidRPr="006918A0">
              <w:rPr>
                <w:b/>
                <w:bCs/>
                <w:noProof/>
                <w:sz w:val="20"/>
                <w:szCs w:val="20"/>
              </w:rPr>
              <w:t>0.004</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79206006" w14:textId="77777777" w:rsidR="006918A0" w:rsidRPr="006918A0" w:rsidRDefault="006918A0" w:rsidP="006918A0">
            <w:pPr>
              <w:spacing w:before="20" w:after="20" w:line="276" w:lineRule="auto"/>
              <w:jc w:val="right"/>
              <w:rPr>
                <w:b/>
                <w:bCs/>
                <w:noProof/>
                <w:sz w:val="20"/>
                <w:szCs w:val="20"/>
              </w:rPr>
            </w:pPr>
            <w:r w:rsidRPr="006918A0">
              <w:rPr>
                <w:b/>
                <w:bCs/>
                <w:noProof/>
                <w:sz w:val="20"/>
                <w:szCs w:val="20"/>
              </w:rPr>
              <w:t>0.004</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6A10B273" w14:textId="77777777" w:rsidR="006918A0" w:rsidRPr="006918A0" w:rsidRDefault="006918A0" w:rsidP="006918A0">
            <w:pPr>
              <w:spacing w:before="20" w:after="20" w:line="276" w:lineRule="auto"/>
              <w:jc w:val="right"/>
              <w:rPr>
                <w:b/>
                <w:bCs/>
                <w:noProof/>
                <w:sz w:val="20"/>
                <w:szCs w:val="20"/>
              </w:rPr>
            </w:pPr>
            <w:r w:rsidRPr="006918A0">
              <w:rPr>
                <w:b/>
                <w:bCs/>
                <w:noProof/>
                <w:sz w:val="20"/>
                <w:szCs w:val="20"/>
              </w:rPr>
              <w:t>0.002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D9AD1C0" w14:textId="77777777" w:rsidR="006918A0" w:rsidRPr="006918A0" w:rsidRDefault="006918A0" w:rsidP="006918A0">
            <w:pPr>
              <w:spacing w:before="20" w:after="20" w:line="276" w:lineRule="auto"/>
              <w:jc w:val="right"/>
              <w:rPr>
                <w:b/>
                <w:bCs/>
                <w:noProof/>
                <w:sz w:val="20"/>
                <w:szCs w:val="20"/>
              </w:rPr>
            </w:pPr>
            <w:r w:rsidRPr="006918A0">
              <w:rPr>
                <w:b/>
                <w:bCs/>
                <w:noProof/>
                <w:sz w:val="20"/>
                <w:szCs w:val="20"/>
              </w:rPr>
              <w:t>0.002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76D82C6" w14:textId="77777777" w:rsidR="006918A0" w:rsidRPr="006918A0" w:rsidRDefault="006918A0" w:rsidP="006918A0">
            <w:pPr>
              <w:spacing w:before="60" w:after="60" w:line="200" w:lineRule="exact"/>
              <w:jc w:val="right"/>
              <w:rPr>
                <w:b/>
                <w:bCs/>
                <w:noProof/>
                <w:sz w:val="20"/>
                <w:szCs w:val="20"/>
              </w:rPr>
            </w:pPr>
            <w:r w:rsidRPr="006918A0">
              <w:rPr>
                <w:b/>
                <w:bCs/>
                <w:noProof/>
                <w:sz w:val="20"/>
                <w:szCs w:val="20"/>
              </w:rPr>
              <w:t>0.001</w:t>
            </w:r>
          </w:p>
        </w:tc>
        <w:tc>
          <w:tcPr>
            <w:tcW w:w="1705" w:type="dxa"/>
            <w:tcBorders>
              <w:top w:val="single" w:sz="12" w:space="0" w:color="auto"/>
              <w:left w:val="single" w:sz="2" w:space="0" w:color="auto"/>
              <w:bottom w:val="single" w:sz="12" w:space="0" w:color="auto"/>
              <w:right w:val="single" w:sz="2" w:space="0" w:color="auto"/>
            </w:tcBorders>
            <w:vAlign w:val="center"/>
            <w:hideMark/>
          </w:tcPr>
          <w:p w14:paraId="1F3EBF79" w14:textId="77777777" w:rsidR="006918A0" w:rsidRPr="006918A0" w:rsidRDefault="006918A0" w:rsidP="006918A0">
            <w:pPr>
              <w:spacing w:before="60" w:after="60" w:line="200" w:lineRule="exact"/>
              <w:jc w:val="right"/>
              <w:rPr>
                <w:b/>
                <w:bCs/>
                <w:noProof/>
                <w:color w:val="000000"/>
                <w:sz w:val="20"/>
                <w:szCs w:val="20"/>
              </w:rPr>
            </w:pPr>
            <w:r w:rsidRPr="006918A0">
              <w:rPr>
                <w:b/>
                <w:bCs/>
                <w:noProof/>
                <w:color w:val="000000"/>
                <w:sz w:val="20"/>
                <w:szCs w:val="20"/>
              </w:rPr>
              <w:t>0,013</w:t>
            </w:r>
          </w:p>
        </w:tc>
      </w:tr>
      <w:tr w:rsidR="006918A0" w:rsidRPr="006918A0" w14:paraId="1066BDF8"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CCCCCC"/>
            <w:vAlign w:val="center"/>
            <w:hideMark/>
          </w:tcPr>
          <w:p w14:paraId="658EE7FC" w14:textId="77777777" w:rsidR="006918A0" w:rsidRPr="006918A0" w:rsidRDefault="006918A0" w:rsidP="006918A0">
            <w:pPr>
              <w:spacing w:before="60" w:after="60" w:line="200" w:lineRule="exact"/>
              <w:jc w:val="center"/>
              <w:rPr>
                <w:b/>
                <w:noProof/>
                <w:sz w:val="16"/>
              </w:rPr>
            </w:pPr>
            <w:r w:rsidRPr="006918A0">
              <w:rPr>
                <w:b/>
                <w:noProof/>
                <w:sz w:val="16"/>
              </w:rPr>
              <w:t>Subtotal HEADING 7</w:t>
            </w:r>
            <w:r w:rsidRPr="006918A0">
              <w:rPr>
                <w:b/>
                <w:noProof/>
                <w:sz w:val="16"/>
              </w:rPr>
              <w:br/>
              <w:t xml:space="preserve">of the multiannual financial framework </w:t>
            </w:r>
          </w:p>
        </w:tc>
        <w:tc>
          <w:tcPr>
            <w:tcW w:w="1081" w:type="dxa"/>
            <w:tcBorders>
              <w:top w:val="single" w:sz="12" w:space="0" w:color="auto"/>
              <w:left w:val="single" w:sz="2" w:space="0" w:color="auto"/>
              <w:bottom w:val="single" w:sz="12" w:space="0" w:color="auto"/>
              <w:right w:val="single" w:sz="2" w:space="0" w:color="auto"/>
            </w:tcBorders>
            <w:vAlign w:val="center"/>
          </w:tcPr>
          <w:p w14:paraId="3666A1A3" w14:textId="77777777" w:rsidR="006918A0" w:rsidRPr="006918A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1A53C40E" w14:textId="77777777" w:rsidR="006918A0" w:rsidRPr="006918A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1A951EC3" w14:textId="77777777" w:rsidR="006918A0" w:rsidRPr="006918A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65C9D1DD" w14:textId="77777777" w:rsidR="006918A0" w:rsidRPr="006918A0" w:rsidRDefault="006918A0" w:rsidP="006918A0">
            <w:pPr>
              <w:spacing w:before="20" w:after="20" w:line="276" w:lineRule="auto"/>
              <w:jc w:val="right"/>
              <w:rPr>
                <w:b/>
                <w:bCs/>
                <w:noProof/>
                <w:sz w:val="20"/>
                <w:szCs w:val="20"/>
              </w:rPr>
            </w:pPr>
          </w:p>
        </w:tc>
        <w:tc>
          <w:tcPr>
            <w:tcW w:w="1081" w:type="dxa"/>
            <w:tcBorders>
              <w:top w:val="single" w:sz="12" w:space="0" w:color="auto"/>
              <w:left w:val="single" w:sz="2" w:space="0" w:color="auto"/>
              <w:bottom w:val="single" w:sz="12" w:space="0" w:color="auto"/>
              <w:right w:val="single" w:sz="2" w:space="0" w:color="auto"/>
            </w:tcBorders>
            <w:vAlign w:val="center"/>
          </w:tcPr>
          <w:p w14:paraId="0A84FFE1" w14:textId="77777777" w:rsidR="006918A0" w:rsidRPr="006918A0" w:rsidRDefault="006918A0" w:rsidP="006918A0">
            <w:pPr>
              <w:spacing w:before="60" w:after="60" w:line="200" w:lineRule="exact"/>
              <w:jc w:val="right"/>
              <w:rPr>
                <w:b/>
                <w:bCs/>
                <w:noProof/>
                <w:sz w:val="20"/>
                <w:szCs w:val="20"/>
              </w:rPr>
            </w:pPr>
          </w:p>
        </w:tc>
        <w:tc>
          <w:tcPr>
            <w:tcW w:w="1705" w:type="dxa"/>
            <w:tcBorders>
              <w:top w:val="single" w:sz="12" w:space="0" w:color="auto"/>
              <w:left w:val="single" w:sz="2" w:space="0" w:color="auto"/>
              <w:bottom w:val="single" w:sz="12" w:space="0" w:color="auto"/>
              <w:right w:val="single" w:sz="2" w:space="0" w:color="auto"/>
            </w:tcBorders>
            <w:vAlign w:val="center"/>
          </w:tcPr>
          <w:p w14:paraId="2B590021" w14:textId="77777777" w:rsidR="006918A0" w:rsidRPr="006918A0" w:rsidRDefault="006918A0" w:rsidP="006918A0">
            <w:pPr>
              <w:spacing w:before="60" w:after="60" w:line="200" w:lineRule="exact"/>
              <w:jc w:val="right"/>
              <w:rPr>
                <w:b/>
                <w:bCs/>
                <w:noProof/>
                <w:color w:val="000000"/>
                <w:sz w:val="20"/>
                <w:szCs w:val="20"/>
              </w:rPr>
            </w:pPr>
          </w:p>
        </w:tc>
      </w:tr>
      <w:tr w:rsidR="006918A0" w:rsidRPr="006918A0" w14:paraId="683DC427"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50928D9D" w14:textId="77777777" w:rsidR="006918A0" w:rsidRPr="006918A0" w:rsidRDefault="006918A0" w:rsidP="006918A0">
            <w:pPr>
              <w:spacing w:before="60" w:after="60" w:line="200" w:lineRule="exact"/>
              <w:jc w:val="center"/>
              <w:rPr>
                <w:noProof/>
                <w:sz w:val="16"/>
                <w:szCs w:val="16"/>
              </w:rPr>
            </w:pPr>
            <w:r w:rsidRPr="006918A0">
              <w:rPr>
                <w:b/>
                <w:noProof/>
                <w:sz w:val="16"/>
              </w:rPr>
              <w:t>TOTAL</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214F948E" w14:textId="77777777" w:rsidR="006918A0" w:rsidRPr="006918A0" w:rsidRDefault="006918A0" w:rsidP="006918A0">
            <w:pPr>
              <w:spacing w:before="20" w:after="20" w:line="276" w:lineRule="auto"/>
              <w:jc w:val="right"/>
              <w:rPr>
                <w:noProof/>
                <w:sz w:val="20"/>
              </w:rPr>
            </w:pPr>
            <w:r w:rsidRPr="006918A0">
              <w:rPr>
                <w:b/>
                <w:bCs/>
                <w:noProof/>
                <w:sz w:val="20"/>
                <w:szCs w:val="20"/>
              </w:rPr>
              <w:t>0.122</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0502E13C" w14:textId="77777777" w:rsidR="006918A0" w:rsidRPr="006918A0" w:rsidRDefault="006918A0" w:rsidP="006918A0">
            <w:pPr>
              <w:spacing w:before="20" w:after="20" w:line="276" w:lineRule="auto"/>
              <w:jc w:val="right"/>
              <w:rPr>
                <w:noProof/>
                <w:sz w:val="20"/>
              </w:rPr>
            </w:pPr>
            <w:r w:rsidRPr="006918A0">
              <w:rPr>
                <w:b/>
                <w:bCs/>
                <w:noProof/>
                <w:sz w:val="20"/>
                <w:szCs w:val="20"/>
              </w:rPr>
              <w:t>0.161</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5A875F83" w14:textId="77777777" w:rsidR="006918A0" w:rsidRPr="006918A0" w:rsidRDefault="006918A0" w:rsidP="006918A0">
            <w:pPr>
              <w:spacing w:before="20" w:after="20" w:line="276" w:lineRule="auto"/>
              <w:jc w:val="right"/>
              <w:rPr>
                <w:noProof/>
                <w:sz w:val="20"/>
              </w:rPr>
            </w:pPr>
            <w:r w:rsidRPr="006918A0">
              <w:rPr>
                <w:b/>
                <w:bCs/>
                <w:noProof/>
                <w:sz w:val="20"/>
                <w:szCs w:val="20"/>
              </w:rPr>
              <w:t>0.159</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667FE95" w14:textId="77777777" w:rsidR="006918A0" w:rsidRPr="006918A0" w:rsidRDefault="006918A0" w:rsidP="006918A0">
            <w:pPr>
              <w:spacing w:before="20" w:after="20" w:line="276" w:lineRule="auto"/>
              <w:jc w:val="right"/>
              <w:rPr>
                <w:noProof/>
                <w:sz w:val="20"/>
              </w:rPr>
            </w:pPr>
            <w:r w:rsidRPr="006918A0">
              <w:rPr>
                <w:b/>
                <w:bCs/>
                <w:noProof/>
                <w:sz w:val="20"/>
                <w:szCs w:val="20"/>
              </w:rPr>
              <w:t>0.065</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2E9E5360" w14:textId="77777777" w:rsidR="006918A0" w:rsidRPr="006918A0" w:rsidRDefault="006918A0" w:rsidP="006918A0">
            <w:pPr>
              <w:spacing w:before="60" w:after="60" w:line="200" w:lineRule="exact"/>
              <w:jc w:val="right"/>
              <w:rPr>
                <w:noProof/>
                <w:sz w:val="16"/>
                <w:szCs w:val="16"/>
              </w:rPr>
            </w:pPr>
            <w:r w:rsidRPr="006918A0">
              <w:rPr>
                <w:b/>
                <w:bCs/>
                <w:noProof/>
                <w:sz w:val="20"/>
                <w:szCs w:val="20"/>
              </w:rPr>
              <w:t>0.017</w:t>
            </w:r>
          </w:p>
        </w:tc>
        <w:tc>
          <w:tcPr>
            <w:tcW w:w="1705" w:type="dxa"/>
            <w:tcBorders>
              <w:top w:val="single" w:sz="12" w:space="0" w:color="auto"/>
              <w:left w:val="single" w:sz="2" w:space="0" w:color="auto"/>
              <w:bottom w:val="single" w:sz="12" w:space="0" w:color="auto"/>
              <w:right w:val="single" w:sz="2" w:space="0" w:color="auto"/>
            </w:tcBorders>
            <w:vAlign w:val="center"/>
            <w:hideMark/>
          </w:tcPr>
          <w:p w14:paraId="0AF15B07" w14:textId="77777777" w:rsidR="006918A0" w:rsidRPr="006918A0" w:rsidRDefault="006918A0" w:rsidP="006918A0">
            <w:pPr>
              <w:spacing w:before="60" w:after="60" w:line="200" w:lineRule="exact"/>
              <w:jc w:val="right"/>
              <w:rPr>
                <w:b/>
                <w:noProof/>
                <w:sz w:val="18"/>
                <w:szCs w:val="18"/>
              </w:rPr>
            </w:pPr>
            <w:r w:rsidRPr="006918A0">
              <w:rPr>
                <w:b/>
                <w:bCs/>
                <w:noProof/>
                <w:color w:val="000000"/>
                <w:sz w:val="20"/>
                <w:szCs w:val="20"/>
              </w:rPr>
              <w:t>0,524</w:t>
            </w:r>
          </w:p>
        </w:tc>
      </w:tr>
    </w:tbl>
    <w:p w14:paraId="249AF73E" w14:textId="77777777" w:rsidR="006918A0" w:rsidRPr="006918A0" w:rsidRDefault="006918A0" w:rsidP="006918A0">
      <w:pPr>
        <w:rPr>
          <w:noProof/>
          <w:sz w:val="18"/>
        </w:rPr>
      </w:pPr>
    </w:p>
    <w:p w14:paraId="680BCEA7" w14:textId="77777777" w:rsidR="006918A0" w:rsidRPr="006918A0" w:rsidRDefault="006918A0" w:rsidP="006918A0">
      <w:pPr>
        <w:rPr>
          <w:noProof/>
          <w:sz w:val="18"/>
        </w:rPr>
      </w:pPr>
    </w:p>
    <w:tbl>
      <w:tblPr>
        <w:tblW w:w="951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1"/>
        <w:gridCol w:w="1080"/>
        <w:gridCol w:w="1080"/>
        <w:gridCol w:w="1080"/>
        <w:gridCol w:w="1080"/>
        <w:gridCol w:w="1080"/>
        <w:gridCol w:w="2129"/>
      </w:tblGrid>
      <w:tr w:rsidR="00555CA4" w:rsidRPr="006918A0" w14:paraId="1FD17F12"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14:paraId="2803C14C" w14:textId="77777777" w:rsidR="006918A0" w:rsidRPr="006918A0" w:rsidRDefault="006918A0" w:rsidP="006918A0">
            <w:pPr>
              <w:spacing w:before="60" w:after="60" w:line="200" w:lineRule="exact"/>
              <w:jc w:val="center"/>
              <w:rPr>
                <w:noProof/>
                <w:sz w:val="16"/>
                <w:szCs w:val="16"/>
              </w:rPr>
            </w:pPr>
            <w:r w:rsidRPr="006918A0">
              <w:rPr>
                <w:b/>
                <w:noProof/>
                <w:sz w:val="16"/>
              </w:rPr>
              <w:t>Outside HEADING 7</w:t>
            </w:r>
            <w:r w:rsidRPr="00F26004">
              <w:rPr>
                <w:rStyle w:val="FootnoteReference"/>
                <w:noProof/>
              </w:rPr>
              <w:footnoteReference w:id="54"/>
            </w:r>
            <w:r w:rsidRPr="006918A0">
              <w:rPr>
                <w:noProof/>
              </w:rPr>
              <w:br/>
            </w:r>
            <w:r w:rsidRPr="006918A0">
              <w:rPr>
                <w:b/>
                <w:noProof/>
                <w:sz w:val="16"/>
              </w:rPr>
              <w:t xml:space="preserve">of the multiannual financial framework </w:t>
            </w:r>
          </w:p>
          <w:p w14:paraId="331B5847" w14:textId="77777777" w:rsidR="006918A0" w:rsidRPr="006918A0" w:rsidRDefault="006918A0" w:rsidP="006918A0">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B166333"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4E87956"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583C1F7"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AB505E2"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DAF912F" w14:textId="77777777" w:rsidR="006918A0" w:rsidRPr="006918A0" w:rsidRDefault="006918A0" w:rsidP="006918A0">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13618900" w14:textId="77777777" w:rsidR="006918A0" w:rsidRPr="006918A0" w:rsidRDefault="006918A0" w:rsidP="006918A0">
            <w:pPr>
              <w:spacing w:before="60" w:after="60" w:line="200" w:lineRule="exact"/>
              <w:jc w:val="right"/>
              <w:rPr>
                <w:b/>
                <w:noProof/>
                <w:sz w:val="16"/>
                <w:szCs w:val="16"/>
              </w:rPr>
            </w:pPr>
          </w:p>
        </w:tc>
      </w:tr>
      <w:tr w:rsidR="006918A0" w:rsidRPr="006918A0" w14:paraId="36C7775C"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4304A69D" w14:textId="77777777" w:rsidR="006918A0" w:rsidRPr="006918A0" w:rsidRDefault="006918A0" w:rsidP="006918A0">
            <w:pPr>
              <w:spacing w:before="60" w:after="60" w:line="200" w:lineRule="exact"/>
              <w:ind w:left="72"/>
              <w:jc w:val="left"/>
              <w:rPr>
                <w:noProof/>
                <w:sz w:val="16"/>
                <w:szCs w:val="16"/>
              </w:rPr>
            </w:pPr>
            <w:r w:rsidRPr="006918A0">
              <w:rPr>
                <w:noProof/>
                <w:sz w:val="16"/>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14:paraId="24789D0B"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22D77D4"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55AC8C5"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6D515B7"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7AEF9C1" w14:textId="77777777" w:rsidR="006918A0" w:rsidRPr="006918A0" w:rsidRDefault="006918A0" w:rsidP="006918A0">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2EB026A6" w14:textId="77777777" w:rsidR="006918A0" w:rsidRPr="006918A0" w:rsidRDefault="006918A0" w:rsidP="006918A0">
            <w:pPr>
              <w:spacing w:before="60" w:after="60" w:line="200" w:lineRule="exact"/>
              <w:jc w:val="right"/>
              <w:rPr>
                <w:b/>
                <w:noProof/>
                <w:sz w:val="16"/>
                <w:szCs w:val="16"/>
              </w:rPr>
            </w:pPr>
          </w:p>
        </w:tc>
      </w:tr>
      <w:tr w:rsidR="006918A0" w:rsidRPr="006918A0" w14:paraId="3AFA88FB"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1D3AE216" w14:textId="77777777" w:rsidR="006918A0" w:rsidRPr="006918A0" w:rsidRDefault="006918A0" w:rsidP="006918A0">
            <w:pPr>
              <w:spacing w:before="60" w:after="60" w:line="200" w:lineRule="exact"/>
              <w:ind w:left="72"/>
              <w:jc w:val="left"/>
              <w:rPr>
                <w:noProof/>
                <w:sz w:val="16"/>
                <w:szCs w:val="16"/>
              </w:rPr>
            </w:pPr>
            <w:r w:rsidRPr="006918A0">
              <w:rPr>
                <w:noProof/>
                <w:sz w:val="16"/>
              </w:rPr>
              <w:t xml:space="preserve">Other expenditure </w:t>
            </w:r>
            <w:r w:rsidRPr="006918A0">
              <w:rPr>
                <w:noProof/>
              </w:rPr>
              <w:br/>
            </w:r>
            <w:r w:rsidRPr="006918A0">
              <w:rPr>
                <w:noProof/>
                <w:sz w:val="16"/>
              </w:rP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tcPr>
          <w:p w14:paraId="77001B6A"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A289EE7"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364E53F"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0BBA038"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8FE4143" w14:textId="77777777" w:rsidR="006918A0" w:rsidRPr="006918A0" w:rsidRDefault="006918A0" w:rsidP="006918A0">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3D1A74AB" w14:textId="77777777" w:rsidR="006918A0" w:rsidRPr="006918A0" w:rsidRDefault="006918A0" w:rsidP="006918A0">
            <w:pPr>
              <w:spacing w:before="60" w:after="60" w:line="200" w:lineRule="exact"/>
              <w:jc w:val="right"/>
              <w:rPr>
                <w:b/>
                <w:noProof/>
                <w:sz w:val="16"/>
                <w:szCs w:val="16"/>
              </w:rPr>
            </w:pPr>
          </w:p>
        </w:tc>
      </w:tr>
      <w:tr w:rsidR="00555CA4" w:rsidRPr="006918A0" w14:paraId="09DA54BF" w14:textId="77777777" w:rsidTr="000430BD">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3865DC40" w14:textId="77777777" w:rsidR="006918A0" w:rsidRPr="006918A0" w:rsidRDefault="006918A0" w:rsidP="006918A0">
            <w:pPr>
              <w:spacing w:before="60" w:after="60" w:line="200" w:lineRule="exact"/>
              <w:jc w:val="center"/>
              <w:rPr>
                <w:b/>
                <w:noProof/>
                <w:sz w:val="16"/>
                <w:szCs w:val="16"/>
              </w:rPr>
            </w:pPr>
            <w:r w:rsidRPr="006918A0">
              <w:rPr>
                <w:b/>
                <w:noProof/>
                <w:sz w:val="16"/>
              </w:rPr>
              <w:t xml:space="preserve">Subtotal </w:t>
            </w:r>
            <w:r w:rsidRPr="006918A0">
              <w:rPr>
                <w:noProof/>
              </w:rPr>
              <w:br/>
            </w:r>
            <w:r w:rsidRPr="006918A0">
              <w:rPr>
                <w:b/>
                <w:noProof/>
                <w:sz w:val="16"/>
              </w:rPr>
              <w:t>outside HEADING 7</w:t>
            </w:r>
            <w:r w:rsidRPr="006918A0">
              <w:rPr>
                <w:noProof/>
              </w:rPr>
              <w:br/>
            </w:r>
            <w:r w:rsidRPr="006918A0">
              <w:rPr>
                <w:b/>
                <w:noProof/>
                <w:sz w:val="16"/>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14:paraId="36BF5FA3"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6C4C8A1"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651AF38"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6BBABF2" w14:textId="77777777" w:rsidR="006918A0" w:rsidRPr="006918A0" w:rsidRDefault="006918A0" w:rsidP="006918A0">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8C02A06" w14:textId="77777777" w:rsidR="006918A0" w:rsidRPr="006918A0" w:rsidRDefault="006918A0" w:rsidP="006918A0">
            <w:pPr>
              <w:spacing w:before="60" w:after="60" w:line="200" w:lineRule="exact"/>
              <w:jc w:val="right"/>
              <w:rPr>
                <w:noProof/>
                <w:sz w:val="16"/>
                <w:szCs w:val="16"/>
              </w:rPr>
            </w:pPr>
          </w:p>
        </w:tc>
        <w:tc>
          <w:tcPr>
            <w:tcW w:w="2129" w:type="dxa"/>
            <w:tcBorders>
              <w:top w:val="single" w:sz="2" w:space="0" w:color="auto"/>
              <w:left w:val="single" w:sz="2" w:space="0" w:color="auto"/>
              <w:bottom w:val="single" w:sz="2" w:space="0" w:color="auto"/>
              <w:right w:val="single" w:sz="2" w:space="0" w:color="auto"/>
            </w:tcBorders>
            <w:vAlign w:val="center"/>
          </w:tcPr>
          <w:p w14:paraId="4F18EA1E" w14:textId="77777777" w:rsidR="006918A0" w:rsidRPr="006918A0" w:rsidRDefault="006918A0" w:rsidP="006918A0">
            <w:pPr>
              <w:spacing w:before="60" w:after="60" w:line="200" w:lineRule="exact"/>
              <w:jc w:val="right"/>
              <w:rPr>
                <w:b/>
                <w:noProof/>
                <w:sz w:val="16"/>
                <w:szCs w:val="16"/>
              </w:rPr>
            </w:pPr>
          </w:p>
        </w:tc>
      </w:tr>
    </w:tbl>
    <w:p w14:paraId="17F1E0AE" w14:textId="77777777" w:rsidR="006918A0" w:rsidRPr="006918A0" w:rsidRDefault="006918A0" w:rsidP="006918A0">
      <w:pPr>
        <w:rPr>
          <w:noProof/>
          <w:sz w:val="18"/>
        </w:rPr>
      </w:pPr>
    </w:p>
    <w:p w14:paraId="35453D04" w14:textId="77777777" w:rsidR="006918A0" w:rsidRPr="006918A0" w:rsidRDefault="006918A0" w:rsidP="006918A0">
      <w:pPr>
        <w:rPr>
          <w:noProof/>
          <w:sz w:val="18"/>
        </w:rPr>
      </w:pPr>
    </w:p>
    <w:tbl>
      <w:tblPr>
        <w:tblW w:w="9510" w:type="dxa"/>
        <w:tblInd w:w="-612" w:type="dxa"/>
        <w:tblLayout w:type="fixed"/>
        <w:tblLook w:val="01E0" w:firstRow="1" w:lastRow="1" w:firstColumn="1" w:lastColumn="1" w:noHBand="0" w:noVBand="0"/>
      </w:tblPr>
      <w:tblGrid>
        <w:gridCol w:w="1981"/>
        <w:gridCol w:w="1080"/>
        <w:gridCol w:w="1080"/>
        <w:gridCol w:w="1080"/>
        <w:gridCol w:w="1080"/>
        <w:gridCol w:w="1080"/>
        <w:gridCol w:w="2129"/>
      </w:tblGrid>
      <w:tr w:rsidR="00555CA4" w:rsidRPr="006918A0" w14:paraId="668018DD" w14:textId="77777777" w:rsidTr="000430BD">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3C429912" w14:textId="77777777" w:rsidR="006918A0" w:rsidRPr="006918A0" w:rsidRDefault="006918A0" w:rsidP="006918A0">
            <w:pPr>
              <w:spacing w:before="60" w:after="60" w:line="200" w:lineRule="exact"/>
              <w:jc w:val="center"/>
              <w:rPr>
                <w:noProof/>
                <w:sz w:val="16"/>
                <w:szCs w:val="16"/>
              </w:rPr>
            </w:pPr>
            <w:r w:rsidRPr="006918A0">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61F7207A" w14:textId="77777777" w:rsidR="006918A0" w:rsidRPr="006918A0" w:rsidRDefault="006918A0" w:rsidP="006918A0">
            <w:pPr>
              <w:spacing w:before="60" w:after="60" w:line="200" w:lineRule="exact"/>
              <w:jc w:val="right"/>
              <w:rPr>
                <w:b/>
                <w:noProof/>
                <w:sz w:val="16"/>
                <w:szCs w:val="16"/>
              </w:rPr>
            </w:pPr>
            <w:r w:rsidRPr="006918A0">
              <w:rPr>
                <w:noProof/>
                <w:sz w:val="20"/>
                <w:szCs w:val="20"/>
              </w:rPr>
              <w:t>0.122</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60A5D976" w14:textId="77777777" w:rsidR="006918A0" w:rsidRPr="006918A0" w:rsidRDefault="006918A0" w:rsidP="006918A0">
            <w:pPr>
              <w:spacing w:before="60" w:after="60" w:line="200" w:lineRule="exact"/>
              <w:jc w:val="right"/>
              <w:rPr>
                <w:b/>
                <w:noProof/>
                <w:sz w:val="16"/>
                <w:szCs w:val="16"/>
              </w:rPr>
            </w:pPr>
            <w:r w:rsidRPr="006918A0">
              <w:rPr>
                <w:noProof/>
                <w:sz w:val="20"/>
                <w:szCs w:val="20"/>
              </w:rPr>
              <w:t>0.161</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55946858" w14:textId="77777777" w:rsidR="006918A0" w:rsidRPr="006918A0" w:rsidRDefault="006918A0" w:rsidP="006918A0">
            <w:pPr>
              <w:spacing w:before="60" w:after="60" w:line="200" w:lineRule="exact"/>
              <w:jc w:val="right"/>
              <w:rPr>
                <w:b/>
                <w:noProof/>
                <w:sz w:val="16"/>
                <w:szCs w:val="16"/>
              </w:rPr>
            </w:pPr>
            <w:r w:rsidRPr="006918A0">
              <w:rPr>
                <w:noProof/>
                <w:sz w:val="20"/>
                <w:szCs w:val="20"/>
              </w:rPr>
              <w:t>0.159</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3973E810" w14:textId="77777777" w:rsidR="006918A0" w:rsidRPr="006918A0" w:rsidRDefault="006918A0" w:rsidP="006918A0">
            <w:pPr>
              <w:spacing w:before="60" w:after="60" w:line="200" w:lineRule="exact"/>
              <w:jc w:val="right"/>
              <w:rPr>
                <w:b/>
                <w:noProof/>
                <w:sz w:val="16"/>
                <w:szCs w:val="16"/>
              </w:rPr>
            </w:pPr>
            <w:r w:rsidRPr="006918A0">
              <w:rPr>
                <w:noProof/>
                <w:sz w:val="20"/>
                <w:szCs w:val="20"/>
              </w:rPr>
              <w:t>0.065</w:t>
            </w:r>
          </w:p>
        </w:tc>
        <w:tc>
          <w:tcPr>
            <w:tcW w:w="1080" w:type="dxa"/>
            <w:tcBorders>
              <w:top w:val="single" w:sz="12" w:space="0" w:color="auto"/>
              <w:left w:val="single" w:sz="2" w:space="0" w:color="auto"/>
              <w:bottom w:val="single" w:sz="12" w:space="0" w:color="auto"/>
              <w:right w:val="single" w:sz="2" w:space="0" w:color="auto"/>
            </w:tcBorders>
            <w:vAlign w:val="center"/>
            <w:hideMark/>
          </w:tcPr>
          <w:p w14:paraId="2E9A7D76" w14:textId="77777777" w:rsidR="006918A0" w:rsidRPr="006918A0" w:rsidRDefault="006918A0" w:rsidP="006918A0">
            <w:pPr>
              <w:spacing w:before="60" w:after="60" w:line="200" w:lineRule="exact"/>
              <w:jc w:val="right"/>
              <w:rPr>
                <w:b/>
                <w:noProof/>
                <w:sz w:val="16"/>
                <w:szCs w:val="16"/>
              </w:rPr>
            </w:pPr>
            <w:r w:rsidRPr="006918A0">
              <w:rPr>
                <w:noProof/>
                <w:sz w:val="20"/>
                <w:szCs w:val="20"/>
              </w:rPr>
              <w:t>0.017</w:t>
            </w:r>
          </w:p>
        </w:tc>
        <w:tc>
          <w:tcPr>
            <w:tcW w:w="2129" w:type="dxa"/>
            <w:tcBorders>
              <w:top w:val="single" w:sz="12" w:space="0" w:color="auto"/>
              <w:left w:val="single" w:sz="2" w:space="0" w:color="auto"/>
              <w:bottom w:val="single" w:sz="12" w:space="0" w:color="auto"/>
              <w:right w:val="single" w:sz="12" w:space="0" w:color="auto"/>
            </w:tcBorders>
            <w:vAlign w:val="center"/>
            <w:hideMark/>
          </w:tcPr>
          <w:p w14:paraId="77CBF4ED" w14:textId="77777777" w:rsidR="006918A0" w:rsidRPr="006918A0" w:rsidRDefault="006918A0" w:rsidP="006918A0">
            <w:pPr>
              <w:spacing w:before="60" w:after="60" w:line="200" w:lineRule="exact"/>
              <w:jc w:val="right"/>
              <w:rPr>
                <w:b/>
                <w:noProof/>
                <w:sz w:val="16"/>
                <w:szCs w:val="16"/>
              </w:rPr>
            </w:pPr>
            <w:r w:rsidRPr="006918A0">
              <w:rPr>
                <w:b/>
                <w:bCs/>
                <w:noProof/>
                <w:color w:val="000000"/>
                <w:sz w:val="20"/>
                <w:szCs w:val="20"/>
              </w:rPr>
              <w:t>0,524</w:t>
            </w:r>
          </w:p>
        </w:tc>
      </w:tr>
    </w:tbl>
    <w:p w14:paraId="5B46BE5C" w14:textId="77777777" w:rsidR="006918A0" w:rsidRPr="006918A0" w:rsidRDefault="006918A0" w:rsidP="006918A0">
      <w:pPr>
        <w:rPr>
          <w:noProof/>
          <w:sz w:val="18"/>
        </w:rPr>
      </w:pPr>
    </w:p>
    <w:p w14:paraId="4401B4BA" w14:textId="77777777" w:rsidR="006918A0" w:rsidRPr="006918A0" w:rsidRDefault="006918A0" w:rsidP="006918A0">
      <w:pPr>
        <w:rPr>
          <w:noProof/>
          <w:sz w:val="18"/>
        </w:rPr>
      </w:pPr>
      <w:r w:rsidRPr="006918A0">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107F0D3A" w14:textId="77777777" w:rsidR="006918A0" w:rsidRPr="006918A0" w:rsidRDefault="006918A0" w:rsidP="006918A0">
      <w:pPr>
        <w:spacing w:before="0" w:after="0"/>
        <w:jc w:val="left"/>
        <w:rPr>
          <w:noProof/>
          <w:sz w:val="18"/>
        </w:rPr>
        <w:sectPr w:rsidR="006918A0" w:rsidRPr="006918A0" w:rsidSect="00B018F6">
          <w:headerReference w:type="default" r:id="rId22"/>
          <w:footerReference w:type="default" r:id="rId23"/>
          <w:headerReference w:type="first" r:id="rId24"/>
          <w:footerReference w:type="first" r:id="rId25"/>
          <w:pgSz w:w="11907" w:h="16840"/>
          <w:pgMar w:top="1134" w:right="1418" w:bottom="1134" w:left="1418" w:header="709" w:footer="709" w:gutter="0"/>
          <w:cols w:space="720"/>
          <w:docGrid w:linePitch="326"/>
        </w:sectPr>
      </w:pPr>
    </w:p>
    <w:p w14:paraId="752B32BF" w14:textId="77777777" w:rsidR="006918A0" w:rsidRPr="006918A0" w:rsidRDefault="00287904" w:rsidP="00287904">
      <w:pPr>
        <w:pStyle w:val="ManualHeading4"/>
        <w:rPr>
          <w:noProof/>
          <w:szCs w:val="24"/>
        </w:rPr>
      </w:pPr>
      <w:r>
        <w:rPr>
          <w:noProof/>
        </w:rPr>
        <w:tab/>
      </w:r>
      <w:r w:rsidR="006918A0" w:rsidRPr="006918A0">
        <w:rPr>
          <w:noProof/>
        </w:rPr>
        <w:t>3.2.3.1</w:t>
      </w:r>
      <w:r>
        <w:rPr>
          <w:noProof/>
        </w:rPr>
        <w:t xml:space="preserve"> </w:t>
      </w:r>
      <w:r w:rsidR="006918A0" w:rsidRPr="006918A0">
        <w:rPr>
          <w:noProof/>
        </w:rPr>
        <w:t>Estimated requirements of human resources</w:t>
      </w:r>
    </w:p>
    <w:p w14:paraId="1546D0EF" w14:textId="77777777" w:rsidR="006918A0" w:rsidRPr="006918A0" w:rsidRDefault="006918A0" w:rsidP="006918A0">
      <w:pPr>
        <w:tabs>
          <w:tab w:val="num" w:pos="1134"/>
        </w:tabs>
        <w:ind w:left="1134" w:hanging="283"/>
        <w:rPr>
          <w:rFonts w:eastAsia="Times New Roman"/>
          <w:noProof/>
          <w:lang w:eastAsia="de-DE"/>
        </w:rPr>
      </w:pPr>
      <w:r w:rsidRPr="006918A0">
        <w:rPr>
          <w:rFonts w:ascii="Wingdings" w:eastAsia="Wingdings" w:hAnsi="Wingdings" w:cs="Wingdings"/>
          <w:noProof/>
          <w:lang w:eastAsia="de-DE"/>
        </w:rPr>
        <w:t></w:t>
      </w:r>
      <w:r w:rsidRPr="006918A0">
        <w:rPr>
          <w:rFonts w:eastAsia="Times New Roman"/>
          <w:noProof/>
          <w:lang w:eastAsia="de-DE"/>
        </w:rPr>
        <w:tab/>
        <w:t xml:space="preserve">The proposal/initiative does not require the use of human resources. </w:t>
      </w:r>
    </w:p>
    <w:p w14:paraId="58CA2AED" w14:textId="77777777" w:rsidR="006918A0" w:rsidRPr="006918A0" w:rsidRDefault="006918A0" w:rsidP="006918A0">
      <w:pPr>
        <w:tabs>
          <w:tab w:val="num" w:pos="1134"/>
        </w:tabs>
        <w:ind w:left="1134" w:hanging="283"/>
        <w:rPr>
          <w:rFonts w:eastAsia="Times New Roman"/>
          <w:noProof/>
          <w:lang w:eastAsia="de-DE"/>
        </w:rPr>
      </w:pPr>
      <w:r w:rsidRPr="006918A0">
        <w:rPr>
          <w:rFonts w:ascii="Wingdings" w:eastAsia="Wingdings" w:hAnsi="Wingdings" w:cs="Wingdings"/>
          <w:noProof/>
          <w:lang w:eastAsia="de-DE"/>
        </w:rPr>
        <w:t></w:t>
      </w:r>
      <w:r w:rsidRPr="006918A0">
        <w:rPr>
          <w:rFonts w:eastAsia="Times New Roman"/>
          <w:noProof/>
          <w:lang w:eastAsia="de-DE"/>
        </w:rPr>
        <w:tab/>
        <w:t>The proposal/initiative requires the use of human resources, as explained below:</w:t>
      </w:r>
    </w:p>
    <w:p w14:paraId="5EDDB896" w14:textId="77777777" w:rsidR="006918A0" w:rsidRPr="006918A0" w:rsidRDefault="006918A0" w:rsidP="006918A0">
      <w:pPr>
        <w:tabs>
          <w:tab w:val="left" w:pos="720"/>
        </w:tabs>
        <w:ind w:left="1134" w:hanging="283"/>
        <w:rPr>
          <w:rFonts w:eastAsia="Times New Roman"/>
          <w:noProof/>
          <w:lang w:eastAsia="de-DE"/>
        </w:rPr>
      </w:pP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
        <w:gridCol w:w="2376"/>
        <w:gridCol w:w="2378"/>
        <w:gridCol w:w="731"/>
        <w:gridCol w:w="731"/>
        <w:gridCol w:w="731"/>
        <w:gridCol w:w="731"/>
        <w:gridCol w:w="731"/>
        <w:gridCol w:w="1462"/>
      </w:tblGrid>
      <w:tr w:rsidR="006918A0" w:rsidRPr="006918A0" w14:paraId="20FEB3AA"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tcPr>
          <w:p w14:paraId="7AFF414F" w14:textId="77777777" w:rsidR="006918A0" w:rsidRPr="006918A0" w:rsidRDefault="006918A0" w:rsidP="006918A0">
            <w:pPr>
              <w:spacing w:before="40" w:after="40" w:line="276" w:lineRule="auto"/>
              <w:jc w:val="center"/>
              <w:rPr>
                <w:i/>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hideMark/>
          </w:tcPr>
          <w:p w14:paraId="2D796657" w14:textId="77777777" w:rsidR="006918A0" w:rsidRPr="006918A0" w:rsidRDefault="006918A0" w:rsidP="006918A0">
            <w:pPr>
              <w:spacing w:before="20" w:after="20" w:line="276" w:lineRule="auto"/>
              <w:jc w:val="center"/>
              <w:rPr>
                <w:noProof/>
                <w:sz w:val="16"/>
                <w:szCs w:val="16"/>
              </w:rPr>
            </w:pPr>
            <w:r w:rsidRPr="006918A0">
              <w:rPr>
                <w:noProof/>
                <w:sz w:val="16"/>
              </w:rPr>
              <w:t>2023</w:t>
            </w:r>
          </w:p>
        </w:tc>
        <w:tc>
          <w:tcPr>
            <w:tcW w:w="731" w:type="dxa"/>
            <w:tcBorders>
              <w:top w:val="single" w:sz="6" w:space="0" w:color="auto"/>
              <w:left w:val="single" w:sz="6" w:space="0" w:color="auto"/>
              <w:bottom w:val="single" w:sz="6" w:space="0" w:color="auto"/>
              <w:right w:val="single" w:sz="6" w:space="0" w:color="auto"/>
            </w:tcBorders>
            <w:vAlign w:val="center"/>
            <w:hideMark/>
          </w:tcPr>
          <w:p w14:paraId="2557EE26" w14:textId="77777777" w:rsidR="006918A0" w:rsidRPr="006918A0" w:rsidRDefault="006918A0" w:rsidP="006918A0">
            <w:pPr>
              <w:spacing w:before="20" w:after="20" w:line="276" w:lineRule="auto"/>
              <w:jc w:val="center"/>
              <w:rPr>
                <w:noProof/>
                <w:sz w:val="16"/>
                <w:szCs w:val="16"/>
              </w:rPr>
            </w:pPr>
            <w:r w:rsidRPr="006918A0">
              <w:rPr>
                <w:noProof/>
                <w:sz w:val="16"/>
              </w:rPr>
              <w:t>2024</w:t>
            </w:r>
          </w:p>
        </w:tc>
        <w:tc>
          <w:tcPr>
            <w:tcW w:w="731" w:type="dxa"/>
            <w:tcBorders>
              <w:top w:val="single" w:sz="6" w:space="0" w:color="auto"/>
              <w:left w:val="single" w:sz="6" w:space="0" w:color="auto"/>
              <w:bottom w:val="single" w:sz="6" w:space="0" w:color="auto"/>
              <w:right w:val="single" w:sz="6" w:space="0" w:color="auto"/>
            </w:tcBorders>
            <w:vAlign w:val="center"/>
            <w:hideMark/>
          </w:tcPr>
          <w:p w14:paraId="3957F9C7" w14:textId="77777777" w:rsidR="006918A0" w:rsidRPr="006918A0" w:rsidRDefault="006918A0" w:rsidP="006918A0">
            <w:pPr>
              <w:spacing w:before="20" w:after="20" w:line="276" w:lineRule="auto"/>
              <w:jc w:val="center"/>
              <w:rPr>
                <w:noProof/>
                <w:sz w:val="16"/>
                <w:szCs w:val="16"/>
              </w:rPr>
            </w:pPr>
            <w:r w:rsidRPr="006918A0">
              <w:rPr>
                <w:noProof/>
                <w:sz w:val="16"/>
                <w:szCs w:val="16"/>
              </w:rPr>
              <w:t>2025</w:t>
            </w:r>
          </w:p>
        </w:tc>
        <w:tc>
          <w:tcPr>
            <w:tcW w:w="731" w:type="dxa"/>
            <w:tcBorders>
              <w:top w:val="single" w:sz="6" w:space="0" w:color="auto"/>
              <w:left w:val="single" w:sz="6" w:space="0" w:color="auto"/>
              <w:bottom w:val="single" w:sz="6" w:space="0" w:color="auto"/>
              <w:right w:val="single" w:sz="6" w:space="0" w:color="auto"/>
            </w:tcBorders>
            <w:vAlign w:val="center"/>
            <w:hideMark/>
          </w:tcPr>
          <w:p w14:paraId="7F161630" w14:textId="77777777" w:rsidR="006918A0" w:rsidRPr="006918A0" w:rsidRDefault="006918A0" w:rsidP="006918A0">
            <w:pPr>
              <w:spacing w:before="20" w:after="20" w:line="276" w:lineRule="auto"/>
              <w:jc w:val="center"/>
              <w:rPr>
                <w:noProof/>
                <w:sz w:val="16"/>
                <w:szCs w:val="16"/>
              </w:rPr>
            </w:pPr>
            <w:r w:rsidRPr="006918A0">
              <w:rPr>
                <w:noProof/>
                <w:sz w:val="16"/>
                <w:szCs w:val="16"/>
              </w:rPr>
              <w:t>2026</w:t>
            </w:r>
          </w:p>
        </w:tc>
        <w:tc>
          <w:tcPr>
            <w:tcW w:w="731" w:type="dxa"/>
            <w:tcBorders>
              <w:top w:val="single" w:sz="6" w:space="0" w:color="auto"/>
              <w:left w:val="single" w:sz="6" w:space="0" w:color="auto"/>
              <w:bottom w:val="single" w:sz="6" w:space="0" w:color="auto"/>
              <w:right w:val="single" w:sz="6" w:space="0" w:color="auto"/>
            </w:tcBorders>
            <w:vAlign w:val="center"/>
            <w:hideMark/>
          </w:tcPr>
          <w:p w14:paraId="0D5E39E9" w14:textId="77777777" w:rsidR="006918A0" w:rsidRPr="006918A0" w:rsidRDefault="006918A0" w:rsidP="006918A0">
            <w:pPr>
              <w:spacing w:line="276" w:lineRule="auto"/>
              <w:jc w:val="center"/>
              <w:rPr>
                <w:b/>
                <w:noProof/>
                <w:sz w:val="16"/>
                <w:szCs w:val="16"/>
              </w:rPr>
            </w:pPr>
            <w:r w:rsidRPr="006918A0">
              <w:rPr>
                <w:noProof/>
                <w:sz w:val="16"/>
                <w:szCs w:val="16"/>
              </w:rPr>
              <w:t>2027</w:t>
            </w:r>
          </w:p>
        </w:tc>
        <w:tc>
          <w:tcPr>
            <w:tcW w:w="1462" w:type="dxa"/>
            <w:tcBorders>
              <w:top w:val="single" w:sz="6" w:space="0" w:color="auto"/>
              <w:left w:val="single" w:sz="6" w:space="0" w:color="auto"/>
              <w:bottom w:val="single" w:sz="6" w:space="0" w:color="auto"/>
              <w:right w:val="single" w:sz="6" w:space="0" w:color="auto"/>
            </w:tcBorders>
            <w:vAlign w:val="center"/>
            <w:hideMark/>
          </w:tcPr>
          <w:p w14:paraId="72E04688" w14:textId="77777777" w:rsidR="006918A0" w:rsidRPr="006918A0" w:rsidRDefault="006918A0" w:rsidP="006918A0">
            <w:pPr>
              <w:spacing w:line="276" w:lineRule="auto"/>
              <w:jc w:val="center"/>
              <w:rPr>
                <w:b/>
                <w:noProof/>
                <w:sz w:val="16"/>
                <w:szCs w:val="16"/>
              </w:rPr>
            </w:pPr>
            <w:r w:rsidRPr="006918A0">
              <w:rPr>
                <w:b/>
                <w:bCs/>
                <w:noProof/>
                <w:sz w:val="16"/>
                <w:szCs w:val="16"/>
              </w:rPr>
              <w:t>Total</w:t>
            </w:r>
          </w:p>
        </w:tc>
      </w:tr>
      <w:tr w:rsidR="006918A0" w:rsidRPr="006918A0" w14:paraId="21FD30E2" w14:textId="77777777" w:rsidTr="000430BD">
        <w:trPr>
          <w:gridBefore w:val="1"/>
          <w:wBefore w:w="15" w:type="dxa"/>
          <w:trHeight w:val="289"/>
          <w:jc w:val="center"/>
        </w:trPr>
        <w:tc>
          <w:tcPr>
            <w:tcW w:w="9871" w:type="dxa"/>
            <w:gridSpan w:val="8"/>
            <w:tcBorders>
              <w:top w:val="single" w:sz="6" w:space="0" w:color="auto"/>
              <w:left w:val="single" w:sz="6" w:space="0" w:color="auto"/>
              <w:bottom w:val="single" w:sz="6" w:space="0" w:color="auto"/>
              <w:right w:val="single" w:sz="6" w:space="0" w:color="auto"/>
            </w:tcBorders>
            <w:hideMark/>
          </w:tcPr>
          <w:p w14:paraId="663F35BB" w14:textId="77777777" w:rsidR="006918A0" w:rsidRPr="006918A0" w:rsidRDefault="006918A0" w:rsidP="006918A0">
            <w:pPr>
              <w:spacing w:line="276" w:lineRule="auto"/>
              <w:jc w:val="left"/>
              <w:rPr>
                <w:noProof/>
                <w:sz w:val="16"/>
                <w:szCs w:val="16"/>
              </w:rPr>
            </w:pPr>
            <w:r w:rsidRPr="004202F1">
              <w:rPr>
                <w:rFonts w:ascii="Wingdings" w:hAnsi="Wingdings"/>
                <w:b/>
                <w:noProof/>
                <w:sz w:val="16"/>
              </w:rPr>
              <w:sym w:font="Wingdings" w:char="F09F"/>
            </w:r>
            <w:r w:rsidRPr="006918A0">
              <w:rPr>
                <w:b/>
                <w:noProof/>
                <w:sz w:val="16"/>
              </w:rPr>
              <w:t xml:space="preserve"> Establishment plan posts (officials and temporary staff)</w:t>
            </w:r>
          </w:p>
        </w:tc>
      </w:tr>
      <w:tr w:rsidR="006918A0" w:rsidRPr="006918A0" w14:paraId="36BE6F7B"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94921CD" w14:textId="77777777" w:rsidR="006918A0" w:rsidRPr="006918A0" w:rsidRDefault="006918A0" w:rsidP="006918A0">
            <w:pPr>
              <w:spacing w:beforeLines="20" w:before="48" w:afterLines="20" w:after="48" w:line="276" w:lineRule="auto"/>
              <w:ind w:left="984"/>
              <w:jc w:val="left"/>
              <w:rPr>
                <w:b/>
                <w:noProof/>
                <w:sz w:val="16"/>
                <w:szCs w:val="16"/>
              </w:rPr>
            </w:pPr>
            <w:r w:rsidRPr="006918A0">
              <w:rPr>
                <w:noProof/>
                <w:sz w:val="16"/>
              </w:rPr>
              <w:t>20 01 02 01</w:t>
            </w:r>
            <w:r w:rsidRPr="006918A0">
              <w:rPr>
                <w:rFonts w:ascii="Arial Narrow" w:hAnsi="Arial Narrow"/>
                <w:noProof/>
                <w:color w:val="000000"/>
                <w:sz w:val="20"/>
                <w:szCs w:val="20"/>
              </w:rPr>
              <w:t xml:space="preserve"> </w:t>
            </w:r>
            <w:r w:rsidRPr="006918A0">
              <w:rPr>
                <w:noProof/>
                <w:sz w:val="16"/>
              </w:rPr>
              <w:t>(Headquarters and Commission’s Representation Offices)</w:t>
            </w:r>
          </w:p>
        </w:tc>
        <w:tc>
          <w:tcPr>
            <w:tcW w:w="731" w:type="dxa"/>
            <w:tcBorders>
              <w:top w:val="single" w:sz="6" w:space="0" w:color="auto"/>
              <w:left w:val="single" w:sz="6" w:space="0" w:color="auto"/>
              <w:bottom w:val="single" w:sz="6" w:space="0" w:color="auto"/>
              <w:right w:val="single" w:sz="6" w:space="0" w:color="auto"/>
            </w:tcBorders>
            <w:vAlign w:val="center"/>
            <w:hideMark/>
          </w:tcPr>
          <w:p w14:paraId="55A264D4" w14:textId="77777777" w:rsidR="006918A0" w:rsidRPr="006918A0" w:rsidRDefault="006918A0" w:rsidP="006918A0">
            <w:pPr>
              <w:spacing w:beforeLines="20" w:before="48" w:afterLines="20" w:after="48" w:line="276" w:lineRule="auto"/>
              <w:jc w:val="center"/>
              <w:rPr>
                <w:noProof/>
                <w:sz w:val="16"/>
                <w:szCs w:val="16"/>
              </w:rPr>
            </w:pPr>
            <w:r w:rsidRPr="006918A0">
              <w:rPr>
                <w:noProof/>
                <w:sz w:val="16"/>
                <w:szCs w:val="16"/>
              </w:rPr>
              <w:t>0.75</w:t>
            </w:r>
          </w:p>
        </w:tc>
        <w:tc>
          <w:tcPr>
            <w:tcW w:w="731" w:type="dxa"/>
            <w:tcBorders>
              <w:top w:val="single" w:sz="6" w:space="0" w:color="auto"/>
              <w:left w:val="single" w:sz="6" w:space="0" w:color="auto"/>
              <w:bottom w:val="single" w:sz="6" w:space="0" w:color="auto"/>
              <w:right w:val="single" w:sz="6" w:space="0" w:color="auto"/>
            </w:tcBorders>
            <w:vAlign w:val="center"/>
            <w:hideMark/>
          </w:tcPr>
          <w:p w14:paraId="5202EB10" w14:textId="77777777" w:rsidR="006918A0" w:rsidRPr="006918A0" w:rsidRDefault="006918A0" w:rsidP="006918A0">
            <w:pPr>
              <w:spacing w:beforeLines="20" w:before="48" w:afterLines="20" w:after="48" w:line="276" w:lineRule="auto"/>
              <w:jc w:val="center"/>
              <w:rPr>
                <w:noProof/>
                <w:sz w:val="16"/>
                <w:szCs w:val="16"/>
              </w:rPr>
            </w:pPr>
            <w:r w:rsidRPr="006918A0">
              <w:rPr>
                <w:noProof/>
                <w:sz w:val="16"/>
                <w:szCs w:val="16"/>
              </w:rPr>
              <w:t>1</w:t>
            </w:r>
          </w:p>
        </w:tc>
        <w:tc>
          <w:tcPr>
            <w:tcW w:w="731" w:type="dxa"/>
            <w:tcBorders>
              <w:top w:val="single" w:sz="6" w:space="0" w:color="auto"/>
              <w:left w:val="single" w:sz="6" w:space="0" w:color="auto"/>
              <w:bottom w:val="single" w:sz="6" w:space="0" w:color="auto"/>
              <w:right w:val="single" w:sz="6" w:space="0" w:color="auto"/>
            </w:tcBorders>
            <w:vAlign w:val="center"/>
            <w:hideMark/>
          </w:tcPr>
          <w:p w14:paraId="55009AAE" w14:textId="77777777" w:rsidR="006918A0" w:rsidRPr="006918A0" w:rsidRDefault="006918A0" w:rsidP="006918A0">
            <w:pPr>
              <w:spacing w:beforeLines="20" w:before="48" w:afterLines="20" w:after="48" w:line="276" w:lineRule="auto"/>
              <w:jc w:val="center"/>
              <w:rPr>
                <w:noProof/>
                <w:sz w:val="16"/>
                <w:szCs w:val="16"/>
              </w:rPr>
            </w:pPr>
            <w:r w:rsidRPr="006918A0">
              <w:rPr>
                <w:noProof/>
                <w:sz w:val="16"/>
                <w:szCs w:val="16"/>
              </w:rPr>
              <w:t>1</w:t>
            </w:r>
          </w:p>
        </w:tc>
        <w:tc>
          <w:tcPr>
            <w:tcW w:w="731" w:type="dxa"/>
            <w:tcBorders>
              <w:top w:val="single" w:sz="6" w:space="0" w:color="auto"/>
              <w:left w:val="single" w:sz="6" w:space="0" w:color="auto"/>
              <w:bottom w:val="single" w:sz="6" w:space="0" w:color="auto"/>
              <w:right w:val="single" w:sz="6" w:space="0" w:color="auto"/>
            </w:tcBorders>
            <w:vAlign w:val="center"/>
            <w:hideMark/>
          </w:tcPr>
          <w:p w14:paraId="133AE532" w14:textId="77777777" w:rsidR="006918A0" w:rsidRPr="006918A0" w:rsidRDefault="006918A0" w:rsidP="006918A0">
            <w:pPr>
              <w:spacing w:beforeLines="20" w:before="48" w:afterLines="20" w:after="48" w:line="276" w:lineRule="auto"/>
              <w:jc w:val="center"/>
              <w:rPr>
                <w:noProof/>
                <w:sz w:val="16"/>
                <w:szCs w:val="16"/>
              </w:rPr>
            </w:pPr>
            <w:r w:rsidRPr="006918A0">
              <w:rPr>
                <w:noProof/>
                <w:sz w:val="16"/>
                <w:szCs w:val="16"/>
              </w:rPr>
              <w:t>0.4</w:t>
            </w:r>
          </w:p>
        </w:tc>
        <w:tc>
          <w:tcPr>
            <w:tcW w:w="731" w:type="dxa"/>
            <w:tcBorders>
              <w:top w:val="single" w:sz="6" w:space="0" w:color="auto"/>
              <w:left w:val="single" w:sz="6" w:space="0" w:color="auto"/>
              <w:bottom w:val="single" w:sz="6" w:space="0" w:color="auto"/>
              <w:right w:val="single" w:sz="6" w:space="0" w:color="auto"/>
            </w:tcBorders>
            <w:vAlign w:val="center"/>
            <w:hideMark/>
          </w:tcPr>
          <w:p w14:paraId="55777CCA" w14:textId="77777777" w:rsidR="006918A0" w:rsidRPr="006918A0" w:rsidRDefault="006918A0" w:rsidP="006918A0">
            <w:pPr>
              <w:spacing w:beforeLines="20" w:before="48" w:afterLines="20" w:after="48" w:line="276" w:lineRule="auto"/>
              <w:jc w:val="center"/>
              <w:rPr>
                <w:noProof/>
                <w:sz w:val="16"/>
                <w:szCs w:val="16"/>
              </w:rPr>
            </w:pPr>
            <w:r w:rsidRPr="006918A0">
              <w:rPr>
                <w:noProof/>
                <w:sz w:val="16"/>
                <w:szCs w:val="16"/>
              </w:rPr>
              <w:t>0.1</w:t>
            </w:r>
          </w:p>
        </w:tc>
        <w:tc>
          <w:tcPr>
            <w:tcW w:w="1462" w:type="dxa"/>
            <w:tcBorders>
              <w:top w:val="single" w:sz="6" w:space="0" w:color="auto"/>
              <w:left w:val="single" w:sz="6" w:space="0" w:color="auto"/>
              <w:bottom w:val="single" w:sz="6" w:space="0" w:color="auto"/>
              <w:right w:val="single" w:sz="6" w:space="0" w:color="auto"/>
            </w:tcBorders>
            <w:vAlign w:val="center"/>
            <w:hideMark/>
          </w:tcPr>
          <w:p w14:paraId="63FB321D" w14:textId="77777777" w:rsidR="006918A0" w:rsidRPr="006918A0" w:rsidRDefault="006918A0" w:rsidP="006918A0">
            <w:pPr>
              <w:spacing w:beforeLines="20" w:before="48" w:afterLines="20" w:after="48" w:line="276" w:lineRule="auto"/>
              <w:jc w:val="right"/>
              <w:rPr>
                <w:noProof/>
                <w:sz w:val="16"/>
                <w:szCs w:val="16"/>
              </w:rPr>
            </w:pPr>
            <w:r w:rsidRPr="006918A0">
              <w:rPr>
                <w:b/>
                <w:bCs/>
                <w:noProof/>
                <w:sz w:val="16"/>
                <w:szCs w:val="16"/>
              </w:rPr>
              <w:t>3.25</w:t>
            </w:r>
          </w:p>
        </w:tc>
      </w:tr>
      <w:tr w:rsidR="006918A0" w:rsidRPr="006918A0" w14:paraId="023D9A9E"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42C79F92" w14:textId="77777777" w:rsidR="006918A0" w:rsidRPr="006918A0" w:rsidRDefault="006918A0" w:rsidP="006918A0">
            <w:pPr>
              <w:spacing w:beforeLines="20" w:before="48" w:afterLines="20" w:after="48" w:line="276" w:lineRule="auto"/>
              <w:ind w:left="984"/>
              <w:jc w:val="left"/>
              <w:rPr>
                <w:noProof/>
                <w:sz w:val="16"/>
              </w:rPr>
            </w:pPr>
            <w:r w:rsidRPr="006918A0">
              <w:rPr>
                <w:noProof/>
                <w:sz w:val="16"/>
              </w:rPr>
              <w:t>20 01 02 03 (Delegations)</w:t>
            </w:r>
          </w:p>
        </w:tc>
        <w:tc>
          <w:tcPr>
            <w:tcW w:w="731" w:type="dxa"/>
            <w:tcBorders>
              <w:top w:val="single" w:sz="6" w:space="0" w:color="auto"/>
              <w:left w:val="single" w:sz="6" w:space="0" w:color="auto"/>
              <w:bottom w:val="single" w:sz="6" w:space="0" w:color="auto"/>
              <w:right w:val="single" w:sz="6" w:space="0" w:color="auto"/>
            </w:tcBorders>
            <w:vAlign w:val="center"/>
          </w:tcPr>
          <w:p w14:paraId="7F416E5D"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C33ED2F"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F1EE03E"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E8D7EE5"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549DEE6" w14:textId="77777777" w:rsidR="006918A0" w:rsidRPr="006918A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6DF8F0DF" w14:textId="77777777" w:rsidR="006918A0" w:rsidRPr="006918A0" w:rsidRDefault="006918A0" w:rsidP="006918A0">
            <w:pPr>
              <w:spacing w:beforeLines="20" w:before="48" w:afterLines="20" w:after="48" w:line="276" w:lineRule="auto"/>
              <w:jc w:val="center"/>
              <w:rPr>
                <w:noProof/>
                <w:sz w:val="16"/>
                <w:szCs w:val="16"/>
              </w:rPr>
            </w:pPr>
          </w:p>
        </w:tc>
      </w:tr>
      <w:tr w:rsidR="006918A0" w:rsidRPr="006918A0" w14:paraId="402DB315"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0615FC4" w14:textId="77777777" w:rsidR="006918A0" w:rsidRPr="006918A0" w:rsidRDefault="006918A0" w:rsidP="006918A0">
            <w:pPr>
              <w:spacing w:beforeLines="20" w:before="48" w:afterLines="20" w:after="48" w:line="276" w:lineRule="auto"/>
              <w:ind w:left="984"/>
              <w:jc w:val="left"/>
              <w:rPr>
                <w:noProof/>
                <w:sz w:val="16"/>
                <w:szCs w:val="16"/>
              </w:rPr>
            </w:pPr>
            <w:r w:rsidRPr="006918A0">
              <w:rPr>
                <w:noProof/>
                <w:sz w:val="16"/>
              </w:rPr>
              <w:t>01 01 01 01</w:t>
            </w:r>
            <w:r w:rsidRPr="006918A0">
              <w:rPr>
                <w:rFonts w:ascii="Arial Narrow" w:hAnsi="Arial Narrow"/>
                <w:noProof/>
                <w:color w:val="000000"/>
                <w:sz w:val="20"/>
                <w:szCs w:val="20"/>
              </w:rPr>
              <w:t xml:space="preserve"> </w:t>
            </w:r>
            <w:r w:rsidRPr="006918A0">
              <w:rPr>
                <w:noProof/>
                <w:sz w:val="16"/>
              </w:rPr>
              <w:t xml:space="preserve"> (Indirect research)</w:t>
            </w:r>
          </w:p>
        </w:tc>
        <w:tc>
          <w:tcPr>
            <w:tcW w:w="731" w:type="dxa"/>
            <w:tcBorders>
              <w:top w:val="single" w:sz="6" w:space="0" w:color="auto"/>
              <w:left w:val="single" w:sz="6" w:space="0" w:color="auto"/>
              <w:bottom w:val="single" w:sz="6" w:space="0" w:color="auto"/>
              <w:right w:val="single" w:sz="6" w:space="0" w:color="auto"/>
            </w:tcBorders>
            <w:vAlign w:val="center"/>
          </w:tcPr>
          <w:p w14:paraId="02A396CF"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8DD3AF2"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A2B3527"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6A2DE7A"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13DC8D5" w14:textId="77777777" w:rsidR="006918A0" w:rsidRPr="006918A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4A4E7D67" w14:textId="77777777" w:rsidR="006918A0" w:rsidRPr="006918A0" w:rsidRDefault="006918A0" w:rsidP="006918A0">
            <w:pPr>
              <w:spacing w:beforeLines="20" w:before="48" w:afterLines="20" w:after="48" w:line="276" w:lineRule="auto"/>
              <w:jc w:val="center"/>
              <w:rPr>
                <w:noProof/>
                <w:sz w:val="16"/>
                <w:szCs w:val="16"/>
              </w:rPr>
            </w:pPr>
          </w:p>
        </w:tc>
      </w:tr>
      <w:tr w:rsidR="006918A0" w:rsidRPr="006918A0" w14:paraId="660C975A"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343BFE3A" w14:textId="77777777" w:rsidR="006918A0" w:rsidRPr="006918A0" w:rsidRDefault="006918A0" w:rsidP="006918A0">
            <w:pPr>
              <w:spacing w:beforeLines="20" w:before="48" w:afterLines="20" w:after="48" w:line="276" w:lineRule="auto"/>
              <w:ind w:left="984"/>
              <w:jc w:val="left"/>
              <w:rPr>
                <w:noProof/>
                <w:sz w:val="16"/>
                <w:szCs w:val="16"/>
              </w:rPr>
            </w:pPr>
            <w:r w:rsidRPr="006918A0">
              <w:rPr>
                <w:noProof/>
                <w:sz w:val="16"/>
              </w:rPr>
              <w:t xml:space="preserve"> 01 01 01 11 (Direct research)</w:t>
            </w:r>
          </w:p>
        </w:tc>
        <w:tc>
          <w:tcPr>
            <w:tcW w:w="731" w:type="dxa"/>
            <w:tcBorders>
              <w:top w:val="single" w:sz="6" w:space="0" w:color="auto"/>
              <w:left w:val="single" w:sz="6" w:space="0" w:color="auto"/>
              <w:bottom w:val="single" w:sz="6" w:space="0" w:color="auto"/>
              <w:right w:val="single" w:sz="6" w:space="0" w:color="auto"/>
            </w:tcBorders>
            <w:vAlign w:val="center"/>
          </w:tcPr>
          <w:p w14:paraId="7C94C97D"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302B91E"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A84A5B7"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DD63405"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D969C26" w14:textId="77777777" w:rsidR="006918A0" w:rsidRPr="006918A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15F15312" w14:textId="77777777" w:rsidR="006918A0" w:rsidRPr="006918A0" w:rsidRDefault="006918A0" w:rsidP="006918A0">
            <w:pPr>
              <w:spacing w:beforeLines="20" w:before="48" w:afterLines="20" w:after="48" w:line="276" w:lineRule="auto"/>
              <w:jc w:val="center"/>
              <w:rPr>
                <w:noProof/>
                <w:sz w:val="16"/>
                <w:szCs w:val="16"/>
              </w:rPr>
            </w:pPr>
          </w:p>
        </w:tc>
      </w:tr>
      <w:tr w:rsidR="006918A0" w:rsidRPr="006918A0" w14:paraId="64A742B9"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C175248" w14:textId="77777777" w:rsidR="006918A0" w:rsidRPr="006918A0" w:rsidRDefault="006918A0" w:rsidP="006918A0">
            <w:pPr>
              <w:spacing w:beforeLines="20" w:before="48" w:afterLines="20" w:after="48" w:line="276" w:lineRule="auto"/>
              <w:ind w:left="984"/>
              <w:jc w:val="left"/>
              <w:rPr>
                <w:noProof/>
                <w:sz w:val="16"/>
              </w:rPr>
            </w:pPr>
            <w:r w:rsidRPr="006918A0">
              <w:rPr>
                <w:noProof/>
                <w:sz w:val="16"/>
              </w:rPr>
              <w:t>Other budget lines (specify)</w:t>
            </w:r>
          </w:p>
        </w:tc>
        <w:tc>
          <w:tcPr>
            <w:tcW w:w="731" w:type="dxa"/>
            <w:tcBorders>
              <w:top w:val="single" w:sz="6" w:space="0" w:color="auto"/>
              <w:left w:val="single" w:sz="6" w:space="0" w:color="auto"/>
              <w:bottom w:val="single" w:sz="6" w:space="0" w:color="auto"/>
              <w:right w:val="single" w:sz="6" w:space="0" w:color="auto"/>
            </w:tcBorders>
            <w:vAlign w:val="center"/>
          </w:tcPr>
          <w:p w14:paraId="75BC4DEC"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40658A9"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284240A"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2674289"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E7076BB" w14:textId="77777777" w:rsidR="006918A0" w:rsidRPr="006918A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3B87D29A" w14:textId="77777777" w:rsidR="006918A0" w:rsidRPr="006918A0" w:rsidRDefault="006918A0" w:rsidP="006918A0">
            <w:pPr>
              <w:spacing w:beforeLines="20" w:before="48" w:afterLines="20" w:after="48" w:line="276" w:lineRule="auto"/>
              <w:jc w:val="center"/>
              <w:rPr>
                <w:noProof/>
                <w:sz w:val="16"/>
                <w:szCs w:val="16"/>
              </w:rPr>
            </w:pPr>
          </w:p>
        </w:tc>
      </w:tr>
      <w:tr w:rsidR="006918A0" w:rsidRPr="006918A0" w14:paraId="39371835" w14:textId="77777777" w:rsidTr="000430BD">
        <w:trPr>
          <w:trHeight w:val="248"/>
          <w:jc w:val="center"/>
        </w:trPr>
        <w:tc>
          <w:tcPr>
            <w:tcW w:w="9886" w:type="dxa"/>
            <w:gridSpan w:val="9"/>
            <w:tcBorders>
              <w:top w:val="single" w:sz="6" w:space="0" w:color="auto"/>
              <w:left w:val="single" w:sz="6" w:space="0" w:color="auto"/>
              <w:bottom w:val="single" w:sz="6" w:space="0" w:color="auto"/>
              <w:right w:val="single" w:sz="6" w:space="0" w:color="auto"/>
            </w:tcBorders>
            <w:vAlign w:val="center"/>
          </w:tcPr>
          <w:p w14:paraId="7FB798CE" w14:textId="77777777" w:rsidR="006918A0" w:rsidRPr="006918A0" w:rsidRDefault="006918A0" w:rsidP="006918A0">
            <w:pPr>
              <w:spacing w:before="60" w:after="60" w:line="276" w:lineRule="auto"/>
              <w:jc w:val="left"/>
              <w:rPr>
                <w:b/>
                <w:noProof/>
                <w:sz w:val="16"/>
                <w:szCs w:val="16"/>
              </w:rPr>
            </w:pPr>
            <w:r w:rsidRPr="004202F1">
              <w:rPr>
                <w:b/>
                <w:noProof/>
                <w:sz w:val="16"/>
              </w:rPr>
              <w:sym w:font="Wingdings" w:char="F09F"/>
            </w:r>
            <w:r w:rsidRPr="006918A0">
              <w:rPr>
                <w:b/>
                <w:noProof/>
                <w:sz w:val="16"/>
              </w:rPr>
              <w:t xml:space="preserve"> External staff (in Full Time Equivalent unit: FTE)</w:t>
            </w:r>
            <w:r w:rsidRPr="00F26004">
              <w:rPr>
                <w:rStyle w:val="FootnoteReference"/>
                <w:noProof/>
              </w:rPr>
              <w:footnoteReference w:id="55"/>
            </w:r>
          </w:p>
          <w:p w14:paraId="416E22BA" w14:textId="77777777" w:rsidR="006918A0" w:rsidRPr="006918A0" w:rsidRDefault="006918A0" w:rsidP="006918A0">
            <w:pPr>
              <w:spacing w:before="0" w:after="0" w:line="276" w:lineRule="auto"/>
              <w:jc w:val="left"/>
              <w:rPr>
                <w:noProof/>
                <w:sz w:val="16"/>
                <w:szCs w:val="16"/>
              </w:rPr>
            </w:pPr>
          </w:p>
        </w:tc>
      </w:tr>
      <w:tr w:rsidR="006918A0" w:rsidRPr="006918A0" w14:paraId="6FC90485"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11A86C8B" w14:textId="77777777" w:rsidR="006918A0" w:rsidRPr="006918A0" w:rsidRDefault="006918A0" w:rsidP="006918A0">
            <w:pPr>
              <w:spacing w:beforeLines="20" w:before="48" w:afterLines="20" w:after="48" w:line="276" w:lineRule="auto"/>
              <w:ind w:left="986"/>
              <w:jc w:val="left"/>
              <w:rPr>
                <w:b/>
                <w:noProof/>
                <w:sz w:val="16"/>
                <w:szCs w:val="16"/>
              </w:rPr>
            </w:pPr>
            <w:r w:rsidRPr="006918A0">
              <w:rPr>
                <w:noProof/>
                <w:sz w:val="16"/>
              </w:rPr>
              <w:t>20 02 01</w:t>
            </w:r>
            <w:r w:rsidRPr="006918A0">
              <w:rPr>
                <w:rFonts w:ascii="Arial Narrow" w:hAnsi="Arial Narrow"/>
                <w:noProof/>
                <w:color w:val="000000"/>
                <w:sz w:val="20"/>
                <w:szCs w:val="20"/>
              </w:rPr>
              <w:t xml:space="preserve"> </w:t>
            </w:r>
            <w:r w:rsidRPr="006918A0">
              <w:rPr>
                <w:noProof/>
                <w:sz w:val="16"/>
              </w:rPr>
              <w:t>(AC, END, INT from the ‘global envelope’)</w:t>
            </w:r>
          </w:p>
        </w:tc>
        <w:tc>
          <w:tcPr>
            <w:tcW w:w="731" w:type="dxa"/>
            <w:tcBorders>
              <w:top w:val="single" w:sz="6" w:space="0" w:color="auto"/>
              <w:left w:val="single" w:sz="6" w:space="0" w:color="auto"/>
              <w:bottom w:val="single" w:sz="6" w:space="0" w:color="auto"/>
              <w:right w:val="single" w:sz="6" w:space="0" w:color="auto"/>
            </w:tcBorders>
            <w:vAlign w:val="center"/>
          </w:tcPr>
          <w:p w14:paraId="0558C852"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A09B1A1"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0F03E0A"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B88C339"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8B64763" w14:textId="77777777" w:rsidR="006918A0" w:rsidRPr="006918A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53DD6719" w14:textId="77777777" w:rsidR="006918A0" w:rsidRPr="006918A0" w:rsidRDefault="006918A0" w:rsidP="006918A0">
            <w:pPr>
              <w:spacing w:beforeLines="20" w:before="48" w:afterLines="20" w:after="48" w:line="276" w:lineRule="auto"/>
              <w:jc w:val="center"/>
              <w:rPr>
                <w:noProof/>
                <w:sz w:val="16"/>
                <w:szCs w:val="16"/>
              </w:rPr>
            </w:pPr>
          </w:p>
        </w:tc>
      </w:tr>
      <w:tr w:rsidR="006918A0" w:rsidRPr="006918A0" w14:paraId="1170097B"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0DBF4560" w14:textId="77777777" w:rsidR="006918A0" w:rsidRPr="006918A0" w:rsidRDefault="006918A0" w:rsidP="006918A0">
            <w:pPr>
              <w:spacing w:beforeLines="20" w:before="48" w:afterLines="20" w:after="48" w:line="276" w:lineRule="auto"/>
              <w:ind w:left="986"/>
              <w:jc w:val="left"/>
              <w:rPr>
                <w:noProof/>
                <w:sz w:val="16"/>
              </w:rPr>
            </w:pPr>
            <w:r w:rsidRPr="006918A0">
              <w:rPr>
                <w:noProof/>
                <w:sz w:val="16"/>
              </w:rPr>
              <w:t>20 02 03 (AC, AL, END, INT and JPD in the delegations)</w:t>
            </w:r>
          </w:p>
        </w:tc>
        <w:tc>
          <w:tcPr>
            <w:tcW w:w="731" w:type="dxa"/>
            <w:tcBorders>
              <w:top w:val="single" w:sz="6" w:space="0" w:color="auto"/>
              <w:left w:val="single" w:sz="6" w:space="0" w:color="auto"/>
              <w:bottom w:val="single" w:sz="6" w:space="0" w:color="auto"/>
              <w:right w:val="single" w:sz="6" w:space="0" w:color="auto"/>
            </w:tcBorders>
            <w:vAlign w:val="center"/>
          </w:tcPr>
          <w:p w14:paraId="7DD52C71"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616F092"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9180540"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98E5DF6"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5B78DEB" w14:textId="77777777" w:rsidR="006918A0" w:rsidRPr="006918A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2DCC4B43" w14:textId="77777777" w:rsidR="006918A0" w:rsidRPr="006918A0" w:rsidRDefault="006918A0" w:rsidP="006918A0">
            <w:pPr>
              <w:spacing w:beforeLines="20" w:before="48" w:afterLines="20" w:after="48" w:line="276" w:lineRule="auto"/>
              <w:jc w:val="center"/>
              <w:rPr>
                <w:noProof/>
                <w:sz w:val="16"/>
                <w:szCs w:val="16"/>
              </w:rPr>
            </w:pPr>
          </w:p>
        </w:tc>
      </w:tr>
      <w:tr w:rsidR="006918A0" w:rsidRPr="006918A0" w14:paraId="7DEA6A58" w14:textId="77777777" w:rsidTr="000430BD">
        <w:trPr>
          <w:gridBefore w:val="1"/>
          <w:wBefore w:w="15" w:type="dxa"/>
          <w:trHeight w:val="289"/>
          <w:jc w:val="center"/>
        </w:trPr>
        <w:tc>
          <w:tcPr>
            <w:tcW w:w="2376" w:type="dxa"/>
            <w:vMerge w:val="restart"/>
            <w:tcBorders>
              <w:top w:val="single" w:sz="6" w:space="0" w:color="auto"/>
              <w:left w:val="single" w:sz="6" w:space="0" w:color="auto"/>
              <w:bottom w:val="single" w:sz="6" w:space="0" w:color="auto"/>
              <w:right w:val="single" w:sz="6" w:space="0" w:color="auto"/>
            </w:tcBorders>
            <w:vAlign w:val="center"/>
          </w:tcPr>
          <w:p w14:paraId="122879BF" w14:textId="77777777" w:rsidR="006918A0" w:rsidRPr="006918A0" w:rsidRDefault="006918A0" w:rsidP="006918A0">
            <w:pPr>
              <w:spacing w:beforeLines="20" w:before="48" w:afterLines="20" w:after="48" w:line="276" w:lineRule="auto"/>
              <w:ind w:left="986"/>
              <w:jc w:val="left"/>
              <w:rPr>
                <w:b/>
                <w:noProof/>
                <w:sz w:val="16"/>
                <w:szCs w:val="16"/>
              </w:rPr>
            </w:pPr>
            <w:r w:rsidRPr="006918A0">
              <w:rPr>
                <w:b/>
                <w:noProof/>
                <w:sz w:val="16"/>
                <w:szCs w:val="16"/>
              </w:rPr>
              <w:t>XX</w:t>
            </w:r>
            <w:r w:rsidRPr="006918A0">
              <w:rPr>
                <w:noProof/>
                <w:sz w:val="16"/>
                <w:szCs w:val="16"/>
              </w:rPr>
              <w:t xml:space="preserve"> 01  xx </w:t>
            </w:r>
            <w:r w:rsidRPr="006918A0">
              <w:rPr>
                <w:b/>
                <w:noProof/>
                <w:sz w:val="16"/>
                <w:szCs w:val="16"/>
              </w:rPr>
              <w:t xml:space="preserve">yy zz </w:t>
            </w:r>
            <w:r w:rsidRPr="006918A0">
              <w:rPr>
                <w:b/>
                <w:i/>
                <w:noProof/>
                <w:sz w:val="16"/>
              </w:rPr>
              <w:t xml:space="preserve"> </w:t>
            </w:r>
            <w:r w:rsidRPr="00F26004">
              <w:rPr>
                <w:rStyle w:val="FootnoteReference"/>
                <w:noProof/>
              </w:rPr>
              <w:footnoteReference w:id="56"/>
            </w:r>
          </w:p>
          <w:p w14:paraId="35D3417F" w14:textId="77777777" w:rsidR="006918A0" w:rsidRPr="006918A0" w:rsidRDefault="006918A0" w:rsidP="006918A0">
            <w:pPr>
              <w:spacing w:beforeLines="20" w:before="48" w:afterLines="20" w:after="48" w:line="276" w:lineRule="auto"/>
              <w:ind w:left="986"/>
              <w:jc w:val="left"/>
              <w:rPr>
                <w:b/>
                <w:noProof/>
                <w:sz w:val="16"/>
                <w:szCs w:val="16"/>
              </w:rPr>
            </w:pPr>
          </w:p>
        </w:tc>
        <w:tc>
          <w:tcPr>
            <w:tcW w:w="2378" w:type="dxa"/>
            <w:tcBorders>
              <w:top w:val="single" w:sz="6" w:space="0" w:color="auto"/>
              <w:left w:val="single" w:sz="6" w:space="0" w:color="auto"/>
              <w:bottom w:val="single" w:sz="6" w:space="0" w:color="auto"/>
              <w:right w:val="single" w:sz="6" w:space="0" w:color="auto"/>
            </w:tcBorders>
            <w:vAlign w:val="center"/>
          </w:tcPr>
          <w:p w14:paraId="048465F4" w14:textId="77777777" w:rsidR="006918A0" w:rsidRPr="006918A0" w:rsidRDefault="006918A0" w:rsidP="006918A0">
            <w:pPr>
              <w:spacing w:beforeLines="20" w:before="48" w:afterLines="20" w:after="48" w:line="276" w:lineRule="auto"/>
              <w:ind w:left="986"/>
              <w:jc w:val="left"/>
              <w:rPr>
                <w:b/>
                <w:noProof/>
                <w:sz w:val="16"/>
                <w:szCs w:val="16"/>
              </w:rPr>
            </w:pPr>
            <w:r w:rsidRPr="006918A0">
              <w:rPr>
                <w:noProof/>
                <w:sz w:val="16"/>
              </w:rPr>
              <w:t>- at Headquarters</w:t>
            </w:r>
          </w:p>
          <w:p w14:paraId="6647F9AF" w14:textId="77777777" w:rsidR="006918A0" w:rsidRPr="006918A0" w:rsidRDefault="006918A0" w:rsidP="006918A0">
            <w:pPr>
              <w:spacing w:beforeLines="20" w:before="48" w:afterLines="20" w:after="48" w:line="276" w:lineRule="auto"/>
              <w:ind w:left="986"/>
              <w:jc w:val="left"/>
              <w:rPr>
                <w:b/>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242A9AE" w14:textId="77777777" w:rsidR="006918A0" w:rsidRPr="006918A0" w:rsidRDefault="006918A0" w:rsidP="006918A0">
            <w:pPr>
              <w:spacing w:beforeLines="20" w:before="48" w:afterLines="20" w:after="48" w:line="276" w:lineRule="auto"/>
              <w:ind w:left="850"/>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27462C3"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5FD91B4"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BCB8F72"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B4AC5DB" w14:textId="77777777" w:rsidR="006918A0" w:rsidRPr="006918A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3E953A4D" w14:textId="77777777" w:rsidR="006918A0" w:rsidRPr="006918A0" w:rsidRDefault="006918A0" w:rsidP="006918A0">
            <w:pPr>
              <w:spacing w:beforeLines="20" w:before="48" w:afterLines="20" w:after="48" w:line="276" w:lineRule="auto"/>
              <w:jc w:val="center"/>
              <w:rPr>
                <w:noProof/>
                <w:sz w:val="16"/>
                <w:szCs w:val="16"/>
              </w:rPr>
            </w:pPr>
          </w:p>
        </w:tc>
      </w:tr>
      <w:tr w:rsidR="006918A0" w:rsidRPr="006918A0" w14:paraId="782FD36C" w14:textId="77777777" w:rsidTr="004202F1">
        <w:trPr>
          <w:gridBefore w:val="1"/>
          <w:wBefore w:w="15" w:type="dxa"/>
          <w:trHeight w:val="289"/>
          <w:jc w:val="center"/>
        </w:trPr>
        <w:tc>
          <w:tcPr>
            <w:tcW w:w="9871" w:type="dxa"/>
            <w:vMerge/>
            <w:vAlign w:val="center"/>
            <w:hideMark/>
          </w:tcPr>
          <w:p w14:paraId="24FEB206" w14:textId="77777777" w:rsidR="006918A0" w:rsidRPr="006918A0" w:rsidRDefault="006918A0" w:rsidP="006918A0">
            <w:pPr>
              <w:spacing w:before="0" w:after="0" w:line="276" w:lineRule="auto"/>
              <w:jc w:val="left"/>
              <w:rPr>
                <w:b/>
                <w:noProof/>
                <w:sz w:val="16"/>
                <w:szCs w:val="16"/>
              </w:rPr>
            </w:pPr>
          </w:p>
        </w:tc>
        <w:tc>
          <w:tcPr>
            <w:tcW w:w="2378" w:type="dxa"/>
            <w:tcBorders>
              <w:top w:val="single" w:sz="6" w:space="0" w:color="auto"/>
              <w:left w:val="single" w:sz="6" w:space="0" w:color="auto"/>
              <w:bottom w:val="single" w:sz="6" w:space="0" w:color="auto"/>
              <w:right w:val="single" w:sz="6" w:space="0" w:color="auto"/>
            </w:tcBorders>
            <w:vAlign w:val="center"/>
            <w:hideMark/>
          </w:tcPr>
          <w:p w14:paraId="5A0053FD" w14:textId="77777777" w:rsidR="006918A0" w:rsidRPr="006918A0" w:rsidRDefault="006918A0" w:rsidP="006918A0">
            <w:pPr>
              <w:spacing w:beforeLines="20" w:before="48" w:afterLines="20" w:after="48" w:line="276" w:lineRule="auto"/>
              <w:ind w:left="986"/>
              <w:jc w:val="left"/>
              <w:rPr>
                <w:b/>
                <w:noProof/>
                <w:sz w:val="16"/>
                <w:szCs w:val="16"/>
              </w:rPr>
            </w:pPr>
            <w:r w:rsidRPr="006918A0">
              <w:rPr>
                <w:noProof/>
                <w:sz w:val="16"/>
              </w:rPr>
              <w:t xml:space="preserve">- in Delegations </w:t>
            </w:r>
          </w:p>
        </w:tc>
        <w:tc>
          <w:tcPr>
            <w:tcW w:w="731" w:type="dxa"/>
            <w:tcBorders>
              <w:top w:val="single" w:sz="6" w:space="0" w:color="auto"/>
              <w:left w:val="single" w:sz="6" w:space="0" w:color="auto"/>
              <w:bottom w:val="single" w:sz="6" w:space="0" w:color="auto"/>
              <w:right w:val="single" w:sz="6" w:space="0" w:color="auto"/>
            </w:tcBorders>
            <w:vAlign w:val="center"/>
          </w:tcPr>
          <w:p w14:paraId="59A2F982" w14:textId="77777777" w:rsidR="006918A0" w:rsidRPr="006918A0" w:rsidRDefault="006918A0" w:rsidP="006918A0">
            <w:pPr>
              <w:spacing w:beforeLines="20" w:before="48" w:afterLines="20" w:after="48" w:line="276" w:lineRule="auto"/>
              <w:ind w:left="850"/>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C4ADFF1"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F7E1A16"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3BB894B"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C8EF124" w14:textId="77777777" w:rsidR="006918A0" w:rsidRPr="006918A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02C5C554" w14:textId="77777777" w:rsidR="006918A0" w:rsidRPr="006918A0" w:rsidRDefault="006918A0" w:rsidP="006918A0">
            <w:pPr>
              <w:spacing w:beforeLines="20" w:before="48" w:afterLines="20" w:after="48" w:line="276" w:lineRule="auto"/>
              <w:jc w:val="center"/>
              <w:rPr>
                <w:noProof/>
                <w:sz w:val="16"/>
                <w:szCs w:val="16"/>
              </w:rPr>
            </w:pPr>
          </w:p>
        </w:tc>
      </w:tr>
      <w:tr w:rsidR="006918A0" w:rsidRPr="006918A0" w14:paraId="46739F78"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5DCEC102" w14:textId="77777777" w:rsidR="006918A0" w:rsidRPr="006918A0" w:rsidRDefault="006918A0" w:rsidP="006918A0">
            <w:pPr>
              <w:spacing w:beforeLines="20" w:before="48" w:afterLines="20" w:after="48" w:line="276" w:lineRule="auto"/>
              <w:ind w:left="986"/>
              <w:jc w:val="left"/>
              <w:rPr>
                <w:noProof/>
                <w:sz w:val="16"/>
                <w:szCs w:val="16"/>
              </w:rPr>
            </w:pPr>
            <w:r w:rsidRPr="006918A0">
              <w:rPr>
                <w:noProof/>
                <w:sz w:val="16"/>
              </w:rPr>
              <w:t>01 01 01 02</w:t>
            </w:r>
            <w:r w:rsidRPr="006918A0">
              <w:rPr>
                <w:rFonts w:ascii="Arial Narrow" w:hAnsi="Arial Narrow"/>
                <w:noProof/>
                <w:color w:val="000000"/>
                <w:sz w:val="20"/>
                <w:szCs w:val="20"/>
              </w:rPr>
              <w:t xml:space="preserve"> </w:t>
            </w:r>
            <w:r w:rsidRPr="006918A0">
              <w:rPr>
                <w:noProof/>
                <w:sz w:val="16"/>
                <w:szCs w:val="16"/>
              </w:rPr>
              <w:t>(AC, END, INT - Indirect research)</w:t>
            </w:r>
          </w:p>
        </w:tc>
        <w:tc>
          <w:tcPr>
            <w:tcW w:w="731" w:type="dxa"/>
            <w:tcBorders>
              <w:top w:val="single" w:sz="6" w:space="0" w:color="auto"/>
              <w:left w:val="single" w:sz="6" w:space="0" w:color="auto"/>
              <w:bottom w:val="single" w:sz="6" w:space="0" w:color="auto"/>
              <w:right w:val="single" w:sz="6" w:space="0" w:color="auto"/>
            </w:tcBorders>
            <w:vAlign w:val="center"/>
          </w:tcPr>
          <w:p w14:paraId="5FCF5459"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FE3C661"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03E4E3B"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14C02DB"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5C1641BB" w14:textId="77777777" w:rsidR="006918A0" w:rsidRPr="006918A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5CE48949" w14:textId="77777777" w:rsidR="006918A0" w:rsidRPr="006918A0" w:rsidRDefault="006918A0" w:rsidP="006918A0">
            <w:pPr>
              <w:spacing w:beforeLines="20" w:before="48" w:afterLines="20" w:after="48" w:line="276" w:lineRule="auto"/>
              <w:jc w:val="center"/>
              <w:rPr>
                <w:noProof/>
                <w:sz w:val="16"/>
                <w:szCs w:val="16"/>
              </w:rPr>
            </w:pPr>
          </w:p>
        </w:tc>
      </w:tr>
      <w:tr w:rsidR="006918A0" w:rsidRPr="006918A0" w14:paraId="1CF4F5B6"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5CB9924A" w14:textId="77777777" w:rsidR="006918A0" w:rsidRPr="006918A0" w:rsidRDefault="006918A0" w:rsidP="006918A0">
            <w:pPr>
              <w:spacing w:beforeLines="20" w:before="48" w:afterLines="20" w:after="48" w:line="276" w:lineRule="auto"/>
              <w:ind w:left="986"/>
              <w:jc w:val="left"/>
              <w:rPr>
                <w:noProof/>
                <w:color w:val="FF0000"/>
                <w:sz w:val="16"/>
                <w:szCs w:val="16"/>
              </w:rPr>
            </w:pPr>
            <w:r w:rsidRPr="006918A0">
              <w:rPr>
                <w:noProof/>
                <w:sz w:val="16"/>
              </w:rPr>
              <w:t xml:space="preserve"> 01 01 01 12 (AC, END, INT - Direct research)</w:t>
            </w:r>
          </w:p>
        </w:tc>
        <w:tc>
          <w:tcPr>
            <w:tcW w:w="731" w:type="dxa"/>
            <w:tcBorders>
              <w:top w:val="single" w:sz="6" w:space="0" w:color="auto"/>
              <w:left w:val="single" w:sz="6" w:space="0" w:color="auto"/>
              <w:bottom w:val="single" w:sz="6" w:space="0" w:color="auto"/>
              <w:right w:val="single" w:sz="6" w:space="0" w:color="auto"/>
            </w:tcBorders>
            <w:vAlign w:val="center"/>
          </w:tcPr>
          <w:p w14:paraId="562DF69A"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3C5A43FE"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6DEF3D24"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E096E11"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1AD02984" w14:textId="77777777" w:rsidR="006918A0" w:rsidRPr="006918A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3ED56E4A" w14:textId="77777777" w:rsidR="006918A0" w:rsidRPr="006918A0" w:rsidRDefault="006918A0" w:rsidP="006918A0">
            <w:pPr>
              <w:spacing w:beforeLines="20" w:before="48" w:afterLines="20" w:after="48" w:line="276" w:lineRule="auto"/>
              <w:jc w:val="center"/>
              <w:rPr>
                <w:noProof/>
                <w:sz w:val="16"/>
                <w:szCs w:val="16"/>
              </w:rPr>
            </w:pPr>
          </w:p>
        </w:tc>
      </w:tr>
      <w:tr w:rsidR="006918A0" w:rsidRPr="006918A0" w14:paraId="3506C152" w14:textId="77777777" w:rsidTr="000430BD">
        <w:trPr>
          <w:gridBefore w:val="1"/>
          <w:wBefore w:w="15" w:type="dxa"/>
          <w:trHeight w:val="289"/>
          <w:jc w:val="center"/>
        </w:trPr>
        <w:tc>
          <w:tcPr>
            <w:tcW w:w="4754" w:type="dxa"/>
            <w:gridSpan w:val="2"/>
            <w:tcBorders>
              <w:top w:val="single" w:sz="6" w:space="0" w:color="auto"/>
              <w:left w:val="single" w:sz="6" w:space="0" w:color="auto"/>
              <w:bottom w:val="single" w:sz="6" w:space="0" w:color="auto"/>
              <w:right w:val="single" w:sz="6" w:space="0" w:color="auto"/>
            </w:tcBorders>
            <w:vAlign w:val="center"/>
            <w:hideMark/>
          </w:tcPr>
          <w:p w14:paraId="7C82FF03" w14:textId="77777777" w:rsidR="006918A0" w:rsidRPr="006918A0" w:rsidRDefault="006918A0" w:rsidP="006918A0">
            <w:pPr>
              <w:spacing w:beforeLines="20" w:before="48" w:afterLines="20" w:after="48" w:line="276" w:lineRule="auto"/>
              <w:ind w:left="986"/>
              <w:jc w:val="left"/>
              <w:rPr>
                <w:noProof/>
                <w:sz w:val="16"/>
              </w:rPr>
            </w:pPr>
            <w:r w:rsidRPr="006918A0">
              <w:rPr>
                <w:noProof/>
                <w:sz w:val="16"/>
              </w:rPr>
              <w:t>Other budget lines (specify)</w:t>
            </w:r>
          </w:p>
        </w:tc>
        <w:tc>
          <w:tcPr>
            <w:tcW w:w="731" w:type="dxa"/>
            <w:tcBorders>
              <w:top w:val="single" w:sz="6" w:space="0" w:color="auto"/>
              <w:left w:val="single" w:sz="6" w:space="0" w:color="auto"/>
              <w:bottom w:val="single" w:sz="6" w:space="0" w:color="auto"/>
              <w:right w:val="single" w:sz="6" w:space="0" w:color="auto"/>
            </w:tcBorders>
            <w:vAlign w:val="center"/>
          </w:tcPr>
          <w:p w14:paraId="487E0343"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254FEDD8"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06643C68"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4E6E1974" w14:textId="77777777" w:rsidR="006918A0" w:rsidRPr="006918A0" w:rsidRDefault="006918A0" w:rsidP="006918A0">
            <w:pPr>
              <w:spacing w:beforeLines="20" w:before="48" w:afterLines="20" w:after="48" w:line="276" w:lineRule="auto"/>
              <w:jc w:val="center"/>
              <w:rPr>
                <w:noProof/>
                <w:sz w:val="16"/>
                <w:szCs w:val="16"/>
              </w:rPr>
            </w:pPr>
          </w:p>
        </w:tc>
        <w:tc>
          <w:tcPr>
            <w:tcW w:w="731" w:type="dxa"/>
            <w:tcBorders>
              <w:top w:val="single" w:sz="6" w:space="0" w:color="auto"/>
              <w:left w:val="single" w:sz="6" w:space="0" w:color="auto"/>
              <w:bottom w:val="single" w:sz="6" w:space="0" w:color="auto"/>
              <w:right w:val="single" w:sz="6" w:space="0" w:color="auto"/>
            </w:tcBorders>
            <w:vAlign w:val="center"/>
          </w:tcPr>
          <w:p w14:paraId="70D34F67" w14:textId="77777777" w:rsidR="006918A0" w:rsidRPr="006918A0" w:rsidRDefault="006918A0" w:rsidP="006918A0">
            <w:pPr>
              <w:spacing w:beforeLines="20" w:before="48" w:afterLines="20" w:after="48" w:line="276" w:lineRule="auto"/>
              <w:jc w:val="center"/>
              <w:rPr>
                <w:noProof/>
                <w:sz w:val="16"/>
                <w:szCs w:val="16"/>
              </w:rPr>
            </w:pPr>
          </w:p>
        </w:tc>
        <w:tc>
          <w:tcPr>
            <w:tcW w:w="1462" w:type="dxa"/>
            <w:tcBorders>
              <w:top w:val="single" w:sz="6" w:space="0" w:color="auto"/>
              <w:left w:val="single" w:sz="6" w:space="0" w:color="auto"/>
              <w:bottom w:val="single" w:sz="6" w:space="0" w:color="auto"/>
              <w:right w:val="single" w:sz="6" w:space="0" w:color="auto"/>
            </w:tcBorders>
            <w:vAlign w:val="center"/>
          </w:tcPr>
          <w:p w14:paraId="759A2191" w14:textId="77777777" w:rsidR="006918A0" w:rsidRPr="006918A0" w:rsidRDefault="006918A0" w:rsidP="006918A0">
            <w:pPr>
              <w:spacing w:beforeLines="20" w:before="48" w:afterLines="20" w:after="48" w:line="276" w:lineRule="auto"/>
              <w:jc w:val="center"/>
              <w:rPr>
                <w:noProof/>
                <w:sz w:val="16"/>
                <w:szCs w:val="16"/>
              </w:rPr>
            </w:pPr>
          </w:p>
        </w:tc>
      </w:tr>
      <w:tr w:rsidR="006918A0" w:rsidRPr="006918A0" w14:paraId="676C0873" w14:textId="77777777" w:rsidTr="000430BD">
        <w:trPr>
          <w:gridBefore w:val="1"/>
          <w:wBefore w:w="15" w:type="dxa"/>
          <w:trHeight w:val="289"/>
          <w:jc w:val="center"/>
        </w:trPr>
        <w:tc>
          <w:tcPr>
            <w:tcW w:w="4754" w:type="dxa"/>
            <w:gridSpan w:val="2"/>
            <w:tcBorders>
              <w:top w:val="double" w:sz="4" w:space="0" w:color="auto"/>
              <w:left w:val="single" w:sz="6" w:space="0" w:color="auto"/>
              <w:bottom w:val="single" w:sz="6" w:space="0" w:color="auto"/>
              <w:right w:val="single" w:sz="6" w:space="0" w:color="auto"/>
            </w:tcBorders>
            <w:vAlign w:val="center"/>
            <w:hideMark/>
          </w:tcPr>
          <w:p w14:paraId="5F333430" w14:textId="77777777" w:rsidR="006918A0" w:rsidRPr="006918A0" w:rsidRDefault="006918A0" w:rsidP="006918A0">
            <w:pPr>
              <w:spacing w:beforeLines="20" w:before="48" w:afterLines="20" w:after="48" w:line="276" w:lineRule="auto"/>
              <w:ind w:left="986"/>
              <w:jc w:val="left"/>
              <w:rPr>
                <w:noProof/>
                <w:sz w:val="16"/>
                <w:szCs w:val="16"/>
              </w:rPr>
            </w:pPr>
            <w:r w:rsidRPr="006918A0">
              <w:rPr>
                <w:b/>
                <w:noProof/>
                <w:sz w:val="16"/>
              </w:rPr>
              <w:t>TOTAL</w:t>
            </w:r>
          </w:p>
        </w:tc>
        <w:tc>
          <w:tcPr>
            <w:tcW w:w="731" w:type="dxa"/>
            <w:tcBorders>
              <w:top w:val="double" w:sz="4" w:space="0" w:color="auto"/>
              <w:left w:val="single" w:sz="6" w:space="0" w:color="auto"/>
              <w:bottom w:val="single" w:sz="6" w:space="0" w:color="auto"/>
              <w:right w:val="single" w:sz="6" w:space="0" w:color="auto"/>
            </w:tcBorders>
            <w:vAlign w:val="center"/>
            <w:hideMark/>
          </w:tcPr>
          <w:p w14:paraId="4A6607A1" w14:textId="77777777" w:rsidR="006918A0" w:rsidRPr="006918A0" w:rsidRDefault="006918A0" w:rsidP="006918A0">
            <w:pPr>
              <w:spacing w:beforeLines="20" w:before="48" w:afterLines="20" w:after="48" w:line="276" w:lineRule="auto"/>
              <w:jc w:val="center"/>
              <w:rPr>
                <w:b/>
                <w:noProof/>
                <w:sz w:val="16"/>
                <w:szCs w:val="16"/>
              </w:rPr>
            </w:pPr>
            <w:r w:rsidRPr="006918A0">
              <w:rPr>
                <w:b/>
                <w:bCs/>
                <w:noProof/>
                <w:sz w:val="16"/>
                <w:szCs w:val="16"/>
              </w:rPr>
              <w:t>0.75</w:t>
            </w:r>
          </w:p>
        </w:tc>
        <w:tc>
          <w:tcPr>
            <w:tcW w:w="731" w:type="dxa"/>
            <w:tcBorders>
              <w:top w:val="double" w:sz="4" w:space="0" w:color="auto"/>
              <w:left w:val="single" w:sz="6" w:space="0" w:color="auto"/>
              <w:bottom w:val="single" w:sz="6" w:space="0" w:color="auto"/>
              <w:right w:val="single" w:sz="6" w:space="0" w:color="auto"/>
            </w:tcBorders>
            <w:vAlign w:val="center"/>
            <w:hideMark/>
          </w:tcPr>
          <w:p w14:paraId="473F7E6F" w14:textId="77777777" w:rsidR="006918A0" w:rsidRPr="006918A0" w:rsidRDefault="006918A0" w:rsidP="006918A0">
            <w:pPr>
              <w:spacing w:beforeLines="20" w:before="48" w:afterLines="20" w:after="48" w:line="276" w:lineRule="auto"/>
              <w:jc w:val="center"/>
              <w:rPr>
                <w:b/>
                <w:noProof/>
                <w:sz w:val="16"/>
                <w:szCs w:val="16"/>
              </w:rPr>
            </w:pPr>
            <w:r w:rsidRPr="006918A0">
              <w:rPr>
                <w:b/>
                <w:bCs/>
                <w:noProof/>
                <w:sz w:val="16"/>
                <w:szCs w:val="16"/>
              </w:rPr>
              <w:t>1</w:t>
            </w:r>
          </w:p>
        </w:tc>
        <w:tc>
          <w:tcPr>
            <w:tcW w:w="731" w:type="dxa"/>
            <w:tcBorders>
              <w:top w:val="double" w:sz="4" w:space="0" w:color="auto"/>
              <w:left w:val="single" w:sz="6" w:space="0" w:color="auto"/>
              <w:bottom w:val="single" w:sz="6" w:space="0" w:color="auto"/>
              <w:right w:val="single" w:sz="6" w:space="0" w:color="auto"/>
            </w:tcBorders>
            <w:vAlign w:val="center"/>
            <w:hideMark/>
          </w:tcPr>
          <w:p w14:paraId="69E24515" w14:textId="77777777" w:rsidR="006918A0" w:rsidRPr="006918A0" w:rsidRDefault="006918A0" w:rsidP="006918A0">
            <w:pPr>
              <w:spacing w:beforeLines="20" w:before="48" w:afterLines="20" w:after="48" w:line="276" w:lineRule="auto"/>
              <w:jc w:val="center"/>
              <w:rPr>
                <w:b/>
                <w:noProof/>
                <w:sz w:val="16"/>
                <w:szCs w:val="16"/>
              </w:rPr>
            </w:pPr>
            <w:r w:rsidRPr="006918A0">
              <w:rPr>
                <w:b/>
                <w:bCs/>
                <w:noProof/>
                <w:sz w:val="16"/>
                <w:szCs w:val="16"/>
              </w:rPr>
              <w:t>1</w:t>
            </w:r>
          </w:p>
        </w:tc>
        <w:tc>
          <w:tcPr>
            <w:tcW w:w="731" w:type="dxa"/>
            <w:tcBorders>
              <w:top w:val="double" w:sz="4" w:space="0" w:color="auto"/>
              <w:left w:val="single" w:sz="6" w:space="0" w:color="auto"/>
              <w:bottom w:val="single" w:sz="6" w:space="0" w:color="auto"/>
              <w:right w:val="single" w:sz="6" w:space="0" w:color="auto"/>
            </w:tcBorders>
            <w:vAlign w:val="center"/>
            <w:hideMark/>
          </w:tcPr>
          <w:p w14:paraId="288131E3" w14:textId="77777777" w:rsidR="006918A0" w:rsidRPr="006918A0" w:rsidRDefault="006918A0" w:rsidP="006918A0">
            <w:pPr>
              <w:spacing w:beforeLines="20" w:before="48" w:afterLines="20" w:after="48" w:line="276" w:lineRule="auto"/>
              <w:jc w:val="center"/>
              <w:rPr>
                <w:b/>
                <w:noProof/>
                <w:sz w:val="16"/>
                <w:szCs w:val="16"/>
              </w:rPr>
            </w:pPr>
            <w:r w:rsidRPr="006918A0">
              <w:rPr>
                <w:b/>
                <w:bCs/>
                <w:noProof/>
                <w:sz w:val="16"/>
                <w:szCs w:val="16"/>
              </w:rPr>
              <w:t>0.4</w:t>
            </w:r>
          </w:p>
        </w:tc>
        <w:tc>
          <w:tcPr>
            <w:tcW w:w="731" w:type="dxa"/>
            <w:tcBorders>
              <w:top w:val="double" w:sz="4" w:space="0" w:color="auto"/>
              <w:left w:val="single" w:sz="6" w:space="0" w:color="auto"/>
              <w:bottom w:val="single" w:sz="6" w:space="0" w:color="auto"/>
              <w:right w:val="single" w:sz="6" w:space="0" w:color="auto"/>
            </w:tcBorders>
            <w:vAlign w:val="center"/>
            <w:hideMark/>
          </w:tcPr>
          <w:p w14:paraId="7F63A395" w14:textId="77777777" w:rsidR="006918A0" w:rsidRPr="006918A0" w:rsidRDefault="006918A0" w:rsidP="006918A0">
            <w:pPr>
              <w:spacing w:beforeLines="20" w:before="48" w:afterLines="20" w:after="48" w:line="276" w:lineRule="auto"/>
              <w:jc w:val="center"/>
              <w:rPr>
                <w:b/>
                <w:noProof/>
                <w:sz w:val="16"/>
                <w:szCs w:val="16"/>
              </w:rPr>
            </w:pPr>
            <w:r w:rsidRPr="006918A0">
              <w:rPr>
                <w:b/>
                <w:bCs/>
                <w:noProof/>
                <w:sz w:val="16"/>
                <w:szCs w:val="16"/>
              </w:rPr>
              <w:t>0.1</w:t>
            </w:r>
          </w:p>
        </w:tc>
        <w:tc>
          <w:tcPr>
            <w:tcW w:w="1462" w:type="dxa"/>
            <w:tcBorders>
              <w:top w:val="double" w:sz="4" w:space="0" w:color="auto"/>
              <w:left w:val="single" w:sz="6" w:space="0" w:color="auto"/>
              <w:bottom w:val="single" w:sz="6" w:space="0" w:color="auto"/>
              <w:right w:val="single" w:sz="6" w:space="0" w:color="auto"/>
            </w:tcBorders>
            <w:vAlign w:val="center"/>
            <w:hideMark/>
          </w:tcPr>
          <w:p w14:paraId="2C878E54" w14:textId="77777777" w:rsidR="006918A0" w:rsidRPr="006918A0" w:rsidRDefault="006918A0" w:rsidP="006918A0">
            <w:pPr>
              <w:spacing w:beforeLines="20" w:before="48" w:afterLines="20" w:after="48" w:line="276" w:lineRule="auto"/>
              <w:jc w:val="right"/>
              <w:rPr>
                <w:b/>
                <w:noProof/>
                <w:sz w:val="16"/>
                <w:szCs w:val="16"/>
              </w:rPr>
            </w:pPr>
            <w:r w:rsidRPr="006918A0">
              <w:rPr>
                <w:b/>
                <w:bCs/>
                <w:noProof/>
                <w:sz w:val="16"/>
                <w:szCs w:val="16"/>
              </w:rPr>
              <w:t>3.25</w:t>
            </w:r>
          </w:p>
        </w:tc>
      </w:tr>
    </w:tbl>
    <w:p w14:paraId="368D1F1C" w14:textId="77777777" w:rsidR="006918A0" w:rsidRPr="006918A0" w:rsidRDefault="006918A0" w:rsidP="006918A0">
      <w:pPr>
        <w:tabs>
          <w:tab w:val="left" w:pos="720"/>
        </w:tabs>
        <w:ind w:left="1134" w:hanging="283"/>
        <w:rPr>
          <w:rFonts w:eastAsia="Times New Roman"/>
          <w:noProof/>
          <w:lang w:eastAsia="de-DE"/>
        </w:rPr>
      </w:pPr>
    </w:p>
    <w:p w14:paraId="5EEF4E43" w14:textId="77777777" w:rsidR="006918A0" w:rsidRPr="006918A0" w:rsidRDefault="006918A0" w:rsidP="006918A0">
      <w:pPr>
        <w:spacing w:after="60"/>
        <w:jc w:val="right"/>
        <w:rPr>
          <w:i/>
          <w:noProof/>
          <w:sz w:val="20"/>
        </w:rPr>
      </w:pPr>
      <w:r w:rsidRPr="006918A0">
        <w:rPr>
          <w:i/>
          <w:noProof/>
          <w:sz w:val="20"/>
        </w:rPr>
        <w:t>Estimate to be expressed in full time equivalent units</w:t>
      </w:r>
    </w:p>
    <w:p w14:paraId="1D9A390F" w14:textId="77777777" w:rsidR="006918A0" w:rsidRPr="006918A0" w:rsidRDefault="006918A0" w:rsidP="006918A0">
      <w:pPr>
        <w:spacing w:before="60" w:after="60"/>
        <w:ind w:left="851"/>
        <w:rPr>
          <w:noProof/>
          <w:sz w:val="18"/>
          <w:szCs w:val="18"/>
        </w:rPr>
      </w:pPr>
      <w:r w:rsidRPr="006918A0">
        <w:rPr>
          <w:b/>
          <w:noProof/>
          <w:sz w:val="18"/>
          <w:szCs w:val="18"/>
        </w:rPr>
        <w:t>XX</w:t>
      </w:r>
      <w:r w:rsidRPr="006918A0">
        <w:rPr>
          <w:noProof/>
          <w:sz w:val="18"/>
          <w:szCs w:val="18"/>
        </w:rPr>
        <w:t xml:space="preserve"> is the policy area or budget title concerned.</w:t>
      </w:r>
    </w:p>
    <w:p w14:paraId="408BAA53" w14:textId="77777777" w:rsidR="006918A0" w:rsidRPr="006918A0" w:rsidRDefault="006918A0" w:rsidP="006918A0">
      <w:pPr>
        <w:ind w:left="850"/>
        <w:rPr>
          <w:noProof/>
          <w:sz w:val="18"/>
          <w:szCs w:val="18"/>
        </w:rPr>
      </w:pPr>
      <w:r w:rsidRPr="006918A0">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4911FCA1" w14:textId="77777777" w:rsidR="006918A0" w:rsidRPr="006918A0" w:rsidRDefault="006918A0" w:rsidP="006918A0">
      <w:pPr>
        <w:rPr>
          <w:noProof/>
          <w:sz w:val="20"/>
        </w:rPr>
      </w:pPr>
      <w:bookmarkStart w:id="23" w:name="_Hlk114160563"/>
      <w:r w:rsidRPr="006918A0">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918A0" w:rsidRPr="006918A0" w14:paraId="0AD6D46D" w14:textId="77777777" w:rsidTr="000430BD">
        <w:tc>
          <w:tcPr>
            <w:tcW w:w="3240" w:type="dxa"/>
            <w:tcBorders>
              <w:top w:val="single" w:sz="2" w:space="0" w:color="auto"/>
              <w:left w:val="single" w:sz="2" w:space="0" w:color="auto"/>
              <w:bottom w:val="single" w:sz="2" w:space="0" w:color="auto"/>
              <w:right w:val="single" w:sz="2" w:space="0" w:color="auto"/>
            </w:tcBorders>
            <w:hideMark/>
          </w:tcPr>
          <w:bookmarkEnd w:id="23"/>
          <w:p w14:paraId="52159B75" w14:textId="77777777" w:rsidR="006918A0" w:rsidRPr="006918A0" w:rsidRDefault="006918A0" w:rsidP="006918A0">
            <w:pPr>
              <w:spacing w:line="276" w:lineRule="auto"/>
              <w:rPr>
                <w:noProof/>
                <w:sz w:val="20"/>
              </w:rPr>
            </w:pPr>
            <w:r w:rsidRPr="006918A0">
              <w:rPr>
                <w:noProof/>
                <w:sz w:val="20"/>
              </w:rPr>
              <w:t>Officials and temporary staff</w:t>
            </w:r>
          </w:p>
        </w:tc>
        <w:tc>
          <w:tcPr>
            <w:tcW w:w="7200" w:type="dxa"/>
            <w:tcBorders>
              <w:top w:val="single" w:sz="2" w:space="0" w:color="auto"/>
              <w:left w:val="single" w:sz="2" w:space="0" w:color="auto"/>
              <w:bottom w:val="single" w:sz="2" w:space="0" w:color="auto"/>
              <w:right w:val="single" w:sz="2" w:space="0" w:color="auto"/>
            </w:tcBorders>
            <w:hideMark/>
          </w:tcPr>
          <w:p w14:paraId="21F9B1B8" w14:textId="77777777" w:rsidR="006918A0" w:rsidRPr="006918A0" w:rsidRDefault="006918A0" w:rsidP="006918A0">
            <w:pPr>
              <w:spacing w:line="276" w:lineRule="auto"/>
              <w:rPr>
                <w:noProof/>
                <w:sz w:val="20"/>
              </w:rPr>
            </w:pPr>
            <w:r w:rsidRPr="006918A0">
              <w:rPr>
                <w:noProof/>
                <w:sz w:val="20"/>
              </w:rPr>
              <w:t xml:space="preserve">Preparation of meetings and correspondence with Member States; work on forms, IT formats and the Central Directory; </w:t>
            </w:r>
          </w:p>
          <w:p w14:paraId="0323ADFF" w14:textId="77777777" w:rsidR="006918A0" w:rsidRPr="006918A0" w:rsidRDefault="006918A0" w:rsidP="006918A0">
            <w:pPr>
              <w:spacing w:line="276" w:lineRule="auto"/>
              <w:rPr>
                <w:noProof/>
                <w:sz w:val="20"/>
              </w:rPr>
            </w:pPr>
            <w:r w:rsidRPr="006918A0">
              <w:rPr>
                <w:noProof/>
                <w:sz w:val="20"/>
              </w:rPr>
              <w:t>Commission of external contractors to do work on the IT system.</w:t>
            </w:r>
          </w:p>
        </w:tc>
      </w:tr>
      <w:tr w:rsidR="006918A0" w:rsidRPr="006918A0" w14:paraId="7F032E5D" w14:textId="77777777" w:rsidTr="000430BD">
        <w:tc>
          <w:tcPr>
            <w:tcW w:w="3240" w:type="dxa"/>
            <w:tcBorders>
              <w:top w:val="single" w:sz="2" w:space="0" w:color="auto"/>
              <w:left w:val="single" w:sz="2" w:space="0" w:color="auto"/>
              <w:bottom w:val="single" w:sz="2" w:space="0" w:color="auto"/>
              <w:right w:val="single" w:sz="2" w:space="0" w:color="auto"/>
            </w:tcBorders>
            <w:hideMark/>
          </w:tcPr>
          <w:p w14:paraId="6EA00355" w14:textId="77777777" w:rsidR="006918A0" w:rsidRPr="006918A0" w:rsidRDefault="006918A0" w:rsidP="006918A0">
            <w:pPr>
              <w:spacing w:before="60" w:after="60" w:line="276" w:lineRule="auto"/>
              <w:rPr>
                <w:noProof/>
                <w:sz w:val="20"/>
              </w:rPr>
            </w:pPr>
            <w:r w:rsidRPr="006918A0">
              <w:rPr>
                <w:noProof/>
                <w:sz w:val="20"/>
              </w:rPr>
              <w:t>External staff</w:t>
            </w:r>
          </w:p>
        </w:tc>
        <w:tc>
          <w:tcPr>
            <w:tcW w:w="7200" w:type="dxa"/>
            <w:tcBorders>
              <w:top w:val="single" w:sz="2" w:space="0" w:color="auto"/>
              <w:left w:val="single" w:sz="2" w:space="0" w:color="auto"/>
              <w:bottom w:val="single" w:sz="2" w:space="0" w:color="auto"/>
              <w:right w:val="single" w:sz="2" w:space="0" w:color="auto"/>
            </w:tcBorders>
            <w:hideMark/>
          </w:tcPr>
          <w:p w14:paraId="0BACCB62" w14:textId="77777777" w:rsidR="006918A0" w:rsidRPr="006918A0" w:rsidRDefault="006918A0" w:rsidP="006918A0">
            <w:pPr>
              <w:spacing w:line="276" w:lineRule="auto"/>
              <w:rPr>
                <w:noProof/>
                <w:sz w:val="20"/>
              </w:rPr>
            </w:pPr>
            <w:r w:rsidRPr="006918A0">
              <w:rPr>
                <w:noProof/>
                <w:sz w:val="20"/>
              </w:rPr>
              <w:t>N/A</w:t>
            </w:r>
          </w:p>
        </w:tc>
      </w:tr>
    </w:tbl>
    <w:p w14:paraId="381695BB" w14:textId="77777777" w:rsidR="006918A0" w:rsidRPr="006918A0" w:rsidRDefault="006918A0" w:rsidP="006918A0">
      <w:pPr>
        <w:spacing w:before="0" w:after="0"/>
        <w:jc w:val="left"/>
        <w:rPr>
          <w:noProof/>
        </w:rPr>
        <w:sectPr w:rsidR="006918A0" w:rsidRPr="006918A0" w:rsidSect="00B018F6">
          <w:pgSz w:w="11907" w:h="16840"/>
          <w:pgMar w:top="1134" w:right="1418" w:bottom="1134" w:left="1418" w:header="709" w:footer="709" w:gutter="0"/>
          <w:cols w:space="720"/>
          <w:docGrid w:linePitch="326"/>
        </w:sectPr>
      </w:pPr>
    </w:p>
    <w:p w14:paraId="557AE8CB" w14:textId="77777777" w:rsidR="006918A0" w:rsidRPr="006918A0" w:rsidRDefault="00287904" w:rsidP="00287904">
      <w:pPr>
        <w:pStyle w:val="ManualHeading3"/>
        <w:rPr>
          <w:noProof/>
        </w:rPr>
      </w:pPr>
      <w:bookmarkStart w:id="24" w:name="_Toc514938056"/>
      <w:bookmarkStart w:id="25" w:name="_Toc520485055"/>
      <w:r>
        <w:rPr>
          <w:noProof/>
        </w:rPr>
        <w:tab/>
      </w:r>
      <w:r w:rsidR="006918A0" w:rsidRPr="006918A0">
        <w:rPr>
          <w:noProof/>
        </w:rPr>
        <w:t>3.2.4 Compatibility with the current multiannual financial framework</w:t>
      </w:r>
      <w:bookmarkEnd w:id="24"/>
      <w:bookmarkEnd w:id="25"/>
      <w:r w:rsidR="006918A0" w:rsidRPr="006918A0">
        <w:rPr>
          <w:noProof/>
        </w:rPr>
        <w:t xml:space="preserve"> </w:t>
      </w:r>
    </w:p>
    <w:p w14:paraId="6741A6FC" w14:textId="77777777" w:rsidR="006918A0" w:rsidRPr="006918A0" w:rsidRDefault="006918A0" w:rsidP="006918A0">
      <w:pPr>
        <w:ind w:left="850"/>
        <w:rPr>
          <w:noProof/>
        </w:rPr>
      </w:pPr>
      <w:bookmarkStart w:id="26" w:name="_Toc514938058"/>
      <w:bookmarkStart w:id="27" w:name="_Toc520485056"/>
      <w:r w:rsidRPr="006918A0">
        <w:rPr>
          <w:noProof/>
        </w:rPr>
        <w:t>The proposal/initiative:</w:t>
      </w:r>
    </w:p>
    <w:p w14:paraId="5CAFF952" w14:textId="77777777" w:rsidR="006918A0" w:rsidRPr="006918A0" w:rsidRDefault="006918A0" w:rsidP="006918A0">
      <w:pPr>
        <w:tabs>
          <w:tab w:val="num" w:pos="1134"/>
        </w:tabs>
        <w:ind w:left="1134" w:hanging="283"/>
        <w:rPr>
          <w:rFonts w:eastAsia="Times New Roman"/>
          <w:noProof/>
          <w:lang w:eastAsia="de-DE"/>
        </w:rPr>
      </w:pPr>
      <w:r w:rsidRPr="006918A0">
        <w:rPr>
          <w:rFonts w:ascii="Wingdings" w:eastAsia="Wingdings" w:hAnsi="Wingdings" w:cs="Wingdings"/>
          <w:noProof/>
          <w:lang w:eastAsia="de-DE"/>
        </w:rPr>
        <w:t></w:t>
      </w:r>
      <w:r w:rsidRPr="006918A0">
        <w:rPr>
          <w:rFonts w:eastAsia="Times New Roman"/>
          <w:noProof/>
          <w:lang w:eastAsia="de-DE"/>
        </w:rPr>
        <w:tab/>
        <w:t>can be fully financed through redeployment within the relevant heading of the Multiannual Financial Framework (MFF).</w:t>
      </w:r>
    </w:p>
    <w:p w14:paraId="65FCAE95" w14:textId="77777777" w:rsidR="006918A0" w:rsidRPr="006918A0" w:rsidRDefault="006918A0" w:rsidP="006918A0">
      <w:pPr>
        <w:pBdr>
          <w:top w:val="single" w:sz="4" w:space="1" w:color="auto"/>
          <w:left w:val="single" w:sz="4" w:space="4" w:color="auto"/>
          <w:bottom w:val="single" w:sz="4" w:space="1" w:color="auto"/>
          <w:right w:val="single" w:sz="4" w:space="4" w:color="auto"/>
        </w:pBdr>
        <w:ind w:left="850"/>
        <w:rPr>
          <w:noProof/>
          <w:sz w:val="20"/>
        </w:rPr>
      </w:pPr>
      <w:r w:rsidRPr="006918A0">
        <w:rPr>
          <w:noProof/>
          <w:sz w:val="20"/>
        </w:rPr>
        <w:t>Explain what reprogramming is required, specifying the budget lines concerned and the corresponding amounts.</w:t>
      </w:r>
      <w:r w:rsidRPr="006918A0">
        <w:rPr>
          <w:noProof/>
        </w:rPr>
        <w:t xml:space="preserve"> </w:t>
      </w:r>
      <w:r w:rsidRPr="006918A0">
        <w:rPr>
          <w:noProof/>
          <w:sz w:val="20"/>
        </w:rPr>
        <w:t>Please provide an excel table in the case of major reprogramming.</w:t>
      </w:r>
    </w:p>
    <w:p w14:paraId="29C26445" w14:textId="77777777" w:rsidR="006918A0" w:rsidRPr="006918A0" w:rsidRDefault="006918A0" w:rsidP="006918A0">
      <w:pPr>
        <w:tabs>
          <w:tab w:val="num" w:pos="1134"/>
        </w:tabs>
        <w:ind w:left="1134" w:hanging="283"/>
        <w:rPr>
          <w:rFonts w:eastAsia="Times New Roman"/>
          <w:noProof/>
          <w:lang w:eastAsia="de-DE"/>
        </w:rPr>
      </w:pPr>
      <w:r w:rsidRPr="004202F1">
        <w:rPr>
          <w:rFonts w:ascii="Wingdings" w:hAnsi="Wingdings"/>
          <w:noProof/>
        </w:rPr>
        <w:sym w:font="Wingdings" w:char="F0A8"/>
      </w:r>
      <w:r w:rsidRPr="006918A0">
        <w:rPr>
          <w:rFonts w:eastAsia="Times New Roman"/>
          <w:noProof/>
          <w:lang w:eastAsia="de-DE"/>
        </w:rPr>
        <w:tab/>
        <w:t>requires use of the unallocated margin under the relevant heading of the MFF and/or use of the special instruments as defined in the MFF Regulation.</w:t>
      </w:r>
    </w:p>
    <w:p w14:paraId="218D7240" w14:textId="77777777" w:rsidR="006918A0" w:rsidRPr="006918A0" w:rsidRDefault="006918A0" w:rsidP="006918A0">
      <w:pPr>
        <w:pBdr>
          <w:top w:val="single" w:sz="4" w:space="1" w:color="auto"/>
          <w:left w:val="single" w:sz="4" w:space="4" w:color="auto"/>
          <w:bottom w:val="single" w:sz="4" w:space="1" w:color="auto"/>
          <w:right w:val="single" w:sz="4" w:space="4" w:color="auto"/>
        </w:pBdr>
        <w:ind w:left="850"/>
        <w:rPr>
          <w:noProof/>
          <w:sz w:val="20"/>
        </w:rPr>
      </w:pPr>
      <w:r w:rsidRPr="006918A0">
        <w:rPr>
          <w:noProof/>
          <w:sz w:val="20"/>
        </w:rPr>
        <w:t>Explain what is required, specifying the headings and budget lines concerned, the corresponding amounts, and the instruments proposed to be used.</w:t>
      </w:r>
    </w:p>
    <w:p w14:paraId="4A64CA28" w14:textId="77777777" w:rsidR="006918A0" w:rsidRPr="006918A0" w:rsidRDefault="006918A0" w:rsidP="006918A0">
      <w:pPr>
        <w:tabs>
          <w:tab w:val="num" w:pos="1134"/>
        </w:tabs>
        <w:ind w:left="1134" w:hanging="283"/>
        <w:rPr>
          <w:rFonts w:eastAsia="Times New Roman"/>
          <w:noProof/>
          <w:lang w:eastAsia="de-DE"/>
        </w:rPr>
      </w:pPr>
      <w:r w:rsidRPr="004202F1">
        <w:rPr>
          <w:rFonts w:ascii="Wingdings" w:hAnsi="Wingdings"/>
          <w:noProof/>
        </w:rPr>
        <w:sym w:font="Wingdings" w:char="F0A8"/>
      </w:r>
      <w:r w:rsidRPr="006918A0">
        <w:rPr>
          <w:rFonts w:eastAsia="Times New Roman"/>
          <w:noProof/>
          <w:lang w:eastAsia="de-DE"/>
        </w:rPr>
        <w:tab/>
        <w:t>requires a revision of the MFF.</w:t>
      </w:r>
    </w:p>
    <w:p w14:paraId="17AC3042" w14:textId="77777777" w:rsidR="006918A0" w:rsidRPr="006918A0" w:rsidRDefault="006918A0" w:rsidP="006918A0">
      <w:pPr>
        <w:pBdr>
          <w:top w:val="single" w:sz="4" w:space="1" w:color="auto"/>
          <w:left w:val="single" w:sz="4" w:space="4" w:color="auto"/>
          <w:bottom w:val="single" w:sz="4" w:space="1" w:color="auto"/>
          <w:right w:val="single" w:sz="4" w:space="4" w:color="auto"/>
        </w:pBdr>
        <w:ind w:left="850"/>
        <w:rPr>
          <w:noProof/>
          <w:sz w:val="20"/>
        </w:rPr>
      </w:pPr>
      <w:r w:rsidRPr="006918A0">
        <w:rPr>
          <w:noProof/>
          <w:sz w:val="20"/>
        </w:rPr>
        <w:t>Explain what is required, specifying the headings and budget lines concerned and the corresponding amounts.</w:t>
      </w:r>
    </w:p>
    <w:p w14:paraId="43C411A5" w14:textId="77777777" w:rsidR="006918A0" w:rsidRPr="006918A0" w:rsidRDefault="00287904" w:rsidP="00287904">
      <w:pPr>
        <w:pStyle w:val="ManualHeading3"/>
        <w:rPr>
          <w:noProof/>
          <w:szCs w:val="24"/>
        </w:rPr>
      </w:pPr>
      <w:r>
        <w:rPr>
          <w:noProof/>
        </w:rPr>
        <w:tab/>
      </w:r>
      <w:r w:rsidR="006918A0" w:rsidRPr="006918A0">
        <w:rPr>
          <w:noProof/>
        </w:rPr>
        <w:t>3.2.5 Third-party contributions</w:t>
      </w:r>
      <w:bookmarkEnd w:id="26"/>
      <w:bookmarkEnd w:id="27"/>
      <w:r w:rsidR="006918A0" w:rsidRPr="006918A0">
        <w:rPr>
          <w:noProof/>
        </w:rPr>
        <w:t xml:space="preserve"> </w:t>
      </w:r>
    </w:p>
    <w:p w14:paraId="53E5AD39" w14:textId="77777777" w:rsidR="006918A0" w:rsidRPr="006918A0" w:rsidRDefault="006918A0" w:rsidP="006918A0">
      <w:pPr>
        <w:ind w:left="850"/>
        <w:rPr>
          <w:noProof/>
        </w:rPr>
      </w:pPr>
      <w:r w:rsidRPr="006918A0">
        <w:rPr>
          <w:noProof/>
        </w:rPr>
        <w:t>The proposal/initiative:</w:t>
      </w:r>
    </w:p>
    <w:p w14:paraId="2D334C15" w14:textId="77777777" w:rsidR="006918A0" w:rsidRPr="006918A0" w:rsidRDefault="006918A0" w:rsidP="006918A0">
      <w:pPr>
        <w:tabs>
          <w:tab w:val="num" w:pos="1134"/>
        </w:tabs>
        <w:ind w:left="1134" w:hanging="283"/>
        <w:rPr>
          <w:rFonts w:eastAsia="Times New Roman"/>
          <w:noProof/>
          <w:lang w:eastAsia="de-DE"/>
        </w:rPr>
      </w:pPr>
      <w:r w:rsidRPr="006918A0">
        <w:rPr>
          <w:rFonts w:ascii="Wingdings" w:eastAsia="Wingdings" w:hAnsi="Wingdings" w:cs="Wingdings"/>
          <w:noProof/>
          <w:lang w:eastAsia="de-DE"/>
        </w:rPr>
        <w:t></w:t>
      </w:r>
      <w:r w:rsidRPr="006918A0">
        <w:rPr>
          <w:rFonts w:eastAsia="Times New Roman"/>
          <w:noProof/>
          <w:lang w:eastAsia="de-DE"/>
        </w:rPr>
        <w:tab/>
        <w:t>does not provide for co-financing by third parties</w:t>
      </w:r>
    </w:p>
    <w:p w14:paraId="23FA9C72" w14:textId="77777777" w:rsidR="006918A0" w:rsidRPr="006918A0" w:rsidRDefault="006918A0" w:rsidP="006918A0">
      <w:pPr>
        <w:tabs>
          <w:tab w:val="num" w:pos="1134"/>
        </w:tabs>
        <w:ind w:left="1134" w:hanging="283"/>
        <w:rPr>
          <w:rFonts w:eastAsia="Times New Roman"/>
          <w:noProof/>
          <w:lang w:eastAsia="de-DE"/>
        </w:rPr>
      </w:pPr>
      <w:r w:rsidRPr="004202F1">
        <w:rPr>
          <w:rFonts w:ascii="Wingdings" w:hAnsi="Wingdings"/>
          <w:noProof/>
        </w:rPr>
        <w:sym w:font="Wingdings" w:char="F0A8"/>
      </w:r>
      <w:r w:rsidRPr="006918A0">
        <w:rPr>
          <w:rFonts w:eastAsia="Times New Roman"/>
          <w:noProof/>
          <w:lang w:eastAsia="de-DE"/>
        </w:rPr>
        <w:tab/>
        <w:t>provides for the co-financing by third parties estimated below:</w:t>
      </w:r>
    </w:p>
    <w:p w14:paraId="60507A95" w14:textId="77777777" w:rsidR="006918A0" w:rsidRPr="006918A0" w:rsidRDefault="006918A0" w:rsidP="006918A0">
      <w:pPr>
        <w:jc w:val="right"/>
        <w:rPr>
          <w:noProof/>
          <w:sz w:val="20"/>
        </w:rPr>
      </w:pPr>
      <w:r w:rsidRPr="006918A0">
        <w:rPr>
          <w:noProof/>
          <w:sz w:val="20"/>
        </w:rPr>
        <w:t>Appropriations in EUR million (to three decimal places)</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rsidR="006918A0" w:rsidRPr="006918A0" w14:paraId="5E1FC052" w14:textId="77777777" w:rsidTr="000430BD">
        <w:trPr>
          <w:cantSplit/>
        </w:trPr>
        <w:tc>
          <w:tcPr>
            <w:tcW w:w="2340" w:type="dxa"/>
            <w:tcBorders>
              <w:top w:val="single" w:sz="6" w:space="0" w:color="auto"/>
              <w:left w:val="single" w:sz="6" w:space="0" w:color="auto"/>
              <w:bottom w:val="single" w:sz="6" w:space="0" w:color="auto"/>
              <w:right w:val="single" w:sz="6" w:space="0" w:color="auto"/>
            </w:tcBorders>
          </w:tcPr>
          <w:p w14:paraId="0A7B96AD" w14:textId="77777777" w:rsidR="006918A0" w:rsidRPr="006918A0" w:rsidRDefault="006918A0" w:rsidP="006918A0">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14:paraId="42501794" w14:textId="77777777" w:rsidR="006918A0" w:rsidRPr="006918A0" w:rsidRDefault="006918A0" w:rsidP="006918A0">
            <w:pPr>
              <w:spacing w:line="276" w:lineRule="auto"/>
              <w:jc w:val="center"/>
              <w:rPr>
                <w:noProof/>
                <w:sz w:val="20"/>
              </w:rPr>
            </w:pPr>
            <w:r w:rsidRPr="006918A0">
              <w:rPr>
                <w:noProof/>
                <w:sz w:val="20"/>
              </w:rPr>
              <w:t>Year</w:t>
            </w:r>
            <w:r w:rsidRPr="006918A0">
              <w:rPr>
                <w:noProof/>
              </w:rPr>
              <w:br/>
            </w:r>
            <w:r w:rsidRPr="006918A0">
              <w:rPr>
                <w:b/>
                <w:noProof/>
                <w:sz w:val="20"/>
              </w:rPr>
              <w:t>N</w:t>
            </w:r>
            <w:r w:rsidRPr="00F26004">
              <w:rPr>
                <w:rStyle w:val="FootnoteReference"/>
                <w:noProof/>
              </w:rPr>
              <w:footnoteReference w:id="57"/>
            </w:r>
          </w:p>
        </w:tc>
        <w:tc>
          <w:tcPr>
            <w:tcW w:w="964" w:type="dxa"/>
            <w:tcBorders>
              <w:top w:val="single" w:sz="6" w:space="0" w:color="auto"/>
              <w:left w:val="single" w:sz="6" w:space="0" w:color="auto"/>
              <w:bottom w:val="single" w:sz="6" w:space="0" w:color="auto"/>
              <w:right w:val="single" w:sz="6" w:space="0" w:color="auto"/>
            </w:tcBorders>
            <w:vAlign w:val="center"/>
            <w:hideMark/>
          </w:tcPr>
          <w:p w14:paraId="15A57377" w14:textId="77777777" w:rsidR="006918A0" w:rsidRPr="006918A0" w:rsidRDefault="006918A0" w:rsidP="006918A0">
            <w:pPr>
              <w:spacing w:line="276" w:lineRule="auto"/>
              <w:jc w:val="center"/>
              <w:rPr>
                <w:noProof/>
                <w:sz w:val="20"/>
              </w:rPr>
            </w:pPr>
            <w:r w:rsidRPr="006918A0">
              <w:rPr>
                <w:noProof/>
                <w:sz w:val="20"/>
              </w:rPr>
              <w:t>Year</w:t>
            </w:r>
            <w:r w:rsidRPr="006918A0">
              <w:rPr>
                <w:noProof/>
              </w:rPr>
              <w:br/>
            </w:r>
            <w:r w:rsidRPr="006918A0">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14:paraId="074B68E3" w14:textId="77777777" w:rsidR="006918A0" w:rsidRPr="006918A0" w:rsidRDefault="006918A0" w:rsidP="006918A0">
            <w:pPr>
              <w:spacing w:line="276" w:lineRule="auto"/>
              <w:jc w:val="center"/>
              <w:rPr>
                <w:noProof/>
                <w:sz w:val="20"/>
              </w:rPr>
            </w:pPr>
            <w:r w:rsidRPr="006918A0">
              <w:rPr>
                <w:noProof/>
                <w:sz w:val="20"/>
              </w:rPr>
              <w:t>Year</w:t>
            </w:r>
            <w:r w:rsidRPr="006918A0">
              <w:rPr>
                <w:noProof/>
              </w:rPr>
              <w:br/>
            </w:r>
            <w:r w:rsidRPr="006918A0">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14:paraId="730378F8" w14:textId="77777777" w:rsidR="006918A0" w:rsidRPr="006918A0" w:rsidRDefault="006918A0" w:rsidP="006918A0">
            <w:pPr>
              <w:spacing w:line="276" w:lineRule="auto"/>
              <w:jc w:val="center"/>
              <w:rPr>
                <w:noProof/>
                <w:sz w:val="20"/>
              </w:rPr>
            </w:pPr>
            <w:r w:rsidRPr="006918A0">
              <w:rPr>
                <w:noProof/>
                <w:sz w:val="20"/>
              </w:rPr>
              <w:t>Year</w:t>
            </w:r>
            <w:r w:rsidRPr="006918A0">
              <w:rPr>
                <w:noProof/>
              </w:rPr>
              <w:br/>
            </w:r>
            <w:r w:rsidRPr="006918A0">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14:paraId="6744BE3F" w14:textId="77777777" w:rsidR="006918A0" w:rsidRPr="006918A0" w:rsidRDefault="006918A0" w:rsidP="006918A0">
            <w:pPr>
              <w:spacing w:line="276" w:lineRule="auto"/>
              <w:jc w:val="center"/>
              <w:rPr>
                <w:b/>
                <w:noProof/>
                <w:sz w:val="20"/>
              </w:rPr>
            </w:pPr>
            <w:r w:rsidRPr="006918A0">
              <w:rPr>
                <w:noProof/>
                <w:sz w:val="20"/>
              </w:rPr>
              <w:t>Enter as many years as necessary to show the duration of the impact (see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14:paraId="53437657" w14:textId="77777777" w:rsidR="006918A0" w:rsidRPr="006918A0" w:rsidRDefault="006918A0" w:rsidP="006918A0">
            <w:pPr>
              <w:spacing w:before="60" w:after="60" w:line="276" w:lineRule="auto"/>
              <w:jc w:val="center"/>
              <w:rPr>
                <w:noProof/>
                <w:sz w:val="20"/>
              </w:rPr>
            </w:pPr>
            <w:r w:rsidRPr="006918A0">
              <w:rPr>
                <w:noProof/>
                <w:sz w:val="20"/>
              </w:rPr>
              <w:t>Total</w:t>
            </w:r>
          </w:p>
        </w:tc>
      </w:tr>
      <w:tr w:rsidR="006918A0" w:rsidRPr="006918A0" w14:paraId="511ABFA8" w14:textId="77777777" w:rsidTr="000430BD">
        <w:trPr>
          <w:cantSplit/>
        </w:trPr>
        <w:tc>
          <w:tcPr>
            <w:tcW w:w="2340" w:type="dxa"/>
            <w:tcBorders>
              <w:top w:val="single" w:sz="6" w:space="0" w:color="auto"/>
              <w:left w:val="single" w:sz="6" w:space="0" w:color="auto"/>
              <w:bottom w:val="single" w:sz="6" w:space="0" w:color="auto"/>
              <w:right w:val="single" w:sz="6" w:space="0" w:color="auto"/>
            </w:tcBorders>
            <w:hideMark/>
          </w:tcPr>
          <w:p w14:paraId="0321E608" w14:textId="77777777" w:rsidR="006918A0" w:rsidRPr="006918A0" w:rsidRDefault="006918A0" w:rsidP="006918A0">
            <w:pPr>
              <w:spacing w:line="276" w:lineRule="auto"/>
              <w:rPr>
                <w:noProof/>
              </w:rPr>
            </w:pPr>
            <w:r w:rsidRPr="006918A0">
              <w:rPr>
                <w:noProof/>
                <w:sz w:val="20"/>
              </w:rPr>
              <w:t>Specify the co-financing body</w:t>
            </w:r>
            <w:r w:rsidRPr="006918A0">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14:paraId="46826506" w14:textId="77777777" w:rsidR="006918A0" w:rsidRPr="006918A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36A5FCA" w14:textId="77777777" w:rsidR="006918A0" w:rsidRPr="006918A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2E9933C" w14:textId="77777777" w:rsidR="006918A0" w:rsidRPr="006918A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5C2503F" w14:textId="77777777" w:rsidR="006918A0" w:rsidRPr="006918A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A8D46A6" w14:textId="77777777" w:rsidR="006918A0" w:rsidRPr="006918A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8DC05E6" w14:textId="77777777" w:rsidR="006918A0" w:rsidRPr="006918A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BDB4037" w14:textId="77777777" w:rsidR="006918A0" w:rsidRPr="006918A0" w:rsidRDefault="006918A0" w:rsidP="006918A0">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053B5AE5" w14:textId="77777777" w:rsidR="006918A0" w:rsidRPr="006918A0" w:rsidRDefault="006918A0" w:rsidP="006918A0">
            <w:pPr>
              <w:spacing w:before="60" w:after="60" w:line="276" w:lineRule="auto"/>
              <w:jc w:val="center"/>
              <w:rPr>
                <w:noProof/>
                <w:sz w:val="20"/>
              </w:rPr>
            </w:pPr>
          </w:p>
        </w:tc>
      </w:tr>
      <w:tr w:rsidR="006918A0" w:rsidRPr="006918A0" w14:paraId="0E9640B7" w14:textId="77777777" w:rsidTr="000430BD">
        <w:trPr>
          <w:cantSplit/>
        </w:trPr>
        <w:tc>
          <w:tcPr>
            <w:tcW w:w="2340" w:type="dxa"/>
            <w:tcBorders>
              <w:top w:val="single" w:sz="6" w:space="0" w:color="auto"/>
              <w:left w:val="single" w:sz="6" w:space="0" w:color="auto"/>
              <w:bottom w:val="single" w:sz="6" w:space="0" w:color="auto"/>
              <w:right w:val="single" w:sz="6" w:space="0" w:color="auto"/>
            </w:tcBorders>
            <w:hideMark/>
          </w:tcPr>
          <w:p w14:paraId="0A378047" w14:textId="77777777" w:rsidR="006918A0" w:rsidRPr="006918A0" w:rsidRDefault="006918A0" w:rsidP="006918A0">
            <w:pPr>
              <w:spacing w:before="60" w:after="60" w:line="276" w:lineRule="auto"/>
              <w:jc w:val="left"/>
              <w:rPr>
                <w:noProof/>
                <w:sz w:val="20"/>
              </w:rPr>
            </w:pPr>
            <w:r w:rsidRPr="006918A0">
              <w:rPr>
                <w:noProof/>
                <w:sz w:val="20"/>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tcPr>
          <w:p w14:paraId="0E40DB05" w14:textId="77777777" w:rsidR="006918A0" w:rsidRPr="006918A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91EFD45" w14:textId="77777777" w:rsidR="006918A0" w:rsidRPr="006918A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4E73195" w14:textId="77777777" w:rsidR="006918A0" w:rsidRPr="006918A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4660217" w14:textId="77777777" w:rsidR="006918A0" w:rsidRPr="006918A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86AE17B" w14:textId="77777777" w:rsidR="006918A0" w:rsidRPr="006918A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758FD35" w14:textId="77777777" w:rsidR="006918A0" w:rsidRPr="006918A0" w:rsidRDefault="006918A0" w:rsidP="006918A0">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BF6A5B6" w14:textId="77777777" w:rsidR="006918A0" w:rsidRPr="006918A0" w:rsidRDefault="006918A0" w:rsidP="006918A0">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603FE738" w14:textId="77777777" w:rsidR="006918A0" w:rsidRPr="006918A0" w:rsidRDefault="006918A0" w:rsidP="006918A0">
            <w:pPr>
              <w:spacing w:before="60" w:after="60" w:line="276" w:lineRule="auto"/>
              <w:jc w:val="center"/>
              <w:rPr>
                <w:noProof/>
                <w:sz w:val="20"/>
              </w:rPr>
            </w:pPr>
          </w:p>
        </w:tc>
      </w:tr>
    </w:tbl>
    <w:p w14:paraId="353D5924" w14:textId="77777777" w:rsidR="006918A0" w:rsidRPr="006918A0" w:rsidRDefault="006918A0" w:rsidP="006918A0">
      <w:pPr>
        <w:rPr>
          <w:noProof/>
        </w:rPr>
      </w:pPr>
      <w:r w:rsidRPr="006918A0">
        <w:rPr>
          <w:noProof/>
        </w:rPr>
        <w:br/>
      </w:r>
    </w:p>
    <w:p w14:paraId="0D917773" w14:textId="77777777" w:rsidR="006918A0" w:rsidRPr="006918A0" w:rsidRDefault="006918A0" w:rsidP="00287904">
      <w:pPr>
        <w:pStyle w:val="ManualHeading2"/>
        <w:ind w:hanging="130"/>
        <w:rPr>
          <w:noProof/>
          <w:szCs w:val="24"/>
        </w:rPr>
      </w:pPr>
      <w:r w:rsidRPr="006918A0">
        <w:rPr>
          <w:noProof/>
        </w:rPr>
        <w:br w:type="page"/>
      </w:r>
      <w:bookmarkStart w:id="28" w:name="_Toc514938059"/>
      <w:bookmarkStart w:id="29" w:name="_Toc520485057"/>
      <w:r w:rsidRPr="006918A0">
        <w:rPr>
          <w:noProof/>
        </w:rPr>
        <w:t>3.3 Estimated impact on revenue</w:t>
      </w:r>
      <w:bookmarkEnd w:id="28"/>
      <w:bookmarkEnd w:id="29"/>
      <w:r w:rsidRPr="006918A0">
        <w:rPr>
          <w:noProof/>
        </w:rPr>
        <w:t xml:space="preserve"> </w:t>
      </w:r>
    </w:p>
    <w:p w14:paraId="20A02130" w14:textId="77777777" w:rsidR="006918A0" w:rsidRPr="006918A0" w:rsidRDefault="001714E3" w:rsidP="006918A0">
      <w:pPr>
        <w:tabs>
          <w:tab w:val="num" w:pos="1134"/>
        </w:tabs>
        <w:ind w:left="1134" w:hanging="283"/>
        <w:rPr>
          <w:rFonts w:eastAsia="Times New Roman"/>
          <w:noProof/>
          <w:lang w:eastAsia="de-DE"/>
        </w:rPr>
      </w:pPr>
      <w:r w:rsidRPr="006918A0">
        <w:rPr>
          <w:rFonts w:ascii="Wingdings" w:eastAsia="Wingdings" w:hAnsi="Wingdings" w:cs="Wingdings"/>
          <w:noProof/>
          <w:lang w:eastAsia="de-DE"/>
        </w:rPr>
        <w:t></w:t>
      </w:r>
      <w:r w:rsidR="006918A0" w:rsidRPr="006918A0">
        <w:rPr>
          <w:rFonts w:eastAsia="Times New Roman"/>
          <w:noProof/>
          <w:lang w:eastAsia="de-DE"/>
        </w:rPr>
        <w:tab/>
        <w:t>The proposal/initiative has no financial impact on revenue.</w:t>
      </w:r>
    </w:p>
    <w:p w14:paraId="3A2600EF" w14:textId="77777777" w:rsidR="006918A0" w:rsidRPr="006918A0" w:rsidRDefault="006918A0" w:rsidP="006918A0">
      <w:pPr>
        <w:tabs>
          <w:tab w:val="num" w:pos="1134"/>
        </w:tabs>
        <w:ind w:left="1134" w:hanging="283"/>
        <w:rPr>
          <w:rFonts w:eastAsia="Times New Roman"/>
          <w:noProof/>
          <w:lang w:eastAsia="de-DE"/>
        </w:rPr>
      </w:pPr>
      <w:r w:rsidRPr="004202F1">
        <w:rPr>
          <w:rFonts w:ascii="Wingdings" w:hAnsi="Wingdings"/>
          <w:noProof/>
        </w:rPr>
        <w:sym w:font="Wingdings" w:char="F0A8"/>
      </w:r>
      <w:r w:rsidRPr="006918A0">
        <w:rPr>
          <w:rFonts w:eastAsia="Times New Roman"/>
          <w:noProof/>
          <w:lang w:eastAsia="de-DE"/>
        </w:rPr>
        <w:tab/>
        <w:t>The proposal/initiative has the following financial impact:</w:t>
      </w:r>
    </w:p>
    <w:p w14:paraId="5EFEAA23" w14:textId="77777777" w:rsidR="006918A0" w:rsidRPr="006918A0" w:rsidRDefault="006918A0" w:rsidP="006918A0">
      <w:pPr>
        <w:numPr>
          <w:ilvl w:val="2"/>
          <w:numId w:val="0"/>
        </w:numPr>
        <w:tabs>
          <w:tab w:val="num" w:pos="2126"/>
        </w:tabs>
        <w:ind w:left="2126" w:hanging="709"/>
        <w:rPr>
          <w:rFonts w:eastAsia="Times New Roman"/>
          <w:noProof/>
          <w:lang w:eastAsia="de-DE"/>
        </w:rPr>
      </w:pPr>
      <w:r w:rsidRPr="004202F1">
        <w:rPr>
          <w:rFonts w:ascii="Wingdings" w:hAnsi="Wingdings"/>
          <w:noProof/>
        </w:rPr>
        <w:sym w:font="Wingdings" w:char="F0A8"/>
      </w:r>
      <w:r w:rsidRPr="006918A0">
        <w:rPr>
          <w:rFonts w:eastAsia="Times New Roman"/>
          <w:noProof/>
          <w:lang w:eastAsia="de-DE"/>
        </w:rPr>
        <w:tab/>
        <w:t xml:space="preserve">on own resources </w:t>
      </w:r>
    </w:p>
    <w:p w14:paraId="6AD1EE55" w14:textId="77777777" w:rsidR="006918A0" w:rsidRPr="006918A0" w:rsidRDefault="006918A0" w:rsidP="006918A0">
      <w:pPr>
        <w:numPr>
          <w:ilvl w:val="2"/>
          <w:numId w:val="0"/>
        </w:numPr>
        <w:tabs>
          <w:tab w:val="num" w:pos="2126"/>
        </w:tabs>
        <w:ind w:left="2126" w:hanging="709"/>
        <w:rPr>
          <w:rFonts w:eastAsia="Times New Roman"/>
          <w:noProof/>
          <w:lang w:eastAsia="de-DE"/>
        </w:rPr>
      </w:pPr>
      <w:r w:rsidRPr="004202F1">
        <w:rPr>
          <w:rFonts w:ascii="Wingdings" w:hAnsi="Wingdings"/>
          <w:noProof/>
        </w:rPr>
        <w:sym w:font="Wingdings" w:char="F0A8"/>
      </w:r>
      <w:r w:rsidRPr="006918A0">
        <w:rPr>
          <w:rFonts w:eastAsia="Times New Roman"/>
          <w:noProof/>
          <w:lang w:eastAsia="de-DE"/>
        </w:rPr>
        <w:tab/>
        <w:t>on other revenue</w:t>
      </w:r>
    </w:p>
    <w:p w14:paraId="12B1291E" w14:textId="77777777" w:rsidR="006918A0" w:rsidRPr="006918A0" w:rsidRDefault="006918A0" w:rsidP="006918A0">
      <w:pPr>
        <w:numPr>
          <w:ilvl w:val="2"/>
          <w:numId w:val="0"/>
        </w:numPr>
        <w:tabs>
          <w:tab w:val="num" w:pos="2126"/>
        </w:tabs>
        <w:ind w:left="2126" w:hanging="709"/>
        <w:rPr>
          <w:rFonts w:eastAsia="Times New Roman"/>
          <w:noProof/>
          <w:lang w:eastAsia="de-DE"/>
        </w:rPr>
      </w:pPr>
      <w:r w:rsidRPr="006918A0">
        <w:rPr>
          <w:rFonts w:eastAsia="Times New Roman"/>
          <w:noProof/>
          <w:lang w:eastAsia="de-DE"/>
        </w:rPr>
        <w:t xml:space="preserve">please indicate, if the revenue is assigned to expenditure lines </w:t>
      </w:r>
      <w:r w:rsidRPr="004202F1">
        <w:rPr>
          <w:rFonts w:ascii="Wingdings" w:hAnsi="Wingdings"/>
          <w:noProof/>
        </w:rPr>
        <w:sym w:font="Wingdings" w:char="F0A8"/>
      </w:r>
      <w:r w:rsidRPr="006918A0">
        <w:rPr>
          <w:rFonts w:eastAsia="Times New Roman"/>
          <w:noProof/>
          <w:lang w:eastAsia="de-DE"/>
        </w:rPr>
        <w:tab/>
      </w:r>
    </w:p>
    <w:p w14:paraId="31832FA7" w14:textId="77777777" w:rsidR="006918A0" w:rsidRPr="006918A0" w:rsidRDefault="006918A0" w:rsidP="006918A0">
      <w:pPr>
        <w:ind w:left="4320"/>
        <w:rPr>
          <w:i/>
          <w:noProof/>
          <w:sz w:val="20"/>
        </w:rPr>
      </w:pPr>
      <w:r w:rsidRPr="006918A0">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325"/>
        <w:gridCol w:w="1031"/>
        <w:gridCol w:w="900"/>
        <w:gridCol w:w="900"/>
        <w:gridCol w:w="1080"/>
        <w:gridCol w:w="1080"/>
        <w:gridCol w:w="1080"/>
        <w:gridCol w:w="1080"/>
      </w:tblGrid>
      <w:tr w:rsidR="006918A0" w:rsidRPr="006918A0" w14:paraId="4A5297A1" w14:textId="77777777" w:rsidTr="000430BD">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10C7E5A6" w14:textId="77777777" w:rsidR="006918A0" w:rsidRPr="006918A0" w:rsidRDefault="006918A0" w:rsidP="006918A0">
            <w:pPr>
              <w:spacing w:before="40" w:after="40" w:line="276" w:lineRule="auto"/>
              <w:rPr>
                <w:noProof/>
                <w:sz w:val="18"/>
              </w:rPr>
            </w:pPr>
            <w:r w:rsidRPr="006918A0">
              <w:rPr>
                <w:noProof/>
                <w:sz w:val="18"/>
              </w:rPr>
              <w:t>Budget revenue line:</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5FC1CBD2" w14:textId="77777777" w:rsidR="006918A0" w:rsidRPr="006918A0" w:rsidRDefault="006918A0" w:rsidP="006918A0">
            <w:pPr>
              <w:spacing w:line="276" w:lineRule="auto"/>
              <w:jc w:val="center"/>
              <w:rPr>
                <w:noProof/>
                <w:sz w:val="18"/>
              </w:rPr>
            </w:pPr>
            <w:r w:rsidRPr="006918A0">
              <w:rPr>
                <w:noProof/>
                <w:sz w:val="18"/>
              </w:rPr>
              <w:t>Appropriations available for the current financial year</w:t>
            </w:r>
          </w:p>
        </w:tc>
        <w:tc>
          <w:tcPr>
            <w:tcW w:w="7151" w:type="dxa"/>
            <w:gridSpan w:val="7"/>
            <w:tcBorders>
              <w:top w:val="single" w:sz="4" w:space="0" w:color="auto"/>
              <w:left w:val="single" w:sz="4" w:space="0" w:color="auto"/>
              <w:bottom w:val="single" w:sz="4" w:space="0" w:color="auto"/>
              <w:right w:val="single" w:sz="4" w:space="0" w:color="auto"/>
            </w:tcBorders>
            <w:vAlign w:val="center"/>
            <w:hideMark/>
          </w:tcPr>
          <w:p w14:paraId="28B5322C" w14:textId="77777777" w:rsidR="006918A0" w:rsidRPr="006918A0" w:rsidRDefault="006918A0" w:rsidP="006918A0">
            <w:pPr>
              <w:spacing w:line="276" w:lineRule="auto"/>
              <w:jc w:val="center"/>
              <w:rPr>
                <w:noProof/>
                <w:sz w:val="18"/>
              </w:rPr>
            </w:pPr>
            <w:r w:rsidRPr="006918A0">
              <w:rPr>
                <w:noProof/>
                <w:sz w:val="18"/>
              </w:rPr>
              <w:t>Impact of the proposal/initiative</w:t>
            </w:r>
            <w:r w:rsidRPr="00F26004">
              <w:rPr>
                <w:rStyle w:val="FootnoteReference"/>
                <w:noProof/>
              </w:rPr>
              <w:footnoteReference w:id="58"/>
            </w:r>
          </w:p>
        </w:tc>
      </w:tr>
      <w:tr w:rsidR="006918A0" w:rsidRPr="006918A0" w14:paraId="47D39764" w14:textId="77777777" w:rsidTr="00E104B3">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14:paraId="5D8FC691" w14:textId="77777777" w:rsidR="006918A0" w:rsidRPr="006918A0" w:rsidRDefault="006918A0" w:rsidP="006918A0">
            <w:pPr>
              <w:spacing w:before="0" w:after="0" w:line="276" w:lineRule="auto"/>
              <w:jc w:val="left"/>
              <w:rPr>
                <w:noProof/>
                <w:sz w:val="18"/>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6FC182A9" w14:textId="77777777" w:rsidR="006918A0" w:rsidRPr="006918A0" w:rsidRDefault="006918A0" w:rsidP="006918A0">
            <w:pPr>
              <w:spacing w:before="0" w:after="0" w:line="276" w:lineRule="auto"/>
              <w:jc w:val="left"/>
              <w:rPr>
                <w:noProof/>
                <w:sz w:val="18"/>
              </w:rPr>
            </w:pPr>
          </w:p>
        </w:tc>
        <w:tc>
          <w:tcPr>
            <w:tcW w:w="1031" w:type="dxa"/>
            <w:tcBorders>
              <w:top w:val="single" w:sz="4" w:space="0" w:color="auto"/>
              <w:left w:val="single" w:sz="4" w:space="0" w:color="auto"/>
              <w:bottom w:val="single" w:sz="4" w:space="0" w:color="auto"/>
              <w:right w:val="single" w:sz="4" w:space="0" w:color="auto"/>
            </w:tcBorders>
            <w:vAlign w:val="center"/>
            <w:hideMark/>
          </w:tcPr>
          <w:p w14:paraId="6DBE935D" w14:textId="77777777" w:rsidR="006918A0" w:rsidRPr="006918A0" w:rsidRDefault="006918A0" w:rsidP="006918A0">
            <w:pPr>
              <w:spacing w:line="276" w:lineRule="auto"/>
              <w:jc w:val="center"/>
              <w:rPr>
                <w:noProof/>
                <w:sz w:val="18"/>
              </w:rPr>
            </w:pPr>
            <w:r w:rsidRPr="006918A0">
              <w:rPr>
                <w:noProof/>
                <w:sz w:val="18"/>
              </w:rPr>
              <w:t>Year</w:t>
            </w:r>
            <w:r w:rsidRPr="006918A0">
              <w:rPr>
                <w:noProof/>
              </w:rPr>
              <w:br/>
            </w:r>
            <w:r w:rsidRPr="006918A0">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43284E4C" w14:textId="77777777" w:rsidR="006918A0" w:rsidRPr="006918A0" w:rsidRDefault="006918A0" w:rsidP="006918A0">
            <w:pPr>
              <w:spacing w:line="276" w:lineRule="auto"/>
              <w:jc w:val="center"/>
              <w:rPr>
                <w:noProof/>
                <w:sz w:val="18"/>
              </w:rPr>
            </w:pPr>
            <w:r w:rsidRPr="006918A0">
              <w:rPr>
                <w:noProof/>
                <w:sz w:val="18"/>
              </w:rPr>
              <w:t>Year</w:t>
            </w:r>
            <w:r w:rsidRPr="006918A0">
              <w:rPr>
                <w:noProof/>
              </w:rPr>
              <w:br/>
            </w:r>
            <w:r w:rsidRPr="006918A0">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C5088A8" w14:textId="77777777" w:rsidR="006918A0" w:rsidRPr="006918A0" w:rsidRDefault="006918A0" w:rsidP="006918A0">
            <w:pPr>
              <w:spacing w:line="276" w:lineRule="auto"/>
              <w:jc w:val="center"/>
              <w:rPr>
                <w:noProof/>
                <w:sz w:val="18"/>
              </w:rPr>
            </w:pPr>
            <w:r w:rsidRPr="006918A0">
              <w:rPr>
                <w:noProof/>
                <w:sz w:val="18"/>
              </w:rPr>
              <w:t>Year</w:t>
            </w:r>
            <w:r w:rsidRPr="006918A0">
              <w:rPr>
                <w:noProof/>
              </w:rPr>
              <w:br/>
            </w:r>
            <w:r w:rsidRPr="006918A0">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8978713" w14:textId="77777777" w:rsidR="006918A0" w:rsidRPr="006918A0" w:rsidRDefault="006918A0" w:rsidP="006918A0">
            <w:pPr>
              <w:spacing w:line="276" w:lineRule="auto"/>
              <w:jc w:val="center"/>
              <w:rPr>
                <w:noProof/>
                <w:sz w:val="18"/>
              </w:rPr>
            </w:pPr>
            <w:r w:rsidRPr="006918A0">
              <w:rPr>
                <w:noProof/>
                <w:sz w:val="18"/>
              </w:rPr>
              <w:t>Year</w:t>
            </w:r>
            <w:r w:rsidRPr="006918A0">
              <w:rPr>
                <w:noProof/>
              </w:rPr>
              <w:br/>
            </w:r>
            <w:r w:rsidRPr="006918A0">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2825A910" w14:textId="77777777" w:rsidR="006918A0" w:rsidRPr="006918A0" w:rsidRDefault="006918A0" w:rsidP="006918A0">
            <w:pPr>
              <w:spacing w:line="276" w:lineRule="auto"/>
              <w:jc w:val="center"/>
              <w:rPr>
                <w:b/>
                <w:noProof/>
                <w:sz w:val="18"/>
              </w:rPr>
            </w:pPr>
            <w:r w:rsidRPr="006918A0">
              <w:rPr>
                <w:noProof/>
                <w:sz w:val="18"/>
              </w:rPr>
              <w:t>Enter as many years as necessary to show the duration of the impact (see point 1.6)</w:t>
            </w:r>
          </w:p>
        </w:tc>
      </w:tr>
      <w:tr w:rsidR="006918A0" w:rsidRPr="006918A0" w14:paraId="4163CE3F" w14:textId="77777777" w:rsidTr="000430BD">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14:paraId="1B63A33C" w14:textId="77777777" w:rsidR="006918A0" w:rsidRPr="006918A0" w:rsidRDefault="006918A0" w:rsidP="006918A0">
            <w:pPr>
              <w:spacing w:before="40" w:after="40" w:line="276" w:lineRule="auto"/>
              <w:rPr>
                <w:noProof/>
                <w:sz w:val="18"/>
              </w:rPr>
            </w:pPr>
            <w:r w:rsidRPr="006918A0">
              <w:rPr>
                <w:noProof/>
                <w:sz w:val="18"/>
              </w:rPr>
              <w:t>Article ………….</w:t>
            </w:r>
          </w:p>
        </w:tc>
        <w:tc>
          <w:tcPr>
            <w:tcW w:w="1325" w:type="dxa"/>
            <w:tcBorders>
              <w:top w:val="single" w:sz="4" w:space="0" w:color="auto"/>
              <w:left w:val="single" w:sz="4" w:space="0" w:color="auto"/>
              <w:bottom w:val="single" w:sz="4" w:space="0" w:color="auto"/>
              <w:right w:val="single" w:sz="4" w:space="0" w:color="auto"/>
            </w:tcBorders>
          </w:tcPr>
          <w:p w14:paraId="5879E859" w14:textId="77777777" w:rsidR="006918A0" w:rsidRPr="006918A0" w:rsidRDefault="006918A0" w:rsidP="006918A0">
            <w:pPr>
              <w:spacing w:beforeLines="40" w:before="96" w:afterLines="40" w:after="96" w:line="276" w:lineRule="auto"/>
              <w:jc w:val="center"/>
              <w:rPr>
                <w:i/>
                <w:noProof/>
                <w:sz w:val="18"/>
              </w:rPr>
            </w:pPr>
          </w:p>
        </w:tc>
        <w:tc>
          <w:tcPr>
            <w:tcW w:w="1031" w:type="dxa"/>
            <w:tcBorders>
              <w:top w:val="single" w:sz="4" w:space="0" w:color="auto"/>
              <w:left w:val="single" w:sz="4" w:space="0" w:color="auto"/>
              <w:bottom w:val="single" w:sz="4" w:space="0" w:color="auto"/>
              <w:right w:val="single" w:sz="4" w:space="0" w:color="auto"/>
            </w:tcBorders>
          </w:tcPr>
          <w:p w14:paraId="57D376F9" w14:textId="77777777" w:rsidR="006918A0" w:rsidRPr="006918A0" w:rsidRDefault="006918A0" w:rsidP="006918A0">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668803B9" w14:textId="77777777" w:rsidR="006918A0" w:rsidRPr="006918A0" w:rsidRDefault="006918A0" w:rsidP="006918A0">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0B03C52C" w14:textId="77777777" w:rsidR="006918A0" w:rsidRPr="006918A0" w:rsidRDefault="006918A0" w:rsidP="006918A0">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2AAFF138" w14:textId="77777777" w:rsidR="006918A0" w:rsidRPr="006918A0" w:rsidRDefault="006918A0" w:rsidP="006918A0">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3AC5A8B7" w14:textId="77777777" w:rsidR="006918A0" w:rsidRPr="006918A0" w:rsidRDefault="006918A0" w:rsidP="006918A0">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4BE6573C" w14:textId="77777777" w:rsidR="006918A0" w:rsidRPr="006918A0" w:rsidRDefault="006918A0" w:rsidP="006918A0">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5EAD8212" w14:textId="77777777" w:rsidR="006918A0" w:rsidRPr="006918A0" w:rsidRDefault="006918A0" w:rsidP="006918A0">
            <w:pPr>
              <w:spacing w:beforeLines="40" w:before="96" w:afterLines="40" w:after="96" w:line="276" w:lineRule="auto"/>
              <w:jc w:val="center"/>
              <w:rPr>
                <w:noProof/>
                <w:sz w:val="18"/>
              </w:rPr>
            </w:pPr>
          </w:p>
        </w:tc>
      </w:tr>
    </w:tbl>
    <w:p w14:paraId="2CEC1B55" w14:textId="77777777" w:rsidR="006918A0" w:rsidRPr="006918A0" w:rsidRDefault="006918A0" w:rsidP="006918A0">
      <w:pPr>
        <w:ind w:left="850"/>
        <w:rPr>
          <w:noProof/>
          <w:sz w:val="20"/>
        </w:rPr>
      </w:pPr>
      <w:r w:rsidRPr="006918A0">
        <w:rPr>
          <w:noProof/>
          <w:sz w:val="20"/>
        </w:rPr>
        <w:t>For assigned revenue, specify the budget expenditure line(s) affected.</w:t>
      </w:r>
    </w:p>
    <w:p w14:paraId="78E15A8D" w14:textId="77777777" w:rsidR="006918A0" w:rsidRPr="006918A0" w:rsidRDefault="006918A0" w:rsidP="006918A0">
      <w:pPr>
        <w:pBdr>
          <w:top w:val="single" w:sz="4" w:space="1" w:color="auto"/>
          <w:left w:val="single" w:sz="4" w:space="4" w:color="auto"/>
          <w:bottom w:val="single" w:sz="4" w:space="1" w:color="auto"/>
          <w:right w:val="single" w:sz="4" w:space="4" w:color="auto"/>
        </w:pBdr>
        <w:ind w:left="850"/>
        <w:rPr>
          <w:noProof/>
        </w:rPr>
      </w:pPr>
    </w:p>
    <w:p w14:paraId="785BC8C8" w14:textId="77777777" w:rsidR="006918A0" w:rsidRPr="006918A0" w:rsidRDefault="006918A0" w:rsidP="006918A0">
      <w:pPr>
        <w:ind w:left="850"/>
        <w:rPr>
          <w:noProof/>
          <w:sz w:val="20"/>
        </w:rPr>
      </w:pPr>
      <w:r w:rsidRPr="006918A0">
        <w:rPr>
          <w:noProof/>
          <w:sz w:val="20"/>
        </w:rPr>
        <w:t>Other remarks (e.g. method/formula used for calculating the impact on revenue or any other information).</w:t>
      </w:r>
    </w:p>
    <w:p w14:paraId="7432A0B5" w14:textId="77777777" w:rsidR="006918A0" w:rsidRPr="006918A0" w:rsidRDefault="006918A0" w:rsidP="006918A0">
      <w:pPr>
        <w:pBdr>
          <w:top w:val="single" w:sz="4" w:space="1" w:color="auto"/>
          <w:left w:val="single" w:sz="4" w:space="4" w:color="auto"/>
          <w:bottom w:val="single" w:sz="4" w:space="1" w:color="auto"/>
          <w:right w:val="single" w:sz="4" w:space="4" w:color="auto"/>
        </w:pBdr>
        <w:ind w:left="850"/>
        <w:rPr>
          <w:noProof/>
        </w:rPr>
      </w:pPr>
    </w:p>
    <w:p w14:paraId="554C29ED" w14:textId="77777777" w:rsidR="006918A0" w:rsidRPr="006918A0" w:rsidRDefault="006918A0" w:rsidP="006918A0">
      <w:pPr>
        <w:spacing w:before="0" w:after="200" w:line="276" w:lineRule="auto"/>
        <w:jc w:val="left"/>
        <w:rPr>
          <w:noProof/>
        </w:rPr>
      </w:pPr>
    </w:p>
    <w:p w14:paraId="65F151C5" w14:textId="77777777" w:rsidR="006918A0" w:rsidRPr="006918A0" w:rsidRDefault="006918A0" w:rsidP="006918A0">
      <w:pPr>
        <w:spacing w:before="0" w:after="200" w:line="276" w:lineRule="auto"/>
        <w:jc w:val="left"/>
        <w:rPr>
          <w:noProof/>
        </w:rPr>
      </w:pPr>
    </w:p>
    <w:p w14:paraId="75DAE940" w14:textId="77777777" w:rsidR="001956AF" w:rsidRPr="001956AF" w:rsidRDefault="001956AF" w:rsidP="006E6DDA">
      <w:pPr>
        <w:rPr>
          <w:noProof/>
        </w:rPr>
      </w:pPr>
    </w:p>
    <w:sectPr w:rsidR="001956AF" w:rsidRPr="001956AF" w:rsidSect="00B018F6">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CF07" w14:textId="77777777" w:rsidR="006828FA" w:rsidRDefault="006828FA" w:rsidP="00977CF6">
      <w:pPr>
        <w:spacing w:before="0" w:after="0"/>
      </w:pPr>
      <w:r>
        <w:separator/>
      </w:r>
    </w:p>
  </w:endnote>
  <w:endnote w:type="continuationSeparator" w:id="0">
    <w:p w14:paraId="51A5C80C" w14:textId="77777777" w:rsidR="006828FA" w:rsidRDefault="006828FA" w:rsidP="00977CF6">
      <w:pPr>
        <w:spacing w:before="0" w:after="0"/>
      </w:pPr>
      <w:r>
        <w:continuationSeparator/>
      </w:r>
    </w:p>
  </w:endnote>
  <w:endnote w:type="continuationNotice" w:id="1">
    <w:p w14:paraId="54D9C0D1" w14:textId="77777777" w:rsidR="006828FA" w:rsidRDefault="006828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Calibri"/>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2B01" w14:textId="6F6978CB" w:rsidR="00977CF6" w:rsidRPr="00B018F6" w:rsidRDefault="00B018F6" w:rsidP="00B018F6">
    <w:pPr>
      <w:pStyle w:val="Footer"/>
      <w:rPr>
        <w:rFonts w:ascii="Arial" w:hAnsi="Arial" w:cs="Arial"/>
        <w:b/>
        <w:sz w:val="48"/>
      </w:rPr>
    </w:pPr>
    <w:r w:rsidRPr="00B018F6">
      <w:rPr>
        <w:rFonts w:ascii="Arial" w:hAnsi="Arial" w:cs="Arial"/>
        <w:b/>
        <w:sz w:val="48"/>
      </w:rPr>
      <w:t>EN</w:t>
    </w:r>
    <w:r w:rsidRPr="00B018F6">
      <w:rPr>
        <w:rFonts w:ascii="Arial" w:hAnsi="Arial" w:cs="Arial"/>
        <w:b/>
        <w:sz w:val="48"/>
      </w:rPr>
      <w:tab/>
    </w:r>
    <w:r w:rsidRPr="00B018F6">
      <w:rPr>
        <w:rFonts w:ascii="Arial" w:hAnsi="Arial" w:cs="Arial"/>
        <w:b/>
        <w:sz w:val="48"/>
      </w:rPr>
      <w:tab/>
    </w:r>
    <w:r w:rsidRPr="00B018F6">
      <w:tab/>
    </w:r>
    <w:r w:rsidRPr="00B018F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0674" w14:textId="6BAD565E" w:rsidR="00B018F6" w:rsidRPr="00B018F6" w:rsidRDefault="00B018F6" w:rsidP="00B018F6">
    <w:pPr>
      <w:pStyle w:val="Footer"/>
      <w:rPr>
        <w:rFonts w:ascii="Arial" w:hAnsi="Arial" w:cs="Arial"/>
        <w:b/>
        <w:sz w:val="48"/>
      </w:rPr>
    </w:pPr>
    <w:r w:rsidRPr="00B018F6">
      <w:rPr>
        <w:rFonts w:ascii="Arial" w:hAnsi="Arial" w:cs="Arial"/>
        <w:b/>
        <w:sz w:val="48"/>
      </w:rPr>
      <w:t>EN</w:t>
    </w:r>
    <w:r w:rsidRPr="00B018F6">
      <w:rPr>
        <w:rFonts w:ascii="Arial" w:hAnsi="Arial" w:cs="Arial"/>
        <w:b/>
        <w:sz w:val="48"/>
      </w:rPr>
      <w:tab/>
    </w:r>
    <w:r>
      <w:fldChar w:fldCharType="begin"/>
    </w:r>
    <w:r>
      <w:instrText xml:space="preserve"> PAGE  \* MERGEFORMAT </w:instrText>
    </w:r>
    <w:r>
      <w:fldChar w:fldCharType="separate"/>
    </w:r>
    <w:r w:rsidR="00B27C4F">
      <w:rPr>
        <w:noProof/>
      </w:rPr>
      <w:t>33</w:t>
    </w:r>
    <w:r>
      <w:fldChar w:fldCharType="end"/>
    </w:r>
    <w:r>
      <w:tab/>
    </w:r>
    <w:r w:rsidRPr="00B018F6">
      <w:tab/>
    </w:r>
    <w:r w:rsidRPr="00B018F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243BE" w14:textId="77777777" w:rsidR="00B018F6" w:rsidRPr="00B018F6" w:rsidRDefault="00B018F6" w:rsidP="00B018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8465" w14:textId="7664CDE3" w:rsidR="00B018F6" w:rsidRPr="00B018F6" w:rsidRDefault="00B018F6" w:rsidP="00B018F6">
    <w:pPr>
      <w:pStyle w:val="FooterLandscape"/>
      <w:rPr>
        <w:rFonts w:ascii="Arial" w:hAnsi="Arial" w:cs="Arial"/>
        <w:b/>
        <w:sz w:val="48"/>
      </w:rPr>
    </w:pPr>
    <w:r w:rsidRPr="00B018F6">
      <w:rPr>
        <w:rFonts w:ascii="Arial" w:hAnsi="Arial" w:cs="Arial"/>
        <w:b/>
        <w:sz w:val="48"/>
      </w:rPr>
      <w:t>EN</w:t>
    </w:r>
    <w:r w:rsidRPr="00B018F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018F6">
      <w:tab/>
    </w:r>
    <w:r w:rsidRPr="00B018F6">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B7D9A" w14:textId="77777777" w:rsidR="00B018F6" w:rsidRPr="00B018F6" w:rsidRDefault="00B018F6" w:rsidP="00B018F6">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DD1F" w14:textId="66E2A2C1" w:rsidR="001B5BEC" w:rsidRPr="00B018F6" w:rsidRDefault="00B018F6" w:rsidP="00B018F6">
    <w:pPr>
      <w:pStyle w:val="Footer"/>
      <w:rPr>
        <w:rFonts w:ascii="Arial" w:hAnsi="Arial" w:cs="Arial"/>
        <w:b/>
        <w:sz w:val="48"/>
      </w:rPr>
    </w:pPr>
    <w:r w:rsidRPr="00B018F6">
      <w:rPr>
        <w:rFonts w:ascii="Arial" w:hAnsi="Arial" w:cs="Arial"/>
        <w:b/>
        <w:sz w:val="48"/>
      </w:rPr>
      <w:t>EN</w:t>
    </w:r>
    <w:r w:rsidRPr="00B018F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018F6">
      <w:tab/>
    </w:r>
    <w:r w:rsidRPr="00B018F6">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DA53" w14:textId="77777777" w:rsidR="00B018F6" w:rsidRPr="00B018F6" w:rsidRDefault="00B018F6" w:rsidP="00B0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96B9" w14:textId="77777777" w:rsidR="006828FA" w:rsidRDefault="006828FA" w:rsidP="00977CF6">
      <w:pPr>
        <w:spacing w:before="0" w:after="0"/>
      </w:pPr>
      <w:r>
        <w:separator/>
      </w:r>
    </w:p>
  </w:footnote>
  <w:footnote w:type="continuationSeparator" w:id="0">
    <w:p w14:paraId="24404DAD" w14:textId="77777777" w:rsidR="006828FA" w:rsidRDefault="006828FA" w:rsidP="00977CF6">
      <w:pPr>
        <w:spacing w:before="0" w:after="0"/>
      </w:pPr>
      <w:r>
        <w:continuationSeparator/>
      </w:r>
    </w:p>
  </w:footnote>
  <w:footnote w:type="continuationNotice" w:id="1">
    <w:p w14:paraId="19AF1A5E" w14:textId="77777777" w:rsidR="006828FA" w:rsidRDefault="006828FA">
      <w:pPr>
        <w:spacing w:before="0" w:after="0"/>
      </w:pPr>
    </w:p>
  </w:footnote>
  <w:footnote w:id="2">
    <w:p w14:paraId="5FFED592" w14:textId="1DDC11C3" w:rsidR="7BA2523B" w:rsidRDefault="7BA2523B" w:rsidP="00166F1C">
      <w:pPr>
        <w:pStyle w:val="FootnoteText"/>
        <w:rPr>
          <w:rFonts w:eastAsia="Times New Roman"/>
          <w:sz w:val="16"/>
          <w:szCs w:val="16"/>
        </w:rPr>
      </w:pPr>
      <w:r w:rsidRPr="005C6A5D">
        <w:rPr>
          <w:rStyle w:val="FootnoteReference"/>
        </w:rPr>
        <w:footnoteRef/>
      </w:r>
      <w:r w:rsidR="005C6A5D">
        <w:tab/>
      </w:r>
      <w:r w:rsidR="004B5980">
        <w:t>W</w:t>
      </w:r>
      <w:r w:rsidRPr="00166F1C">
        <w:rPr>
          <w:rFonts w:eastAsia="Times New Roman"/>
        </w:rPr>
        <w:t>ithholding tax on dividends, survey for investors in the European Union, Better Finance, March 2023</w:t>
      </w:r>
      <w:r w:rsidR="00650809">
        <w:rPr>
          <w:rFonts w:eastAsia="Times New Roman"/>
        </w:rPr>
        <w:t>.</w:t>
      </w:r>
    </w:p>
  </w:footnote>
  <w:footnote w:id="3">
    <w:p w14:paraId="360D29DC" w14:textId="02A47073" w:rsidR="00616FDE" w:rsidRPr="00616FDE" w:rsidRDefault="00616FDE">
      <w:pPr>
        <w:pStyle w:val="FootnoteText"/>
      </w:pPr>
      <w:r w:rsidRPr="00E35A44">
        <w:rPr>
          <w:rStyle w:val="FootnoteReference"/>
        </w:rPr>
        <w:footnoteRef/>
      </w:r>
      <w:r w:rsidR="00E35A44">
        <w:tab/>
      </w:r>
      <w:hyperlink r:id="rId1" w:history="1">
        <w:r w:rsidR="003227C2" w:rsidRPr="009C5421">
          <w:rPr>
            <w:rStyle w:val="Hyperlink"/>
          </w:rPr>
          <w:t>https://finance.ec.europa.eu/publications/retail-investment-package_en</w:t>
        </w:r>
      </w:hyperlink>
    </w:p>
  </w:footnote>
  <w:footnote w:id="4">
    <w:p w14:paraId="4E541DC0" w14:textId="5C4570C3" w:rsidR="00FE4542" w:rsidRPr="00166F1C" w:rsidRDefault="00FE4542" w:rsidP="00654EF0">
      <w:pPr>
        <w:pStyle w:val="FootnoteText"/>
        <w:rPr>
          <w:lang w:val="en-IE"/>
        </w:rPr>
      </w:pPr>
      <w:r w:rsidRPr="005C6A5D">
        <w:rPr>
          <w:rStyle w:val="FootnoteReference"/>
        </w:rPr>
        <w:footnoteRef/>
      </w:r>
      <w:r w:rsidR="005C6A5D">
        <w:tab/>
      </w:r>
      <w:r w:rsidR="00654EF0">
        <w:t>Commission Recommendation of 19 October 2009 on withholding tax relief procedures (OJ L 279, 24.10.2009, p. 8–11)</w:t>
      </w:r>
      <w:r w:rsidR="00650809" w:rsidRPr="00650809">
        <w:t>.</w:t>
      </w:r>
    </w:p>
  </w:footnote>
  <w:footnote w:id="5">
    <w:p w14:paraId="0C06352E" w14:textId="0783EB1B" w:rsidR="00FE4542" w:rsidRPr="00166F1C" w:rsidRDefault="00FE4542">
      <w:pPr>
        <w:pStyle w:val="FootnoteText"/>
        <w:rPr>
          <w:lang w:val="en-IE"/>
        </w:rPr>
      </w:pPr>
      <w:r w:rsidRPr="005C6A5D">
        <w:rPr>
          <w:rStyle w:val="FootnoteReference"/>
        </w:rPr>
        <w:footnoteRef/>
      </w:r>
      <w:r w:rsidR="005C6A5D">
        <w:tab/>
      </w:r>
      <w:r w:rsidR="00650809" w:rsidRPr="00650809">
        <w:rPr>
          <w:lang w:val="en-IE"/>
        </w:rPr>
        <w:t xml:space="preserve">European Commission (2017), Code of conduct on withholding tax, Directorate-General Taxation and Customs Union, </w:t>
      </w:r>
      <w:hyperlink r:id="rId2" w:history="1">
        <w:r w:rsidR="00654EF0" w:rsidRPr="00654EF0">
          <w:rPr>
            <w:rStyle w:val="Hyperlink"/>
            <w:lang w:val="en-IE"/>
          </w:rPr>
          <w:t>https://taxation-customs.ec.europa.eu/system/files/2017-12/code_of_conduct_on_witholding_tax.pdf</w:t>
        </w:r>
      </w:hyperlink>
      <w:r w:rsidR="00654EF0">
        <w:rPr>
          <w:lang w:val="en-IE"/>
        </w:rPr>
        <w:t xml:space="preserve">) </w:t>
      </w:r>
      <w:r w:rsidR="00650809" w:rsidRPr="00650809">
        <w:rPr>
          <w:lang w:val="en-IE"/>
        </w:rPr>
        <w:t>.</w:t>
      </w:r>
    </w:p>
  </w:footnote>
  <w:footnote w:id="6">
    <w:p w14:paraId="6532E4CC" w14:textId="1138BC73" w:rsidR="00FE4542" w:rsidRPr="00FE4542" w:rsidRDefault="00FE4542">
      <w:pPr>
        <w:pStyle w:val="FootnoteText"/>
      </w:pPr>
      <w:r w:rsidRPr="005C6A5D">
        <w:rPr>
          <w:rStyle w:val="FootnoteReference"/>
        </w:rPr>
        <w:footnoteRef/>
      </w:r>
      <w:r w:rsidR="005C6A5D">
        <w:tab/>
      </w:r>
      <w:r w:rsidR="00650809" w:rsidRPr="00166F1C">
        <w:t>OECD (2013), TRACE implementation package for the adoption of the authorised intermediary system: A standardised system for effective withholding tax relief procedures for cross-border portfolio income (</w:t>
      </w:r>
      <w:hyperlink r:id="rId3" w:history="1">
        <w:r w:rsidR="003C3B08" w:rsidRPr="00166F1C">
          <w:rPr>
            <w:rStyle w:val="Hyperlink"/>
          </w:rPr>
          <w:t>https://www.oecd.org/ctp/exchange-of-tax-</w:t>
        </w:r>
        <w:r w:rsidR="003C3B08" w:rsidRPr="008E2BE9">
          <w:rPr>
            <w:rStyle w:val="Hyperlink"/>
          </w:rPr>
          <w:t>i</w:t>
        </w:r>
        <w:r w:rsidR="003C3B08" w:rsidRPr="00166F1C">
          <w:rPr>
            <w:rStyle w:val="Hyperlink"/>
          </w:rPr>
          <w:t>nformation/treatyreliefandcomplianceenhancementtrace.htm</w:t>
        </w:r>
      </w:hyperlink>
      <w:r w:rsidR="00650809" w:rsidRPr="00166F1C">
        <w:t>).</w:t>
      </w:r>
    </w:p>
  </w:footnote>
  <w:footnote w:id="7">
    <w:p w14:paraId="6C806410" w14:textId="1AE16CEA" w:rsidR="00095B62" w:rsidRPr="00095B62" w:rsidRDefault="00095B62">
      <w:pPr>
        <w:pStyle w:val="FootnoteText"/>
      </w:pPr>
      <w:r w:rsidRPr="005C6A5D">
        <w:rPr>
          <w:rStyle w:val="FootnoteReference"/>
        </w:rPr>
        <w:footnoteRef/>
      </w:r>
      <w:r w:rsidR="005C6A5D">
        <w:tab/>
      </w:r>
      <w:r>
        <w:t>See impact assessment report accompanying this proposal.</w:t>
      </w:r>
    </w:p>
  </w:footnote>
  <w:footnote w:id="8">
    <w:p w14:paraId="148BA09E" w14:textId="46F3ED81" w:rsidR="007D17F2" w:rsidRPr="00166F1C" w:rsidRDefault="007D17F2" w:rsidP="00447FBE">
      <w:pPr>
        <w:pStyle w:val="FootnoteText"/>
        <w:rPr>
          <w:lang w:val="en-IE"/>
        </w:rPr>
      </w:pPr>
      <w:r w:rsidRPr="005C6A5D">
        <w:rPr>
          <w:rStyle w:val="FootnoteReference"/>
        </w:rPr>
        <w:footnoteRef/>
      </w:r>
      <w:r w:rsidR="005C6A5D">
        <w:tab/>
      </w:r>
      <w:r w:rsidR="00447FBE">
        <w:t>Communication From The Commission To The European Parliament And The Council An Action Plan For Fair And Simple Taxation Supporting The Recovery Strategy (COM/2020/312 final)</w:t>
      </w:r>
      <w:r w:rsidR="00447FBE" w:rsidRPr="007D17F2">
        <w:t xml:space="preserve"> </w:t>
      </w:r>
    </w:p>
  </w:footnote>
  <w:footnote w:id="9">
    <w:p w14:paraId="4B9D88F7" w14:textId="1D12F2BC" w:rsidR="007D17F2" w:rsidRPr="00166F1C" w:rsidRDefault="007D17F2" w:rsidP="00447FBE">
      <w:pPr>
        <w:pStyle w:val="FootnoteText"/>
        <w:rPr>
          <w:lang w:val="en-IE"/>
        </w:rPr>
      </w:pPr>
      <w:r w:rsidRPr="005C6A5D">
        <w:rPr>
          <w:rStyle w:val="FootnoteReference"/>
        </w:rPr>
        <w:footnoteRef/>
      </w:r>
      <w:r w:rsidR="005C6A5D">
        <w:tab/>
      </w:r>
      <w:r w:rsidR="00447FBE">
        <w:t>Communication From The Commission To The European Parliament, The Council, The European Economic And Social Committee And The Committee Of The Regions A Capital Markets Union For People And Businesses-New Action Plan (COM/2020/590 final)</w:t>
      </w:r>
    </w:p>
  </w:footnote>
  <w:footnote w:id="10">
    <w:p w14:paraId="759C5514" w14:textId="3484AF8F" w:rsidR="000023B2" w:rsidRPr="00166F1C" w:rsidRDefault="002606C0" w:rsidP="00447FBE">
      <w:pPr>
        <w:pStyle w:val="FootnoteText"/>
        <w:rPr>
          <w:lang w:val="en-IE"/>
        </w:rPr>
      </w:pPr>
      <w:r w:rsidRPr="002606C0">
        <w:rPr>
          <w:rStyle w:val="FootnoteReference"/>
        </w:rPr>
        <w:footnoteRef/>
      </w:r>
      <w:r>
        <w:rPr>
          <w:lang w:val="en-IE"/>
        </w:rPr>
        <w:tab/>
      </w:r>
      <w:r w:rsidR="007E1BB2" w:rsidRPr="00B316EA">
        <w:t>European Parliament resolution of 10 March 2022 with recommendations to the Commission on fair and simple taxation supporting the recovery strategy (EP follow-up to the July Commission’s Action Plan and its 25 initiatives in the area of VAT, business and individual taxation) (2020/2254(INL)) (OJ C</w:t>
      </w:r>
      <w:r w:rsidR="00B316EA">
        <w:t> </w:t>
      </w:r>
      <w:r w:rsidR="007E1BB2" w:rsidRPr="00B316EA">
        <w:t>347, 9.9.2022, p. 211–222)</w:t>
      </w:r>
    </w:p>
  </w:footnote>
  <w:footnote w:id="11">
    <w:p w14:paraId="0978C8F2" w14:textId="42277E2B" w:rsidR="00DA383D" w:rsidRPr="00DA383D" w:rsidRDefault="00DA383D">
      <w:pPr>
        <w:pStyle w:val="FootnoteText"/>
      </w:pPr>
      <w:r w:rsidRPr="005C6A5D">
        <w:rPr>
          <w:rStyle w:val="FootnoteReference"/>
        </w:rPr>
        <w:footnoteRef/>
      </w:r>
      <w:r w:rsidR="005C6A5D">
        <w:tab/>
      </w:r>
      <w:r>
        <w:t>European Parliament resolution of 10 March 2022 on a European Withholding Tax framework (2021/2097(INI))</w:t>
      </w:r>
    </w:p>
  </w:footnote>
  <w:footnote w:id="12">
    <w:p w14:paraId="31B3BB7D" w14:textId="24CD1032" w:rsidR="0097109C" w:rsidRPr="0097109C" w:rsidRDefault="0097109C">
      <w:pPr>
        <w:pStyle w:val="FootnoteText"/>
        <w:rPr>
          <w:lang w:val="en-IE"/>
        </w:rPr>
      </w:pPr>
      <w:r w:rsidRPr="002606C0">
        <w:rPr>
          <w:rStyle w:val="FootnoteReference"/>
        </w:rPr>
        <w:footnoteRef/>
      </w:r>
      <w:r w:rsidR="002606C0">
        <w:tab/>
      </w:r>
      <w:r w:rsidRPr="0097109C">
        <w:t>European Parliament resolution of 8 October 2020 on further development of the Capital Markets Union (CMU): improving access to capital market finance, in particular by SMEs, and further enabling retail investor participation (2020/2036(INI))</w:t>
      </w:r>
    </w:p>
  </w:footnote>
  <w:footnote w:id="13">
    <w:p w14:paraId="79C195F2" w14:textId="514FB15F" w:rsidR="00095B62" w:rsidRPr="00095B62" w:rsidRDefault="00095B62">
      <w:pPr>
        <w:pStyle w:val="FootnoteText"/>
      </w:pPr>
      <w:r w:rsidRPr="005C6A5D">
        <w:rPr>
          <w:rStyle w:val="FootnoteReference"/>
        </w:rPr>
        <w:footnoteRef/>
      </w:r>
      <w:r w:rsidR="005C6A5D">
        <w:tab/>
      </w:r>
      <w:r>
        <w:t>See impact assessment report accompanying this proposal.</w:t>
      </w:r>
    </w:p>
  </w:footnote>
  <w:footnote w:id="14">
    <w:p w14:paraId="12A2614C" w14:textId="4B017566" w:rsidR="009E0D0A" w:rsidRPr="002F7B50" w:rsidRDefault="009E0D0A" w:rsidP="00AC7C41">
      <w:pPr>
        <w:pStyle w:val="FootnoteText"/>
        <w:rPr>
          <w:highlight w:val="yellow"/>
          <w:lang w:val="en-IE"/>
        </w:rPr>
      </w:pPr>
      <w:r w:rsidRPr="005C6A5D">
        <w:rPr>
          <w:rStyle w:val="FootnoteReference"/>
        </w:rPr>
        <w:footnoteRef/>
      </w:r>
      <w:r w:rsidR="005C6A5D">
        <w:rPr>
          <w:lang w:val="en-IE"/>
        </w:rPr>
        <w:tab/>
      </w:r>
      <w:r w:rsidR="005F2D44" w:rsidRPr="005F2D44">
        <w:rPr>
          <w:lang w:val="en-US"/>
        </w:rPr>
        <w:t>Council Directive (EU) 2016/1164 of 12 July 2016 laying down rules against tax avoidance practices that directly affect the functioning of the internal market</w:t>
      </w:r>
      <w:r w:rsidR="00AC7C41" w:rsidRPr="00AC7C41">
        <w:t xml:space="preserve"> </w:t>
      </w:r>
      <w:r w:rsidR="00AC7C41">
        <w:t>(</w:t>
      </w:r>
      <w:r w:rsidR="00AC7C41" w:rsidRPr="00AC7C41">
        <w:rPr>
          <w:lang w:val="en-US"/>
        </w:rPr>
        <w:t>OJ L 193, 19.7.2016, p. 1)</w:t>
      </w:r>
    </w:p>
  </w:footnote>
  <w:footnote w:id="15">
    <w:p w14:paraId="7A7B682A" w14:textId="3AE95E2C" w:rsidR="009E0D0A" w:rsidRPr="00A205C2" w:rsidRDefault="009E0D0A" w:rsidP="009E0D0A">
      <w:pPr>
        <w:pStyle w:val="FootnoteText"/>
        <w:rPr>
          <w:lang w:val="en-US"/>
        </w:rPr>
      </w:pPr>
      <w:r w:rsidRPr="005C6A5D">
        <w:rPr>
          <w:rStyle w:val="FootnoteReference"/>
        </w:rPr>
        <w:footnoteRef/>
      </w:r>
      <w:r w:rsidR="005C6A5D">
        <w:tab/>
      </w:r>
      <w:r w:rsidR="005F2D44" w:rsidRPr="005F2D44">
        <w:rPr>
          <w:lang w:val="en-US"/>
        </w:rPr>
        <w:t>Council Directive 2011/16/EU of 15 February 2011 on administrative cooperation in the field of taxation and repealing Directive 77/799/EEC</w:t>
      </w:r>
      <w:r w:rsidR="00AC7C41">
        <w:rPr>
          <w:lang w:val="en-US"/>
        </w:rPr>
        <w:t xml:space="preserve"> </w:t>
      </w:r>
      <w:r w:rsidR="00AC7C41" w:rsidRPr="00AC7C41">
        <w:rPr>
          <w:lang w:val="en-US"/>
        </w:rPr>
        <w:t>(OJ L 64, 11.3.2011, p. 1)</w:t>
      </w:r>
    </w:p>
  </w:footnote>
  <w:footnote w:id="16">
    <w:p w14:paraId="6B57FF01" w14:textId="4A68D1D3" w:rsidR="009E0D0A" w:rsidRPr="00A205C2" w:rsidRDefault="009E0D0A" w:rsidP="009E0D0A">
      <w:pPr>
        <w:pStyle w:val="FootnoteText"/>
        <w:rPr>
          <w:lang w:val="en-US"/>
        </w:rPr>
      </w:pPr>
      <w:r w:rsidRPr="005C6A5D">
        <w:rPr>
          <w:rStyle w:val="FootnoteReference"/>
        </w:rPr>
        <w:footnoteRef/>
      </w:r>
      <w:r w:rsidR="005C6A5D">
        <w:tab/>
      </w:r>
      <w:r w:rsidR="005F2D44" w:rsidRPr="005F2D44">
        <w:rPr>
          <w:lang w:val="en-US"/>
        </w:rPr>
        <w:t>Council Directive 2014/107/EU of 9 December 2014 amending Directive 2011/16/EU as regards mandatory automatic exchange of information in the field of taxation</w:t>
      </w:r>
      <w:r w:rsidR="00AC7C41">
        <w:rPr>
          <w:lang w:val="en-US"/>
        </w:rPr>
        <w:t xml:space="preserve"> (</w:t>
      </w:r>
      <w:r w:rsidR="00AC7C41" w:rsidRPr="00AC7C41">
        <w:rPr>
          <w:lang w:val="en-US"/>
        </w:rPr>
        <w:t>OJ L 359, 16.12.2014, p. 1–29</w:t>
      </w:r>
      <w:r w:rsidR="00AC7C41">
        <w:rPr>
          <w:lang w:val="en-US"/>
        </w:rPr>
        <w:t>)</w:t>
      </w:r>
    </w:p>
  </w:footnote>
  <w:footnote w:id="17">
    <w:p w14:paraId="29DEAAFF" w14:textId="4261E316" w:rsidR="009E0D0A" w:rsidRPr="00166F1C" w:rsidRDefault="009E0D0A" w:rsidP="009E0D0A">
      <w:pPr>
        <w:pStyle w:val="FootnoteText"/>
        <w:rPr>
          <w:lang w:val="en-IE"/>
        </w:rPr>
      </w:pPr>
      <w:r w:rsidRPr="005C6A5D">
        <w:rPr>
          <w:rStyle w:val="FootnoteReference"/>
        </w:rPr>
        <w:footnoteRef/>
      </w:r>
      <w:r w:rsidR="005C6A5D">
        <w:tab/>
      </w:r>
      <w:r w:rsidR="005F2D44" w:rsidRPr="005F2D44">
        <w:rPr>
          <w:lang w:val="en-IE"/>
        </w:rPr>
        <w:t>Council Directive (EU) 2018/822 of 25 May 2018 amending Directive 2011/16/EU as regards mandatory automatic exchange of information in the field of taxation in relation to reportable cross-border arrangements</w:t>
      </w:r>
      <w:r w:rsidR="005F2D44">
        <w:rPr>
          <w:rFonts w:ascii="Roboto" w:hAnsi="Roboto"/>
          <w:b/>
          <w:bCs/>
          <w:color w:val="333333"/>
          <w:sz w:val="21"/>
          <w:szCs w:val="21"/>
          <w:shd w:val="clear" w:color="auto" w:fill="FFFFFF"/>
        </w:rPr>
        <w:t xml:space="preserve"> </w:t>
      </w:r>
      <w:r w:rsidR="00AC7C41" w:rsidRPr="00AC7C41">
        <w:rPr>
          <w:lang w:val="en-IE"/>
        </w:rPr>
        <w:t>(OJ L 139, 5.6.2018, p. 1–13)</w:t>
      </w:r>
    </w:p>
  </w:footnote>
  <w:footnote w:id="18">
    <w:p w14:paraId="5E52C630" w14:textId="4E60C356" w:rsidR="00E104B3" w:rsidRPr="00E104B3" w:rsidRDefault="00E104B3">
      <w:pPr>
        <w:pStyle w:val="FootnoteText"/>
      </w:pPr>
      <w:r w:rsidRPr="005C6A5D">
        <w:rPr>
          <w:rStyle w:val="FootnoteReference"/>
        </w:rPr>
        <w:footnoteRef/>
      </w:r>
      <w:r w:rsidR="005C6A5D">
        <w:tab/>
      </w:r>
      <w:r>
        <w:t xml:space="preserve">Proposal for a Council Directive </w:t>
      </w:r>
      <w:r w:rsidR="0055469A">
        <w:t xml:space="preserve">of 22 December 2021 </w:t>
      </w:r>
      <w:r>
        <w:t>laying down rules to prevent the misuse of shell entities for tax purposes and amending Directive 2011/16/EU</w:t>
      </w:r>
      <w:r w:rsidR="0055469A">
        <w:t xml:space="preserve"> (COM(2021)565). </w:t>
      </w:r>
    </w:p>
  </w:footnote>
  <w:footnote w:id="19">
    <w:p w14:paraId="2889F934" w14:textId="3DF5DAA9" w:rsidR="009002EC" w:rsidRPr="00537D3C" w:rsidRDefault="009002EC" w:rsidP="00B837EB">
      <w:pPr>
        <w:pStyle w:val="FootnoteText"/>
        <w:rPr>
          <w:lang w:val="en-IE"/>
        </w:rPr>
      </w:pPr>
      <w:r w:rsidRPr="005C6A5D">
        <w:rPr>
          <w:rStyle w:val="FootnoteReference"/>
        </w:rPr>
        <w:footnoteRef/>
      </w:r>
      <w:r w:rsidR="005C6A5D">
        <w:tab/>
      </w:r>
      <w:r w:rsidR="00B837EB">
        <w:t>Council Directive 2011/96/EU of 30 November 2011 on the common system of taxation applicable in the case of parent companies and subsidiaries of different Member States (recast) (OJ L 345, 29.12.2011, p. 8–16)</w:t>
      </w:r>
    </w:p>
  </w:footnote>
  <w:footnote w:id="20">
    <w:p w14:paraId="502A0A98" w14:textId="1F085C2A" w:rsidR="009002EC" w:rsidRPr="00537D3C" w:rsidRDefault="009002EC" w:rsidP="00B837EB">
      <w:pPr>
        <w:pStyle w:val="FootnoteText"/>
        <w:rPr>
          <w:lang w:val="en-IE"/>
        </w:rPr>
      </w:pPr>
      <w:r w:rsidRPr="005C6A5D">
        <w:rPr>
          <w:rStyle w:val="FootnoteReference"/>
        </w:rPr>
        <w:footnoteRef/>
      </w:r>
      <w:r w:rsidR="005C6A5D">
        <w:tab/>
      </w:r>
      <w:r w:rsidR="00B837EB" w:rsidRPr="00B837EB">
        <w:rPr>
          <w:lang w:val="en-IE"/>
        </w:rPr>
        <w:t>Council Directive 2003/49/EC of 3 June 2003 on a common system of taxation applicable to interest and royalty payments made between associated companies of different Member States</w:t>
      </w:r>
      <w:r w:rsidR="00B837EB">
        <w:rPr>
          <w:lang w:val="en-IE"/>
        </w:rPr>
        <w:t xml:space="preserve"> (</w:t>
      </w:r>
      <w:r w:rsidR="00B837EB" w:rsidRPr="00B837EB">
        <w:rPr>
          <w:lang w:val="en-IE"/>
        </w:rPr>
        <w:t>OJ L 157, 26.6.2003, p. 49–54</w:t>
      </w:r>
      <w:r w:rsidR="00B837EB">
        <w:rPr>
          <w:lang w:val="en-IE"/>
        </w:rPr>
        <w:t>)</w:t>
      </w:r>
    </w:p>
  </w:footnote>
  <w:footnote w:id="21">
    <w:p w14:paraId="77E546BA" w14:textId="163A74C9" w:rsidR="003962D4" w:rsidRDefault="003962D4" w:rsidP="00BE5252">
      <w:pPr>
        <w:pStyle w:val="FootnoteText"/>
      </w:pPr>
      <w:r w:rsidRPr="00923FC7">
        <w:rPr>
          <w:rStyle w:val="FootnoteReference"/>
        </w:rPr>
        <w:footnoteRef/>
      </w:r>
      <w:r w:rsidR="005C6A5D">
        <w:tab/>
      </w:r>
      <w:r w:rsidR="00F82D67" w:rsidRPr="00B316EA">
        <w:t xml:space="preserve">Proposal </w:t>
      </w:r>
      <w:r w:rsidR="00F82D67" w:rsidRPr="00B316EA">
        <w:rPr>
          <w:lang w:val="en-IE"/>
        </w:rPr>
        <w:t>for</w:t>
      </w:r>
      <w:r w:rsidR="00F82D67" w:rsidRPr="00B316EA">
        <w:t xml:space="preserve"> a Directive of the European Parliament and of the Council amending Directives (EU) 2009/65/EC, 2009/138/EC, 2011/61/EU, 2014/65/EU and (EU) 2016/97 as regards the Union retail investor protection rules (COM/2023/279 final)</w:t>
      </w:r>
    </w:p>
  </w:footnote>
  <w:footnote w:id="22">
    <w:p w14:paraId="31D741C9" w14:textId="29B4CA65" w:rsidR="00297E62" w:rsidRPr="0021552A" w:rsidRDefault="00297E62">
      <w:pPr>
        <w:pStyle w:val="FootnoteText"/>
        <w:rPr>
          <w:lang w:val="en-IE"/>
        </w:rPr>
      </w:pPr>
      <w:r w:rsidRPr="005C6A5D">
        <w:rPr>
          <w:rStyle w:val="FootnoteReference"/>
        </w:rPr>
        <w:footnoteRef/>
      </w:r>
      <w:r w:rsidR="005C6A5D">
        <w:tab/>
      </w:r>
      <w:r w:rsidR="0021552A" w:rsidRPr="0021552A">
        <w:rPr>
          <w:lang w:val="en-IE"/>
        </w:rPr>
        <w:t>Directive (EU) 2017/828 of the European Parliament and of the Council of 17 May 2017 amending Directive 2007/36/EC as regards the encouragement of long-term shareholder engagement</w:t>
      </w:r>
      <w:r>
        <w:rPr>
          <w:lang w:val="en-IE"/>
        </w:rPr>
        <w:t>.</w:t>
      </w:r>
    </w:p>
  </w:footnote>
  <w:footnote w:id="23">
    <w:p w14:paraId="2A038B5F" w14:textId="31B5F4B4" w:rsidR="0055469A" w:rsidRPr="0055469A" w:rsidRDefault="0055469A">
      <w:pPr>
        <w:pStyle w:val="FootnoteText"/>
      </w:pPr>
      <w:r w:rsidRPr="005C6A5D">
        <w:rPr>
          <w:rStyle w:val="FootnoteReference"/>
        </w:rPr>
        <w:footnoteRef/>
      </w:r>
      <w:r w:rsidR="005C6A5D">
        <w:tab/>
      </w:r>
      <w:r w:rsidRPr="0055469A">
        <w:t xml:space="preserve">Inception </w:t>
      </w:r>
      <w:r>
        <w:t>I</w:t>
      </w:r>
      <w:r w:rsidRPr="0055469A">
        <w:t xml:space="preserve">mpact </w:t>
      </w:r>
      <w:r>
        <w:t>A</w:t>
      </w:r>
      <w:r w:rsidRPr="0055469A">
        <w:t>ssessment - Ares(2021)5900310</w:t>
      </w:r>
      <w:r>
        <w:t xml:space="preserve"> (</w:t>
      </w:r>
      <w:hyperlink r:id="rId4" w:history="1">
        <w:r w:rsidRPr="00230E63">
          <w:rPr>
            <w:rStyle w:val="Hyperlink"/>
          </w:rPr>
          <w:t>https://ec.europa.eu/info/law/better-regulation/have-your-say/initiatives/13031-Withholding-taxes-new-EU-system-to-avoid-double-taxation_en</w:t>
        </w:r>
      </w:hyperlink>
      <w:r>
        <w:t>)</w:t>
      </w:r>
    </w:p>
  </w:footnote>
  <w:footnote w:id="24">
    <w:p w14:paraId="65067CB3" w14:textId="4BD31983" w:rsidR="00FC34D1" w:rsidRPr="0091758E" w:rsidRDefault="00FC34D1" w:rsidP="000F16D6">
      <w:pPr>
        <w:pStyle w:val="FootnoteText"/>
        <w:rPr>
          <w:lang w:val="en-IE"/>
        </w:rPr>
      </w:pPr>
      <w:r w:rsidRPr="005C6A5D">
        <w:rPr>
          <w:rStyle w:val="FootnoteReference"/>
        </w:rPr>
        <w:footnoteRef/>
      </w:r>
      <w:r w:rsidR="005C6A5D">
        <w:tab/>
      </w:r>
      <w:r w:rsidR="000F16D6">
        <w:t>Regulation (EU) No 910/2014 of the European Parliament and of the Council of 23 July 2014 on electronic identification and trust services for electronic transactions in the internal market and repealing Directive 1999/93/EC (OJ L 257, 28.8.2014, p. 73–114)</w:t>
      </w:r>
    </w:p>
  </w:footnote>
  <w:footnote w:id="25">
    <w:p w14:paraId="44EAB9EA" w14:textId="1271A563" w:rsidR="00FC34D1" w:rsidRPr="0091758E" w:rsidRDefault="00FC34D1" w:rsidP="000F16D6">
      <w:pPr>
        <w:pStyle w:val="FootnoteText"/>
        <w:rPr>
          <w:lang w:val="en-IE"/>
        </w:rPr>
      </w:pPr>
      <w:r w:rsidRPr="005C6A5D">
        <w:rPr>
          <w:rStyle w:val="FootnoteReference"/>
        </w:rPr>
        <w:footnoteRef/>
      </w:r>
      <w:r w:rsidR="005C6A5D">
        <w:tab/>
      </w:r>
      <w:r w:rsidR="000F16D6">
        <w:t xml:space="preserve">Regulation (EU) No 575/2013 of the European Parliament and of the Council of 26 June 2013 on prudential requirements for credit institutions and investment firms and amending Regulation (EU) No 648/2012 (OJ L 176, 27.6.2013, p. 1–337) </w:t>
      </w:r>
    </w:p>
  </w:footnote>
  <w:footnote w:id="26">
    <w:p w14:paraId="7BEB2C82" w14:textId="239C3BA1" w:rsidR="00FC34D1" w:rsidRPr="0091758E" w:rsidRDefault="00FC34D1" w:rsidP="000F16D6">
      <w:pPr>
        <w:pStyle w:val="FootnoteText"/>
        <w:rPr>
          <w:lang w:val="en-IE"/>
        </w:rPr>
      </w:pPr>
      <w:r w:rsidRPr="005C6A5D">
        <w:rPr>
          <w:rStyle w:val="FootnoteReference"/>
        </w:rPr>
        <w:footnoteRef/>
      </w:r>
      <w:r w:rsidR="005C6A5D">
        <w:tab/>
      </w:r>
      <w:r w:rsidR="000F16D6">
        <w:t xml:space="preserve">Regulation (EU) No 909/2014 of the European Parliament and of the Council of 23 July 2014 on improving securities settlement in the European Union and on central securities depositories and amending Directives 98/26/EC and 2014/65/EU and Regulation (EU) No 236/2012 (OJ L 257, 28.8.2014, p. 1–72) </w:t>
      </w:r>
    </w:p>
  </w:footnote>
  <w:footnote w:id="27">
    <w:p w14:paraId="081763A7" w14:textId="77777777" w:rsidR="00977CF6" w:rsidRPr="00C33759" w:rsidRDefault="00977CF6" w:rsidP="00977CF6">
      <w:pPr>
        <w:pStyle w:val="FootnoteText"/>
        <w:rPr>
          <w:lang w:val="pl-PL"/>
        </w:rPr>
      </w:pPr>
      <w:r>
        <w:rPr>
          <w:rStyle w:val="FootnoteReference"/>
        </w:rPr>
        <w:footnoteRef/>
      </w:r>
      <w:r w:rsidRPr="00C33759">
        <w:rPr>
          <w:lang w:val="pl-PL"/>
        </w:rPr>
        <w:tab/>
        <w:t>OJ C , , p. .</w:t>
      </w:r>
    </w:p>
  </w:footnote>
  <w:footnote w:id="28">
    <w:p w14:paraId="0456AADB" w14:textId="77777777" w:rsidR="00977CF6" w:rsidRPr="00C33759" w:rsidRDefault="00977CF6" w:rsidP="00977CF6">
      <w:pPr>
        <w:pStyle w:val="FootnoteText"/>
        <w:rPr>
          <w:lang w:val="pl-PL"/>
        </w:rPr>
      </w:pPr>
      <w:r>
        <w:rPr>
          <w:rStyle w:val="FootnoteReference"/>
        </w:rPr>
        <w:footnoteRef/>
      </w:r>
      <w:r w:rsidRPr="00C33759">
        <w:rPr>
          <w:lang w:val="pl-PL"/>
        </w:rPr>
        <w:tab/>
        <w:t>OJ C , , p. .</w:t>
      </w:r>
    </w:p>
  </w:footnote>
  <w:footnote w:id="29">
    <w:p w14:paraId="0BE534FB" w14:textId="224A6104" w:rsidR="00505496" w:rsidRPr="0091758E" w:rsidRDefault="00505496" w:rsidP="00505496">
      <w:pPr>
        <w:pStyle w:val="FootnoteText"/>
        <w:rPr>
          <w:lang w:val="en-IE"/>
        </w:rPr>
      </w:pPr>
      <w:r w:rsidRPr="005C6A5D">
        <w:rPr>
          <w:rStyle w:val="FootnoteReference"/>
        </w:rPr>
        <w:footnoteRef/>
      </w:r>
      <w:r w:rsidR="005C6A5D">
        <w:tab/>
      </w:r>
      <w:r>
        <w:t>Commission Recommendation of 19 October 2009 on withholding tax relief procedures (Text with EEA relevance) (OJ L 279, 24.10.2009, p. 8–11)</w:t>
      </w:r>
    </w:p>
  </w:footnote>
  <w:footnote w:id="30">
    <w:p w14:paraId="732E351B" w14:textId="3E14FBA1" w:rsidR="00505496" w:rsidRPr="0091758E" w:rsidRDefault="00505496" w:rsidP="00505496">
      <w:pPr>
        <w:pStyle w:val="FootnoteText"/>
        <w:rPr>
          <w:lang w:val="en-IE"/>
        </w:rPr>
      </w:pPr>
      <w:r w:rsidRPr="005C6A5D">
        <w:rPr>
          <w:rStyle w:val="FootnoteReference"/>
        </w:rPr>
        <w:footnoteRef/>
      </w:r>
      <w:r w:rsidR="005C6A5D">
        <w:tab/>
      </w:r>
      <w:r>
        <w:t>Regulation (EU) No 575/2013 of the European Parliament and of the Council of 26 June 2013 on prudential requirements for credit institutions and investment firms and amending Regulation (EU) No 648/2012 Text with EEA relevance (OJ L 176, 27.6.2013, p. 1–337)</w:t>
      </w:r>
    </w:p>
  </w:footnote>
  <w:footnote w:id="31">
    <w:p w14:paraId="4EB8484A" w14:textId="77777777" w:rsidR="00771E52" w:rsidRDefault="00771E52" w:rsidP="00771E52">
      <w:pPr>
        <w:pStyle w:val="footnotedescription"/>
        <w:spacing w:line="272" w:lineRule="auto"/>
        <w:ind w:right="13"/>
      </w:pPr>
      <w:r w:rsidRPr="00F26004">
        <w:rPr>
          <w:rStyle w:val="FootnoteReference"/>
        </w:rPr>
        <w:footnoteRef/>
      </w:r>
      <w:r w:rsidR="00F26004">
        <w:tab/>
      </w:r>
      <w:r>
        <w:t xml:space="preserve">Regulation (EU) No 182/2011 of the European Parliament and of the Council of 16 February 2011 laying down the rules and general principles concerning mechanisms for control by Member States of the Commission’s exercise of implementing powers (OJ L 55, 28.2.2011, p. 13) </w:t>
      </w:r>
    </w:p>
  </w:footnote>
  <w:footnote w:id="32">
    <w:p w14:paraId="0EBA25EA" w14:textId="77777777" w:rsidR="00771E52" w:rsidRDefault="00771E52" w:rsidP="00771E52">
      <w:pPr>
        <w:pStyle w:val="footnotedescription"/>
        <w:spacing w:line="247" w:lineRule="auto"/>
        <w:ind w:right="12"/>
      </w:pPr>
      <w:r w:rsidRPr="00F26004">
        <w:rPr>
          <w:rStyle w:val="FootnoteReference"/>
        </w:rPr>
        <w:footnoteRef/>
      </w:r>
      <w:r w:rsidR="00F26004">
        <w:tab/>
      </w:r>
      <w: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33">
    <w:p w14:paraId="164D2C1F" w14:textId="77777777" w:rsidR="00552C80" w:rsidRDefault="00552C80" w:rsidP="00552C80">
      <w:pPr>
        <w:pStyle w:val="footnotedescription"/>
        <w:spacing w:line="247" w:lineRule="auto"/>
        <w:ind w:right="16"/>
      </w:pPr>
      <w:r w:rsidRPr="00F26004">
        <w:rPr>
          <w:rStyle w:val="FootnoteReference"/>
        </w:rPr>
        <w:footnoteRef/>
      </w:r>
      <w:r>
        <w:tab/>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p>
  </w:footnote>
  <w:footnote w:id="34">
    <w:p w14:paraId="29A257E3" w14:textId="77777777" w:rsidR="002B5330" w:rsidRPr="00600937" w:rsidRDefault="002B5330" w:rsidP="002B5330">
      <w:pPr>
        <w:pStyle w:val="FootnoteText"/>
        <w:ind w:left="0" w:firstLine="0"/>
      </w:pPr>
      <w:r w:rsidRPr="00CF3EFD">
        <w:rPr>
          <w:rStyle w:val="FootnoteReference"/>
        </w:rPr>
        <w:footnoteRef/>
      </w:r>
      <w:r>
        <w:tab/>
      </w:r>
      <w:r w:rsidRPr="00600937">
        <w:t>Directive 2014/65/EU of the European Parliament and of the Council of 15 May 2014 on markets in financial instruments and amending Directive 2002/92/EC and Directive 2011/61/EU (recast) (OJ L 173, 2.6.2014, p. 349)</w:t>
      </w:r>
    </w:p>
  </w:footnote>
  <w:footnote w:id="35">
    <w:p w14:paraId="42E95264" w14:textId="0077F9C8" w:rsidR="00A70F42" w:rsidRPr="00A70F42" w:rsidRDefault="00A70F42">
      <w:pPr>
        <w:pStyle w:val="FootnoteText"/>
        <w:rPr>
          <w:lang w:val="en-IE"/>
        </w:rPr>
      </w:pPr>
      <w:r w:rsidRPr="00E35A44">
        <w:rPr>
          <w:rStyle w:val="FootnoteReference"/>
        </w:rPr>
        <w:footnoteRef/>
      </w:r>
      <w:r w:rsidR="00E35A44">
        <w:tab/>
      </w:r>
      <w:r>
        <w:t>Regulation (EU) No 909/2014 of the European Parliament and of the Council of 23 July 2014 on improving securities settlement in the European Union and on central securities depositories and amending Directives 98/26/EC and 2014/65/EU and Regulation (EU) No 236/2012 (OJ L 257, 28.8.2014, p. 1–72)</w:t>
      </w:r>
    </w:p>
  </w:footnote>
  <w:footnote w:id="36">
    <w:p w14:paraId="541262E6" w14:textId="53CD6D03" w:rsidR="002C02BA" w:rsidRPr="00B9581D" w:rsidRDefault="002C02BA" w:rsidP="002C02BA">
      <w:pPr>
        <w:pStyle w:val="FootnoteText"/>
        <w:rPr>
          <w:lang w:val="en-IE"/>
        </w:rPr>
      </w:pPr>
      <w:r w:rsidRPr="005C6A5D">
        <w:rPr>
          <w:rStyle w:val="FootnoteReference"/>
        </w:rPr>
        <w:footnoteRef/>
      </w:r>
      <w:r w:rsidR="005C6A5D">
        <w:tab/>
      </w:r>
      <w:r>
        <w:t>Regulation (EU) No 575/2013 of the European Parliament and of the Council of 26 June 2013 on prudential requirements for credit institutions and investment firms and amending Regulation (EU) No 648/2012 Text with EEA relevance (OJ L 176, 27.6.2013, p. 1–337)</w:t>
      </w:r>
    </w:p>
  </w:footnote>
  <w:footnote w:id="37">
    <w:p w14:paraId="6068FDAD" w14:textId="77777777" w:rsidR="002B5330" w:rsidRDefault="002B5330" w:rsidP="00B9581D">
      <w:pPr>
        <w:pStyle w:val="FootnoteText"/>
      </w:pPr>
      <w:r w:rsidRPr="00F26004">
        <w:rPr>
          <w:rStyle w:val="FootnoteReference"/>
        </w:rPr>
        <w:footnoteRef/>
      </w:r>
      <w:r>
        <w:tab/>
      </w:r>
      <w:r w:rsidR="00446C04">
        <w:t>Directive (EU) 2017/1132 of the European Parliament and of the Council of 14 June 2017 relating to certain aspects of company law (codification) (OJ L 169, 30.6.2017, p. 46–127)</w:t>
      </w:r>
    </w:p>
  </w:footnote>
  <w:footnote w:id="38">
    <w:p w14:paraId="36D8B3CF" w14:textId="77777777" w:rsidR="00930848" w:rsidRPr="00B1654A" w:rsidRDefault="00930848" w:rsidP="00930848">
      <w:pPr>
        <w:pStyle w:val="FootnoteText"/>
        <w:ind w:left="0" w:firstLine="0"/>
        <w:rPr>
          <w:lang w:val="en-IE"/>
        </w:rPr>
      </w:pPr>
      <w:r w:rsidRPr="00CF3EFD">
        <w:rPr>
          <w:rStyle w:val="FootnoteReference"/>
        </w:rPr>
        <w:footnoteRef/>
      </w:r>
      <w:r>
        <w:tab/>
        <w:t>Commission Implementing Regulation (EU) 2018/1212 of 3 September 2018 laying down minimum requirements implementing the provisions of Directive 2007/36/EC of the European Parliament and the Council as regards shareholder identification, the transmission of information and the facilitation of the exercise of shareholder rights (OJ L 223, 4.9.2018, p. 1).</w:t>
      </w:r>
    </w:p>
  </w:footnote>
  <w:footnote w:id="39">
    <w:p w14:paraId="151C2E0D" w14:textId="510D1C34" w:rsidR="009B5531" w:rsidRPr="00B9581D" w:rsidRDefault="009B5531" w:rsidP="009B5531">
      <w:pPr>
        <w:pStyle w:val="FootnoteText"/>
        <w:rPr>
          <w:lang w:val="en-IE"/>
        </w:rPr>
      </w:pPr>
      <w:r w:rsidRPr="005C6A5D">
        <w:rPr>
          <w:rStyle w:val="FootnoteReference"/>
        </w:rPr>
        <w:footnoteRef/>
      </w:r>
      <w:r w:rsidR="005C6A5D">
        <w:tab/>
      </w:r>
      <w:r>
        <w:t>Guideline (EU) 2019/1265 of the European Central Bank of 10 July 2019 on the euro short-term rate (€STR) (ECB/2019/19) (OJ L 199, 26.7.2019, p. 8–17)</w:t>
      </w:r>
    </w:p>
  </w:footnote>
  <w:footnote w:id="40">
    <w:p w14:paraId="751F6530" w14:textId="4743C3BA" w:rsidR="00D25AFF" w:rsidRPr="00D25AFF" w:rsidRDefault="00D25AFF">
      <w:pPr>
        <w:pStyle w:val="FootnoteText"/>
      </w:pPr>
      <w:r w:rsidRPr="005C6A5D">
        <w:rPr>
          <w:rStyle w:val="FootnoteReference"/>
        </w:rPr>
        <w:footnoteRef/>
      </w:r>
      <w:r w:rsidR="005C6A5D">
        <w:tab/>
      </w:r>
      <w:r>
        <w:t>Council of the European Union, Economic and Financial Affairs Council, 14094/16, Brussels 8 November 2016</w:t>
      </w:r>
    </w:p>
  </w:footnote>
  <w:footnote w:id="41">
    <w:p w14:paraId="5079D2AE" w14:textId="26142EC4" w:rsidR="005B777E" w:rsidRPr="00B9581D" w:rsidRDefault="005B777E" w:rsidP="005B777E">
      <w:pPr>
        <w:pStyle w:val="FootnoteText"/>
        <w:rPr>
          <w:lang w:val="en-IE"/>
        </w:rPr>
      </w:pPr>
      <w:r w:rsidRPr="005C6A5D">
        <w:rPr>
          <w:rStyle w:val="FootnoteReference"/>
        </w:rPr>
        <w:footnoteRef/>
      </w:r>
      <w:r w:rsidR="005C6A5D">
        <w:tab/>
      </w:r>
      <w:r>
        <w:t>Commission Delegated Regulation (EU) 2016/1675 of 14 July 2016 supplementing Directive (EU) 2015/849 of the European Parliament and of the Council by identifying high-risk third countries with strategic deficiencies (OJ L 254, 20.9.2016, p. 1–4)</w:t>
      </w:r>
    </w:p>
  </w:footnote>
  <w:footnote w:id="42">
    <w:p w14:paraId="6C943AF2" w14:textId="39506A65" w:rsidR="006B3A6D" w:rsidRPr="00B9581D" w:rsidRDefault="006B3A6D" w:rsidP="006B3A6D">
      <w:pPr>
        <w:pStyle w:val="FootnoteText"/>
        <w:rPr>
          <w:lang w:val="en-IE"/>
        </w:rPr>
      </w:pPr>
      <w:r w:rsidRPr="005C6A5D">
        <w:rPr>
          <w:rStyle w:val="FootnoteReference"/>
        </w:rPr>
        <w:footnoteRef/>
      </w:r>
      <w:r w:rsidR="005C6A5D">
        <w:tab/>
      </w:r>
      <w:r>
        <w:t>Council Directive 2014/107/EU of 9 December 2014 amending Directive 2011/16/EU as regards mandatory automatic exchange of information in the field of taxation (OJ L 359, 16.12.2014, p. 1–29)</w:t>
      </w:r>
    </w:p>
  </w:footnote>
  <w:footnote w:id="43">
    <w:p w14:paraId="0DA638AC" w14:textId="05D98ED2" w:rsidR="006B3A6D" w:rsidRPr="00B9581D" w:rsidRDefault="006B3A6D" w:rsidP="006B3A6D">
      <w:pPr>
        <w:pStyle w:val="FootnoteText"/>
        <w:rPr>
          <w:lang w:val="en-IE"/>
        </w:rPr>
      </w:pPr>
      <w:r w:rsidRPr="005C6A5D">
        <w:rPr>
          <w:rStyle w:val="FootnoteReference"/>
        </w:rPr>
        <w:footnoteRef/>
      </w:r>
      <w:r w:rsidR="005C6A5D">
        <w:tab/>
      </w:r>
      <w:r>
        <w:t>Directive (EU) 2018/843 of the European Parliament and of the Council of 30 May 2018 amending Directive (EU) 2015/849 on the prevention of the use of the financial system for the purposes of money laundering or terrorist financing, and amending Directives 2009/138/EC and 2013/36/EU (OJ L 156, 19.6.2018, p. 43–74)</w:t>
      </w:r>
    </w:p>
  </w:footnote>
  <w:footnote w:id="44">
    <w:p w14:paraId="3CD8E18C" w14:textId="4D93E46F" w:rsidR="003874C1" w:rsidRPr="00B9581D" w:rsidRDefault="003874C1" w:rsidP="003874C1">
      <w:pPr>
        <w:pStyle w:val="FootnoteText"/>
        <w:rPr>
          <w:lang w:val="en-IE"/>
        </w:rPr>
      </w:pPr>
      <w:r w:rsidRPr="005C6A5D">
        <w:rPr>
          <w:rStyle w:val="FootnoteReference"/>
        </w:rPr>
        <w:footnoteRef/>
      </w:r>
      <w:r w:rsidR="005C6A5D">
        <w:tab/>
      </w:r>
      <w:r>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73–117)</w:t>
      </w:r>
    </w:p>
  </w:footnote>
  <w:footnote w:id="45">
    <w:p w14:paraId="67518123" w14:textId="77777777" w:rsidR="00B63DF9" w:rsidRPr="00354AA4" w:rsidRDefault="00B63DF9" w:rsidP="00B63DF9">
      <w:pPr>
        <w:pStyle w:val="FootnoteText"/>
        <w:rPr>
          <w:lang w:val="en-IE"/>
        </w:rPr>
      </w:pPr>
      <w:r w:rsidRPr="00F26004">
        <w:rPr>
          <w:rStyle w:val="FootnoteReference"/>
        </w:rPr>
        <w:footnoteRef/>
      </w:r>
      <w:r w:rsidR="00F26004">
        <w:tab/>
      </w:r>
      <w:bookmarkStart w:id="8" w:name="_Hlk136436426"/>
      <w:r>
        <w:t>Regulation (EU) No 182/2011 of the European Parliament and of the Council of 16 February 2011 laying down the rules and general principles concerning mechanisms for control by Member States of the Commission’s exercise of implementing powers</w:t>
      </w:r>
      <w:r w:rsidR="0020661B">
        <w:t xml:space="preserve"> (</w:t>
      </w:r>
      <w:r>
        <w:t>OJ L 55, 28.2.2011, p. 13–18</w:t>
      </w:r>
      <w:r w:rsidR="0020661B">
        <w:t>)</w:t>
      </w:r>
      <w:bookmarkEnd w:id="8"/>
    </w:p>
  </w:footnote>
  <w:footnote w:id="46">
    <w:p w14:paraId="3CD40E48" w14:textId="7615D97F" w:rsidR="0079028E" w:rsidRPr="00525833" w:rsidRDefault="0079028E" w:rsidP="0079028E">
      <w:pPr>
        <w:pStyle w:val="FootnoteText"/>
        <w:rPr>
          <w:lang w:val="en-IE"/>
        </w:rPr>
      </w:pPr>
      <w:r w:rsidRPr="005C6A5D">
        <w:rPr>
          <w:rStyle w:val="FootnoteReference"/>
        </w:rPr>
        <w:footnoteRef/>
      </w:r>
      <w:r w:rsidR="005C6A5D">
        <w:tab/>
      </w:r>
      <w:r w:rsidRPr="00FD06B3">
        <w:rPr>
          <w:lang w:val="en-IE"/>
        </w:rPr>
        <w:t xml:space="preserve">Regulation (EU) 2016/679 of the European Parliament and of the Council </w:t>
      </w:r>
      <w:r>
        <w:rPr>
          <w:lang w:val="en-IE"/>
        </w:rPr>
        <w:t xml:space="preserve">of 27 April 2016 </w:t>
      </w:r>
      <w:r w:rsidRPr="00525833">
        <w:rPr>
          <w:lang w:val="en-IE"/>
        </w:rPr>
        <w:t>on the protection of natural persons with regard to the processing of personal data and on the free movement of such data, and repealing Directive 95/46/EC</w:t>
      </w:r>
      <w:r>
        <w:rPr>
          <w:lang w:val="en-IE"/>
        </w:rPr>
        <w:t xml:space="preserve"> (OJ L 119, 4.5.2016, p. 1).</w:t>
      </w:r>
    </w:p>
  </w:footnote>
  <w:footnote w:id="47">
    <w:p w14:paraId="2E34AF95" w14:textId="77777777" w:rsidR="006918A0" w:rsidRDefault="006918A0" w:rsidP="006918A0">
      <w:pPr>
        <w:pStyle w:val="FootnoteText"/>
        <w:rPr>
          <w:szCs w:val="24"/>
        </w:rPr>
      </w:pPr>
      <w:r>
        <w:rPr>
          <w:rStyle w:val="FootnoteReference"/>
        </w:rPr>
        <w:footnoteRef/>
      </w:r>
      <w:r>
        <w:tab/>
        <w:t>Diff. = Differentiated appropriations / Non-diff. = Non-differentiated appropriations.</w:t>
      </w:r>
    </w:p>
  </w:footnote>
  <w:footnote w:id="48">
    <w:p w14:paraId="3640AF49" w14:textId="77777777" w:rsidR="006918A0" w:rsidRDefault="006918A0" w:rsidP="006918A0">
      <w:pPr>
        <w:pStyle w:val="FootnoteText"/>
        <w:rPr>
          <w:szCs w:val="24"/>
        </w:rPr>
      </w:pPr>
      <w:r>
        <w:rPr>
          <w:rStyle w:val="FootnoteReference"/>
        </w:rPr>
        <w:footnoteRef/>
      </w:r>
      <w:r>
        <w:tab/>
        <w:t xml:space="preserve">EFTA: European Free Trade Association. </w:t>
      </w:r>
    </w:p>
  </w:footnote>
  <w:footnote w:id="49">
    <w:p w14:paraId="6A915A49" w14:textId="77777777" w:rsidR="006918A0" w:rsidRDefault="006918A0" w:rsidP="006918A0">
      <w:pPr>
        <w:pStyle w:val="FootnoteText"/>
        <w:rPr>
          <w:szCs w:val="24"/>
        </w:rPr>
      </w:pPr>
      <w:r>
        <w:rPr>
          <w:rStyle w:val="FootnoteReference"/>
        </w:rPr>
        <w:footnoteRef/>
      </w:r>
      <w:r>
        <w:tab/>
        <w:t>Candidate countries and, where applicable, potential candidates from the Western Balkans.</w:t>
      </w:r>
    </w:p>
  </w:footnote>
  <w:footnote w:id="50">
    <w:p w14:paraId="65418965" w14:textId="77777777" w:rsidR="006918A0" w:rsidRDefault="006918A0" w:rsidP="006918A0">
      <w:pPr>
        <w:pStyle w:val="FootnoteText"/>
        <w:rPr>
          <w:sz w:val="18"/>
          <w:szCs w:val="18"/>
        </w:rPr>
      </w:pPr>
      <w:r>
        <w:rPr>
          <w:rStyle w:val="FootnoteReference"/>
        </w:rPr>
        <w:footnoteRef/>
      </w:r>
      <w:r>
        <w:rPr>
          <w:sz w:val="18"/>
          <w:szCs w:val="18"/>
        </w:rPr>
        <w:tab/>
        <w:t>According to the official budget nomenclature.</w:t>
      </w:r>
    </w:p>
  </w:footnote>
  <w:footnote w:id="51">
    <w:p w14:paraId="1E40D098" w14:textId="77777777" w:rsidR="006918A0" w:rsidRDefault="006918A0" w:rsidP="006918A0">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52">
    <w:p w14:paraId="378F1616" w14:textId="77777777" w:rsidR="006918A0" w:rsidRDefault="006918A0" w:rsidP="006918A0">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53">
    <w:p w14:paraId="074F0CAF" w14:textId="77777777" w:rsidR="006918A0" w:rsidRDefault="006918A0" w:rsidP="006918A0">
      <w:pPr>
        <w:pStyle w:val="FootnoteText"/>
        <w:rPr>
          <w:szCs w:val="24"/>
        </w:rPr>
      </w:pPr>
      <w:r>
        <w:rPr>
          <w:rStyle w:val="FootnoteReference"/>
        </w:rPr>
        <w:footnoteRef/>
      </w:r>
      <w:r>
        <w:tab/>
        <w:t xml:space="preserve">As described in point 1.4.2. ‘Specific objective(s)…’ </w:t>
      </w:r>
    </w:p>
  </w:footnote>
  <w:footnote w:id="54">
    <w:p w14:paraId="7EA63C02" w14:textId="77777777" w:rsidR="006918A0" w:rsidRDefault="006918A0" w:rsidP="006918A0">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55">
    <w:p w14:paraId="4A591FE6" w14:textId="77777777" w:rsidR="006918A0" w:rsidRDefault="006918A0" w:rsidP="006918A0">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56">
    <w:p w14:paraId="5829881B" w14:textId="77777777" w:rsidR="006918A0" w:rsidRDefault="006918A0" w:rsidP="006918A0">
      <w:pPr>
        <w:pStyle w:val="FootnoteText"/>
        <w:rPr>
          <w:szCs w:val="24"/>
        </w:rPr>
      </w:pPr>
      <w:r>
        <w:rPr>
          <w:rStyle w:val="FootnoteReference"/>
        </w:rPr>
        <w:footnoteRef/>
      </w:r>
      <w:r>
        <w:tab/>
        <w:t>Sub-ceiling for external staff covered by operational appropriations (former ‘BA’ lines).</w:t>
      </w:r>
    </w:p>
  </w:footnote>
  <w:footnote w:id="57">
    <w:p w14:paraId="4C574D92" w14:textId="77777777" w:rsidR="006918A0" w:rsidRDefault="006918A0" w:rsidP="006918A0">
      <w:pPr>
        <w:pStyle w:val="FootnoteText"/>
      </w:pPr>
      <w:r>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58">
    <w:p w14:paraId="4C47CB1B" w14:textId="77777777" w:rsidR="006918A0" w:rsidRDefault="006918A0" w:rsidP="006918A0">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F7FF" w14:textId="77777777" w:rsidR="00B018F6" w:rsidRPr="00B018F6" w:rsidRDefault="00B018F6" w:rsidP="00B018F6">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B74E" w14:textId="77777777" w:rsidR="00B018F6" w:rsidRPr="00B018F6" w:rsidRDefault="00B018F6" w:rsidP="00B018F6">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712F" w14:textId="77777777" w:rsidR="001B5BEC" w:rsidRPr="001B5BEC" w:rsidRDefault="001B5BEC" w:rsidP="00B018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B412" w14:textId="77777777" w:rsidR="00B018F6" w:rsidRPr="00B018F6" w:rsidRDefault="00B018F6" w:rsidP="00B01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EBA176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F16796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ED6A26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D8181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3"/>
  </w:num>
  <w:num w:numId="3">
    <w:abstractNumId w:val="2"/>
  </w:num>
  <w:num w:numId="4">
    <w:abstractNumId w:val="1"/>
  </w:num>
  <w:num w:numId="5">
    <w:abstractNumId w:val="0"/>
  </w:num>
  <w:num w:numId="6">
    <w:abstractNumId w:val="9"/>
    <w:lvlOverride w:ilvl="0">
      <w:startOverride w:val="1"/>
    </w:lvlOverride>
  </w:num>
  <w:num w:numId="7">
    <w:abstractNumId w:val="13"/>
  </w:num>
  <w:num w:numId="8">
    <w:abstractNumId w:val="14"/>
  </w:num>
  <w:num w:numId="9">
    <w:abstractNumId w:val="18"/>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num>
  <w:num w:numId="22">
    <w:abstractNumId w:val="18"/>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9"/>
  </w:num>
  <w:num w:numId="40">
    <w:abstractNumId w:val="20"/>
  </w:num>
  <w:num w:numId="41">
    <w:abstractNumId w:val="7"/>
  </w:num>
  <w:num w:numId="42">
    <w:abstractNumId w:val="10"/>
  </w:num>
  <w:num w:numId="43">
    <w:abstractNumId w:val="11"/>
  </w:num>
  <w:num w:numId="44">
    <w:abstractNumId w:val="5"/>
  </w:num>
  <w:num w:numId="45">
    <w:abstractNumId w:val="19"/>
  </w:num>
  <w:num w:numId="46">
    <w:abstractNumId w:val="4"/>
  </w:num>
  <w:num w:numId="47">
    <w:abstractNumId w:val="12"/>
  </w:num>
  <w:num w:numId="48">
    <w:abstractNumId w:val="16"/>
  </w:num>
  <w:num w:numId="49">
    <w:abstractNumId w:val="17"/>
  </w:num>
  <w:num w:numId="50">
    <w:abstractNumId w:val="6"/>
  </w:num>
  <w:num w:numId="51">
    <w:abstractNumId w:val="1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3-06-16 11:44: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C1E72B3-78A2-4BAD-8371-F7F6C9C9D325"/>
    <w:docVar w:name="LW_COVERPAGE_TYPE" w:val="1"/>
    <w:docVar w:name="LW_CROSSREFERENCE" w:val="{SEC(2023) 243 final} - {SWD(2023) 215 final} - {SWD(2023) 216 final} - {SWD(2023) 217 final}"/>
    <w:docVar w:name="LW_DocType" w:val="COM"/>
    <w:docVar w:name="LW_EMISSION" w:val="19.6.2023"/>
    <w:docVar w:name="LW_EMISSION_ISODATE" w:val="2023-06-19"/>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STATUT" w:val="SJ-017"/>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87"/>
    <w:docVar w:name="LW_REF.II.NEW.CP_YEAR" w:val="2023"/>
    <w:docVar w:name="LW_REF.INST.NEW" w:val="COM"/>
    <w:docVar w:name="LW_REF.INST.NEW_ADOPTED" w:val="final"/>
    <w:docVar w:name="LW_REF.INST.NEW_TEXT" w:val="(2023) 32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Faster and Safer Relief of Excess Withholding Taxes"/>
    <w:docVar w:name="LW_TYPE.DOC.CP" w:val="COUNCIL DIRECTIVE"/>
    <w:docVar w:name="LwApiVersions" w:val="LW4CoDe 1.23.2.0; LW 8.0, Build 20211117"/>
  </w:docVars>
  <w:rsids>
    <w:rsidRoot w:val="00977CF6"/>
    <w:rsid w:val="00000172"/>
    <w:rsid w:val="0000174F"/>
    <w:rsid w:val="000017D1"/>
    <w:rsid w:val="0000233B"/>
    <w:rsid w:val="0000236E"/>
    <w:rsid w:val="000023B2"/>
    <w:rsid w:val="000023D5"/>
    <w:rsid w:val="000027CD"/>
    <w:rsid w:val="000027CE"/>
    <w:rsid w:val="00003FD1"/>
    <w:rsid w:val="0000575D"/>
    <w:rsid w:val="00005779"/>
    <w:rsid w:val="00005BAE"/>
    <w:rsid w:val="00006B66"/>
    <w:rsid w:val="000072B7"/>
    <w:rsid w:val="00007C40"/>
    <w:rsid w:val="00007F35"/>
    <w:rsid w:val="000103A8"/>
    <w:rsid w:val="000103C5"/>
    <w:rsid w:val="00010692"/>
    <w:rsid w:val="0001171C"/>
    <w:rsid w:val="0001223C"/>
    <w:rsid w:val="0001286A"/>
    <w:rsid w:val="000128F3"/>
    <w:rsid w:val="000129DF"/>
    <w:rsid w:val="00012E11"/>
    <w:rsid w:val="000131CD"/>
    <w:rsid w:val="0001412F"/>
    <w:rsid w:val="00014317"/>
    <w:rsid w:val="000143CC"/>
    <w:rsid w:val="00014525"/>
    <w:rsid w:val="0001576F"/>
    <w:rsid w:val="00015911"/>
    <w:rsid w:val="00015B25"/>
    <w:rsid w:val="00016001"/>
    <w:rsid w:val="000173F6"/>
    <w:rsid w:val="0002054C"/>
    <w:rsid w:val="00020C6F"/>
    <w:rsid w:val="000210C4"/>
    <w:rsid w:val="0002114E"/>
    <w:rsid w:val="000218D4"/>
    <w:rsid w:val="0002193B"/>
    <w:rsid w:val="00021F38"/>
    <w:rsid w:val="00022846"/>
    <w:rsid w:val="00023BB4"/>
    <w:rsid w:val="00024093"/>
    <w:rsid w:val="00024742"/>
    <w:rsid w:val="00024B0A"/>
    <w:rsid w:val="00024DAF"/>
    <w:rsid w:val="0002534E"/>
    <w:rsid w:val="00026AAA"/>
    <w:rsid w:val="00026BB8"/>
    <w:rsid w:val="00027133"/>
    <w:rsid w:val="0002734E"/>
    <w:rsid w:val="0002743E"/>
    <w:rsid w:val="000310D7"/>
    <w:rsid w:val="000314B8"/>
    <w:rsid w:val="000318D9"/>
    <w:rsid w:val="00031C74"/>
    <w:rsid w:val="00032A44"/>
    <w:rsid w:val="00033488"/>
    <w:rsid w:val="00034243"/>
    <w:rsid w:val="000361B5"/>
    <w:rsid w:val="00036764"/>
    <w:rsid w:val="0003745E"/>
    <w:rsid w:val="000379AC"/>
    <w:rsid w:val="0003DFE0"/>
    <w:rsid w:val="000411F5"/>
    <w:rsid w:val="000415CB"/>
    <w:rsid w:val="00041772"/>
    <w:rsid w:val="00041FF1"/>
    <w:rsid w:val="0004240A"/>
    <w:rsid w:val="000430BD"/>
    <w:rsid w:val="0004365E"/>
    <w:rsid w:val="0004376F"/>
    <w:rsid w:val="0004389E"/>
    <w:rsid w:val="000447CC"/>
    <w:rsid w:val="00047014"/>
    <w:rsid w:val="000470E7"/>
    <w:rsid w:val="00047467"/>
    <w:rsid w:val="00047A1C"/>
    <w:rsid w:val="00047EEF"/>
    <w:rsid w:val="000513BD"/>
    <w:rsid w:val="00051ADF"/>
    <w:rsid w:val="00051BC3"/>
    <w:rsid w:val="00052297"/>
    <w:rsid w:val="000523FA"/>
    <w:rsid w:val="000534DB"/>
    <w:rsid w:val="00053D3C"/>
    <w:rsid w:val="00053FC2"/>
    <w:rsid w:val="000544F9"/>
    <w:rsid w:val="00054535"/>
    <w:rsid w:val="00054BEB"/>
    <w:rsid w:val="00055480"/>
    <w:rsid w:val="000556D6"/>
    <w:rsid w:val="0005578E"/>
    <w:rsid w:val="00056C0A"/>
    <w:rsid w:val="0005768A"/>
    <w:rsid w:val="00057710"/>
    <w:rsid w:val="00060248"/>
    <w:rsid w:val="00060712"/>
    <w:rsid w:val="00060B87"/>
    <w:rsid w:val="00060D57"/>
    <w:rsid w:val="00061B4D"/>
    <w:rsid w:val="00062E6A"/>
    <w:rsid w:val="00064CB0"/>
    <w:rsid w:val="000652D6"/>
    <w:rsid w:val="000658A9"/>
    <w:rsid w:val="000659D6"/>
    <w:rsid w:val="00066B7D"/>
    <w:rsid w:val="0006757E"/>
    <w:rsid w:val="00067DF6"/>
    <w:rsid w:val="0007068B"/>
    <w:rsid w:val="00070DEA"/>
    <w:rsid w:val="00070E9A"/>
    <w:rsid w:val="000713DB"/>
    <w:rsid w:val="00071474"/>
    <w:rsid w:val="00072982"/>
    <w:rsid w:val="0007390D"/>
    <w:rsid w:val="000744D4"/>
    <w:rsid w:val="00074786"/>
    <w:rsid w:val="00074854"/>
    <w:rsid w:val="000754F6"/>
    <w:rsid w:val="00075882"/>
    <w:rsid w:val="00076F2B"/>
    <w:rsid w:val="00077614"/>
    <w:rsid w:val="00077C19"/>
    <w:rsid w:val="0008017F"/>
    <w:rsid w:val="0008192C"/>
    <w:rsid w:val="00081F59"/>
    <w:rsid w:val="00083453"/>
    <w:rsid w:val="00083AC7"/>
    <w:rsid w:val="000840BC"/>
    <w:rsid w:val="000841A8"/>
    <w:rsid w:val="00084A25"/>
    <w:rsid w:val="00084E92"/>
    <w:rsid w:val="00085533"/>
    <w:rsid w:val="00086448"/>
    <w:rsid w:val="00086A70"/>
    <w:rsid w:val="00087424"/>
    <w:rsid w:val="00087A84"/>
    <w:rsid w:val="00090384"/>
    <w:rsid w:val="000905C0"/>
    <w:rsid w:val="00091220"/>
    <w:rsid w:val="0009126A"/>
    <w:rsid w:val="0009149E"/>
    <w:rsid w:val="0009193B"/>
    <w:rsid w:val="00092550"/>
    <w:rsid w:val="000930A8"/>
    <w:rsid w:val="000933CA"/>
    <w:rsid w:val="00093425"/>
    <w:rsid w:val="00093CA2"/>
    <w:rsid w:val="00093EFC"/>
    <w:rsid w:val="00094223"/>
    <w:rsid w:val="00095B62"/>
    <w:rsid w:val="000962B2"/>
    <w:rsid w:val="00096508"/>
    <w:rsid w:val="00097113"/>
    <w:rsid w:val="0009796F"/>
    <w:rsid w:val="00097ADD"/>
    <w:rsid w:val="00097B4C"/>
    <w:rsid w:val="000A0493"/>
    <w:rsid w:val="000A065B"/>
    <w:rsid w:val="000A07B7"/>
    <w:rsid w:val="000A07EE"/>
    <w:rsid w:val="000A195E"/>
    <w:rsid w:val="000A24B4"/>
    <w:rsid w:val="000A293C"/>
    <w:rsid w:val="000A2FE9"/>
    <w:rsid w:val="000A492C"/>
    <w:rsid w:val="000A5012"/>
    <w:rsid w:val="000A5224"/>
    <w:rsid w:val="000A591C"/>
    <w:rsid w:val="000A6660"/>
    <w:rsid w:val="000A6813"/>
    <w:rsid w:val="000A701D"/>
    <w:rsid w:val="000A7394"/>
    <w:rsid w:val="000A7CB6"/>
    <w:rsid w:val="000A7E2C"/>
    <w:rsid w:val="000B120C"/>
    <w:rsid w:val="000B214D"/>
    <w:rsid w:val="000B2427"/>
    <w:rsid w:val="000B25F2"/>
    <w:rsid w:val="000B2883"/>
    <w:rsid w:val="000B34A4"/>
    <w:rsid w:val="000B41D5"/>
    <w:rsid w:val="000B44EC"/>
    <w:rsid w:val="000B4905"/>
    <w:rsid w:val="000B4C83"/>
    <w:rsid w:val="000B4D27"/>
    <w:rsid w:val="000B68F0"/>
    <w:rsid w:val="000B6C04"/>
    <w:rsid w:val="000B6C9B"/>
    <w:rsid w:val="000B6DA5"/>
    <w:rsid w:val="000B6FA6"/>
    <w:rsid w:val="000C0442"/>
    <w:rsid w:val="000C048B"/>
    <w:rsid w:val="000C056D"/>
    <w:rsid w:val="000C19EF"/>
    <w:rsid w:val="000C1ACD"/>
    <w:rsid w:val="000C1E2B"/>
    <w:rsid w:val="000C2067"/>
    <w:rsid w:val="000C2150"/>
    <w:rsid w:val="000C240F"/>
    <w:rsid w:val="000C25C8"/>
    <w:rsid w:val="000C38F1"/>
    <w:rsid w:val="000C3916"/>
    <w:rsid w:val="000C3D0E"/>
    <w:rsid w:val="000C3F42"/>
    <w:rsid w:val="000C4033"/>
    <w:rsid w:val="000C5292"/>
    <w:rsid w:val="000C5822"/>
    <w:rsid w:val="000C5A98"/>
    <w:rsid w:val="000C5F3F"/>
    <w:rsid w:val="000C60C6"/>
    <w:rsid w:val="000C62EF"/>
    <w:rsid w:val="000C6323"/>
    <w:rsid w:val="000C69ED"/>
    <w:rsid w:val="000C73EB"/>
    <w:rsid w:val="000C742A"/>
    <w:rsid w:val="000C74BC"/>
    <w:rsid w:val="000C76E3"/>
    <w:rsid w:val="000C7A98"/>
    <w:rsid w:val="000D0478"/>
    <w:rsid w:val="000D0BC4"/>
    <w:rsid w:val="000D0E29"/>
    <w:rsid w:val="000D10A5"/>
    <w:rsid w:val="000D1985"/>
    <w:rsid w:val="000D1F37"/>
    <w:rsid w:val="000D2E9B"/>
    <w:rsid w:val="000D32C5"/>
    <w:rsid w:val="000D3853"/>
    <w:rsid w:val="000D3C01"/>
    <w:rsid w:val="000D401C"/>
    <w:rsid w:val="000D5C47"/>
    <w:rsid w:val="000D5F37"/>
    <w:rsid w:val="000D712C"/>
    <w:rsid w:val="000E06ED"/>
    <w:rsid w:val="000E18E4"/>
    <w:rsid w:val="000E1BA4"/>
    <w:rsid w:val="000E1E17"/>
    <w:rsid w:val="000E2A2D"/>
    <w:rsid w:val="000E31E4"/>
    <w:rsid w:val="000E3464"/>
    <w:rsid w:val="000E3507"/>
    <w:rsid w:val="000E3581"/>
    <w:rsid w:val="000E36BC"/>
    <w:rsid w:val="000E3755"/>
    <w:rsid w:val="000E37A2"/>
    <w:rsid w:val="000E462D"/>
    <w:rsid w:val="000E5554"/>
    <w:rsid w:val="000E5D6F"/>
    <w:rsid w:val="000E64B0"/>
    <w:rsid w:val="000E6600"/>
    <w:rsid w:val="000E70BA"/>
    <w:rsid w:val="000E7687"/>
    <w:rsid w:val="000E768E"/>
    <w:rsid w:val="000E773A"/>
    <w:rsid w:val="000E7CF4"/>
    <w:rsid w:val="000E7E78"/>
    <w:rsid w:val="000F0EC7"/>
    <w:rsid w:val="000F16D6"/>
    <w:rsid w:val="000F2925"/>
    <w:rsid w:val="000F3FBC"/>
    <w:rsid w:val="000F413A"/>
    <w:rsid w:val="000F47C1"/>
    <w:rsid w:val="000F5098"/>
    <w:rsid w:val="000F5661"/>
    <w:rsid w:val="000F5D50"/>
    <w:rsid w:val="000F5F23"/>
    <w:rsid w:val="000F68A3"/>
    <w:rsid w:val="000F6F12"/>
    <w:rsid w:val="000F739C"/>
    <w:rsid w:val="00101092"/>
    <w:rsid w:val="001015F4"/>
    <w:rsid w:val="00101B07"/>
    <w:rsid w:val="00102925"/>
    <w:rsid w:val="00102DA2"/>
    <w:rsid w:val="0010322F"/>
    <w:rsid w:val="00104D2E"/>
    <w:rsid w:val="001053BC"/>
    <w:rsid w:val="0010544D"/>
    <w:rsid w:val="00105D11"/>
    <w:rsid w:val="00105E8D"/>
    <w:rsid w:val="001060BC"/>
    <w:rsid w:val="001061E5"/>
    <w:rsid w:val="001062C0"/>
    <w:rsid w:val="001064D6"/>
    <w:rsid w:val="001065F5"/>
    <w:rsid w:val="001066F3"/>
    <w:rsid w:val="0010685F"/>
    <w:rsid w:val="00106BE4"/>
    <w:rsid w:val="001074D9"/>
    <w:rsid w:val="00107760"/>
    <w:rsid w:val="00110746"/>
    <w:rsid w:val="00111983"/>
    <w:rsid w:val="001120FB"/>
    <w:rsid w:val="0011222C"/>
    <w:rsid w:val="00113097"/>
    <w:rsid w:val="001133DA"/>
    <w:rsid w:val="00114212"/>
    <w:rsid w:val="00114DAA"/>
    <w:rsid w:val="00115ED7"/>
    <w:rsid w:val="00116B4B"/>
    <w:rsid w:val="00116C13"/>
    <w:rsid w:val="00117324"/>
    <w:rsid w:val="00117443"/>
    <w:rsid w:val="001177E9"/>
    <w:rsid w:val="001206EA"/>
    <w:rsid w:val="00120EB0"/>
    <w:rsid w:val="00121933"/>
    <w:rsid w:val="001219E1"/>
    <w:rsid w:val="001220FF"/>
    <w:rsid w:val="001224ED"/>
    <w:rsid w:val="0012262D"/>
    <w:rsid w:val="00122A37"/>
    <w:rsid w:val="00122AED"/>
    <w:rsid w:val="00122C48"/>
    <w:rsid w:val="00123486"/>
    <w:rsid w:val="001235C9"/>
    <w:rsid w:val="001236DC"/>
    <w:rsid w:val="00123719"/>
    <w:rsid w:val="0012386A"/>
    <w:rsid w:val="001238EF"/>
    <w:rsid w:val="00123E91"/>
    <w:rsid w:val="001240F3"/>
    <w:rsid w:val="001245CA"/>
    <w:rsid w:val="0012478B"/>
    <w:rsid w:val="00124EC8"/>
    <w:rsid w:val="00125AB2"/>
    <w:rsid w:val="00126675"/>
    <w:rsid w:val="001276B0"/>
    <w:rsid w:val="001278CF"/>
    <w:rsid w:val="00127AC0"/>
    <w:rsid w:val="00130EE2"/>
    <w:rsid w:val="00130F6F"/>
    <w:rsid w:val="00131665"/>
    <w:rsid w:val="0013170A"/>
    <w:rsid w:val="00131D58"/>
    <w:rsid w:val="0013201C"/>
    <w:rsid w:val="001328A1"/>
    <w:rsid w:val="001329CB"/>
    <w:rsid w:val="00132CDB"/>
    <w:rsid w:val="00133061"/>
    <w:rsid w:val="00133092"/>
    <w:rsid w:val="001331DE"/>
    <w:rsid w:val="00133FAB"/>
    <w:rsid w:val="0013469B"/>
    <w:rsid w:val="00134F09"/>
    <w:rsid w:val="0013507F"/>
    <w:rsid w:val="00135453"/>
    <w:rsid w:val="00135903"/>
    <w:rsid w:val="00135B02"/>
    <w:rsid w:val="00135B34"/>
    <w:rsid w:val="00136378"/>
    <w:rsid w:val="0013691E"/>
    <w:rsid w:val="00136CC4"/>
    <w:rsid w:val="00137FFB"/>
    <w:rsid w:val="0014078A"/>
    <w:rsid w:val="00140AA4"/>
    <w:rsid w:val="00141A2B"/>
    <w:rsid w:val="00141CFD"/>
    <w:rsid w:val="00142DAC"/>
    <w:rsid w:val="00143595"/>
    <w:rsid w:val="0014365F"/>
    <w:rsid w:val="001439D5"/>
    <w:rsid w:val="001439E8"/>
    <w:rsid w:val="00143E8A"/>
    <w:rsid w:val="001441A2"/>
    <w:rsid w:val="001458E9"/>
    <w:rsid w:val="00146471"/>
    <w:rsid w:val="00146A52"/>
    <w:rsid w:val="00146CC8"/>
    <w:rsid w:val="0015024A"/>
    <w:rsid w:val="0015039C"/>
    <w:rsid w:val="00150DD6"/>
    <w:rsid w:val="00151B55"/>
    <w:rsid w:val="00151FD1"/>
    <w:rsid w:val="00152C3F"/>
    <w:rsid w:val="00152DB4"/>
    <w:rsid w:val="0015314F"/>
    <w:rsid w:val="00154BE4"/>
    <w:rsid w:val="00156680"/>
    <w:rsid w:val="001571C3"/>
    <w:rsid w:val="00160401"/>
    <w:rsid w:val="001621B7"/>
    <w:rsid w:val="001626E0"/>
    <w:rsid w:val="00162C47"/>
    <w:rsid w:val="00162D9C"/>
    <w:rsid w:val="0016343E"/>
    <w:rsid w:val="00163AC6"/>
    <w:rsid w:val="00163DAD"/>
    <w:rsid w:val="00164C69"/>
    <w:rsid w:val="00165C4E"/>
    <w:rsid w:val="00166F1C"/>
    <w:rsid w:val="001677F4"/>
    <w:rsid w:val="001700A8"/>
    <w:rsid w:val="0017107C"/>
    <w:rsid w:val="001712A4"/>
    <w:rsid w:val="001714E3"/>
    <w:rsid w:val="00171B79"/>
    <w:rsid w:val="00171EB9"/>
    <w:rsid w:val="00172709"/>
    <w:rsid w:val="00172914"/>
    <w:rsid w:val="00172D6C"/>
    <w:rsid w:val="00172FE6"/>
    <w:rsid w:val="0017358A"/>
    <w:rsid w:val="00173769"/>
    <w:rsid w:val="00173A86"/>
    <w:rsid w:val="00174158"/>
    <w:rsid w:val="00174B5D"/>
    <w:rsid w:val="00175868"/>
    <w:rsid w:val="00175ABB"/>
    <w:rsid w:val="00177E59"/>
    <w:rsid w:val="0018073D"/>
    <w:rsid w:val="00181128"/>
    <w:rsid w:val="00181459"/>
    <w:rsid w:val="00181D77"/>
    <w:rsid w:val="00182A43"/>
    <w:rsid w:val="001831DD"/>
    <w:rsid w:val="001837F9"/>
    <w:rsid w:val="0018386B"/>
    <w:rsid w:val="001839BB"/>
    <w:rsid w:val="00183B50"/>
    <w:rsid w:val="00184609"/>
    <w:rsid w:val="0018547B"/>
    <w:rsid w:val="00185844"/>
    <w:rsid w:val="001858F3"/>
    <w:rsid w:val="00185AAF"/>
    <w:rsid w:val="00185CCB"/>
    <w:rsid w:val="00185F49"/>
    <w:rsid w:val="00186730"/>
    <w:rsid w:val="00190A68"/>
    <w:rsid w:val="0019224C"/>
    <w:rsid w:val="0019306C"/>
    <w:rsid w:val="001933EE"/>
    <w:rsid w:val="00193684"/>
    <w:rsid w:val="001947FB"/>
    <w:rsid w:val="00194ABD"/>
    <w:rsid w:val="00194AE4"/>
    <w:rsid w:val="001951F2"/>
    <w:rsid w:val="001956AF"/>
    <w:rsid w:val="00195ED6"/>
    <w:rsid w:val="001960CE"/>
    <w:rsid w:val="00196A4E"/>
    <w:rsid w:val="00197047"/>
    <w:rsid w:val="00197613"/>
    <w:rsid w:val="001976FE"/>
    <w:rsid w:val="00197706"/>
    <w:rsid w:val="00197B06"/>
    <w:rsid w:val="001A08DE"/>
    <w:rsid w:val="001A10C5"/>
    <w:rsid w:val="001A1A1B"/>
    <w:rsid w:val="001A2F54"/>
    <w:rsid w:val="001A3354"/>
    <w:rsid w:val="001A386F"/>
    <w:rsid w:val="001A611A"/>
    <w:rsid w:val="001A638E"/>
    <w:rsid w:val="001A6C8C"/>
    <w:rsid w:val="001A7089"/>
    <w:rsid w:val="001B0588"/>
    <w:rsid w:val="001B0E05"/>
    <w:rsid w:val="001B161F"/>
    <w:rsid w:val="001B19D7"/>
    <w:rsid w:val="001B1D1C"/>
    <w:rsid w:val="001B3F8F"/>
    <w:rsid w:val="001B471C"/>
    <w:rsid w:val="001B59BA"/>
    <w:rsid w:val="001B5A28"/>
    <w:rsid w:val="001B5BEC"/>
    <w:rsid w:val="001B5D04"/>
    <w:rsid w:val="001B6128"/>
    <w:rsid w:val="001B7906"/>
    <w:rsid w:val="001B8DBF"/>
    <w:rsid w:val="001C0835"/>
    <w:rsid w:val="001C169F"/>
    <w:rsid w:val="001C37CD"/>
    <w:rsid w:val="001C3A92"/>
    <w:rsid w:val="001C3CB4"/>
    <w:rsid w:val="001C448F"/>
    <w:rsid w:val="001C475E"/>
    <w:rsid w:val="001C49DF"/>
    <w:rsid w:val="001C55BF"/>
    <w:rsid w:val="001C5DA1"/>
    <w:rsid w:val="001C60B9"/>
    <w:rsid w:val="001C656C"/>
    <w:rsid w:val="001C69FE"/>
    <w:rsid w:val="001C7FE6"/>
    <w:rsid w:val="001D1273"/>
    <w:rsid w:val="001D2087"/>
    <w:rsid w:val="001D2FB1"/>
    <w:rsid w:val="001D3463"/>
    <w:rsid w:val="001D37E7"/>
    <w:rsid w:val="001D384A"/>
    <w:rsid w:val="001D4651"/>
    <w:rsid w:val="001D5903"/>
    <w:rsid w:val="001D5D82"/>
    <w:rsid w:val="001D636C"/>
    <w:rsid w:val="001D6384"/>
    <w:rsid w:val="001D6C1B"/>
    <w:rsid w:val="001D729D"/>
    <w:rsid w:val="001D79A1"/>
    <w:rsid w:val="001E16D3"/>
    <w:rsid w:val="001E1A33"/>
    <w:rsid w:val="001E1FD0"/>
    <w:rsid w:val="001E259C"/>
    <w:rsid w:val="001E275B"/>
    <w:rsid w:val="001E2BBB"/>
    <w:rsid w:val="001E2F50"/>
    <w:rsid w:val="001E39F7"/>
    <w:rsid w:val="001E517C"/>
    <w:rsid w:val="001E7180"/>
    <w:rsid w:val="001E7868"/>
    <w:rsid w:val="001E7B02"/>
    <w:rsid w:val="001F073F"/>
    <w:rsid w:val="001F0DF7"/>
    <w:rsid w:val="001F10AA"/>
    <w:rsid w:val="001F13C5"/>
    <w:rsid w:val="001F1635"/>
    <w:rsid w:val="001F17D2"/>
    <w:rsid w:val="001F2242"/>
    <w:rsid w:val="001F24D0"/>
    <w:rsid w:val="001F3337"/>
    <w:rsid w:val="001F3578"/>
    <w:rsid w:val="001F36D2"/>
    <w:rsid w:val="001F3C79"/>
    <w:rsid w:val="001F42DD"/>
    <w:rsid w:val="001F464E"/>
    <w:rsid w:val="001F5117"/>
    <w:rsid w:val="001F5D74"/>
    <w:rsid w:val="001F67C3"/>
    <w:rsid w:val="001F69BA"/>
    <w:rsid w:val="001F792F"/>
    <w:rsid w:val="001F7B59"/>
    <w:rsid w:val="00200854"/>
    <w:rsid w:val="00201974"/>
    <w:rsid w:val="00202066"/>
    <w:rsid w:val="00202D2D"/>
    <w:rsid w:val="002033BA"/>
    <w:rsid w:val="002033C6"/>
    <w:rsid w:val="00203409"/>
    <w:rsid w:val="002039A5"/>
    <w:rsid w:val="00203D22"/>
    <w:rsid w:val="0020489F"/>
    <w:rsid w:val="0020579F"/>
    <w:rsid w:val="00205EF2"/>
    <w:rsid w:val="0020661B"/>
    <w:rsid w:val="00206A73"/>
    <w:rsid w:val="00206ADF"/>
    <w:rsid w:val="00206B8B"/>
    <w:rsid w:val="00206CBE"/>
    <w:rsid w:val="00206CEA"/>
    <w:rsid w:val="002077D4"/>
    <w:rsid w:val="002111D2"/>
    <w:rsid w:val="002124E2"/>
    <w:rsid w:val="00213246"/>
    <w:rsid w:val="0021552A"/>
    <w:rsid w:val="00215873"/>
    <w:rsid w:val="00215A44"/>
    <w:rsid w:val="00216CAC"/>
    <w:rsid w:val="00216E3B"/>
    <w:rsid w:val="00217962"/>
    <w:rsid w:val="0021799D"/>
    <w:rsid w:val="0022027B"/>
    <w:rsid w:val="0022254A"/>
    <w:rsid w:val="00222D8E"/>
    <w:rsid w:val="00222E0D"/>
    <w:rsid w:val="00223739"/>
    <w:rsid w:val="00224C29"/>
    <w:rsid w:val="00225763"/>
    <w:rsid w:val="0022623E"/>
    <w:rsid w:val="00226277"/>
    <w:rsid w:val="00226C14"/>
    <w:rsid w:val="00227B9F"/>
    <w:rsid w:val="00230543"/>
    <w:rsid w:val="00230FAE"/>
    <w:rsid w:val="00232469"/>
    <w:rsid w:val="002333C8"/>
    <w:rsid w:val="0023364B"/>
    <w:rsid w:val="00233DC7"/>
    <w:rsid w:val="00234D7A"/>
    <w:rsid w:val="00234F2A"/>
    <w:rsid w:val="00235DB2"/>
    <w:rsid w:val="00235F41"/>
    <w:rsid w:val="00236224"/>
    <w:rsid w:val="002371D1"/>
    <w:rsid w:val="002373A4"/>
    <w:rsid w:val="0024042B"/>
    <w:rsid w:val="00241A01"/>
    <w:rsid w:val="00242001"/>
    <w:rsid w:val="00242895"/>
    <w:rsid w:val="00242DF7"/>
    <w:rsid w:val="002439EF"/>
    <w:rsid w:val="0024461F"/>
    <w:rsid w:val="0024467E"/>
    <w:rsid w:val="00247779"/>
    <w:rsid w:val="00247951"/>
    <w:rsid w:val="00247DD1"/>
    <w:rsid w:val="00250A66"/>
    <w:rsid w:val="002510A4"/>
    <w:rsid w:val="00251560"/>
    <w:rsid w:val="0025181C"/>
    <w:rsid w:val="00251873"/>
    <w:rsid w:val="00251B54"/>
    <w:rsid w:val="00251F1E"/>
    <w:rsid w:val="00252006"/>
    <w:rsid w:val="002523B7"/>
    <w:rsid w:val="00253310"/>
    <w:rsid w:val="0025443C"/>
    <w:rsid w:val="0025558B"/>
    <w:rsid w:val="00255E74"/>
    <w:rsid w:val="00256783"/>
    <w:rsid w:val="00256BD8"/>
    <w:rsid w:val="002606C0"/>
    <w:rsid w:val="00263B08"/>
    <w:rsid w:val="00263B4A"/>
    <w:rsid w:val="00264FBD"/>
    <w:rsid w:val="002655E4"/>
    <w:rsid w:val="0026580F"/>
    <w:rsid w:val="00266695"/>
    <w:rsid w:val="00266C43"/>
    <w:rsid w:val="00266C6B"/>
    <w:rsid w:val="002671BE"/>
    <w:rsid w:val="0026752A"/>
    <w:rsid w:val="00267A33"/>
    <w:rsid w:val="00267E60"/>
    <w:rsid w:val="00270594"/>
    <w:rsid w:val="002712B9"/>
    <w:rsid w:val="00271600"/>
    <w:rsid w:val="00271C5B"/>
    <w:rsid w:val="00271DF7"/>
    <w:rsid w:val="00271E9E"/>
    <w:rsid w:val="0027227D"/>
    <w:rsid w:val="00272763"/>
    <w:rsid w:val="00272C23"/>
    <w:rsid w:val="0027365B"/>
    <w:rsid w:val="0027383B"/>
    <w:rsid w:val="002738EE"/>
    <w:rsid w:val="00274321"/>
    <w:rsid w:val="0027452D"/>
    <w:rsid w:val="002746D8"/>
    <w:rsid w:val="00275591"/>
    <w:rsid w:val="002759D2"/>
    <w:rsid w:val="00275FD0"/>
    <w:rsid w:val="00276640"/>
    <w:rsid w:val="00280026"/>
    <w:rsid w:val="00280C83"/>
    <w:rsid w:val="00280D62"/>
    <w:rsid w:val="00280FDE"/>
    <w:rsid w:val="002813FA"/>
    <w:rsid w:val="002817B1"/>
    <w:rsid w:val="002821CF"/>
    <w:rsid w:val="002822F2"/>
    <w:rsid w:val="00282365"/>
    <w:rsid w:val="00282923"/>
    <w:rsid w:val="00282C9D"/>
    <w:rsid w:val="0028315B"/>
    <w:rsid w:val="00283452"/>
    <w:rsid w:val="00283523"/>
    <w:rsid w:val="00284019"/>
    <w:rsid w:val="0028438F"/>
    <w:rsid w:val="002847BE"/>
    <w:rsid w:val="00285BEE"/>
    <w:rsid w:val="002863AE"/>
    <w:rsid w:val="0028652B"/>
    <w:rsid w:val="00286A83"/>
    <w:rsid w:val="00286F1F"/>
    <w:rsid w:val="00287904"/>
    <w:rsid w:val="00287AEA"/>
    <w:rsid w:val="00287B3F"/>
    <w:rsid w:val="00288710"/>
    <w:rsid w:val="00290553"/>
    <w:rsid w:val="002909AB"/>
    <w:rsid w:val="00290D1C"/>
    <w:rsid w:val="00290E8F"/>
    <w:rsid w:val="00291F8D"/>
    <w:rsid w:val="00292683"/>
    <w:rsid w:val="00292952"/>
    <w:rsid w:val="002941C6"/>
    <w:rsid w:val="002946B5"/>
    <w:rsid w:val="0029533F"/>
    <w:rsid w:val="002955A0"/>
    <w:rsid w:val="00295657"/>
    <w:rsid w:val="00295797"/>
    <w:rsid w:val="00295F4E"/>
    <w:rsid w:val="0029661B"/>
    <w:rsid w:val="00296E7C"/>
    <w:rsid w:val="00296F77"/>
    <w:rsid w:val="00297E62"/>
    <w:rsid w:val="002A0CAE"/>
    <w:rsid w:val="002A15E3"/>
    <w:rsid w:val="002A1852"/>
    <w:rsid w:val="002A1BF4"/>
    <w:rsid w:val="002A216C"/>
    <w:rsid w:val="002A21E9"/>
    <w:rsid w:val="002A23C5"/>
    <w:rsid w:val="002A2DCA"/>
    <w:rsid w:val="002A381F"/>
    <w:rsid w:val="002A3CB5"/>
    <w:rsid w:val="002A3FB0"/>
    <w:rsid w:val="002A422D"/>
    <w:rsid w:val="002A50CD"/>
    <w:rsid w:val="002A6A08"/>
    <w:rsid w:val="002A758F"/>
    <w:rsid w:val="002B0A09"/>
    <w:rsid w:val="002B0A71"/>
    <w:rsid w:val="002B1027"/>
    <w:rsid w:val="002B1E99"/>
    <w:rsid w:val="002B29B1"/>
    <w:rsid w:val="002B30AF"/>
    <w:rsid w:val="002B4A43"/>
    <w:rsid w:val="002B4DE0"/>
    <w:rsid w:val="002B5196"/>
    <w:rsid w:val="002B5330"/>
    <w:rsid w:val="002B555D"/>
    <w:rsid w:val="002B69EE"/>
    <w:rsid w:val="002B75A3"/>
    <w:rsid w:val="002B7FFD"/>
    <w:rsid w:val="002C01E4"/>
    <w:rsid w:val="002C02BA"/>
    <w:rsid w:val="002C0520"/>
    <w:rsid w:val="002C180C"/>
    <w:rsid w:val="002C1FEB"/>
    <w:rsid w:val="002C2440"/>
    <w:rsid w:val="002C4E11"/>
    <w:rsid w:val="002C5710"/>
    <w:rsid w:val="002C5799"/>
    <w:rsid w:val="002C59D8"/>
    <w:rsid w:val="002C5F1D"/>
    <w:rsid w:val="002C6046"/>
    <w:rsid w:val="002C62A8"/>
    <w:rsid w:val="002C64F7"/>
    <w:rsid w:val="002C7C32"/>
    <w:rsid w:val="002D03B3"/>
    <w:rsid w:val="002D1456"/>
    <w:rsid w:val="002D2A5C"/>
    <w:rsid w:val="002D30C7"/>
    <w:rsid w:val="002D38EE"/>
    <w:rsid w:val="002D3B70"/>
    <w:rsid w:val="002D3F16"/>
    <w:rsid w:val="002D3FC0"/>
    <w:rsid w:val="002D4137"/>
    <w:rsid w:val="002D4750"/>
    <w:rsid w:val="002D48F2"/>
    <w:rsid w:val="002D5424"/>
    <w:rsid w:val="002D552C"/>
    <w:rsid w:val="002D5C16"/>
    <w:rsid w:val="002D65D2"/>
    <w:rsid w:val="002D6D8F"/>
    <w:rsid w:val="002D6DF4"/>
    <w:rsid w:val="002D785B"/>
    <w:rsid w:val="002D7C83"/>
    <w:rsid w:val="002E0FBD"/>
    <w:rsid w:val="002E1D0C"/>
    <w:rsid w:val="002E1F20"/>
    <w:rsid w:val="002E2C87"/>
    <w:rsid w:val="002E3132"/>
    <w:rsid w:val="002E3599"/>
    <w:rsid w:val="002E45F0"/>
    <w:rsid w:val="002E5771"/>
    <w:rsid w:val="002E59FA"/>
    <w:rsid w:val="002E65A3"/>
    <w:rsid w:val="002E66CF"/>
    <w:rsid w:val="002E6D2A"/>
    <w:rsid w:val="002E6DD3"/>
    <w:rsid w:val="002E6E9C"/>
    <w:rsid w:val="002E6EE2"/>
    <w:rsid w:val="002E72F5"/>
    <w:rsid w:val="002F051A"/>
    <w:rsid w:val="002F1167"/>
    <w:rsid w:val="002F354F"/>
    <w:rsid w:val="002F357A"/>
    <w:rsid w:val="002F4419"/>
    <w:rsid w:val="002F4512"/>
    <w:rsid w:val="002F4C67"/>
    <w:rsid w:val="002F4CFF"/>
    <w:rsid w:val="002F655D"/>
    <w:rsid w:val="002F6999"/>
    <w:rsid w:val="002F6E07"/>
    <w:rsid w:val="002F6F12"/>
    <w:rsid w:val="002F71FD"/>
    <w:rsid w:val="002F7B50"/>
    <w:rsid w:val="002F7D2C"/>
    <w:rsid w:val="00300772"/>
    <w:rsid w:val="0030141C"/>
    <w:rsid w:val="0030159C"/>
    <w:rsid w:val="00301E1E"/>
    <w:rsid w:val="00301E9B"/>
    <w:rsid w:val="00302108"/>
    <w:rsid w:val="0030269F"/>
    <w:rsid w:val="003027CC"/>
    <w:rsid w:val="00303C8F"/>
    <w:rsid w:val="00304EBA"/>
    <w:rsid w:val="0030528E"/>
    <w:rsid w:val="003067DB"/>
    <w:rsid w:val="0030687B"/>
    <w:rsid w:val="003100D8"/>
    <w:rsid w:val="00310129"/>
    <w:rsid w:val="003106BB"/>
    <w:rsid w:val="00310810"/>
    <w:rsid w:val="00310BB6"/>
    <w:rsid w:val="00310D30"/>
    <w:rsid w:val="003111B4"/>
    <w:rsid w:val="0031220E"/>
    <w:rsid w:val="00312601"/>
    <w:rsid w:val="00312E88"/>
    <w:rsid w:val="00313918"/>
    <w:rsid w:val="0031464B"/>
    <w:rsid w:val="0031503A"/>
    <w:rsid w:val="0031587C"/>
    <w:rsid w:val="0031599B"/>
    <w:rsid w:val="00315B63"/>
    <w:rsid w:val="003160AD"/>
    <w:rsid w:val="003168D5"/>
    <w:rsid w:val="00316A99"/>
    <w:rsid w:val="0031723A"/>
    <w:rsid w:val="003176D9"/>
    <w:rsid w:val="003179D2"/>
    <w:rsid w:val="00320255"/>
    <w:rsid w:val="00320346"/>
    <w:rsid w:val="003206F3"/>
    <w:rsid w:val="003208EC"/>
    <w:rsid w:val="003208F5"/>
    <w:rsid w:val="003226CD"/>
    <w:rsid w:val="003227C2"/>
    <w:rsid w:val="0032335F"/>
    <w:rsid w:val="00324347"/>
    <w:rsid w:val="00324455"/>
    <w:rsid w:val="00324C30"/>
    <w:rsid w:val="00324E89"/>
    <w:rsid w:val="00325C2B"/>
    <w:rsid w:val="00325EAF"/>
    <w:rsid w:val="00326308"/>
    <w:rsid w:val="00326812"/>
    <w:rsid w:val="00326954"/>
    <w:rsid w:val="00327053"/>
    <w:rsid w:val="00327A04"/>
    <w:rsid w:val="00330FFC"/>
    <w:rsid w:val="0033100D"/>
    <w:rsid w:val="00331287"/>
    <w:rsid w:val="00332137"/>
    <w:rsid w:val="003328A5"/>
    <w:rsid w:val="00332FE6"/>
    <w:rsid w:val="0033344A"/>
    <w:rsid w:val="0033452E"/>
    <w:rsid w:val="00334944"/>
    <w:rsid w:val="00334A00"/>
    <w:rsid w:val="00334A46"/>
    <w:rsid w:val="00334ABA"/>
    <w:rsid w:val="003351CB"/>
    <w:rsid w:val="00335544"/>
    <w:rsid w:val="003368E5"/>
    <w:rsid w:val="00340191"/>
    <w:rsid w:val="003402FE"/>
    <w:rsid w:val="00340BE3"/>
    <w:rsid w:val="003410DD"/>
    <w:rsid w:val="003418C8"/>
    <w:rsid w:val="0034196C"/>
    <w:rsid w:val="003423FD"/>
    <w:rsid w:val="0034347E"/>
    <w:rsid w:val="00345587"/>
    <w:rsid w:val="00345A13"/>
    <w:rsid w:val="003466B2"/>
    <w:rsid w:val="00346909"/>
    <w:rsid w:val="00347DCE"/>
    <w:rsid w:val="00347F71"/>
    <w:rsid w:val="00350D94"/>
    <w:rsid w:val="00350FA6"/>
    <w:rsid w:val="0035140B"/>
    <w:rsid w:val="003514DD"/>
    <w:rsid w:val="00352713"/>
    <w:rsid w:val="00353771"/>
    <w:rsid w:val="003539B3"/>
    <w:rsid w:val="003544DE"/>
    <w:rsid w:val="00354521"/>
    <w:rsid w:val="00354AA4"/>
    <w:rsid w:val="00354DA8"/>
    <w:rsid w:val="003553E2"/>
    <w:rsid w:val="003562D7"/>
    <w:rsid w:val="00356E64"/>
    <w:rsid w:val="00356ED6"/>
    <w:rsid w:val="003578B4"/>
    <w:rsid w:val="00357D7D"/>
    <w:rsid w:val="00360C50"/>
    <w:rsid w:val="003610C3"/>
    <w:rsid w:val="003615E0"/>
    <w:rsid w:val="0036228E"/>
    <w:rsid w:val="0036268C"/>
    <w:rsid w:val="00363273"/>
    <w:rsid w:val="0036351A"/>
    <w:rsid w:val="0036366B"/>
    <w:rsid w:val="00363700"/>
    <w:rsid w:val="00363F28"/>
    <w:rsid w:val="00364DC7"/>
    <w:rsid w:val="00365791"/>
    <w:rsid w:val="00365D25"/>
    <w:rsid w:val="00366563"/>
    <w:rsid w:val="00366B47"/>
    <w:rsid w:val="00370613"/>
    <w:rsid w:val="00370876"/>
    <w:rsid w:val="00371AA6"/>
    <w:rsid w:val="00371CB4"/>
    <w:rsid w:val="0037415E"/>
    <w:rsid w:val="00374903"/>
    <w:rsid w:val="00374E81"/>
    <w:rsid w:val="003750D4"/>
    <w:rsid w:val="00375A8F"/>
    <w:rsid w:val="00376470"/>
    <w:rsid w:val="00376EBF"/>
    <w:rsid w:val="0037712F"/>
    <w:rsid w:val="00377149"/>
    <w:rsid w:val="00377A7D"/>
    <w:rsid w:val="003803FC"/>
    <w:rsid w:val="00380580"/>
    <w:rsid w:val="00381885"/>
    <w:rsid w:val="00382AB3"/>
    <w:rsid w:val="00382CDC"/>
    <w:rsid w:val="00384675"/>
    <w:rsid w:val="00384767"/>
    <w:rsid w:val="00384E88"/>
    <w:rsid w:val="00385168"/>
    <w:rsid w:val="003855E0"/>
    <w:rsid w:val="00385701"/>
    <w:rsid w:val="003857B2"/>
    <w:rsid w:val="00386587"/>
    <w:rsid w:val="00386C14"/>
    <w:rsid w:val="0038705D"/>
    <w:rsid w:val="003874C1"/>
    <w:rsid w:val="00387E5F"/>
    <w:rsid w:val="003902D1"/>
    <w:rsid w:val="00390339"/>
    <w:rsid w:val="0039051A"/>
    <w:rsid w:val="0039334C"/>
    <w:rsid w:val="003935BD"/>
    <w:rsid w:val="00393E46"/>
    <w:rsid w:val="00394436"/>
    <w:rsid w:val="00394850"/>
    <w:rsid w:val="00394C2B"/>
    <w:rsid w:val="003952FC"/>
    <w:rsid w:val="00395A7C"/>
    <w:rsid w:val="003962D4"/>
    <w:rsid w:val="00396535"/>
    <w:rsid w:val="003966D4"/>
    <w:rsid w:val="00396C3E"/>
    <w:rsid w:val="00396F88"/>
    <w:rsid w:val="00397676"/>
    <w:rsid w:val="003A31A6"/>
    <w:rsid w:val="003A32E5"/>
    <w:rsid w:val="003A36F8"/>
    <w:rsid w:val="003A3AB2"/>
    <w:rsid w:val="003A4595"/>
    <w:rsid w:val="003A4944"/>
    <w:rsid w:val="003A4DC3"/>
    <w:rsid w:val="003A54A5"/>
    <w:rsid w:val="003A5526"/>
    <w:rsid w:val="003A5B69"/>
    <w:rsid w:val="003A6D3F"/>
    <w:rsid w:val="003B04E3"/>
    <w:rsid w:val="003B0E33"/>
    <w:rsid w:val="003B10F5"/>
    <w:rsid w:val="003B1351"/>
    <w:rsid w:val="003B1B22"/>
    <w:rsid w:val="003B1D6E"/>
    <w:rsid w:val="003B1F1E"/>
    <w:rsid w:val="003B27E4"/>
    <w:rsid w:val="003B2EB5"/>
    <w:rsid w:val="003B3D64"/>
    <w:rsid w:val="003B3EED"/>
    <w:rsid w:val="003B4475"/>
    <w:rsid w:val="003B4553"/>
    <w:rsid w:val="003B46C2"/>
    <w:rsid w:val="003B662D"/>
    <w:rsid w:val="003B6957"/>
    <w:rsid w:val="003B6D5B"/>
    <w:rsid w:val="003B7585"/>
    <w:rsid w:val="003B7A50"/>
    <w:rsid w:val="003B8374"/>
    <w:rsid w:val="003C02A1"/>
    <w:rsid w:val="003C0376"/>
    <w:rsid w:val="003C104E"/>
    <w:rsid w:val="003C2274"/>
    <w:rsid w:val="003C2813"/>
    <w:rsid w:val="003C3B08"/>
    <w:rsid w:val="003C452D"/>
    <w:rsid w:val="003C59E5"/>
    <w:rsid w:val="003C67E6"/>
    <w:rsid w:val="003D0052"/>
    <w:rsid w:val="003D071B"/>
    <w:rsid w:val="003D09FB"/>
    <w:rsid w:val="003D0A14"/>
    <w:rsid w:val="003D11DE"/>
    <w:rsid w:val="003D264D"/>
    <w:rsid w:val="003D2EF0"/>
    <w:rsid w:val="003D361B"/>
    <w:rsid w:val="003D3868"/>
    <w:rsid w:val="003D3FEF"/>
    <w:rsid w:val="003D4F20"/>
    <w:rsid w:val="003D5866"/>
    <w:rsid w:val="003D5C21"/>
    <w:rsid w:val="003D5C54"/>
    <w:rsid w:val="003D5FB2"/>
    <w:rsid w:val="003D6C21"/>
    <w:rsid w:val="003D6F47"/>
    <w:rsid w:val="003D7B97"/>
    <w:rsid w:val="003E05FD"/>
    <w:rsid w:val="003E204F"/>
    <w:rsid w:val="003E245D"/>
    <w:rsid w:val="003E286A"/>
    <w:rsid w:val="003E2A9A"/>
    <w:rsid w:val="003E34C2"/>
    <w:rsid w:val="003E3935"/>
    <w:rsid w:val="003E4194"/>
    <w:rsid w:val="003E4798"/>
    <w:rsid w:val="003E482A"/>
    <w:rsid w:val="003E5E60"/>
    <w:rsid w:val="003E6058"/>
    <w:rsid w:val="003E6F6D"/>
    <w:rsid w:val="003E7F0F"/>
    <w:rsid w:val="003F0FD8"/>
    <w:rsid w:val="003F15F0"/>
    <w:rsid w:val="003F167B"/>
    <w:rsid w:val="003F1E8E"/>
    <w:rsid w:val="003F23F9"/>
    <w:rsid w:val="003F27CF"/>
    <w:rsid w:val="003F2CA4"/>
    <w:rsid w:val="003F3DD5"/>
    <w:rsid w:val="003F4B12"/>
    <w:rsid w:val="003F5F62"/>
    <w:rsid w:val="003F6B92"/>
    <w:rsid w:val="00400AAF"/>
    <w:rsid w:val="00401755"/>
    <w:rsid w:val="00401AA7"/>
    <w:rsid w:val="00404190"/>
    <w:rsid w:val="00405244"/>
    <w:rsid w:val="00405676"/>
    <w:rsid w:val="004065CF"/>
    <w:rsid w:val="004068EE"/>
    <w:rsid w:val="00407AC1"/>
    <w:rsid w:val="00410136"/>
    <w:rsid w:val="004116F2"/>
    <w:rsid w:val="004118CE"/>
    <w:rsid w:val="0041198A"/>
    <w:rsid w:val="00411D74"/>
    <w:rsid w:val="00411EC1"/>
    <w:rsid w:val="00412FF6"/>
    <w:rsid w:val="004131CF"/>
    <w:rsid w:val="0041332F"/>
    <w:rsid w:val="00413472"/>
    <w:rsid w:val="00414057"/>
    <w:rsid w:val="00414641"/>
    <w:rsid w:val="00415830"/>
    <w:rsid w:val="00415894"/>
    <w:rsid w:val="00415B09"/>
    <w:rsid w:val="00415B8B"/>
    <w:rsid w:val="004160D4"/>
    <w:rsid w:val="00416A7F"/>
    <w:rsid w:val="00416BF7"/>
    <w:rsid w:val="00416C90"/>
    <w:rsid w:val="00417CB2"/>
    <w:rsid w:val="004202B9"/>
    <w:rsid w:val="004202F1"/>
    <w:rsid w:val="004204BE"/>
    <w:rsid w:val="0042128A"/>
    <w:rsid w:val="004220A8"/>
    <w:rsid w:val="00422280"/>
    <w:rsid w:val="00422A43"/>
    <w:rsid w:val="00422B98"/>
    <w:rsid w:val="00422DD1"/>
    <w:rsid w:val="00422E2A"/>
    <w:rsid w:val="00423EE4"/>
    <w:rsid w:val="0042470B"/>
    <w:rsid w:val="004248C3"/>
    <w:rsid w:val="00425E31"/>
    <w:rsid w:val="0042648E"/>
    <w:rsid w:val="004270C4"/>
    <w:rsid w:val="00427B04"/>
    <w:rsid w:val="00430133"/>
    <w:rsid w:val="00430145"/>
    <w:rsid w:val="00430518"/>
    <w:rsid w:val="00430768"/>
    <w:rsid w:val="00431599"/>
    <w:rsid w:val="00431777"/>
    <w:rsid w:val="00433682"/>
    <w:rsid w:val="004345FB"/>
    <w:rsid w:val="00434BC9"/>
    <w:rsid w:val="00435CFF"/>
    <w:rsid w:val="00435F6A"/>
    <w:rsid w:val="004360A9"/>
    <w:rsid w:val="004362CF"/>
    <w:rsid w:val="00436FCC"/>
    <w:rsid w:val="00440AEA"/>
    <w:rsid w:val="0044117D"/>
    <w:rsid w:val="00441575"/>
    <w:rsid w:val="0044176C"/>
    <w:rsid w:val="00442954"/>
    <w:rsid w:val="00442A61"/>
    <w:rsid w:val="00443640"/>
    <w:rsid w:val="004437A9"/>
    <w:rsid w:val="004437DE"/>
    <w:rsid w:val="00445039"/>
    <w:rsid w:val="004458A0"/>
    <w:rsid w:val="00446618"/>
    <w:rsid w:val="00446C04"/>
    <w:rsid w:val="00446C36"/>
    <w:rsid w:val="00446EE4"/>
    <w:rsid w:val="0044774D"/>
    <w:rsid w:val="00447E8C"/>
    <w:rsid w:val="00447EED"/>
    <w:rsid w:val="00447FBE"/>
    <w:rsid w:val="0045005B"/>
    <w:rsid w:val="00451F86"/>
    <w:rsid w:val="00452301"/>
    <w:rsid w:val="004527B3"/>
    <w:rsid w:val="0045313D"/>
    <w:rsid w:val="00454359"/>
    <w:rsid w:val="0045490D"/>
    <w:rsid w:val="00454E8C"/>
    <w:rsid w:val="00454FF9"/>
    <w:rsid w:val="00455F52"/>
    <w:rsid w:val="00456FCB"/>
    <w:rsid w:val="004573F8"/>
    <w:rsid w:val="00457566"/>
    <w:rsid w:val="004576B7"/>
    <w:rsid w:val="004578B2"/>
    <w:rsid w:val="004601C1"/>
    <w:rsid w:val="00460CA9"/>
    <w:rsid w:val="00461407"/>
    <w:rsid w:val="00461464"/>
    <w:rsid w:val="00461D40"/>
    <w:rsid w:val="004622B1"/>
    <w:rsid w:val="0046266D"/>
    <w:rsid w:val="00463346"/>
    <w:rsid w:val="00463799"/>
    <w:rsid w:val="00463B96"/>
    <w:rsid w:val="00464069"/>
    <w:rsid w:val="00464823"/>
    <w:rsid w:val="00464C8E"/>
    <w:rsid w:val="00466A5D"/>
    <w:rsid w:val="00466CEE"/>
    <w:rsid w:val="004678FD"/>
    <w:rsid w:val="004714DF"/>
    <w:rsid w:val="00471986"/>
    <w:rsid w:val="00471D4E"/>
    <w:rsid w:val="0047231C"/>
    <w:rsid w:val="004725FB"/>
    <w:rsid w:val="00472617"/>
    <w:rsid w:val="004732E0"/>
    <w:rsid w:val="00474334"/>
    <w:rsid w:val="00474593"/>
    <w:rsid w:val="00474B6A"/>
    <w:rsid w:val="004756C2"/>
    <w:rsid w:val="004762B9"/>
    <w:rsid w:val="004770F2"/>
    <w:rsid w:val="00477265"/>
    <w:rsid w:val="00477269"/>
    <w:rsid w:val="004775E0"/>
    <w:rsid w:val="004777CE"/>
    <w:rsid w:val="00477DFB"/>
    <w:rsid w:val="0047F384"/>
    <w:rsid w:val="00480B3F"/>
    <w:rsid w:val="00480DEA"/>
    <w:rsid w:val="00481C1A"/>
    <w:rsid w:val="00481DAE"/>
    <w:rsid w:val="00482D5A"/>
    <w:rsid w:val="0048446A"/>
    <w:rsid w:val="00484901"/>
    <w:rsid w:val="00484ED8"/>
    <w:rsid w:val="00485387"/>
    <w:rsid w:val="00485509"/>
    <w:rsid w:val="00485BAF"/>
    <w:rsid w:val="00485C3E"/>
    <w:rsid w:val="00485EC0"/>
    <w:rsid w:val="00486526"/>
    <w:rsid w:val="00486E77"/>
    <w:rsid w:val="00487350"/>
    <w:rsid w:val="004878C2"/>
    <w:rsid w:val="00491647"/>
    <w:rsid w:val="004916C2"/>
    <w:rsid w:val="00491F84"/>
    <w:rsid w:val="00492904"/>
    <w:rsid w:val="004936D2"/>
    <w:rsid w:val="00493734"/>
    <w:rsid w:val="00493B32"/>
    <w:rsid w:val="00493EB9"/>
    <w:rsid w:val="00493FEE"/>
    <w:rsid w:val="00494042"/>
    <w:rsid w:val="00495220"/>
    <w:rsid w:val="00495896"/>
    <w:rsid w:val="00495EFD"/>
    <w:rsid w:val="0049602C"/>
    <w:rsid w:val="004966FD"/>
    <w:rsid w:val="004969CF"/>
    <w:rsid w:val="00496D4B"/>
    <w:rsid w:val="00497364"/>
    <w:rsid w:val="00497A63"/>
    <w:rsid w:val="00497BEA"/>
    <w:rsid w:val="004A02A2"/>
    <w:rsid w:val="004A03E5"/>
    <w:rsid w:val="004A0A00"/>
    <w:rsid w:val="004A0A78"/>
    <w:rsid w:val="004A1B60"/>
    <w:rsid w:val="004A219E"/>
    <w:rsid w:val="004A31F2"/>
    <w:rsid w:val="004A3C48"/>
    <w:rsid w:val="004A3F7D"/>
    <w:rsid w:val="004A49CD"/>
    <w:rsid w:val="004A4AF2"/>
    <w:rsid w:val="004A697D"/>
    <w:rsid w:val="004A7AAE"/>
    <w:rsid w:val="004A7D9F"/>
    <w:rsid w:val="004B1DE3"/>
    <w:rsid w:val="004B1E5B"/>
    <w:rsid w:val="004B2A2A"/>
    <w:rsid w:val="004B5602"/>
    <w:rsid w:val="004B5980"/>
    <w:rsid w:val="004B5AD6"/>
    <w:rsid w:val="004B63F6"/>
    <w:rsid w:val="004B6594"/>
    <w:rsid w:val="004B7725"/>
    <w:rsid w:val="004B773E"/>
    <w:rsid w:val="004C05BA"/>
    <w:rsid w:val="004C0745"/>
    <w:rsid w:val="004C0884"/>
    <w:rsid w:val="004C0C35"/>
    <w:rsid w:val="004C1352"/>
    <w:rsid w:val="004C3697"/>
    <w:rsid w:val="004C3E71"/>
    <w:rsid w:val="004C4279"/>
    <w:rsid w:val="004C4B2A"/>
    <w:rsid w:val="004C5153"/>
    <w:rsid w:val="004C5763"/>
    <w:rsid w:val="004C5B58"/>
    <w:rsid w:val="004C5F31"/>
    <w:rsid w:val="004C66FA"/>
    <w:rsid w:val="004C6A58"/>
    <w:rsid w:val="004C7FDC"/>
    <w:rsid w:val="004D0229"/>
    <w:rsid w:val="004D0402"/>
    <w:rsid w:val="004D07BD"/>
    <w:rsid w:val="004D07F3"/>
    <w:rsid w:val="004D12F8"/>
    <w:rsid w:val="004D141F"/>
    <w:rsid w:val="004D1785"/>
    <w:rsid w:val="004D1EF4"/>
    <w:rsid w:val="004D33E4"/>
    <w:rsid w:val="004D3F94"/>
    <w:rsid w:val="004D5050"/>
    <w:rsid w:val="004D510A"/>
    <w:rsid w:val="004D5178"/>
    <w:rsid w:val="004D55CA"/>
    <w:rsid w:val="004D593E"/>
    <w:rsid w:val="004D5CAA"/>
    <w:rsid w:val="004D634E"/>
    <w:rsid w:val="004D6511"/>
    <w:rsid w:val="004D6AB1"/>
    <w:rsid w:val="004D7764"/>
    <w:rsid w:val="004D77A6"/>
    <w:rsid w:val="004D77CC"/>
    <w:rsid w:val="004D7A2D"/>
    <w:rsid w:val="004D7B88"/>
    <w:rsid w:val="004E00D6"/>
    <w:rsid w:val="004E05DF"/>
    <w:rsid w:val="004E2F2F"/>
    <w:rsid w:val="004E2FBD"/>
    <w:rsid w:val="004E3E2A"/>
    <w:rsid w:val="004E4934"/>
    <w:rsid w:val="004E4B32"/>
    <w:rsid w:val="004E4DE9"/>
    <w:rsid w:val="004E51A3"/>
    <w:rsid w:val="004E5214"/>
    <w:rsid w:val="004E64AD"/>
    <w:rsid w:val="004E659C"/>
    <w:rsid w:val="004E6F2C"/>
    <w:rsid w:val="004E7835"/>
    <w:rsid w:val="004E7CEC"/>
    <w:rsid w:val="004F125A"/>
    <w:rsid w:val="004F139E"/>
    <w:rsid w:val="004F182B"/>
    <w:rsid w:val="004F1905"/>
    <w:rsid w:val="004F216F"/>
    <w:rsid w:val="004F39DD"/>
    <w:rsid w:val="004F462F"/>
    <w:rsid w:val="004F48F8"/>
    <w:rsid w:val="004F4944"/>
    <w:rsid w:val="004F68A0"/>
    <w:rsid w:val="004F7309"/>
    <w:rsid w:val="004F7DED"/>
    <w:rsid w:val="005000AE"/>
    <w:rsid w:val="00500887"/>
    <w:rsid w:val="00501329"/>
    <w:rsid w:val="00501BA7"/>
    <w:rsid w:val="00501F00"/>
    <w:rsid w:val="005028DC"/>
    <w:rsid w:val="005029F3"/>
    <w:rsid w:val="00502B71"/>
    <w:rsid w:val="00502F33"/>
    <w:rsid w:val="00505496"/>
    <w:rsid w:val="005068A2"/>
    <w:rsid w:val="0050B9D2"/>
    <w:rsid w:val="00510042"/>
    <w:rsid w:val="005102A5"/>
    <w:rsid w:val="005107A4"/>
    <w:rsid w:val="00510B43"/>
    <w:rsid w:val="00510DEA"/>
    <w:rsid w:val="00512125"/>
    <w:rsid w:val="00515250"/>
    <w:rsid w:val="00515CB2"/>
    <w:rsid w:val="00515E53"/>
    <w:rsid w:val="005160CB"/>
    <w:rsid w:val="0051665D"/>
    <w:rsid w:val="0051740D"/>
    <w:rsid w:val="005178A1"/>
    <w:rsid w:val="005179C1"/>
    <w:rsid w:val="0052144D"/>
    <w:rsid w:val="005226AB"/>
    <w:rsid w:val="00522AF7"/>
    <w:rsid w:val="00522DB5"/>
    <w:rsid w:val="00523318"/>
    <w:rsid w:val="00523E6A"/>
    <w:rsid w:val="00524086"/>
    <w:rsid w:val="00524BF3"/>
    <w:rsid w:val="00524F55"/>
    <w:rsid w:val="00526624"/>
    <w:rsid w:val="005268B7"/>
    <w:rsid w:val="00526A3C"/>
    <w:rsid w:val="00526D0A"/>
    <w:rsid w:val="00526F1E"/>
    <w:rsid w:val="00527029"/>
    <w:rsid w:val="00527E8F"/>
    <w:rsid w:val="005304D6"/>
    <w:rsid w:val="005306F1"/>
    <w:rsid w:val="00530BAD"/>
    <w:rsid w:val="005319AB"/>
    <w:rsid w:val="0053205C"/>
    <w:rsid w:val="00532550"/>
    <w:rsid w:val="005328A7"/>
    <w:rsid w:val="00533507"/>
    <w:rsid w:val="00533938"/>
    <w:rsid w:val="00534154"/>
    <w:rsid w:val="00534E3E"/>
    <w:rsid w:val="00534FE9"/>
    <w:rsid w:val="005360DF"/>
    <w:rsid w:val="00536621"/>
    <w:rsid w:val="00536940"/>
    <w:rsid w:val="00537D3C"/>
    <w:rsid w:val="005403E1"/>
    <w:rsid w:val="00540634"/>
    <w:rsid w:val="005407C2"/>
    <w:rsid w:val="00540914"/>
    <w:rsid w:val="0054149A"/>
    <w:rsid w:val="005415F2"/>
    <w:rsid w:val="0054222A"/>
    <w:rsid w:val="005428D6"/>
    <w:rsid w:val="00542E9E"/>
    <w:rsid w:val="00542F8D"/>
    <w:rsid w:val="0054391B"/>
    <w:rsid w:val="00543DA3"/>
    <w:rsid w:val="0054418E"/>
    <w:rsid w:val="0054435B"/>
    <w:rsid w:val="005443A7"/>
    <w:rsid w:val="00544776"/>
    <w:rsid w:val="00544FF5"/>
    <w:rsid w:val="0054500E"/>
    <w:rsid w:val="00545243"/>
    <w:rsid w:val="00545660"/>
    <w:rsid w:val="005466CA"/>
    <w:rsid w:val="00546CB0"/>
    <w:rsid w:val="00546D05"/>
    <w:rsid w:val="00547263"/>
    <w:rsid w:val="0054729B"/>
    <w:rsid w:val="00547647"/>
    <w:rsid w:val="00549763"/>
    <w:rsid w:val="00550545"/>
    <w:rsid w:val="00550961"/>
    <w:rsid w:val="00550BB2"/>
    <w:rsid w:val="00552105"/>
    <w:rsid w:val="00552B92"/>
    <w:rsid w:val="00552C80"/>
    <w:rsid w:val="0055350D"/>
    <w:rsid w:val="00554506"/>
    <w:rsid w:val="0055469A"/>
    <w:rsid w:val="00554778"/>
    <w:rsid w:val="00554887"/>
    <w:rsid w:val="0055500F"/>
    <w:rsid w:val="00555A10"/>
    <w:rsid w:val="00555B21"/>
    <w:rsid w:val="00555CA4"/>
    <w:rsid w:val="00561699"/>
    <w:rsid w:val="005617BA"/>
    <w:rsid w:val="00562399"/>
    <w:rsid w:val="00562913"/>
    <w:rsid w:val="00562B6F"/>
    <w:rsid w:val="005639F0"/>
    <w:rsid w:val="00563A9F"/>
    <w:rsid w:val="00564192"/>
    <w:rsid w:val="00564585"/>
    <w:rsid w:val="005649F1"/>
    <w:rsid w:val="0056528E"/>
    <w:rsid w:val="00567641"/>
    <w:rsid w:val="00567990"/>
    <w:rsid w:val="00567BE3"/>
    <w:rsid w:val="00567EA6"/>
    <w:rsid w:val="00570056"/>
    <w:rsid w:val="0057077D"/>
    <w:rsid w:val="005709B2"/>
    <w:rsid w:val="00570CB3"/>
    <w:rsid w:val="005720A9"/>
    <w:rsid w:val="005731A6"/>
    <w:rsid w:val="00573281"/>
    <w:rsid w:val="00573764"/>
    <w:rsid w:val="00573E98"/>
    <w:rsid w:val="0057457A"/>
    <w:rsid w:val="00574D4B"/>
    <w:rsid w:val="00574D81"/>
    <w:rsid w:val="00574F24"/>
    <w:rsid w:val="00575158"/>
    <w:rsid w:val="00575183"/>
    <w:rsid w:val="005757A8"/>
    <w:rsid w:val="00576F4D"/>
    <w:rsid w:val="00577409"/>
    <w:rsid w:val="00577C1D"/>
    <w:rsid w:val="00577D74"/>
    <w:rsid w:val="00577DD1"/>
    <w:rsid w:val="0057B4C9"/>
    <w:rsid w:val="0058142F"/>
    <w:rsid w:val="00583722"/>
    <w:rsid w:val="005837D8"/>
    <w:rsid w:val="00583BEE"/>
    <w:rsid w:val="00584006"/>
    <w:rsid w:val="005848A8"/>
    <w:rsid w:val="00586009"/>
    <w:rsid w:val="005860DE"/>
    <w:rsid w:val="00587159"/>
    <w:rsid w:val="00590CAD"/>
    <w:rsid w:val="0059141E"/>
    <w:rsid w:val="005919B4"/>
    <w:rsid w:val="00592BB3"/>
    <w:rsid w:val="005932BC"/>
    <w:rsid w:val="005935C7"/>
    <w:rsid w:val="00593E76"/>
    <w:rsid w:val="00594557"/>
    <w:rsid w:val="005945B7"/>
    <w:rsid w:val="005945C2"/>
    <w:rsid w:val="005946E1"/>
    <w:rsid w:val="005954C2"/>
    <w:rsid w:val="005964BE"/>
    <w:rsid w:val="005974B5"/>
    <w:rsid w:val="005A145C"/>
    <w:rsid w:val="005A1EBE"/>
    <w:rsid w:val="005A2BA7"/>
    <w:rsid w:val="005A3C24"/>
    <w:rsid w:val="005A4293"/>
    <w:rsid w:val="005A435A"/>
    <w:rsid w:val="005A5254"/>
    <w:rsid w:val="005A5BF6"/>
    <w:rsid w:val="005A5EC1"/>
    <w:rsid w:val="005A65FD"/>
    <w:rsid w:val="005A66ED"/>
    <w:rsid w:val="005A7C83"/>
    <w:rsid w:val="005A7F52"/>
    <w:rsid w:val="005B044E"/>
    <w:rsid w:val="005B0478"/>
    <w:rsid w:val="005B04C4"/>
    <w:rsid w:val="005B04E4"/>
    <w:rsid w:val="005B0C80"/>
    <w:rsid w:val="005B1CE5"/>
    <w:rsid w:val="005B1D1D"/>
    <w:rsid w:val="005B1EB6"/>
    <w:rsid w:val="005B22E0"/>
    <w:rsid w:val="005B254C"/>
    <w:rsid w:val="005B2A5A"/>
    <w:rsid w:val="005B2DC2"/>
    <w:rsid w:val="005B3EB2"/>
    <w:rsid w:val="005B4119"/>
    <w:rsid w:val="005B49F5"/>
    <w:rsid w:val="005B5F2B"/>
    <w:rsid w:val="005B69D4"/>
    <w:rsid w:val="005B6B50"/>
    <w:rsid w:val="005B74A2"/>
    <w:rsid w:val="005B7512"/>
    <w:rsid w:val="005B777E"/>
    <w:rsid w:val="005B799D"/>
    <w:rsid w:val="005B7B5C"/>
    <w:rsid w:val="005B7BF5"/>
    <w:rsid w:val="005B7D5F"/>
    <w:rsid w:val="005C0283"/>
    <w:rsid w:val="005C10EE"/>
    <w:rsid w:val="005C112D"/>
    <w:rsid w:val="005C1B8E"/>
    <w:rsid w:val="005C231E"/>
    <w:rsid w:val="005C39B6"/>
    <w:rsid w:val="005C3AAA"/>
    <w:rsid w:val="005C4E9A"/>
    <w:rsid w:val="005C56EA"/>
    <w:rsid w:val="005C5A12"/>
    <w:rsid w:val="005C6A5D"/>
    <w:rsid w:val="005C75AA"/>
    <w:rsid w:val="005C7A32"/>
    <w:rsid w:val="005C7BEE"/>
    <w:rsid w:val="005C7F94"/>
    <w:rsid w:val="005D10BC"/>
    <w:rsid w:val="005D16DD"/>
    <w:rsid w:val="005D1EF2"/>
    <w:rsid w:val="005D2803"/>
    <w:rsid w:val="005D3CFB"/>
    <w:rsid w:val="005D3FF1"/>
    <w:rsid w:val="005D4301"/>
    <w:rsid w:val="005D4D22"/>
    <w:rsid w:val="005D4E83"/>
    <w:rsid w:val="005D645B"/>
    <w:rsid w:val="005D7F96"/>
    <w:rsid w:val="005E0623"/>
    <w:rsid w:val="005E0A9E"/>
    <w:rsid w:val="005E0ADA"/>
    <w:rsid w:val="005E1972"/>
    <w:rsid w:val="005E1FEF"/>
    <w:rsid w:val="005E26EB"/>
    <w:rsid w:val="005E2926"/>
    <w:rsid w:val="005E39B9"/>
    <w:rsid w:val="005E3AA5"/>
    <w:rsid w:val="005E417B"/>
    <w:rsid w:val="005E473E"/>
    <w:rsid w:val="005E47D1"/>
    <w:rsid w:val="005E4C10"/>
    <w:rsid w:val="005E569E"/>
    <w:rsid w:val="005E5889"/>
    <w:rsid w:val="005E5BD8"/>
    <w:rsid w:val="005E6C61"/>
    <w:rsid w:val="005E70AA"/>
    <w:rsid w:val="005E7640"/>
    <w:rsid w:val="005E7AA6"/>
    <w:rsid w:val="005E7C17"/>
    <w:rsid w:val="005E7EF6"/>
    <w:rsid w:val="005F0183"/>
    <w:rsid w:val="005F093B"/>
    <w:rsid w:val="005F09D0"/>
    <w:rsid w:val="005F0F5A"/>
    <w:rsid w:val="005F15A7"/>
    <w:rsid w:val="005F162F"/>
    <w:rsid w:val="005F1EE8"/>
    <w:rsid w:val="005F2708"/>
    <w:rsid w:val="005F2D44"/>
    <w:rsid w:val="005F3CC2"/>
    <w:rsid w:val="005F3DD3"/>
    <w:rsid w:val="005F4910"/>
    <w:rsid w:val="005F53F6"/>
    <w:rsid w:val="005F58B4"/>
    <w:rsid w:val="005F662B"/>
    <w:rsid w:val="005F66DE"/>
    <w:rsid w:val="005F670E"/>
    <w:rsid w:val="005F6748"/>
    <w:rsid w:val="005F7AA9"/>
    <w:rsid w:val="005F7F0E"/>
    <w:rsid w:val="006006E2"/>
    <w:rsid w:val="006010AF"/>
    <w:rsid w:val="006032E9"/>
    <w:rsid w:val="006034D6"/>
    <w:rsid w:val="0060395D"/>
    <w:rsid w:val="00603C4A"/>
    <w:rsid w:val="00604C91"/>
    <w:rsid w:val="00604E86"/>
    <w:rsid w:val="00605189"/>
    <w:rsid w:val="00605D5D"/>
    <w:rsid w:val="00605F06"/>
    <w:rsid w:val="006064A9"/>
    <w:rsid w:val="0060688B"/>
    <w:rsid w:val="006069DE"/>
    <w:rsid w:val="00606D65"/>
    <w:rsid w:val="00607739"/>
    <w:rsid w:val="00607DE0"/>
    <w:rsid w:val="00610063"/>
    <w:rsid w:val="0061178F"/>
    <w:rsid w:val="006120ED"/>
    <w:rsid w:val="006126D6"/>
    <w:rsid w:val="006132C2"/>
    <w:rsid w:val="0061355A"/>
    <w:rsid w:val="0061507A"/>
    <w:rsid w:val="00615380"/>
    <w:rsid w:val="006159CF"/>
    <w:rsid w:val="00616B92"/>
    <w:rsid w:val="00616D1E"/>
    <w:rsid w:val="00616F08"/>
    <w:rsid w:val="00616FDE"/>
    <w:rsid w:val="00617625"/>
    <w:rsid w:val="006177A2"/>
    <w:rsid w:val="0062087F"/>
    <w:rsid w:val="00620A9E"/>
    <w:rsid w:val="00622173"/>
    <w:rsid w:val="006225D6"/>
    <w:rsid w:val="006232EF"/>
    <w:rsid w:val="006236E7"/>
    <w:rsid w:val="0062399F"/>
    <w:rsid w:val="00623E17"/>
    <w:rsid w:val="00625110"/>
    <w:rsid w:val="00625324"/>
    <w:rsid w:val="006259CC"/>
    <w:rsid w:val="00625C73"/>
    <w:rsid w:val="00626934"/>
    <w:rsid w:val="0062794C"/>
    <w:rsid w:val="00627D14"/>
    <w:rsid w:val="006308CB"/>
    <w:rsid w:val="006311C6"/>
    <w:rsid w:val="00631649"/>
    <w:rsid w:val="0063185F"/>
    <w:rsid w:val="006323C6"/>
    <w:rsid w:val="0063252B"/>
    <w:rsid w:val="00632A3C"/>
    <w:rsid w:val="00634633"/>
    <w:rsid w:val="00634955"/>
    <w:rsid w:val="00634A21"/>
    <w:rsid w:val="00635838"/>
    <w:rsid w:val="006358E4"/>
    <w:rsid w:val="00636DEC"/>
    <w:rsid w:val="00636F44"/>
    <w:rsid w:val="00637499"/>
    <w:rsid w:val="00637EDC"/>
    <w:rsid w:val="006412B4"/>
    <w:rsid w:val="006424A3"/>
    <w:rsid w:val="00642525"/>
    <w:rsid w:val="00643277"/>
    <w:rsid w:val="00643454"/>
    <w:rsid w:val="00643FAE"/>
    <w:rsid w:val="00644456"/>
    <w:rsid w:val="00644520"/>
    <w:rsid w:val="00644540"/>
    <w:rsid w:val="00644BD1"/>
    <w:rsid w:val="006459ED"/>
    <w:rsid w:val="00645E96"/>
    <w:rsid w:val="00646236"/>
    <w:rsid w:val="006462D9"/>
    <w:rsid w:val="00646577"/>
    <w:rsid w:val="006465AF"/>
    <w:rsid w:val="006479BA"/>
    <w:rsid w:val="00650809"/>
    <w:rsid w:val="0065080A"/>
    <w:rsid w:val="006518EE"/>
    <w:rsid w:val="00651A4D"/>
    <w:rsid w:val="006520CE"/>
    <w:rsid w:val="006522B9"/>
    <w:rsid w:val="006525BD"/>
    <w:rsid w:val="006528F0"/>
    <w:rsid w:val="00652BFE"/>
    <w:rsid w:val="00652FBA"/>
    <w:rsid w:val="00654085"/>
    <w:rsid w:val="006547BB"/>
    <w:rsid w:val="00654EF0"/>
    <w:rsid w:val="006554E7"/>
    <w:rsid w:val="00655C22"/>
    <w:rsid w:val="00655F74"/>
    <w:rsid w:val="006568AE"/>
    <w:rsid w:val="00657167"/>
    <w:rsid w:val="0065724F"/>
    <w:rsid w:val="006574CB"/>
    <w:rsid w:val="00660131"/>
    <w:rsid w:val="00660A0B"/>
    <w:rsid w:val="00660B25"/>
    <w:rsid w:val="0066181B"/>
    <w:rsid w:val="00662242"/>
    <w:rsid w:val="00662B9A"/>
    <w:rsid w:val="00663361"/>
    <w:rsid w:val="00663918"/>
    <w:rsid w:val="00665013"/>
    <w:rsid w:val="006652B8"/>
    <w:rsid w:val="00665DE2"/>
    <w:rsid w:val="00666CB2"/>
    <w:rsid w:val="00666ED5"/>
    <w:rsid w:val="0066737E"/>
    <w:rsid w:val="00667454"/>
    <w:rsid w:val="00667524"/>
    <w:rsid w:val="00667653"/>
    <w:rsid w:val="00667CAB"/>
    <w:rsid w:val="00668687"/>
    <w:rsid w:val="006703BB"/>
    <w:rsid w:val="00670559"/>
    <w:rsid w:val="0067177E"/>
    <w:rsid w:val="00671ABB"/>
    <w:rsid w:val="00671AEF"/>
    <w:rsid w:val="006727E7"/>
    <w:rsid w:val="00672845"/>
    <w:rsid w:val="0067303C"/>
    <w:rsid w:val="00673608"/>
    <w:rsid w:val="00673878"/>
    <w:rsid w:val="00673DBF"/>
    <w:rsid w:val="0067622A"/>
    <w:rsid w:val="00676E4A"/>
    <w:rsid w:val="0067714D"/>
    <w:rsid w:val="006776F9"/>
    <w:rsid w:val="00680737"/>
    <w:rsid w:val="00681FBC"/>
    <w:rsid w:val="006828FA"/>
    <w:rsid w:val="00683BD5"/>
    <w:rsid w:val="00683DC6"/>
    <w:rsid w:val="006849EF"/>
    <w:rsid w:val="00684B68"/>
    <w:rsid w:val="00685CB1"/>
    <w:rsid w:val="00687276"/>
    <w:rsid w:val="00690244"/>
    <w:rsid w:val="006909EB"/>
    <w:rsid w:val="00690A30"/>
    <w:rsid w:val="00690A71"/>
    <w:rsid w:val="00690E20"/>
    <w:rsid w:val="00691298"/>
    <w:rsid w:val="006913C5"/>
    <w:rsid w:val="006918A0"/>
    <w:rsid w:val="00692206"/>
    <w:rsid w:val="00692563"/>
    <w:rsid w:val="00693F60"/>
    <w:rsid w:val="00693FA9"/>
    <w:rsid w:val="00694167"/>
    <w:rsid w:val="0069492B"/>
    <w:rsid w:val="00694B9C"/>
    <w:rsid w:val="00695080"/>
    <w:rsid w:val="006951A7"/>
    <w:rsid w:val="006977DE"/>
    <w:rsid w:val="00697BD1"/>
    <w:rsid w:val="00697CE1"/>
    <w:rsid w:val="006A0DC3"/>
    <w:rsid w:val="006A0F06"/>
    <w:rsid w:val="006A10B8"/>
    <w:rsid w:val="006A1A86"/>
    <w:rsid w:val="006A1E0A"/>
    <w:rsid w:val="006A232C"/>
    <w:rsid w:val="006A347F"/>
    <w:rsid w:val="006A3AF1"/>
    <w:rsid w:val="006A3D0B"/>
    <w:rsid w:val="006A3F8F"/>
    <w:rsid w:val="006A4318"/>
    <w:rsid w:val="006A4BF8"/>
    <w:rsid w:val="006A4CF5"/>
    <w:rsid w:val="006A55E3"/>
    <w:rsid w:val="006A5839"/>
    <w:rsid w:val="006A58CB"/>
    <w:rsid w:val="006A5E0D"/>
    <w:rsid w:val="006A66A8"/>
    <w:rsid w:val="006A66C6"/>
    <w:rsid w:val="006A6C2F"/>
    <w:rsid w:val="006A6CFF"/>
    <w:rsid w:val="006A7116"/>
    <w:rsid w:val="006A7852"/>
    <w:rsid w:val="006A796F"/>
    <w:rsid w:val="006A797F"/>
    <w:rsid w:val="006B042C"/>
    <w:rsid w:val="006B0CC7"/>
    <w:rsid w:val="006B182B"/>
    <w:rsid w:val="006B2588"/>
    <w:rsid w:val="006B2FD9"/>
    <w:rsid w:val="006B31EC"/>
    <w:rsid w:val="006B3776"/>
    <w:rsid w:val="006B3A6D"/>
    <w:rsid w:val="006B45FE"/>
    <w:rsid w:val="006B4AD4"/>
    <w:rsid w:val="006B54D3"/>
    <w:rsid w:val="006B5890"/>
    <w:rsid w:val="006B5A0A"/>
    <w:rsid w:val="006B67FA"/>
    <w:rsid w:val="006B68D2"/>
    <w:rsid w:val="006B7BBE"/>
    <w:rsid w:val="006C0536"/>
    <w:rsid w:val="006C154F"/>
    <w:rsid w:val="006C29B8"/>
    <w:rsid w:val="006C2F5F"/>
    <w:rsid w:val="006C30A1"/>
    <w:rsid w:val="006C408C"/>
    <w:rsid w:val="006C44AB"/>
    <w:rsid w:val="006C4E08"/>
    <w:rsid w:val="006C55BE"/>
    <w:rsid w:val="006C6408"/>
    <w:rsid w:val="006C6DC3"/>
    <w:rsid w:val="006C6FCE"/>
    <w:rsid w:val="006C732D"/>
    <w:rsid w:val="006D1052"/>
    <w:rsid w:val="006D106C"/>
    <w:rsid w:val="006D155A"/>
    <w:rsid w:val="006D1607"/>
    <w:rsid w:val="006D16B1"/>
    <w:rsid w:val="006D1C2A"/>
    <w:rsid w:val="006D29EF"/>
    <w:rsid w:val="006D315D"/>
    <w:rsid w:val="006D5DE8"/>
    <w:rsid w:val="006D73F9"/>
    <w:rsid w:val="006D750A"/>
    <w:rsid w:val="006D7E59"/>
    <w:rsid w:val="006E062B"/>
    <w:rsid w:val="006E0AAB"/>
    <w:rsid w:val="006E0D50"/>
    <w:rsid w:val="006E1E8E"/>
    <w:rsid w:val="006E3E2B"/>
    <w:rsid w:val="006E5243"/>
    <w:rsid w:val="006E553B"/>
    <w:rsid w:val="006E5937"/>
    <w:rsid w:val="006E62D6"/>
    <w:rsid w:val="006E6529"/>
    <w:rsid w:val="006E6DDA"/>
    <w:rsid w:val="006E7CBA"/>
    <w:rsid w:val="006F00A3"/>
    <w:rsid w:val="006F0B00"/>
    <w:rsid w:val="006F0C69"/>
    <w:rsid w:val="006F0D0D"/>
    <w:rsid w:val="006F157E"/>
    <w:rsid w:val="006F19DF"/>
    <w:rsid w:val="006F20F7"/>
    <w:rsid w:val="006F215C"/>
    <w:rsid w:val="006F2D46"/>
    <w:rsid w:val="006F2F03"/>
    <w:rsid w:val="006F35A1"/>
    <w:rsid w:val="006F42E6"/>
    <w:rsid w:val="006F4DAA"/>
    <w:rsid w:val="006F5450"/>
    <w:rsid w:val="006F58DC"/>
    <w:rsid w:val="006F5C2E"/>
    <w:rsid w:val="006F5C97"/>
    <w:rsid w:val="007004D1"/>
    <w:rsid w:val="00700BE7"/>
    <w:rsid w:val="00701231"/>
    <w:rsid w:val="00702145"/>
    <w:rsid w:val="0070244F"/>
    <w:rsid w:val="007028D5"/>
    <w:rsid w:val="00704436"/>
    <w:rsid w:val="007046D7"/>
    <w:rsid w:val="00704858"/>
    <w:rsid w:val="0070587E"/>
    <w:rsid w:val="00706A46"/>
    <w:rsid w:val="0070703D"/>
    <w:rsid w:val="00707631"/>
    <w:rsid w:val="00707640"/>
    <w:rsid w:val="00707DE4"/>
    <w:rsid w:val="007102BB"/>
    <w:rsid w:val="00710BAA"/>
    <w:rsid w:val="00710E9B"/>
    <w:rsid w:val="00712183"/>
    <w:rsid w:val="0071260E"/>
    <w:rsid w:val="00712635"/>
    <w:rsid w:val="0071285F"/>
    <w:rsid w:val="0071291A"/>
    <w:rsid w:val="00712A05"/>
    <w:rsid w:val="00712F67"/>
    <w:rsid w:val="00713974"/>
    <w:rsid w:val="00714CF8"/>
    <w:rsid w:val="00715B43"/>
    <w:rsid w:val="00715EEC"/>
    <w:rsid w:val="00716279"/>
    <w:rsid w:val="007162E9"/>
    <w:rsid w:val="00716F10"/>
    <w:rsid w:val="0071741D"/>
    <w:rsid w:val="007177C7"/>
    <w:rsid w:val="00720111"/>
    <w:rsid w:val="007209E4"/>
    <w:rsid w:val="00720A93"/>
    <w:rsid w:val="007211F2"/>
    <w:rsid w:val="00721DFD"/>
    <w:rsid w:val="00721E97"/>
    <w:rsid w:val="0072213C"/>
    <w:rsid w:val="00722440"/>
    <w:rsid w:val="00723390"/>
    <w:rsid w:val="0072404F"/>
    <w:rsid w:val="007244B8"/>
    <w:rsid w:val="00724C09"/>
    <w:rsid w:val="00724EC7"/>
    <w:rsid w:val="007254C1"/>
    <w:rsid w:val="00727E85"/>
    <w:rsid w:val="00730A75"/>
    <w:rsid w:val="00731C7E"/>
    <w:rsid w:val="00731F69"/>
    <w:rsid w:val="00731FB2"/>
    <w:rsid w:val="007325AB"/>
    <w:rsid w:val="00733123"/>
    <w:rsid w:val="00733DC8"/>
    <w:rsid w:val="00734749"/>
    <w:rsid w:val="007347BB"/>
    <w:rsid w:val="00734B7E"/>
    <w:rsid w:val="00734E08"/>
    <w:rsid w:val="00734FED"/>
    <w:rsid w:val="00735566"/>
    <w:rsid w:val="00735A70"/>
    <w:rsid w:val="00735E31"/>
    <w:rsid w:val="00736035"/>
    <w:rsid w:val="00736976"/>
    <w:rsid w:val="00736BA7"/>
    <w:rsid w:val="00740BAE"/>
    <w:rsid w:val="00740C8A"/>
    <w:rsid w:val="00740D77"/>
    <w:rsid w:val="00740D82"/>
    <w:rsid w:val="00742064"/>
    <w:rsid w:val="0074207A"/>
    <w:rsid w:val="00742189"/>
    <w:rsid w:val="0074246F"/>
    <w:rsid w:val="0074480B"/>
    <w:rsid w:val="0074498F"/>
    <w:rsid w:val="00744EA4"/>
    <w:rsid w:val="0074531B"/>
    <w:rsid w:val="00745CAF"/>
    <w:rsid w:val="00745E00"/>
    <w:rsid w:val="00745F8C"/>
    <w:rsid w:val="00746F5E"/>
    <w:rsid w:val="00746FCD"/>
    <w:rsid w:val="00750A59"/>
    <w:rsid w:val="00750B08"/>
    <w:rsid w:val="00750F4B"/>
    <w:rsid w:val="00751299"/>
    <w:rsid w:val="00751EFA"/>
    <w:rsid w:val="00752AC7"/>
    <w:rsid w:val="00752B1D"/>
    <w:rsid w:val="00752F33"/>
    <w:rsid w:val="007532D3"/>
    <w:rsid w:val="007544A6"/>
    <w:rsid w:val="007546A6"/>
    <w:rsid w:val="00754A85"/>
    <w:rsid w:val="00757249"/>
    <w:rsid w:val="00757A52"/>
    <w:rsid w:val="007603CA"/>
    <w:rsid w:val="00760FF6"/>
    <w:rsid w:val="00761286"/>
    <w:rsid w:val="007612CD"/>
    <w:rsid w:val="007618A8"/>
    <w:rsid w:val="00762884"/>
    <w:rsid w:val="00762D7B"/>
    <w:rsid w:val="00763261"/>
    <w:rsid w:val="007633F9"/>
    <w:rsid w:val="00763546"/>
    <w:rsid w:val="00763CB8"/>
    <w:rsid w:val="0076408D"/>
    <w:rsid w:val="00765847"/>
    <w:rsid w:val="00765DBA"/>
    <w:rsid w:val="00765F01"/>
    <w:rsid w:val="00766D7B"/>
    <w:rsid w:val="00766D9B"/>
    <w:rsid w:val="00766F12"/>
    <w:rsid w:val="00767C39"/>
    <w:rsid w:val="00771167"/>
    <w:rsid w:val="007711FD"/>
    <w:rsid w:val="00771C9C"/>
    <w:rsid w:val="00771E52"/>
    <w:rsid w:val="0077257D"/>
    <w:rsid w:val="00772D0F"/>
    <w:rsid w:val="00773331"/>
    <w:rsid w:val="0077368F"/>
    <w:rsid w:val="00773C71"/>
    <w:rsid w:val="00774614"/>
    <w:rsid w:val="00774E49"/>
    <w:rsid w:val="00774EB2"/>
    <w:rsid w:val="007753DE"/>
    <w:rsid w:val="00780CCD"/>
    <w:rsid w:val="00781285"/>
    <w:rsid w:val="00781B5E"/>
    <w:rsid w:val="00781EA0"/>
    <w:rsid w:val="00782651"/>
    <w:rsid w:val="00782B01"/>
    <w:rsid w:val="00782B8F"/>
    <w:rsid w:val="007833AA"/>
    <w:rsid w:val="00783CAA"/>
    <w:rsid w:val="00783F86"/>
    <w:rsid w:val="007866DC"/>
    <w:rsid w:val="007866E0"/>
    <w:rsid w:val="007867AE"/>
    <w:rsid w:val="007876EE"/>
    <w:rsid w:val="007877C7"/>
    <w:rsid w:val="007878C5"/>
    <w:rsid w:val="0079028E"/>
    <w:rsid w:val="00790D92"/>
    <w:rsid w:val="00790E8A"/>
    <w:rsid w:val="00791723"/>
    <w:rsid w:val="00792D5D"/>
    <w:rsid w:val="00793180"/>
    <w:rsid w:val="007932EF"/>
    <w:rsid w:val="0079403F"/>
    <w:rsid w:val="0079473C"/>
    <w:rsid w:val="00794BA0"/>
    <w:rsid w:val="00795A36"/>
    <w:rsid w:val="00795E50"/>
    <w:rsid w:val="00797181"/>
    <w:rsid w:val="00797DC2"/>
    <w:rsid w:val="007A0234"/>
    <w:rsid w:val="007A0F3A"/>
    <w:rsid w:val="007A10B9"/>
    <w:rsid w:val="007A28F2"/>
    <w:rsid w:val="007A2ADF"/>
    <w:rsid w:val="007A2CCF"/>
    <w:rsid w:val="007A2E57"/>
    <w:rsid w:val="007A3108"/>
    <w:rsid w:val="007A3752"/>
    <w:rsid w:val="007A3D3A"/>
    <w:rsid w:val="007A55DA"/>
    <w:rsid w:val="007A5886"/>
    <w:rsid w:val="007A5DAC"/>
    <w:rsid w:val="007A5FA5"/>
    <w:rsid w:val="007B0A93"/>
    <w:rsid w:val="007B202E"/>
    <w:rsid w:val="007B2FB9"/>
    <w:rsid w:val="007B41E1"/>
    <w:rsid w:val="007B4421"/>
    <w:rsid w:val="007B4B02"/>
    <w:rsid w:val="007B57E3"/>
    <w:rsid w:val="007B5E95"/>
    <w:rsid w:val="007B72FE"/>
    <w:rsid w:val="007C0430"/>
    <w:rsid w:val="007C085B"/>
    <w:rsid w:val="007C09CD"/>
    <w:rsid w:val="007C214A"/>
    <w:rsid w:val="007C306A"/>
    <w:rsid w:val="007C3096"/>
    <w:rsid w:val="007C4EB9"/>
    <w:rsid w:val="007C6498"/>
    <w:rsid w:val="007C776B"/>
    <w:rsid w:val="007D071B"/>
    <w:rsid w:val="007D0A0D"/>
    <w:rsid w:val="007D0E00"/>
    <w:rsid w:val="007D13BD"/>
    <w:rsid w:val="007D17F2"/>
    <w:rsid w:val="007D279F"/>
    <w:rsid w:val="007D303A"/>
    <w:rsid w:val="007D36B1"/>
    <w:rsid w:val="007D3918"/>
    <w:rsid w:val="007D3EBD"/>
    <w:rsid w:val="007D4864"/>
    <w:rsid w:val="007D4910"/>
    <w:rsid w:val="007D5355"/>
    <w:rsid w:val="007D5668"/>
    <w:rsid w:val="007D5776"/>
    <w:rsid w:val="007D59A0"/>
    <w:rsid w:val="007D61E3"/>
    <w:rsid w:val="007D658E"/>
    <w:rsid w:val="007D6F5B"/>
    <w:rsid w:val="007D78E1"/>
    <w:rsid w:val="007D794C"/>
    <w:rsid w:val="007D7D7C"/>
    <w:rsid w:val="007D7FBD"/>
    <w:rsid w:val="007E05B0"/>
    <w:rsid w:val="007E065C"/>
    <w:rsid w:val="007E0765"/>
    <w:rsid w:val="007E1BB2"/>
    <w:rsid w:val="007E1BD2"/>
    <w:rsid w:val="007E29D7"/>
    <w:rsid w:val="007E2FD5"/>
    <w:rsid w:val="007E325E"/>
    <w:rsid w:val="007E57F8"/>
    <w:rsid w:val="007E5AEF"/>
    <w:rsid w:val="007E66B7"/>
    <w:rsid w:val="007E6897"/>
    <w:rsid w:val="007E6F34"/>
    <w:rsid w:val="007E7A11"/>
    <w:rsid w:val="007E7C84"/>
    <w:rsid w:val="007E7CE4"/>
    <w:rsid w:val="007F059A"/>
    <w:rsid w:val="007F121F"/>
    <w:rsid w:val="007F17A9"/>
    <w:rsid w:val="007F2169"/>
    <w:rsid w:val="007F4374"/>
    <w:rsid w:val="007F44B4"/>
    <w:rsid w:val="007F481C"/>
    <w:rsid w:val="007F4871"/>
    <w:rsid w:val="007F51E3"/>
    <w:rsid w:val="007F5A34"/>
    <w:rsid w:val="007F5F90"/>
    <w:rsid w:val="007F77C1"/>
    <w:rsid w:val="007F7D8D"/>
    <w:rsid w:val="00800DF7"/>
    <w:rsid w:val="008010FF"/>
    <w:rsid w:val="00802195"/>
    <w:rsid w:val="00802B03"/>
    <w:rsid w:val="008048D4"/>
    <w:rsid w:val="00804CA3"/>
    <w:rsid w:val="00805F9E"/>
    <w:rsid w:val="0080647F"/>
    <w:rsid w:val="0080771B"/>
    <w:rsid w:val="00807B14"/>
    <w:rsid w:val="00807FEF"/>
    <w:rsid w:val="00811980"/>
    <w:rsid w:val="0081230D"/>
    <w:rsid w:val="008124DB"/>
    <w:rsid w:val="008124FE"/>
    <w:rsid w:val="00812ED5"/>
    <w:rsid w:val="0081325A"/>
    <w:rsid w:val="0081344C"/>
    <w:rsid w:val="00813AC8"/>
    <w:rsid w:val="0081430C"/>
    <w:rsid w:val="0081445F"/>
    <w:rsid w:val="008150D9"/>
    <w:rsid w:val="008151AD"/>
    <w:rsid w:val="0081527E"/>
    <w:rsid w:val="0081536F"/>
    <w:rsid w:val="00815B26"/>
    <w:rsid w:val="00815C6D"/>
    <w:rsid w:val="0081686D"/>
    <w:rsid w:val="00817548"/>
    <w:rsid w:val="008177D5"/>
    <w:rsid w:val="00817B0C"/>
    <w:rsid w:val="008204AD"/>
    <w:rsid w:val="0082050C"/>
    <w:rsid w:val="008226D1"/>
    <w:rsid w:val="00822F8F"/>
    <w:rsid w:val="00823484"/>
    <w:rsid w:val="00823896"/>
    <w:rsid w:val="00823A2B"/>
    <w:rsid w:val="00824032"/>
    <w:rsid w:val="0082466B"/>
    <w:rsid w:val="008249A9"/>
    <w:rsid w:val="00824D50"/>
    <w:rsid w:val="00824F1C"/>
    <w:rsid w:val="008252C2"/>
    <w:rsid w:val="00825A1B"/>
    <w:rsid w:val="00826C33"/>
    <w:rsid w:val="00826CE9"/>
    <w:rsid w:val="00826E67"/>
    <w:rsid w:val="00826F77"/>
    <w:rsid w:val="00830332"/>
    <w:rsid w:val="00830784"/>
    <w:rsid w:val="00830C78"/>
    <w:rsid w:val="008319F9"/>
    <w:rsid w:val="00832920"/>
    <w:rsid w:val="00833D80"/>
    <w:rsid w:val="00834874"/>
    <w:rsid w:val="0083526B"/>
    <w:rsid w:val="00835296"/>
    <w:rsid w:val="00835BC0"/>
    <w:rsid w:val="00835F82"/>
    <w:rsid w:val="00835FD6"/>
    <w:rsid w:val="0083679C"/>
    <w:rsid w:val="0083706C"/>
    <w:rsid w:val="00840ACB"/>
    <w:rsid w:val="008413F4"/>
    <w:rsid w:val="0084173F"/>
    <w:rsid w:val="008420E5"/>
    <w:rsid w:val="00844B60"/>
    <w:rsid w:val="00845186"/>
    <w:rsid w:val="00845666"/>
    <w:rsid w:val="00846095"/>
    <w:rsid w:val="0084610B"/>
    <w:rsid w:val="00846170"/>
    <w:rsid w:val="008462E9"/>
    <w:rsid w:val="00846783"/>
    <w:rsid w:val="008469C6"/>
    <w:rsid w:val="00847235"/>
    <w:rsid w:val="008474AA"/>
    <w:rsid w:val="008477BA"/>
    <w:rsid w:val="008501DC"/>
    <w:rsid w:val="00850276"/>
    <w:rsid w:val="00851227"/>
    <w:rsid w:val="00851388"/>
    <w:rsid w:val="00851819"/>
    <w:rsid w:val="00854142"/>
    <w:rsid w:val="00854600"/>
    <w:rsid w:val="00854BD1"/>
    <w:rsid w:val="00854D3D"/>
    <w:rsid w:val="0085557F"/>
    <w:rsid w:val="00856026"/>
    <w:rsid w:val="0085627F"/>
    <w:rsid w:val="00856A30"/>
    <w:rsid w:val="0085725E"/>
    <w:rsid w:val="008575A5"/>
    <w:rsid w:val="008577B1"/>
    <w:rsid w:val="008578ED"/>
    <w:rsid w:val="008579EC"/>
    <w:rsid w:val="008607C9"/>
    <w:rsid w:val="00860D00"/>
    <w:rsid w:val="00860E42"/>
    <w:rsid w:val="00861373"/>
    <w:rsid w:val="00861CB5"/>
    <w:rsid w:val="0086214D"/>
    <w:rsid w:val="00862207"/>
    <w:rsid w:val="00862494"/>
    <w:rsid w:val="00862D55"/>
    <w:rsid w:val="00863711"/>
    <w:rsid w:val="0086395A"/>
    <w:rsid w:val="00863A70"/>
    <w:rsid w:val="00864BDA"/>
    <w:rsid w:val="00865581"/>
    <w:rsid w:val="00865CDB"/>
    <w:rsid w:val="00865CE8"/>
    <w:rsid w:val="00867113"/>
    <w:rsid w:val="008672BB"/>
    <w:rsid w:val="00867312"/>
    <w:rsid w:val="00867909"/>
    <w:rsid w:val="00867E33"/>
    <w:rsid w:val="00870752"/>
    <w:rsid w:val="008710F7"/>
    <w:rsid w:val="00871300"/>
    <w:rsid w:val="00871AA8"/>
    <w:rsid w:val="00871B38"/>
    <w:rsid w:val="00872A70"/>
    <w:rsid w:val="0087337F"/>
    <w:rsid w:val="0087359B"/>
    <w:rsid w:val="008740AA"/>
    <w:rsid w:val="0087445A"/>
    <w:rsid w:val="0087470E"/>
    <w:rsid w:val="00874D22"/>
    <w:rsid w:val="00874EF6"/>
    <w:rsid w:val="0087524B"/>
    <w:rsid w:val="008754C4"/>
    <w:rsid w:val="00875920"/>
    <w:rsid w:val="00875BDE"/>
    <w:rsid w:val="00875C45"/>
    <w:rsid w:val="00875F7C"/>
    <w:rsid w:val="008766AA"/>
    <w:rsid w:val="0087757C"/>
    <w:rsid w:val="00881200"/>
    <w:rsid w:val="00881793"/>
    <w:rsid w:val="00882136"/>
    <w:rsid w:val="00882A4A"/>
    <w:rsid w:val="00882D35"/>
    <w:rsid w:val="00883002"/>
    <w:rsid w:val="00884FB8"/>
    <w:rsid w:val="00885907"/>
    <w:rsid w:val="00885C3B"/>
    <w:rsid w:val="00885E48"/>
    <w:rsid w:val="008861D4"/>
    <w:rsid w:val="008862FE"/>
    <w:rsid w:val="00886472"/>
    <w:rsid w:val="008864CE"/>
    <w:rsid w:val="00886814"/>
    <w:rsid w:val="00886F76"/>
    <w:rsid w:val="0088734D"/>
    <w:rsid w:val="0089020B"/>
    <w:rsid w:val="00891819"/>
    <w:rsid w:val="00891F77"/>
    <w:rsid w:val="0089205B"/>
    <w:rsid w:val="0089322E"/>
    <w:rsid w:val="0089343B"/>
    <w:rsid w:val="00893B1E"/>
    <w:rsid w:val="00893BEB"/>
    <w:rsid w:val="00894B7A"/>
    <w:rsid w:val="008950B7"/>
    <w:rsid w:val="00895AAC"/>
    <w:rsid w:val="00896453"/>
    <w:rsid w:val="0089691F"/>
    <w:rsid w:val="00896A52"/>
    <w:rsid w:val="00896B16"/>
    <w:rsid w:val="00897A55"/>
    <w:rsid w:val="00897C2B"/>
    <w:rsid w:val="008A100D"/>
    <w:rsid w:val="008A1C70"/>
    <w:rsid w:val="008A2914"/>
    <w:rsid w:val="008A2B12"/>
    <w:rsid w:val="008A3D47"/>
    <w:rsid w:val="008A4FAA"/>
    <w:rsid w:val="008A5091"/>
    <w:rsid w:val="008A5257"/>
    <w:rsid w:val="008A52F5"/>
    <w:rsid w:val="008A631E"/>
    <w:rsid w:val="008A685D"/>
    <w:rsid w:val="008A6E61"/>
    <w:rsid w:val="008A7800"/>
    <w:rsid w:val="008B01BD"/>
    <w:rsid w:val="008B0CDA"/>
    <w:rsid w:val="008B174E"/>
    <w:rsid w:val="008B1E42"/>
    <w:rsid w:val="008B25E1"/>
    <w:rsid w:val="008B2B25"/>
    <w:rsid w:val="008B30F9"/>
    <w:rsid w:val="008B383B"/>
    <w:rsid w:val="008B431F"/>
    <w:rsid w:val="008B508B"/>
    <w:rsid w:val="008B53DC"/>
    <w:rsid w:val="008B5F58"/>
    <w:rsid w:val="008B70E0"/>
    <w:rsid w:val="008B725D"/>
    <w:rsid w:val="008B765A"/>
    <w:rsid w:val="008B7840"/>
    <w:rsid w:val="008B7C32"/>
    <w:rsid w:val="008C03F5"/>
    <w:rsid w:val="008C0B18"/>
    <w:rsid w:val="008C1898"/>
    <w:rsid w:val="008C235A"/>
    <w:rsid w:val="008C2438"/>
    <w:rsid w:val="008C246A"/>
    <w:rsid w:val="008C28D1"/>
    <w:rsid w:val="008C3269"/>
    <w:rsid w:val="008C4B6B"/>
    <w:rsid w:val="008C4E45"/>
    <w:rsid w:val="008C4F04"/>
    <w:rsid w:val="008C5010"/>
    <w:rsid w:val="008C539A"/>
    <w:rsid w:val="008C5928"/>
    <w:rsid w:val="008C5B7F"/>
    <w:rsid w:val="008C65C5"/>
    <w:rsid w:val="008C690B"/>
    <w:rsid w:val="008C7D30"/>
    <w:rsid w:val="008C7D82"/>
    <w:rsid w:val="008D0073"/>
    <w:rsid w:val="008D02B3"/>
    <w:rsid w:val="008D0B08"/>
    <w:rsid w:val="008D10E7"/>
    <w:rsid w:val="008D14AE"/>
    <w:rsid w:val="008D1714"/>
    <w:rsid w:val="008D306A"/>
    <w:rsid w:val="008D4312"/>
    <w:rsid w:val="008D5F51"/>
    <w:rsid w:val="008D643D"/>
    <w:rsid w:val="008D6B5E"/>
    <w:rsid w:val="008D6F99"/>
    <w:rsid w:val="008D711D"/>
    <w:rsid w:val="008D784C"/>
    <w:rsid w:val="008E04C2"/>
    <w:rsid w:val="008E0AD1"/>
    <w:rsid w:val="008E1BC0"/>
    <w:rsid w:val="008E1F4D"/>
    <w:rsid w:val="008E28A2"/>
    <w:rsid w:val="008E3027"/>
    <w:rsid w:val="008E38A0"/>
    <w:rsid w:val="008E39E2"/>
    <w:rsid w:val="008E407C"/>
    <w:rsid w:val="008E4155"/>
    <w:rsid w:val="008E49A6"/>
    <w:rsid w:val="008E4D8E"/>
    <w:rsid w:val="008E4E69"/>
    <w:rsid w:val="008E56AC"/>
    <w:rsid w:val="008E56F2"/>
    <w:rsid w:val="008E6C54"/>
    <w:rsid w:val="008E72A4"/>
    <w:rsid w:val="008E734B"/>
    <w:rsid w:val="008E7A6B"/>
    <w:rsid w:val="008E7C11"/>
    <w:rsid w:val="008F0B07"/>
    <w:rsid w:val="008F0D09"/>
    <w:rsid w:val="008F11DA"/>
    <w:rsid w:val="008F11EF"/>
    <w:rsid w:val="008F16A2"/>
    <w:rsid w:val="008F1FF6"/>
    <w:rsid w:val="008F2375"/>
    <w:rsid w:val="008F2C21"/>
    <w:rsid w:val="008F2CFC"/>
    <w:rsid w:val="008F3348"/>
    <w:rsid w:val="008F355B"/>
    <w:rsid w:val="008F48AE"/>
    <w:rsid w:val="008F558C"/>
    <w:rsid w:val="008F568D"/>
    <w:rsid w:val="008F5C14"/>
    <w:rsid w:val="008F6902"/>
    <w:rsid w:val="008F6932"/>
    <w:rsid w:val="008F69EC"/>
    <w:rsid w:val="008F6B93"/>
    <w:rsid w:val="008F75ED"/>
    <w:rsid w:val="008F7600"/>
    <w:rsid w:val="009002EC"/>
    <w:rsid w:val="009005C0"/>
    <w:rsid w:val="00900D0A"/>
    <w:rsid w:val="00900E81"/>
    <w:rsid w:val="00901F05"/>
    <w:rsid w:val="00903887"/>
    <w:rsid w:val="00903CE3"/>
    <w:rsid w:val="009043AC"/>
    <w:rsid w:val="00904426"/>
    <w:rsid w:val="009054A0"/>
    <w:rsid w:val="009067E5"/>
    <w:rsid w:val="009070A5"/>
    <w:rsid w:val="0090736E"/>
    <w:rsid w:val="009075FB"/>
    <w:rsid w:val="00907829"/>
    <w:rsid w:val="009105DF"/>
    <w:rsid w:val="009115B4"/>
    <w:rsid w:val="0091190E"/>
    <w:rsid w:val="00912C46"/>
    <w:rsid w:val="0091329F"/>
    <w:rsid w:val="009135A5"/>
    <w:rsid w:val="009136DD"/>
    <w:rsid w:val="009136F0"/>
    <w:rsid w:val="00913BDB"/>
    <w:rsid w:val="00914482"/>
    <w:rsid w:val="0091455B"/>
    <w:rsid w:val="00914B7B"/>
    <w:rsid w:val="009163F2"/>
    <w:rsid w:val="00916881"/>
    <w:rsid w:val="00916950"/>
    <w:rsid w:val="00916AFB"/>
    <w:rsid w:val="00916DB0"/>
    <w:rsid w:val="0091758E"/>
    <w:rsid w:val="0092036A"/>
    <w:rsid w:val="00920554"/>
    <w:rsid w:val="0092102B"/>
    <w:rsid w:val="00921412"/>
    <w:rsid w:val="009214A9"/>
    <w:rsid w:val="0092177A"/>
    <w:rsid w:val="00922D5B"/>
    <w:rsid w:val="00923A42"/>
    <w:rsid w:val="00923AF0"/>
    <w:rsid w:val="00923D02"/>
    <w:rsid w:val="00923FC7"/>
    <w:rsid w:val="00924ED9"/>
    <w:rsid w:val="0092529C"/>
    <w:rsid w:val="00925E92"/>
    <w:rsid w:val="009265E2"/>
    <w:rsid w:val="00927223"/>
    <w:rsid w:val="00927A8D"/>
    <w:rsid w:val="00927DC6"/>
    <w:rsid w:val="00930497"/>
    <w:rsid w:val="00930723"/>
    <w:rsid w:val="00930848"/>
    <w:rsid w:val="00931582"/>
    <w:rsid w:val="00931BE3"/>
    <w:rsid w:val="00932813"/>
    <w:rsid w:val="00932A1F"/>
    <w:rsid w:val="00932FC0"/>
    <w:rsid w:val="00933432"/>
    <w:rsid w:val="00933519"/>
    <w:rsid w:val="00933F08"/>
    <w:rsid w:val="00934001"/>
    <w:rsid w:val="00934B44"/>
    <w:rsid w:val="00934E15"/>
    <w:rsid w:val="00936726"/>
    <w:rsid w:val="00936EBC"/>
    <w:rsid w:val="00937F32"/>
    <w:rsid w:val="0093F51E"/>
    <w:rsid w:val="00940064"/>
    <w:rsid w:val="009400A6"/>
    <w:rsid w:val="009402D1"/>
    <w:rsid w:val="009407EC"/>
    <w:rsid w:val="00940C6F"/>
    <w:rsid w:val="0094193A"/>
    <w:rsid w:val="009419B8"/>
    <w:rsid w:val="00942ACA"/>
    <w:rsid w:val="00943113"/>
    <w:rsid w:val="009433DF"/>
    <w:rsid w:val="00943513"/>
    <w:rsid w:val="00943975"/>
    <w:rsid w:val="00943E1D"/>
    <w:rsid w:val="00943F03"/>
    <w:rsid w:val="0094458B"/>
    <w:rsid w:val="009448A4"/>
    <w:rsid w:val="00945A42"/>
    <w:rsid w:val="00945E24"/>
    <w:rsid w:val="009469E8"/>
    <w:rsid w:val="009469FB"/>
    <w:rsid w:val="00946AF2"/>
    <w:rsid w:val="00946E27"/>
    <w:rsid w:val="0095025D"/>
    <w:rsid w:val="00950DF3"/>
    <w:rsid w:val="00953378"/>
    <w:rsid w:val="00953713"/>
    <w:rsid w:val="0095464C"/>
    <w:rsid w:val="00954ADA"/>
    <w:rsid w:val="00955776"/>
    <w:rsid w:val="00955EC2"/>
    <w:rsid w:val="00956EEE"/>
    <w:rsid w:val="00957A9F"/>
    <w:rsid w:val="00960939"/>
    <w:rsid w:val="00960D50"/>
    <w:rsid w:val="00961810"/>
    <w:rsid w:val="00961FCC"/>
    <w:rsid w:val="00962C8C"/>
    <w:rsid w:val="00962DA3"/>
    <w:rsid w:val="00962FA6"/>
    <w:rsid w:val="00963370"/>
    <w:rsid w:val="00963583"/>
    <w:rsid w:val="00963BDD"/>
    <w:rsid w:val="00964640"/>
    <w:rsid w:val="009648A9"/>
    <w:rsid w:val="00967019"/>
    <w:rsid w:val="00967CD2"/>
    <w:rsid w:val="00970927"/>
    <w:rsid w:val="0097109C"/>
    <w:rsid w:val="00971266"/>
    <w:rsid w:val="009715BD"/>
    <w:rsid w:val="00972424"/>
    <w:rsid w:val="00972554"/>
    <w:rsid w:val="009731DC"/>
    <w:rsid w:val="0097354D"/>
    <w:rsid w:val="00973580"/>
    <w:rsid w:val="00973DA7"/>
    <w:rsid w:val="009743C7"/>
    <w:rsid w:val="0097445D"/>
    <w:rsid w:val="0097476B"/>
    <w:rsid w:val="00974BE9"/>
    <w:rsid w:val="00975178"/>
    <w:rsid w:val="0097540F"/>
    <w:rsid w:val="00975814"/>
    <w:rsid w:val="00975CB0"/>
    <w:rsid w:val="009769CA"/>
    <w:rsid w:val="00976A52"/>
    <w:rsid w:val="00976CEF"/>
    <w:rsid w:val="00977094"/>
    <w:rsid w:val="0097720F"/>
    <w:rsid w:val="00977767"/>
    <w:rsid w:val="00977CF6"/>
    <w:rsid w:val="00981818"/>
    <w:rsid w:val="00981A98"/>
    <w:rsid w:val="009821BB"/>
    <w:rsid w:val="00982764"/>
    <w:rsid w:val="00982825"/>
    <w:rsid w:val="00983467"/>
    <w:rsid w:val="00983EAD"/>
    <w:rsid w:val="009843EA"/>
    <w:rsid w:val="00984B28"/>
    <w:rsid w:val="009852A2"/>
    <w:rsid w:val="0098551C"/>
    <w:rsid w:val="009861EC"/>
    <w:rsid w:val="0098655E"/>
    <w:rsid w:val="00987321"/>
    <w:rsid w:val="0098755D"/>
    <w:rsid w:val="00987AFA"/>
    <w:rsid w:val="009901A2"/>
    <w:rsid w:val="00990E21"/>
    <w:rsid w:val="00990F6D"/>
    <w:rsid w:val="00990FE8"/>
    <w:rsid w:val="00991E29"/>
    <w:rsid w:val="00992A5E"/>
    <w:rsid w:val="00992D8A"/>
    <w:rsid w:val="0099305B"/>
    <w:rsid w:val="00993173"/>
    <w:rsid w:val="009931F7"/>
    <w:rsid w:val="00994676"/>
    <w:rsid w:val="00994A3A"/>
    <w:rsid w:val="00995DA7"/>
    <w:rsid w:val="00995F19"/>
    <w:rsid w:val="00997475"/>
    <w:rsid w:val="00997AB3"/>
    <w:rsid w:val="009A0126"/>
    <w:rsid w:val="009A0D24"/>
    <w:rsid w:val="009A13BC"/>
    <w:rsid w:val="009A1541"/>
    <w:rsid w:val="009A187D"/>
    <w:rsid w:val="009A18C9"/>
    <w:rsid w:val="009A1CA0"/>
    <w:rsid w:val="009A2E4B"/>
    <w:rsid w:val="009A3090"/>
    <w:rsid w:val="009A49A6"/>
    <w:rsid w:val="009A4C6A"/>
    <w:rsid w:val="009A5AF1"/>
    <w:rsid w:val="009A660F"/>
    <w:rsid w:val="009A6AF3"/>
    <w:rsid w:val="009A6C51"/>
    <w:rsid w:val="009A7789"/>
    <w:rsid w:val="009B072B"/>
    <w:rsid w:val="009B163A"/>
    <w:rsid w:val="009B1A3F"/>
    <w:rsid w:val="009B1E9B"/>
    <w:rsid w:val="009B221E"/>
    <w:rsid w:val="009B24A0"/>
    <w:rsid w:val="009B2613"/>
    <w:rsid w:val="009B2CAF"/>
    <w:rsid w:val="009B2CE7"/>
    <w:rsid w:val="009B3192"/>
    <w:rsid w:val="009B36B5"/>
    <w:rsid w:val="009B3BB2"/>
    <w:rsid w:val="009B3C6B"/>
    <w:rsid w:val="009B3CD3"/>
    <w:rsid w:val="009B51AA"/>
    <w:rsid w:val="009B5399"/>
    <w:rsid w:val="009B5531"/>
    <w:rsid w:val="009B558E"/>
    <w:rsid w:val="009B5CDB"/>
    <w:rsid w:val="009B6E22"/>
    <w:rsid w:val="009B6F92"/>
    <w:rsid w:val="009B76CF"/>
    <w:rsid w:val="009B7A77"/>
    <w:rsid w:val="009C001D"/>
    <w:rsid w:val="009C02A4"/>
    <w:rsid w:val="009C06C0"/>
    <w:rsid w:val="009C1497"/>
    <w:rsid w:val="009C1A02"/>
    <w:rsid w:val="009C207E"/>
    <w:rsid w:val="009C22B0"/>
    <w:rsid w:val="009C234D"/>
    <w:rsid w:val="009C2F4C"/>
    <w:rsid w:val="009C2FDC"/>
    <w:rsid w:val="009C4364"/>
    <w:rsid w:val="009C5318"/>
    <w:rsid w:val="009C5C5A"/>
    <w:rsid w:val="009C6C29"/>
    <w:rsid w:val="009C79A3"/>
    <w:rsid w:val="009D2078"/>
    <w:rsid w:val="009D24CB"/>
    <w:rsid w:val="009D2735"/>
    <w:rsid w:val="009D2901"/>
    <w:rsid w:val="009D4ADE"/>
    <w:rsid w:val="009D4C29"/>
    <w:rsid w:val="009D4C4D"/>
    <w:rsid w:val="009D5B08"/>
    <w:rsid w:val="009D741F"/>
    <w:rsid w:val="009E01D3"/>
    <w:rsid w:val="009E06D7"/>
    <w:rsid w:val="009E0D0A"/>
    <w:rsid w:val="009E213B"/>
    <w:rsid w:val="009E298B"/>
    <w:rsid w:val="009E337A"/>
    <w:rsid w:val="009E36EE"/>
    <w:rsid w:val="009E389B"/>
    <w:rsid w:val="009E3CBB"/>
    <w:rsid w:val="009E4B10"/>
    <w:rsid w:val="009E508B"/>
    <w:rsid w:val="009E5D17"/>
    <w:rsid w:val="009E7A1F"/>
    <w:rsid w:val="009F0154"/>
    <w:rsid w:val="009F0BF1"/>
    <w:rsid w:val="009F13DE"/>
    <w:rsid w:val="009F1C6A"/>
    <w:rsid w:val="009F216C"/>
    <w:rsid w:val="009F2868"/>
    <w:rsid w:val="009F2927"/>
    <w:rsid w:val="009F2928"/>
    <w:rsid w:val="009F2DDB"/>
    <w:rsid w:val="009F3059"/>
    <w:rsid w:val="009F30AE"/>
    <w:rsid w:val="009F3519"/>
    <w:rsid w:val="009F4E5F"/>
    <w:rsid w:val="009F5C7D"/>
    <w:rsid w:val="009F664F"/>
    <w:rsid w:val="009F672C"/>
    <w:rsid w:val="009F67AD"/>
    <w:rsid w:val="009F70B8"/>
    <w:rsid w:val="009F7430"/>
    <w:rsid w:val="009F76D6"/>
    <w:rsid w:val="00A00478"/>
    <w:rsid w:val="00A00AE6"/>
    <w:rsid w:val="00A00F44"/>
    <w:rsid w:val="00A00F86"/>
    <w:rsid w:val="00A0136F"/>
    <w:rsid w:val="00A01504"/>
    <w:rsid w:val="00A0254F"/>
    <w:rsid w:val="00A02BEF"/>
    <w:rsid w:val="00A03E56"/>
    <w:rsid w:val="00A04C9E"/>
    <w:rsid w:val="00A0542C"/>
    <w:rsid w:val="00A055F1"/>
    <w:rsid w:val="00A05A6A"/>
    <w:rsid w:val="00A0651D"/>
    <w:rsid w:val="00A068BB"/>
    <w:rsid w:val="00A07BFE"/>
    <w:rsid w:val="00A101C3"/>
    <w:rsid w:val="00A1031E"/>
    <w:rsid w:val="00A103A0"/>
    <w:rsid w:val="00A10F29"/>
    <w:rsid w:val="00A12547"/>
    <w:rsid w:val="00A12C92"/>
    <w:rsid w:val="00A12DA7"/>
    <w:rsid w:val="00A1371E"/>
    <w:rsid w:val="00A13731"/>
    <w:rsid w:val="00A142D6"/>
    <w:rsid w:val="00A14D06"/>
    <w:rsid w:val="00A1516F"/>
    <w:rsid w:val="00A156EF"/>
    <w:rsid w:val="00A164B9"/>
    <w:rsid w:val="00A16EE8"/>
    <w:rsid w:val="00A17D60"/>
    <w:rsid w:val="00A2057A"/>
    <w:rsid w:val="00A205C2"/>
    <w:rsid w:val="00A20FB7"/>
    <w:rsid w:val="00A2172E"/>
    <w:rsid w:val="00A21758"/>
    <w:rsid w:val="00A21FE9"/>
    <w:rsid w:val="00A22B4F"/>
    <w:rsid w:val="00A22E16"/>
    <w:rsid w:val="00A230E0"/>
    <w:rsid w:val="00A23203"/>
    <w:rsid w:val="00A234A7"/>
    <w:rsid w:val="00A235BD"/>
    <w:rsid w:val="00A2380B"/>
    <w:rsid w:val="00A24B6C"/>
    <w:rsid w:val="00A25C1E"/>
    <w:rsid w:val="00A26F92"/>
    <w:rsid w:val="00A27C28"/>
    <w:rsid w:val="00A302AD"/>
    <w:rsid w:val="00A30556"/>
    <w:rsid w:val="00A3059D"/>
    <w:rsid w:val="00A30C81"/>
    <w:rsid w:val="00A30E65"/>
    <w:rsid w:val="00A31278"/>
    <w:rsid w:val="00A31AA4"/>
    <w:rsid w:val="00A31C64"/>
    <w:rsid w:val="00A32653"/>
    <w:rsid w:val="00A32A42"/>
    <w:rsid w:val="00A32EA1"/>
    <w:rsid w:val="00A3343B"/>
    <w:rsid w:val="00A3635E"/>
    <w:rsid w:val="00A36370"/>
    <w:rsid w:val="00A3687C"/>
    <w:rsid w:val="00A36DA6"/>
    <w:rsid w:val="00A36F8A"/>
    <w:rsid w:val="00A37888"/>
    <w:rsid w:val="00A37E10"/>
    <w:rsid w:val="00A41956"/>
    <w:rsid w:val="00A42256"/>
    <w:rsid w:val="00A424DE"/>
    <w:rsid w:val="00A425F3"/>
    <w:rsid w:val="00A429F0"/>
    <w:rsid w:val="00A431C7"/>
    <w:rsid w:val="00A4327A"/>
    <w:rsid w:val="00A43ACE"/>
    <w:rsid w:val="00A441F5"/>
    <w:rsid w:val="00A44303"/>
    <w:rsid w:val="00A445D9"/>
    <w:rsid w:val="00A4475A"/>
    <w:rsid w:val="00A44AC5"/>
    <w:rsid w:val="00A456A1"/>
    <w:rsid w:val="00A466D1"/>
    <w:rsid w:val="00A468B3"/>
    <w:rsid w:val="00A47B19"/>
    <w:rsid w:val="00A47B6C"/>
    <w:rsid w:val="00A47EBA"/>
    <w:rsid w:val="00A50113"/>
    <w:rsid w:val="00A50E7B"/>
    <w:rsid w:val="00A51023"/>
    <w:rsid w:val="00A5162E"/>
    <w:rsid w:val="00A5262D"/>
    <w:rsid w:val="00A531D2"/>
    <w:rsid w:val="00A54F87"/>
    <w:rsid w:val="00A562CF"/>
    <w:rsid w:val="00A568AC"/>
    <w:rsid w:val="00A56CE4"/>
    <w:rsid w:val="00A56F07"/>
    <w:rsid w:val="00A56F49"/>
    <w:rsid w:val="00A571A8"/>
    <w:rsid w:val="00A57E3E"/>
    <w:rsid w:val="00A603CD"/>
    <w:rsid w:val="00A608FB"/>
    <w:rsid w:val="00A62225"/>
    <w:rsid w:val="00A6234E"/>
    <w:rsid w:val="00A63140"/>
    <w:rsid w:val="00A632DD"/>
    <w:rsid w:val="00A637A4"/>
    <w:rsid w:val="00A642B1"/>
    <w:rsid w:val="00A64ADE"/>
    <w:rsid w:val="00A65910"/>
    <w:rsid w:val="00A6612D"/>
    <w:rsid w:val="00A665E8"/>
    <w:rsid w:val="00A66902"/>
    <w:rsid w:val="00A67402"/>
    <w:rsid w:val="00A67FD2"/>
    <w:rsid w:val="00A70334"/>
    <w:rsid w:val="00A70A0A"/>
    <w:rsid w:val="00A70E4B"/>
    <w:rsid w:val="00A70F42"/>
    <w:rsid w:val="00A714F9"/>
    <w:rsid w:val="00A719DF"/>
    <w:rsid w:val="00A72B9C"/>
    <w:rsid w:val="00A73E51"/>
    <w:rsid w:val="00A744AC"/>
    <w:rsid w:val="00A74D30"/>
    <w:rsid w:val="00A76173"/>
    <w:rsid w:val="00A76576"/>
    <w:rsid w:val="00A77358"/>
    <w:rsid w:val="00A77BBD"/>
    <w:rsid w:val="00A77DC8"/>
    <w:rsid w:val="00A80A59"/>
    <w:rsid w:val="00A80CCA"/>
    <w:rsid w:val="00A810CE"/>
    <w:rsid w:val="00A83283"/>
    <w:rsid w:val="00A836A0"/>
    <w:rsid w:val="00A83AFC"/>
    <w:rsid w:val="00A83C71"/>
    <w:rsid w:val="00A83E47"/>
    <w:rsid w:val="00A8525C"/>
    <w:rsid w:val="00A86C83"/>
    <w:rsid w:val="00A90377"/>
    <w:rsid w:val="00A9081A"/>
    <w:rsid w:val="00A90F0B"/>
    <w:rsid w:val="00A926DE"/>
    <w:rsid w:val="00A92C66"/>
    <w:rsid w:val="00A930B8"/>
    <w:rsid w:val="00A93AE0"/>
    <w:rsid w:val="00A93E27"/>
    <w:rsid w:val="00A9400E"/>
    <w:rsid w:val="00A9484A"/>
    <w:rsid w:val="00A9533A"/>
    <w:rsid w:val="00A96417"/>
    <w:rsid w:val="00A97BAF"/>
    <w:rsid w:val="00A9EE14"/>
    <w:rsid w:val="00AA000C"/>
    <w:rsid w:val="00AA0DB0"/>
    <w:rsid w:val="00AA19D1"/>
    <w:rsid w:val="00AA249C"/>
    <w:rsid w:val="00AA2D94"/>
    <w:rsid w:val="00AA343B"/>
    <w:rsid w:val="00AA3461"/>
    <w:rsid w:val="00AA37BC"/>
    <w:rsid w:val="00AA3FCE"/>
    <w:rsid w:val="00AA41D2"/>
    <w:rsid w:val="00AA4826"/>
    <w:rsid w:val="00AA48B3"/>
    <w:rsid w:val="00AA5B69"/>
    <w:rsid w:val="00AA5D65"/>
    <w:rsid w:val="00AA612F"/>
    <w:rsid w:val="00AA657A"/>
    <w:rsid w:val="00AA685C"/>
    <w:rsid w:val="00AA72F2"/>
    <w:rsid w:val="00AAE68B"/>
    <w:rsid w:val="00AB045B"/>
    <w:rsid w:val="00AB0944"/>
    <w:rsid w:val="00AB0CBB"/>
    <w:rsid w:val="00AB1CBA"/>
    <w:rsid w:val="00AB1E85"/>
    <w:rsid w:val="00AB226B"/>
    <w:rsid w:val="00AB22BE"/>
    <w:rsid w:val="00AB2A4F"/>
    <w:rsid w:val="00AB2BF4"/>
    <w:rsid w:val="00AB3531"/>
    <w:rsid w:val="00AB36C1"/>
    <w:rsid w:val="00AB36F3"/>
    <w:rsid w:val="00AB4098"/>
    <w:rsid w:val="00AB4780"/>
    <w:rsid w:val="00AB4AF2"/>
    <w:rsid w:val="00AB51F2"/>
    <w:rsid w:val="00AB54CF"/>
    <w:rsid w:val="00AB5F27"/>
    <w:rsid w:val="00AB672D"/>
    <w:rsid w:val="00AB7185"/>
    <w:rsid w:val="00AB75D9"/>
    <w:rsid w:val="00AB7BDB"/>
    <w:rsid w:val="00AC02BF"/>
    <w:rsid w:val="00AC0A9A"/>
    <w:rsid w:val="00AC0E13"/>
    <w:rsid w:val="00AC0EB7"/>
    <w:rsid w:val="00AC0EDA"/>
    <w:rsid w:val="00AC17AD"/>
    <w:rsid w:val="00AC1E3D"/>
    <w:rsid w:val="00AC1F4F"/>
    <w:rsid w:val="00AC23A2"/>
    <w:rsid w:val="00AC3347"/>
    <w:rsid w:val="00AC35AE"/>
    <w:rsid w:val="00AC38DC"/>
    <w:rsid w:val="00AC6573"/>
    <w:rsid w:val="00AC679F"/>
    <w:rsid w:val="00AC6AA9"/>
    <w:rsid w:val="00AC6CFA"/>
    <w:rsid w:val="00AC75EF"/>
    <w:rsid w:val="00AC78DE"/>
    <w:rsid w:val="00AC7C41"/>
    <w:rsid w:val="00AD02AF"/>
    <w:rsid w:val="00AD075C"/>
    <w:rsid w:val="00AD0F52"/>
    <w:rsid w:val="00AD0FFE"/>
    <w:rsid w:val="00AD176B"/>
    <w:rsid w:val="00AD189D"/>
    <w:rsid w:val="00AD18DC"/>
    <w:rsid w:val="00AD2392"/>
    <w:rsid w:val="00AD2431"/>
    <w:rsid w:val="00AD2D4C"/>
    <w:rsid w:val="00AD38AF"/>
    <w:rsid w:val="00AD4597"/>
    <w:rsid w:val="00AD4B1A"/>
    <w:rsid w:val="00AD4ECE"/>
    <w:rsid w:val="00AD6807"/>
    <w:rsid w:val="00AD6C29"/>
    <w:rsid w:val="00AD6ED5"/>
    <w:rsid w:val="00AD6F6E"/>
    <w:rsid w:val="00AD7572"/>
    <w:rsid w:val="00AD7E0F"/>
    <w:rsid w:val="00AE09C6"/>
    <w:rsid w:val="00AE0D03"/>
    <w:rsid w:val="00AE0FCF"/>
    <w:rsid w:val="00AE1749"/>
    <w:rsid w:val="00AE19BE"/>
    <w:rsid w:val="00AE1C46"/>
    <w:rsid w:val="00AE21DD"/>
    <w:rsid w:val="00AE2357"/>
    <w:rsid w:val="00AE2744"/>
    <w:rsid w:val="00AE30DF"/>
    <w:rsid w:val="00AE327F"/>
    <w:rsid w:val="00AE3A3E"/>
    <w:rsid w:val="00AE424B"/>
    <w:rsid w:val="00AE45C7"/>
    <w:rsid w:val="00AE4B46"/>
    <w:rsid w:val="00AE4E7F"/>
    <w:rsid w:val="00AE526B"/>
    <w:rsid w:val="00AE5E61"/>
    <w:rsid w:val="00AE624D"/>
    <w:rsid w:val="00AE6A8D"/>
    <w:rsid w:val="00AE70B9"/>
    <w:rsid w:val="00AE7BE0"/>
    <w:rsid w:val="00AF01DE"/>
    <w:rsid w:val="00AF037C"/>
    <w:rsid w:val="00AF1FAB"/>
    <w:rsid w:val="00AF29AA"/>
    <w:rsid w:val="00AF431A"/>
    <w:rsid w:val="00AF46FA"/>
    <w:rsid w:val="00AF47B6"/>
    <w:rsid w:val="00AF490D"/>
    <w:rsid w:val="00AF598D"/>
    <w:rsid w:val="00AF5CD3"/>
    <w:rsid w:val="00AF69CB"/>
    <w:rsid w:val="00AF6A5D"/>
    <w:rsid w:val="00AF7204"/>
    <w:rsid w:val="00AF721E"/>
    <w:rsid w:val="00AF7D7A"/>
    <w:rsid w:val="00AF7E5E"/>
    <w:rsid w:val="00B00054"/>
    <w:rsid w:val="00B008F4"/>
    <w:rsid w:val="00B00E20"/>
    <w:rsid w:val="00B00ED6"/>
    <w:rsid w:val="00B01602"/>
    <w:rsid w:val="00B018F6"/>
    <w:rsid w:val="00B01928"/>
    <w:rsid w:val="00B01A4E"/>
    <w:rsid w:val="00B0284F"/>
    <w:rsid w:val="00B039A0"/>
    <w:rsid w:val="00B03B16"/>
    <w:rsid w:val="00B03F2D"/>
    <w:rsid w:val="00B04B40"/>
    <w:rsid w:val="00B04CF1"/>
    <w:rsid w:val="00B05BE9"/>
    <w:rsid w:val="00B05BEB"/>
    <w:rsid w:val="00B06008"/>
    <w:rsid w:val="00B06C04"/>
    <w:rsid w:val="00B071EE"/>
    <w:rsid w:val="00B0739F"/>
    <w:rsid w:val="00B07ACF"/>
    <w:rsid w:val="00B07CFC"/>
    <w:rsid w:val="00B10407"/>
    <w:rsid w:val="00B107A3"/>
    <w:rsid w:val="00B10DDD"/>
    <w:rsid w:val="00B10F56"/>
    <w:rsid w:val="00B110E3"/>
    <w:rsid w:val="00B11181"/>
    <w:rsid w:val="00B111A2"/>
    <w:rsid w:val="00B125AD"/>
    <w:rsid w:val="00B12CAA"/>
    <w:rsid w:val="00B143B9"/>
    <w:rsid w:val="00B14CC5"/>
    <w:rsid w:val="00B1713D"/>
    <w:rsid w:val="00B17A8C"/>
    <w:rsid w:val="00B17E6C"/>
    <w:rsid w:val="00B2056A"/>
    <w:rsid w:val="00B208B9"/>
    <w:rsid w:val="00B21FF4"/>
    <w:rsid w:val="00B226F9"/>
    <w:rsid w:val="00B22C65"/>
    <w:rsid w:val="00B23C8B"/>
    <w:rsid w:val="00B2419F"/>
    <w:rsid w:val="00B2430B"/>
    <w:rsid w:val="00B267E3"/>
    <w:rsid w:val="00B26AB7"/>
    <w:rsid w:val="00B27C4F"/>
    <w:rsid w:val="00B27DFB"/>
    <w:rsid w:val="00B300E5"/>
    <w:rsid w:val="00B30924"/>
    <w:rsid w:val="00B30D34"/>
    <w:rsid w:val="00B3133A"/>
    <w:rsid w:val="00B316EA"/>
    <w:rsid w:val="00B31E8E"/>
    <w:rsid w:val="00B32AD5"/>
    <w:rsid w:val="00B32BA2"/>
    <w:rsid w:val="00B33104"/>
    <w:rsid w:val="00B339A4"/>
    <w:rsid w:val="00B33B0E"/>
    <w:rsid w:val="00B33DC0"/>
    <w:rsid w:val="00B34A53"/>
    <w:rsid w:val="00B34B70"/>
    <w:rsid w:val="00B35632"/>
    <w:rsid w:val="00B36ECF"/>
    <w:rsid w:val="00B3745D"/>
    <w:rsid w:val="00B378F8"/>
    <w:rsid w:val="00B420A2"/>
    <w:rsid w:val="00B43D27"/>
    <w:rsid w:val="00B43E3E"/>
    <w:rsid w:val="00B441A8"/>
    <w:rsid w:val="00B44CBC"/>
    <w:rsid w:val="00B460E1"/>
    <w:rsid w:val="00B46609"/>
    <w:rsid w:val="00B467D6"/>
    <w:rsid w:val="00B50E14"/>
    <w:rsid w:val="00B51545"/>
    <w:rsid w:val="00B520CD"/>
    <w:rsid w:val="00B54B6C"/>
    <w:rsid w:val="00B5562A"/>
    <w:rsid w:val="00B55BD4"/>
    <w:rsid w:val="00B55DAB"/>
    <w:rsid w:val="00B5628C"/>
    <w:rsid w:val="00B5754F"/>
    <w:rsid w:val="00B57B93"/>
    <w:rsid w:val="00B60900"/>
    <w:rsid w:val="00B6124A"/>
    <w:rsid w:val="00B6233B"/>
    <w:rsid w:val="00B625A2"/>
    <w:rsid w:val="00B62AFA"/>
    <w:rsid w:val="00B62D0B"/>
    <w:rsid w:val="00B63DF9"/>
    <w:rsid w:val="00B647E8"/>
    <w:rsid w:val="00B64B75"/>
    <w:rsid w:val="00B64C3B"/>
    <w:rsid w:val="00B65B11"/>
    <w:rsid w:val="00B669A5"/>
    <w:rsid w:val="00B67153"/>
    <w:rsid w:val="00B67ECD"/>
    <w:rsid w:val="00B70859"/>
    <w:rsid w:val="00B70B75"/>
    <w:rsid w:val="00B70D89"/>
    <w:rsid w:val="00B715D2"/>
    <w:rsid w:val="00B727B2"/>
    <w:rsid w:val="00B73677"/>
    <w:rsid w:val="00B74B49"/>
    <w:rsid w:val="00B762A8"/>
    <w:rsid w:val="00B76455"/>
    <w:rsid w:val="00B77DCF"/>
    <w:rsid w:val="00B77E5E"/>
    <w:rsid w:val="00B8012D"/>
    <w:rsid w:val="00B8120E"/>
    <w:rsid w:val="00B816AB"/>
    <w:rsid w:val="00B81CBB"/>
    <w:rsid w:val="00B82099"/>
    <w:rsid w:val="00B8243B"/>
    <w:rsid w:val="00B8284A"/>
    <w:rsid w:val="00B82DAD"/>
    <w:rsid w:val="00B83267"/>
    <w:rsid w:val="00B83288"/>
    <w:rsid w:val="00B835F8"/>
    <w:rsid w:val="00B837EB"/>
    <w:rsid w:val="00B83ABC"/>
    <w:rsid w:val="00B84824"/>
    <w:rsid w:val="00B84AEA"/>
    <w:rsid w:val="00B8569B"/>
    <w:rsid w:val="00B90296"/>
    <w:rsid w:val="00B90491"/>
    <w:rsid w:val="00B90597"/>
    <w:rsid w:val="00B910AC"/>
    <w:rsid w:val="00B91766"/>
    <w:rsid w:val="00B91971"/>
    <w:rsid w:val="00B925FA"/>
    <w:rsid w:val="00B92EF7"/>
    <w:rsid w:val="00B92F95"/>
    <w:rsid w:val="00B93FFB"/>
    <w:rsid w:val="00B943FE"/>
    <w:rsid w:val="00B94507"/>
    <w:rsid w:val="00B94718"/>
    <w:rsid w:val="00B95054"/>
    <w:rsid w:val="00B9581D"/>
    <w:rsid w:val="00B95A20"/>
    <w:rsid w:val="00B970DA"/>
    <w:rsid w:val="00B9759E"/>
    <w:rsid w:val="00BA0104"/>
    <w:rsid w:val="00BA125F"/>
    <w:rsid w:val="00BA137E"/>
    <w:rsid w:val="00BA2945"/>
    <w:rsid w:val="00BA2A4F"/>
    <w:rsid w:val="00BA3072"/>
    <w:rsid w:val="00BA30D1"/>
    <w:rsid w:val="00BA3974"/>
    <w:rsid w:val="00BA4646"/>
    <w:rsid w:val="00BA4ABA"/>
    <w:rsid w:val="00BA5510"/>
    <w:rsid w:val="00BA5B05"/>
    <w:rsid w:val="00BA5D5A"/>
    <w:rsid w:val="00BA5EEE"/>
    <w:rsid w:val="00BA65AC"/>
    <w:rsid w:val="00BA6D23"/>
    <w:rsid w:val="00BA6E14"/>
    <w:rsid w:val="00BA7238"/>
    <w:rsid w:val="00BA75D9"/>
    <w:rsid w:val="00BA786A"/>
    <w:rsid w:val="00BA7F06"/>
    <w:rsid w:val="00BA7F9D"/>
    <w:rsid w:val="00BB11BA"/>
    <w:rsid w:val="00BB11C6"/>
    <w:rsid w:val="00BB1F33"/>
    <w:rsid w:val="00BB320D"/>
    <w:rsid w:val="00BB5343"/>
    <w:rsid w:val="00BB5F6C"/>
    <w:rsid w:val="00BB695F"/>
    <w:rsid w:val="00BB78C7"/>
    <w:rsid w:val="00BC0F4E"/>
    <w:rsid w:val="00BC1C6F"/>
    <w:rsid w:val="00BC1CEE"/>
    <w:rsid w:val="00BC2C3C"/>
    <w:rsid w:val="00BC38C7"/>
    <w:rsid w:val="00BC395D"/>
    <w:rsid w:val="00BC4444"/>
    <w:rsid w:val="00BC49BD"/>
    <w:rsid w:val="00BC49F2"/>
    <w:rsid w:val="00BC6AE0"/>
    <w:rsid w:val="00BC6C2B"/>
    <w:rsid w:val="00BC7181"/>
    <w:rsid w:val="00BC743D"/>
    <w:rsid w:val="00BD0ADD"/>
    <w:rsid w:val="00BD0D9B"/>
    <w:rsid w:val="00BD1A79"/>
    <w:rsid w:val="00BD2570"/>
    <w:rsid w:val="00BD2CC9"/>
    <w:rsid w:val="00BD310A"/>
    <w:rsid w:val="00BD3DF1"/>
    <w:rsid w:val="00BD4A56"/>
    <w:rsid w:val="00BD5307"/>
    <w:rsid w:val="00BD58C4"/>
    <w:rsid w:val="00BD59F3"/>
    <w:rsid w:val="00BD6783"/>
    <w:rsid w:val="00BD6E41"/>
    <w:rsid w:val="00BD75D3"/>
    <w:rsid w:val="00BD790B"/>
    <w:rsid w:val="00BD7BC2"/>
    <w:rsid w:val="00BD7C37"/>
    <w:rsid w:val="00BE1018"/>
    <w:rsid w:val="00BE10A3"/>
    <w:rsid w:val="00BE18D6"/>
    <w:rsid w:val="00BE1B0B"/>
    <w:rsid w:val="00BE2396"/>
    <w:rsid w:val="00BE2A57"/>
    <w:rsid w:val="00BE3D99"/>
    <w:rsid w:val="00BE3FA4"/>
    <w:rsid w:val="00BE438D"/>
    <w:rsid w:val="00BE43C9"/>
    <w:rsid w:val="00BE470C"/>
    <w:rsid w:val="00BE5252"/>
    <w:rsid w:val="00BE632F"/>
    <w:rsid w:val="00BE6630"/>
    <w:rsid w:val="00BE6951"/>
    <w:rsid w:val="00BE6C87"/>
    <w:rsid w:val="00BE7033"/>
    <w:rsid w:val="00BE7E55"/>
    <w:rsid w:val="00BF10E5"/>
    <w:rsid w:val="00BF1AED"/>
    <w:rsid w:val="00BF2FDE"/>
    <w:rsid w:val="00BF3B12"/>
    <w:rsid w:val="00BF3CD4"/>
    <w:rsid w:val="00BF40A9"/>
    <w:rsid w:val="00BF6113"/>
    <w:rsid w:val="00BF71D1"/>
    <w:rsid w:val="00BF76FA"/>
    <w:rsid w:val="00BF7D24"/>
    <w:rsid w:val="00BF7E1F"/>
    <w:rsid w:val="00C004EA"/>
    <w:rsid w:val="00C00D59"/>
    <w:rsid w:val="00C012D1"/>
    <w:rsid w:val="00C013A9"/>
    <w:rsid w:val="00C02164"/>
    <w:rsid w:val="00C023B6"/>
    <w:rsid w:val="00C0291A"/>
    <w:rsid w:val="00C02D90"/>
    <w:rsid w:val="00C038AA"/>
    <w:rsid w:val="00C03D5A"/>
    <w:rsid w:val="00C0510E"/>
    <w:rsid w:val="00C05120"/>
    <w:rsid w:val="00C05948"/>
    <w:rsid w:val="00C0625E"/>
    <w:rsid w:val="00C06C1A"/>
    <w:rsid w:val="00C07628"/>
    <w:rsid w:val="00C10FEE"/>
    <w:rsid w:val="00C1123C"/>
    <w:rsid w:val="00C12301"/>
    <w:rsid w:val="00C12B5F"/>
    <w:rsid w:val="00C12B76"/>
    <w:rsid w:val="00C12B9C"/>
    <w:rsid w:val="00C12D5B"/>
    <w:rsid w:val="00C13792"/>
    <w:rsid w:val="00C142F8"/>
    <w:rsid w:val="00C14B9A"/>
    <w:rsid w:val="00C1511F"/>
    <w:rsid w:val="00C15A50"/>
    <w:rsid w:val="00C15B88"/>
    <w:rsid w:val="00C16598"/>
    <w:rsid w:val="00C16D13"/>
    <w:rsid w:val="00C178F2"/>
    <w:rsid w:val="00C17987"/>
    <w:rsid w:val="00C2064A"/>
    <w:rsid w:val="00C21DA4"/>
    <w:rsid w:val="00C224FE"/>
    <w:rsid w:val="00C22AAA"/>
    <w:rsid w:val="00C236B0"/>
    <w:rsid w:val="00C244B4"/>
    <w:rsid w:val="00C253B0"/>
    <w:rsid w:val="00C25A75"/>
    <w:rsid w:val="00C25E35"/>
    <w:rsid w:val="00C260FB"/>
    <w:rsid w:val="00C2618A"/>
    <w:rsid w:val="00C26750"/>
    <w:rsid w:val="00C27798"/>
    <w:rsid w:val="00C27AEA"/>
    <w:rsid w:val="00C301CD"/>
    <w:rsid w:val="00C306B3"/>
    <w:rsid w:val="00C3144C"/>
    <w:rsid w:val="00C31546"/>
    <w:rsid w:val="00C319A3"/>
    <w:rsid w:val="00C31ADF"/>
    <w:rsid w:val="00C31FFA"/>
    <w:rsid w:val="00C323E4"/>
    <w:rsid w:val="00C336E4"/>
    <w:rsid w:val="00C33BC1"/>
    <w:rsid w:val="00C341A2"/>
    <w:rsid w:val="00C3500F"/>
    <w:rsid w:val="00C35221"/>
    <w:rsid w:val="00C3691F"/>
    <w:rsid w:val="00C36AB2"/>
    <w:rsid w:val="00C373DB"/>
    <w:rsid w:val="00C40406"/>
    <w:rsid w:val="00C40C49"/>
    <w:rsid w:val="00C40F56"/>
    <w:rsid w:val="00C4130F"/>
    <w:rsid w:val="00C4136F"/>
    <w:rsid w:val="00C42447"/>
    <w:rsid w:val="00C43668"/>
    <w:rsid w:val="00C45376"/>
    <w:rsid w:val="00C456EF"/>
    <w:rsid w:val="00C4753C"/>
    <w:rsid w:val="00C50079"/>
    <w:rsid w:val="00C50974"/>
    <w:rsid w:val="00C51990"/>
    <w:rsid w:val="00C51B7D"/>
    <w:rsid w:val="00C51E94"/>
    <w:rsid w:val="00C51F50"/>
    <w:rsid w:val="00C532ED"/>
    <w:rsid w:val="00C53474"/>
    <w:rsid w:val="00C53485"/>
    <w:rsid w:val="00C53616"/>
    <w:rsid w:val="00C53768"/>
    <w:rsid w:val="00C537F1"/>
    <w:rsid w:val="00C53EB4"/>
    <w:rsid w:val="00C54E2E"/>
    <w:rsid w:val="00C54FE3"/>
    <w:rsid w:val="00C55319"/>
    <w:rsid w:val="00C556B6"/>
    <w:rsid w:val="00C55865"/>
    <w:rsid w:val="00C55984"/>
    <w:rsid w:val="00C5676E"/>
    <w:rsid w:val="00C56ACB"/>
    <w:rsid w:val="00C56C05"/>
    <w:rsid w:val="00C56E64"/>
    <w:rsid w:val="00C57660"/>
    <w:rsid w:val="00C57845"/>
    <w:rsid w:val="00C5793E"/>
    <w:rsid w:val="00C57A07"/>
    <w:rsid w:val="00C57C32"/>
    <w:rsid w:val="00C609DC"/>
    <w:rsid w:val="00C60B61"/>
    <w:rsid w:val="00C60B6F"/>
    <w:rsid w:val="00C62312"/>
    <w:rsid w:val="00C64663"/>
    <w:rsid w:val="00C6531A"/>
    <w:rsid w:val="00C65941"/>
    <w:rsid w:val="00C65993"/>
    <w:rsid w:val="00C66A25"/>
    <w:rsid w:val="00C66A8A"/>
    <w:rsid w:val="00C700B2"/>
    <w:rsid w:val="00C700D7"/>
    <w:rsid w:val="00C7046D"/>
    <w:rsid w:val="00C7069B"/>
    <w:rsid w:val="00C70A1A"/>
    <w:rsid w:val="00C70C1D"/>
    <w:rsid w:val="00C70CF7"/>
    <w:rsid w:val="00C70D47"/>
    <w:rsid w:val="00C71358"/>
    <w:rsid w:val="00C715CE"/>
    <w:rsid w:val="00C72B2D"/>
    <w:rsid w:val="00C73408"/>
    <w:rsid w:val="00C73BBA"/>
    <w:rsid w:val="00C73BCE"/>
    <w:rsid w:val="00C73FD8"/>
    <w:rsid w:val="00C7407E"/>
    <w:rsid w:val="00C7424A"/>
    <w:rsid w:val="00C74C14"/>
    <w:rsid w:val="00C74F68"/>
    <w:rsid w:val="00C7535E"/>
    <w:rsid w:val="00C75979"/>
    <w:rsid w:val="00C75F8B"/>
    <w:rsid w:val="00C76081"/>
    <w:rsid w:val="00C76168"/>
    <w:rsid w:val="00C76425"/>
    <w:rsid w:val="00C776A2"/>
    <w:rsid w:val="00C80A04"/>
    <w:rsid w:val="00C80B54"/>
    <w:rsid w:val="00C80C89"/>
    <w:rsid w:val="00C80E29"/>
    <w:rsid w:val="00C81EFD"/>
    <w:rsid w:val="00C82523"/>
    <w:rsid w:val="00C82589"/>
    <w:rsid w:val="00C827A4"/>
    <w:rsid w:val="00C82C2D"/>
    <w:rsid w:val="00C82D57"/>
    <w:rsid w:val="00C82E17"/>
    <w:rsid w:val="00C83FCC"/>
    <w:rsid w:val="00C84977"/>
    <w:rsid w:val="00C84B92"/>
    <w:rsid w:val="00C84F2C"/>
    <w:rsid w:val="00C86195"/>
    <w:rsid w:val="00C86220"/>
    <w:rsid w:val="00C86EA0"/>
    <w:rsid w:val="00C87090"/>
    <w:rsid w:val="00C871F2"/>
    <w:rsid w:val="00C8741D"/>
    <w:rsid w:val="00C87DC9"/>
    <w:rsid w:val="00C90245"/>
    <w:rsid w:val="00C913B3"/>
    <w:rsid w:val="00C91F78"/>
    <w:rsid w:val="00C92455"/>
    <w:rsid w:val="00C92E46"/>
    <w:rsid w:val="00C92FFD"/>
    <w:rsid w:val="00C9376D"/>
    <w:rsid w:val="00C937E8"/>
    <w:rsid w:val="00C94244"/>
    <w:rsid w:val="00C94968"/>
    <w:rsid w:val="00C94DFC"/>
    <w:rsid w:val="00C97A32"/>
    <w:rsid w:val="00C97EED"/>
    <w:rsid w:val="00CA05AF"/>
    <w:rsid w:val="00CA0B3F"/>
    <w:rsid w:val="00CA0F25"/>
    <w:rsid w:val="00CA19BD"/>
    <w:rsid w:val="00CA1F6F"/>
    <w:rsid w:val="00CA2A93"/>
    <w:rsid w:val="00CA3A51"/>
    <w:rsid w:val="00CA3E5A"/>
    <w:rsid w:val="00CA4512"/>
    <w:rsid w:val="00CA4A24"/>
    <w:rsid w:val="00CA5656"/>
    <w:rsid w:val="00CA56BA"/>
    <w:rsid w:val="00CA717A"/>
    <w:rsid w:val="00CA75F7"/>
    <w:rsid w:val="00CB0676"/>
    <w:rsid w:val="00CB07A6"/>
    <w:rsid w:val="00CB0DD3"/>
    <w:rsid w:val="00CB199C"/>
    <w:rsid w:val="00CB22D1"/>
    <w:rsid w:val="00CB23EA"/>
    <w:rsid w:val="00CB3355"/>
    <w:rsid w:val="00CB3C66"/>
    <w:rsid w:val="00CB408D"/>
    <w:rsid w:val="00CB41BA"/>
    <w:rsid w:val="00CB5675"/>
    <w:rsid w:val="00CB59B9"/>
    <w:rsid w:val="00CC06B4"/>
    <w:rsid w:val="00CC1348"/>
    <w:rsid w:val="00CC16E7"/>
    <w:rsid w:val="00CC1741"/>
    <w:rsid w:val="00CC18F3"/>
    <w:rsid w:val="00CC2025"/>
    <w:rsid w:val="00CC255F"/>
    <w:rsid w:val="00CC25FC"/>
    <w:rsid w:val="00CC41DD"/>
    <w:rsid w:val="00CC4AB0"/>
    <w:rsid w:val="00CC5F96"/>
    <w:rsid w:val="00CC69F0"/>
    <w:rsid w:val="00CC6BF8"/>
    <w:rsid w:val="00CC702A"/>
    <w:rsid w:val="00CC7B24"/>
    <w:rsid w:val="00CD0093"/>
    <w:rsid w:val="00CD0E33"/>
    <w:rsid w:val="00CD0EE5"/>
    <w:rsid w:val="00CD12F4"/>
    <w:rsid w:val="00CD19BA"/>
    <w:rsid w:val="00CD211E"/>
    <w:rsid w:val="00CD2905"/>
    <w:rsid w:val="00CD33B2"/>
    <w:rsid w:val="00CD43F1"/>
    <w:rsid w:val="00CD4664"/>
    <w:rsid w:val="00CD4D59"/>
    <w:rsid w:val="00CD598D"/>
    <w:rsid w:val="00CD5AC5"/>
    <w:rsid w:val="00CD5E7E"/>
    <w:rsid w:val="00CD66E1"/>
    <w:rsid w:val="00CD6D9E"/>
    <w:rsid w:val="00CD7E1D"/>
    <w:rsid w:val="00CE0793"/>
    <w:rsid w:val="00CE1DEA"/>
    <w:rsid w:val="00CE1EF3"/>
    <w:rsid w:val="00CE21B8"/>
    <w:rsid w:val="00CE222F"/>
    <w:rsid w:val="00CE2E96"/>
    <w:rsid w:val="00CE3459"/>
    <w:rsid w:val="00CE34C4"/>
    <w:rsid w:val="00CE34F5"/>
    <w:rsid w:val="00CE3544"/>
    <w:rsid w:val="00CE3883"/>
    <w:rsid w:val="00CE446E"/>
    <w:rsid w:val="00CE4B6F"/>
    <w:rsid w:val="00CE530E"/>
    <w:rsid w:val="00CE5400"/>
    <w:rsid w:val="00CE5989"/>
    <w:rsid w:val="00CE7183"/>
    <w:rsid w:val="00CE723C"/>
    <w:rsid w:val="00CE72BB"/>
    <w:rsid w:val="00CF06B7"/>
    <w:rsid w:val="00CF0C12"/>
    <w:rsid w:val="00CF0F2F"/>
    <w:rsid w:val="00CF161C"/>
    <w:rsid w:val="00CF1B8A"/>
    <w:rsid w:val="00CF1BA3"/>
    <w:rsid w:val="00CF23BB"/>
    <w:rsid w:val="00CF24C6"/>
    <w:rsid w:val="00CF270B"/>
    <w:rsid w:val="00CF2D5A"/>
    <w:rsid w:val="00CF3327"/>
    <w:rsid w:val="00CF34D5"/>
    <w:rsid w:val="00CF3EFD"/>
    <w:rsid w:val="00CF419B"/>
    <w:rsid w:val="00CF450B"/>
    <w:rsid w:val="00CF457F"/>
    <w:rsid w:val="00CF4A5A"/>
    <w:rsid w:val="00CF571B"/>
    <w:rsid w:val="00CF60EB"/>
    <w:rsid w:val="00CF6C73"/>
    <w:rsid w:val="00CF71A4"/>
    <w:rsid w:val="00CF7881"/>
    <w:rsid w:val="00CF7CC4"/>
    <w:rsid w:val="00CF7DD0"/>
    <w:rsid w:val="00D0023E"/>
    <w:rsid w:val="00D01488"/>
    <w:rsid w:val="00D01711"/>
    <w:rsid w:val="00D0444B"/>
    <w:rsid w:val="00D0575F"/>
    <w:rsid w:val="00D057B0"/>
    <w:rsid w:val="00D065C7"/>
    <w:rsid w:val="00D0710A"/>
    <w:rsid w:val="00D073F8"/>
    <w:rsid w:val="00D0792E"/>
    <w:rsid w:val="00D07CE4"/>
    <w:rsid w:val="00D1025B"/>
    <w:rsid w:val="00D10936"/>
    <w:rsid w:val="00D10A87"/>
    <w:rsid w:val="00D10B58"/>
    <w:rsid w:val="00D113DC"/>
    <w:rsid w:val="00D12094"/>
    <w:rsid w:val="00D12896"/>
    <w:rsid w:val="00D1291C"/>
    <w:rsid w:val="00D13293"/>
    <w:rsid w:val="00D14506"/>
    <w:rsid w:val="00D14636"/>
    <w:rsid w:val="00D156D7"/>
    <w:rsid w:val="00D15A06"/>
    <w:rsid w:val="00D16258"/>
    <w:rsid w:val="00D16285"/>
    <w:rsid w:val="00D162EE"/>
    <w:rsid w:val="00D16903"/>
    <w:rsid w:val="00D16C26"/>
    <w:rsid w:val="00D17630"/>
    <w:rsid w:val="00D17CFB"/>
    <w:rsid w:val="00D201B6"/>
    <w:rsid w:val="00D20381"/>
    <w:rsid w:val="00D21D96"/>
    <w:rsid w:val="00D225A4"/>
    <w:rsid w:val="00D22F84"/>
    <w:rsid w:val="00D24098"/>
    <w:rsid w:val="00D24C1F"/>
    <w:rsid w:val="00D250DC"/>
    <w:rsid w:val="00D25AFF"/>
    <w:rsid w:val="00D2699C"/>
    <w:rsid w:val="00D271E8"/>
    <w:rsid w:val="00D30791"/>
    <w:rsid w:val="00D319F3"/>
    <w:rsid w:val="00D3204B"/>
    <w:rsid w:val="00D3391C"/>
    <w:rsid w:val="00D33B49"/>
    <w:rsid w:val="00D34BB1"/>
    <w:rsid w:val="00D34F46"/>
    <w:rsid w:val="00D361EC"/>
    <w:rsid w:val="00D36259"/>
    <w:rsid w:val="00D3656E"/>
    <w:rsid w:val="00D36FE4"/>
    <w:rsid w:val="00D37014"/>
    <w:rsid w:val="00D37787"/>
    <w:rsid w:val="00D377FD"/>
    <w:rsid w:val="00D40354"/>
    <w:rsid w:val="00D40B04"/>
    <w:rsid w:val="00D43649"/>
    <w:rsid w:val="00D43806"/>
    <w:rsid w:val="00D44553"/>
    <w:rsid w:val="00D45BDD"/>
    <w:rsid w:val="00D469DF"/>
    <w:rsid w:val="00D4737D"/>
    <w:rsid w:val="00D47908"/>
    <w:rsid w:val="00D50B11"/>
    <w:rsid w:val="00D511F8"/>
    <w:rsid w:val="00D51384"/>
    <w:rsid w:val="00D524A0"/>
    <w:rsid w:val="00D528C8"/>
    <w:rsid w:val="00D53B43"/>
    <w:rsid w:val="00D53ECF"/>
    <w:rsid w:val="00D54C69"/>
    <w:rsid w:val="00D5500A"/>
    <w:rsid w:val="00D5618A"/>
    <w:rsid w:val="00D56F8E"/>
    <w:rsid w:val="00D57C9D"/>
    <w:rsid w:val="00D60E90"/>
    <w:rsid w:val="00D61A88"/>
    <w:rsid w:val="00D62BB2"/>
    <w:rsid w:val="00D63432"/>
    <w:rsid w:val="00D64361"/>
    <w:rsid w:val="00D65688"/>
    <w:rsid w:val="00D657DB"/>
    <w:rsid w:val="00D65E82"/>
    <w:rsid w:val="00D6610F"/>
    <w:rsid w:val="00D66CD0"/>
    <w:rsid w:val="00D6723D"/>
    <w:rsid w:val="00D67B0D"/>
    <w:rsid w:val="00D67C70"/>
    <w:rsid w:val="00D70319"/>
    <w:rsid w:val="00D70C47"/>
    <w:rsid w:val="00D711A8"/>
    <w:rsid w:val="00D729F8"/>
    <w:rsid w:val="00D73542"/>
    <w:rsid w:val="00D735FE"/>
    <w:rsid w:val="00D742E5"/>
    <w:rsid w:val="00D748D9"/>
    <w:rsid w:val="00D74FFB"/>
    <w:rsid w:val="00D760A1"/>
    <w:rsid w:val="00D7663A"/>
    <w:rsid w:val="00D76B23"/>
    <w:rsid w:val="00D80031"/>
    <w:rsid w:val="00D803D1"/>
    <w:rsid w:val="00D81050"/>
    <w:rsid w:val="00D82CD4"/>
    <w:rsid w:val="00D847B8"/>
    <w:rsid w:val="00D85490"/>
    <w:rsid w:val="00D85829"/>
    <w:rsid w:val="00D85937"/>
    <w:rsid w:val="00D85E7D"/>
    <w:rsid w:val="00D8600E"/>
    <w:rsid w:val="00D86E1A"/>
    <w:rsid w:val="00D87B60"/>
    <w:rsid w:val="00D87BA9"/>
    <w:rsid w:val="00D87C35"/>
    <w:rsid w:val="00D87F0B"/>
    <w:rsid w:val="00D9068E"/>
    <w:rsid w:val="00D90AB2"/>
    <w:rsid w:val="00D9206F"/>
    <w:rsid w:val="00D921AB"/>
    <w:rsid w:val="00D925B4"/>
    <w:rsid w:val="00D938E5"/>
    <w:rsid w:val="00D94B49"/>
    <w:rsid w:val="00D952C5"/>
    <w:rsid w:val="00D953D1"/>
    <w:rsid w:val="00D95A9E"/>
    <w:rsid w:val="00D95DE4"/>
    <w:rsid w:val="00D9688F"/>
    <w:rsid w:val="00D96CA2"/>
    <w:rsid w:val="00D97696"/>
    <w:rsid w:val="00DA03EF"/>
    <w:rsid w:val="00DA0ECA"/>
    <w:rsid w:val="00DA1D11"/>
    <w:rsid w:val="00DA23B0"/>
    <w:rsid w:val="00DA28F4"/>
    <w:rsid w:val="00DA32C0"/>
    <w:rsid w:val="00DA383D"/>
    <w:rsid w:val="00DA3C4A"/>
    <w:rsid w:val="00DA4A8E"/>
    <w:rsid w:val="00DA4E5F"/>
    <w:rsid w:val="00DA54CC"/>
    <w:rsid w:val="00DA693D"/>
    <w:rsid w:val="00DA6FF0"/>
    <w:rsid w:val="00DA7AFB"/>
    <w:rsid w:val="00DA7ECB"/>
    <w:rsid w:val="00DB02E6"/>
    <w:rsid w:val="00DB0AB7"/>
    <w:rsid w:val="00DB0B69"/>
    <w:rsid w:val="00DB128A"/>
    <w:rsid w:val="00DB1610"/>
    <w:rsid w:val="00DB17C9"/>
    <w:rsid w:val="00DB195F"/>
    <w:rsid w:val="00DB1A22"/>
    <w:rsid w:val="00DB1D39"/>
    <w:rsid w:val="00DB2483"/>
    <w:rsid w:val="00DB2A4C"/>
    <w:rsid w:val="00DB2FD4"/>
    <w:rsid w:val="00DB306A"/>
    <w:rsid w:val="00DB375E"/>
    <w:rsid w:val="00DB63CE"/>
    <w:rsid w:val="00DB7AF6"/>
    <w:rsid w:val="00DB7CA3"/>
    <w:rsid w:val="00DC009A"/>
    <w:rsid w:val="00DC07F9"/>
    <w:rsid w:val="00DC0DFA"/>
    <w:rsid w:val="00DC0F47"/>
    <w:rsid w:val="00DC1935"/>
    <w:rsid w:val="00DC30B2"/>
    <w:rsid w:val="00DC3FD6"/>
    <w:rsid w:val="00DC454E"/>
    <w:rsid w:val="00DC57C9"/>
    <w:rsid w:val="00DC73B0"/>
    <w:rsid w:val="00DC7422"/>
    <w:rsid w:val="00DC75CB"/>
    <w:rsid w:val="00DD15A2"/>
    <w:rsid w:val="00DD1BA6"/>
    <w:rsid w:val="00DD341E"/>
    <w:rsid w:val="00DD3567"/>
    <w:rsid w:val="00DD3636"/>
    <w:rsid w:val="00DD394A"/>
    <w:rsid w:val="00DD3DD8"/>
    <w:rsid w:val="00DD40D1"/>
    <w:rsid w:val="00DD49D7"/>
    <w:rsid w:val="00DD5128"/>
    <w:rsid w:val="00DD63A1"/>
    <w:rsid w:val="00DD6AF5"/>
    <w:rsid w:val="00DE04D9"/>
    <w:rsid w:val="00DE0A35"/>
    <w:rsid w:val="00DE1994"/>
    <w:rsid w:val="00DE222C"/>
    <w:rsid w:val="00DE3144"/>
    <w:rsid w:val="00DE36C8"/>
    <w:rsid w:val="00DE3FE0"/>
    <w:rsid w:val="00DE446B"/>
    <w:rsid w:val="00DE5FD8"/>
    <w:rsid w:val="00DE6AF8"/>
    <w:rsid w:val="00DF0B42"/>
    <w:rsid w:val="00DF0C17"/>
    <w:rsid w:val="00DF0F0A"/>
    <w:rsid w:val="00DF1019"/>
    <w:rsid w:val="00DF1D36"/>
    <w:rsid w:val="00DF2DFC"/>
    <w:rsid w:val="00DF2EC2"/>
    <w:rsid w:val="00DF309F"/>
    <w:rsid w:val="00DF3A56"/>
    <w:rsid w:val="00DF3A71"/>
    <w:rsid w:val="00DF403F"/>
    <w:rsid w:val="00DF41F7"/>
    <w:rsid w:val="00DF45FF"/>
    <w:rsid w:val="00DF4CC7"/>
    <w:rsid w:val="00DF4D59"/>
    <w:rsid w:val="00DF4DD6"/>
    <w:rsid w:val="00DF53D9"/>
    <w:rsid w:val="00DF63CE"/>
    <w:rsid w:val="00DF67FE"/>
    <w:rsid w:val="00DF7DA5"/>
    <w:rsid w:val="00E00A2B"/>
    <w:rsid w:val="00E01329"/>
    <w:rsid w:val="00E03E3D"/>
    <w:rsid w:val="00E04B55"/>
    <w:rsid w:val="00E05613"/>
    <w:rsid w:val="00E06183"/>
    <w:rsid w:val="00E06F4C"/>
    <w:rsid w:val="00E07008"/>
    <w:rsid w:val="00E071C0"/>
    <w:rsid w:val="00E07380"/>
    <w:rsid w:val="00E0780B"/>
    <w:rsid w:val="00E0791F"/>
    <w:rsid w:val="00E104B3"/>
    <w:rsid w:val="00E10AC3"/>
    <w:rsid w:val="00E10B71"/>
    <w:rsid w:val="00E12193"/>
    <w:rsid w:val="00E127D2"/>
    <w:rsid w:val="00E12B50"/>
    <w:rsid w:val="00E12B81"/>
    <w:rsid w:val="00E12C20"/>
    <w:rsid w:val="00E130CC"/>
    <w:rsid w:val="00E13BD6"/>
    <w:rsid w:val="00E14F6F"/>
    <w:rsid w:val="00E15B69"/>
    <w:rsid w:val="00E16004"/>
    <w:rsid w:val="00E16BE8"/>
    <w:rsid w:val="00E1707A"/>
    <w:rsid w:val="00E17B12"/>
    <w:rsid w:val="00E17DB4"/>
    <w:rsid w:val="00E202C3"/>
    <w:rsid w:val="00E205F3"/>
    <w:rsid w:val="00E206C4"/>
    <w:rsid w:val="00E20BBD"/>
    <w:rsid w:val="00E20E83"/>
    <w:rsid w:val="00E20F4A"/>
    <w:rsid w:val="00E212B9"/>
    <w:rsid w:val="00E212C7"/>
    <w:rsid w:val="00E213C2"/>
    <w:rsid w:val="00E21C7A"/>
    <w:rsid w:val="00E2233C"/>
    <w:rsid w:val="00E223CD"/>
    <w:rsid w:val="00E2292F"/>
    <w:rsid w:val="00E22992"/>
    <w:rsid w:val="00E22B37"/>
    <w:rsid w:val="00E22E0A"/>
    <w:rsid w:val="00E233AA"/>
    <w:rsid w:val="00E237F5"/>
    <w:rsid w:val="00E23BF1"/>
    <w:rsid w:val="00E24D0D"/>
    <w:rsid w:val="00E2536E"/>
    <w:rsid w:val="00E25E90"/>
    <w:rsid w:val="00E2606C"/>
    <w:rsid w:val="00E26957"/>
    <w:rsid w:val="00E26A3C"/>
    <w:rsid w:val="00E26FEF"/>
    <w:rsid w:val="00E27928"/>
    <w:rsid w:val="00E3042E"/>
    <w:rsid w:val="00E30465"/>
    <w:rsid w:val="00E30925"/>
    <w:rsid w:val="00E313A8"/>
    <w:rsid w:val="00E314A6"/>
    <w:rsid w:val="00E32087"/>
    <w:rsid w:val="00E32925"/>
    <w:rsid w:val="00E32DEC"/>
    <w:rsid w:val="00E347BB"/>
    <w:rsid w:val="00E34F9F"/>
    <w:rsid w:val="00E350FB"/>
    <w:rsid w:val="00E3520F"/>
    <w:rsid w:val="00E35A44"/>
    <w:rsid w:val="00E35CF6"/>
    <w:rsid w:val="00E360AF"/>
    <w:rsid w:val="00E36B51"/>
    <w:rsid w:val="00E375E0"/>
    <w:rsid w:val="00E378E1"/>
    <w:rsid w:val="00E37B2F"/>
    <w:rsid w:val="00E40747"/>
    <w:rsid w:val="00E40BFE"/>
    <w:rsid w:val="00E4140D"/>
    <w:rsid w:val="00E41443"/>
    <w:rsid w:val="00E41668"/>
    <w:rsid w:val="00E41A9B"/>
    <w:rsid w:val="00E42B96"/>
    <w:rsid w:val="00E42FAF"/>
    <w:rsid w:val="00E43089"/>
    <w:rsid w:val="00E43157"/>
    <w:rsid w:val="00E43E67"/>
    <w:rsid w:val="00E44213"/>
    <w:rsid w:val="00E44296"/>
    <w:rsid w:val="00E4532E"/>
    <w:rsid w:val="00E4536B"/>
    <w:rsid w:val="00E463DB"/>
    <w:rsid w:val="00E467F0"/>
    <w:rsid w:val="00E46898"/>
    <w:rsid w:val="00E46EFE"/>
    <w:rsid w:val="00E46FDB"/>
    <w:rsid w:val="00E51008"/>
    <w:rsid w:val="00E51273"/>
    <w:rsid w:val="00E513A5"/>
    <w:rsid w:val="00E513DB"/>
    <w:rsid w:val="00E513EF"/>
    <w:rsid w:val="00E51F06"/>
    <w:rsid w:val="00E52276"/>
    <w:rsid w:val="00E525F2"/>
    <w:rsid w:val="00E53037"/>
    <w:rsid w:val="00E5430E"/>
    <w:rsid w:val="00E54794"/>
    <w:rsid w:val="00E5B3FC"/>
    <w:rsid w:val="00E604D9"/>
    <w:rsid w:val="00E606F8"/>
    <w:rsid w:val="00E60867"/>
    <w:rsid w:val="00E6113C"/>
    <w:rsid w:val="00E61909"/>
    <w:rsid w:val="00E61916"/>
    <w:rsid w:val="00E62B64"/>
    <w:rsid w:val="00E65656"/>
    <w:rsid w:val="00E656FE"/>
    <w:rsid w:val="00E66B1A"/>
    <w:rsid w:val="00E6774A"/>
    <w:rsid w:val="00E67C0C"/>
    <w:rsid w:val="00E7094C"/>
    <w:rsid w:val="00E71419"/>
    <w:rsid w:val="00E71FD3"/>
    <w:rsid w:val="00E720D1"/>
    <w:rsid w:val="00E72733"/>
    <w:rsid w:val="00E72CB3"/>
    <w:rsid w:val="00E73916"/>
    <w:rsid w:val="00E73BDF"/>
    <w:rsid w:val="00E74372"/>
    <w:rsid w:val="00E75766"/>
    <w:rsid w:val="00E75918"/>
    <w:rsid w:val="00E75BA5"/>
    <w:rsid w:val="00E75BC5"/>
    <w:rsid w:val="00E76EB3"/>
    <w:rsid w:val="00E814D6"/>
    <w:rsid w:val="00E82280"/>
    <w:rsid w:val="00E82B6F"/>
    <w:rsid w:val="00E8301B"/>
    <w:rsid w:val="00E85A28"/>
    <w:rsid w:val="00E860C3"/>
    <w:rsid w:val="00E8662C"/>
    <w:rsid w:val="00E86B87"/>
    <w:rsid w:val="00E877E0"/>
    <w:rsid w:val="00E90E7C"/>
    <w:rsid w:val="00E90FAC"/>
    <w:rsid w:val="00E92B2D"/>
    <w:rsid w:val="00E932AA"/>
    <w:rsid w:val="00E93C14"/>
    <w:rsid w:val="00E93C45"/>
    <w:rsid w:val="00E94637"/>
    <w:rsid w:val="00E94E8E"/>
    <w:rsid w:val="00E9514F"/>
    <w:rsid w:val="00E95732"/>
    <w:rsid w:val="00E95BE0"/>
    <w:rsid w:val="00E95E3D"/>
    <w:rsid w:val="00E96277"/>
    <w:rsid w:val="00E977D9"/>
    <w:rsid w:val="00E97922"/>
    <w:rsid w:val="00EA034B"/>
    <w:rsid w:val="00EA0D92"/>
    <w:rsid w:val="00EA0E72"/>
    <w:rsid w:val="00EA32C7"/>
    <w:rsid w:val="00EA3730"/>
    <w:rsid w:val="00EA37C0"/>
    <w:rsid w:val="00EA48AD"/>
    <w:rsid w:val="00EA4934"/>
    <w:rsid w:val="00EA4962"/>
    <w:rsid w:val="00EA4A7F"/>
    <w:rsid w:val="00EA560E"/>
    <w:rsid w:val="00EA583C"/>
    <w:rsid w:val="00EA6309"/>
    <w:rsid w:val="00EA66CE"/>
    <w:rsid w:val="00EA778A"/>
    <w:rsid w:val="00EB02A5"/>
    <w:rsid w:val="00EB059D"/>
    <w:rsid w:val="00EB184F"/>
    <w:rsid w:val="00EB19CD"/>
    <w:rsid w:val="00EB1C39"/>
    <w:rsid w:val="00EB1D05"/>
    <w:rsid w:val="00EB1E75"/>
    <w:rsid w:val="00EB2241"/>
    <w:rsid w:val="00EB23E0"/>
    <w:rsid w:val="00EB3191"/>
    <w:rsid w:val="00EB3A4F"/>
    <w:rsid w:val="00EB3B3D"/>
    <w:rsid w:val="00EB3C21"/>
    <w:rsid w:val="00EB4F98"/>
    <w:rsid w:val="00EB64A6"/>
    <w:rsid w:val="00EB6C19"/>
    <w:rsid w:val="00EB7039"/>
    <w:rsid w:val="00EB7451"/>
    <w:rsid w:val="00EB7853"/>
    <w:rsid w:val="00EB7A3E"/>
    <w:rsid w:val="00EC12EA"/>
    <w:rsid w:val="00EC152E"/>
    <w:rsid w:val="00EC289A"/>
    <w:rsid w:val="00EC2BCD"/>
    <w:rsid w:val="00EC397F"/>
    <w:rsid w:val="00EC5225"/>
    <w:rsid w:val="00EC5DBE"/>
    <w:rsid w:val="00EC5E00"/>
    <w:rsid w:val="00EC6D0C"/>
    <w:rsid w:val="00ED0A38"/>
    <w:rsid w:val="00ED23DB"/>
    <w:rsid w:val="00ED33B7"/>
    <w:rsid w:val="00ED3705"/>
    <w:rsid w:val="00ED3E94"/>
    <w:rsid w:val="00ED4082"/>
    <w:rsid w:val="00ED447F"/>
    <w:rsid w:val="00ED65F0"/>
    <w:rsid w:val="00ED6673"/>
    <w:rsid w:val="00ED6A13"/>
    <w:rsid w:val="00ED6E89"/>
    <w:rsid w:val="00ED7659"/>
    <w:rsid w:val="00ED7759"/>
    <w:rsid w:val="00ED7868"/>
    <w:rsid w:val="00EE06AE"/>
    <w:rsid w:val="00EE0736"/>
    <w:rsid w:val="00EE0D15"/>
    <w:rsid w:val="00EE1727"/>
    <w:rsid w:val="00EE270D"/>
    <w:rsid w:val="00EE2A57"/>
    <w:rsid w:val="00EE374F"/>
    <w:rsid w:val="00EE3FC0"/>
    <w:rsid w:val="00EE438B"/>
    <w:rsid w:val="00EE6233"/>
    <w:rsid w:val="00EE72EC"/>
    <w:rsid w:val="00EF0B32"/>
    <w:rsid w:val="00EF1273"/>
    <w:rsid w:val="00EF20A2"/>
    <w:rsid w:val="00EF233A"/>
    <w:rsid w:val="00EF37B2"/>
    <w:rsid w:val="00EF3F07"/>
    <w:rsid w:val="00EF41B4"/>
    <w:rsid w:val="00EF481E"/>
    <w:rsid w:val="00EF5BD3"/>
    <w:rsid w:val="00EF5F2C"/>
    <w:rsid w:val="00EF601F"/>
    <w:rsid w:val="00EF603E"/>
    <w:rsid w:val="00EF60CF"/>
    <w:rsid w:val="00EF65DB"/>
    <w:rsid w:val="00EF688C"/>
    <w:rsid w:val="00F00178"/>
    <w:rsid w:val="00F023DB"/>
    <w:rsid w:val="00F024AD"/>
    <w:rsid w:val="00F03031"/>
    <w:rsid w:val="00F03095"/>
    <w:rsid w:val="00F03586"/>
    <w:rsid w:val="00F03F98"/>
    <w:rsid w:val="00F055C4"/>
    <w:rsid w:val="00F0607D"/>
    <w:rsid w:val="00F06DD0"/>
    <w:rsid w:val="00F06F87"/>
    <w:rsid w:val="00F0716A"/>
    <w:rsid w:val="00F0FED7"/>
    <w:rsid w:val="00F10F9F"/>
    <w:rsid w:val="00F11077"/>
    <w:rsid w:val="00F118FD"/>
    <w:rsid w:val="00F120C0"/>
    <w:rsid w:val="00F12E97"/>
    <w:rsid w:val="00F13FEE"/>
    <w:rsid w:val="00F14302"/>
    <w:rsid w:val="00F14D19"/>
    <w:rsid w:val="00F1511F"/>
    <w:rsid w:val="00F1546D"/>
    <w:rsid w:val="00F155BA"/>
    <w:rsid w:val="00F15673"/>
    <w:rsid w:val="00F15B92"/>
    <w:rsid w:val="00F16090"/>
    <w:rsid w:val="00F16BBF"/>
    <w:rsid w:val="00F17877"/>
    <w:rsid w:val="00F208D1"/>
    <w:rsid w:val="00F20CC7"/>
    <w:rsid w:val="00F22486"/>
    <w:rsid w:val="00F22EEA"/>
    <w:rsid w:val="00F22FC3"/>
    <w:rsid w:val="00F2384A"/>
    <w:rsid w:val="00F238A9"/>
    <w:rsid w:val="00F23DD9"/>
    <w:rsid w:val="00F23EBF"/>
    <w:rsid w:val="00F2522F"/>
    <w:rsid w:val="00F259B1"/>
    <w:rsid w:val="00F25F93"/>
    <w:rsid w:val="00F26004"/>
    <w:rsid w:val="00F26714"/>
    <w:rsid w:val="00F272E3"/>
    <w:rsid w:val="00F31901"/>
    <w:rsid w:val="00F319EE"/>
    <w:rsid w:val="00F331DE"/>
    <w:rsid w:val="00F339F4"/>
    <w:rsid w:val="00F35C64"/>
    <w:rsid w:val="00F366C2"/>
    <w:rsid w:val="00F36BA8"/>
    <w:rsid w:val="00F370D3"/>
    <w:rsid w:val="00F375A7"/>
    <w:rsid w:val="00F37AA0"/>
    <w:rsid w:val="00F40153"/>
    <w:rsid w:val="00F40664"/>
    <w:rsid w:val="00F41415"/>
    <w:rsid w:val="00F4213C"/>
    <w:rsid w:val="00F425C0"/>
    <w:rsid w:val="00F42A4B"/>
    <w:rsid w:val="00F42B13"/>
    <w:rsid w:val="00F42C02"/>
    <w:rsid w:val="00F434F7"/>
    <w:rsid w:val="00F4358C"/>
    <w:rsid w:val="00F436C6"/>
    <w:rsid w:val="00F43BC9"/>
    <w:rsid w:val="00F43F60"/>
    <w:rsid w:val="00F449EF"/>
    <w:rsid w:val="00F44A6C"/>
    <w:rsid w:val="00F44CA9"/>
    <w:rsid w:val="00F45352"/>
    <w:rsid w:val="00F45B0A"/>
    <w:rsid w:val="00F46294"/>
    <w:rsid w:val="00F4629C"/>
    <w:rsid w:val="00F46ECA"/>
    <w:rsid w:val="00F47082"/>
    <w:rsid w:val="00F47427"/>
    <w:rsid w:val="00F4749C"/>
    <w:rsid w:val="00F47697"/>
    <w:rsid w:val="00F4795E"/>
    <w:rsid w:val="00F479D3"/>
    <w:rsid w:val="00F50125"/>
    <w:rsid w:val="00F51527"/>
    <w:rsid w:val="00F51D89"/>
    <w:rsid w:val="00F5213A"/>
    <w:rsid w:val="00F52842"/>
    <w:rsid w:val="00F533DE"/>
    <w:rsid w:val="00F55744"/>
    <w:rsid w:val="00F562B0"/>
    <w:rsid w:val="00F5693D"/>
    <w:rsid w:val="00F56E26"/>
    <w:rsid w:val="00F60C4D"/>
    <w:rsid w:val="00F6124B"/>
    <w:rsid w:val="00F63276"/>
    <w:rsid w:val="00F638A3"/>
    <w:rsid w:val="00F646A3"/>
    <w:rsid w:val="00F64917"/>
    <w:rsid w:val="00F65769"/>
    <w:rsid w:val="00F65BC8"/>
    <w:rsid w:val="00F66716"/>
    <w:rsid w:val="00F6732D"/>
    <w:rsid w:val="00F678B6"/>
    <w:rsid w:val="00F67A0F"/>
    <w:rsid w:val="00F67D43"/>
    <w:rsid w:val="00F70C95"/>
    <w:rsid w:val="00F71E9D"/>
    <w:rsid w:val="00F737CA"/>
    <w:rsid w:val="00F73C5B"/>
    <w:rsid w:val="00F73E72"/>
    <w:rsid w:val="00F7435E"/>
    <w:rsid w:val="00F7452C"/>
    <w:rsid w:val="00F7481F"/>
    <w:rsid w:val="00F74AEC"/>
    <w:rsid w:val="00F75225"/>
    <w:rsid w:val="00F76DF3"/>
    <w:rsid w:val="00F76E1A"/>
    <w:rsid w:val="00F770A4"/>
    <w:rsid w:val="00F772B8"/>
    <w:rsid w:val="00F772D8"/>
    <w:rsid w:val="00F77955"/>
    <w:rsid w:val="00F80C04"/>
    <w:rsid w:val="00F81160"/>
    <w:rsid w:val="00F816D6"/>
    <w:rsid w:val="00F81CE6"/>
    <w:rsid w:val="00F81FDF"/>
    <w:rsid w:val="00F82290"/>
    <w:rsid w:val="00F82378"/>
    <w:rsid w:val="00F823D2"/>
    <w:rsid w:val="00F823FD"/>
    <w:rsid w:val="00F825AF"/>
    <w:rsid w:val="00F82811"/>
    <w:rsid w:val="00F82941"/>
    <w:rsid w:val="00F82A9C"/>
    <w:rsid w:val="00F82ACB"/>
    <w:rsid w:val="00F82D67"/>
    <w:rsid w:val="00F834DF"/>
    <w:rsid w:val="00F83529"/>
    <w:rsid w:val="00F83A26"/>
    <w:rsid w:val="00F83B38"/>
    <w:rsid w:val="00F85114"/>
    <w:rsid w:val="00F855B5"/>
    <w:rsid w:val="00F857AF"/>
    <w:rsid w:val="00F85967"/>
    <w:rsid w:val="00F85FF9"/>
    <w:rsid w:val="00F87ACF"/>
    <w:rsid w:val="00F87E14"/>
    <w:rsid w:val="00F901E6"/>
    <w:rsid w:val="00F9025C"/>
    <w:rsid w:val="00F906F2"/>
    <w:rsid w:val="00F914B9"/>
    <w:rsid w:val="00F92D76"/>
    <w:rsid w:val="00F93435"/>
    <w:rsid w:val="00F93AAC"/>
    <w:rsid w:val="00F93EA8"/>
    <w:rsid w:val="00F93F49"/>
    <w:rsid w:val="00F94125"/>
    <w:rsid w:val="00F952B4"/>
    <w:rsid w:val="00F952BA"/>
    <w:rsid w:val="00F958AD"/>
    <w:rsid w:val="00F959DA"/>
    <w:rsid w:val="00F95B4F"/>
    <w:rsid w:val="00F96620"/>
    <w:rsid w:val="00F97632"/>
    <w:rsid w:val="00F979BA"/>
    <w:rsid w:val="00F97BBB"/>
    <w:rsid w:val="00F97EB3"/>
    <w:rsid w:val="00FA07EF"/>
    <w:rsid w:val="00FA1450"/>
    <w:rsid w:val="00FA1EA6"/>
    <w:rsid w:val="00FA22BE"/>
    <w:rsid w:val="00FA2ABB"/>
    <w:rsid w:val="00FA35BD"/>
    <w:rsid w:val="00FA3678"/>
    <w:rsid w:val="00FA48A8"/>
    <w:rsid w:val="00FA52CC"/>
    <w:rsid w:val="00FA5AA5"/>
    <w:rsid w:val="00FA66F0"/>
    <w:rsid w:val="00FA720C"/>
    <w:rsid w:val="00FA7D31"/>
    <w:rsid w:val="00FB0243"/>
    <w:rsid w:val="00FB035C"/>
    <w:rsid w:val="00FB063B"/>
    <w:rsid w:val="00FB0A06"/>
    <w:rsid w:val="00FB1A10"/>
    <w:rsid w:val="00FB215E"/>
    <w:rsid w:val="00FB2309"/>
    <w:rsid w:val="00FB3D7E"/>
    <w:rsid w:val="00FB3DB1"/>
    <w:rsid w:val="00FB3F12"/>
    <w:rsid w:val="00FB511E"/>
    <w:rsid w:val="00FB5DA3"/>
    <w:rsid w:val="00FB746E"/>
    <w:rsid w:val="00FC0077"/>
    <w:rsid w:val="00FC0913"/>
    <w:rsid w:val="00FC0D92"/>
    <w:rsid w:val="00FC1850"/>
    <w:rsid w:val="00FC1867"/>
    <w:rsid w:val="00FC227D"/>
    <w:rsid w:val="00FC2A39"/>
    <w:rsid w:val="00FC2AC7"/>
    <w:rsid w:val="00FC34D1"/>
    <w:rsid w:val="00FC3567"/>
    <w:rsid w:val="00FC38F8"/>
    <w:rsid w:val="00FC39FC"/>
    <w:rsid w:val="00FC3E8A"/>
    <w:rsid w:val="00FC4004"/>
    <w:rsid w:val="00FC400D"/>
    <w:rsid w:val="00FC4021"/>
    <w:rsid w:val="00FC40AE"/>
    <w:rsid w:val="00FC410B"/>
    <w:rsid w:val="00FC49B7"/>
    <w:rsid w:val="00FC4A47"/>
    <w:rsid w:val="00FC60C1"/>
    <w:rsid w:val="00FC61C7"/>
    <w:rsid w:val="00FC667D"/>
    <w:rsid w:val="00FC7102"/>
    <w:rsid w:val="00FC718D"/>
    <w:rsid w:val="00FC728E"/>
    <w:rsid w:val="00FC7936"/>
    <w:rsid w:val="00FC7958"/>
    <w:rsid w:val="00FC79A4"/>
    <w:rsid w:val="00FC7BE1"/>
    <w:rsid w:val="00FC7D4E"/>
    <w:rsid w:val="00FD02D9"/>
    <w:rsid w:val="00FD043A"/>
    <w:rsid w:val="00FD0AB4"/>
    <w:rsid w:val="00FD0D81"/>
    <w:rsid w:val="00FD5C61"/>
    <w:rsid w:val="00FD6212"/>
    <w:rsid w:val="00FD7899"/>
    <w:rsid w:val="00FD7A58"/>
    <w:rsid w:val="00FD7DEA"/>
    <w:rsid w:val="00FE0B9F"/>
    <w:rsid w:val="00FE1278"/>
    <w:rsid w:val="00FE18DD"/>
    <w:rsid w:val="00FE229E"/>
    <w:rsid w:val="00FE2780"/>
    <w:rsid w:val="00FE37CF"/>
    <w:rsid w:val="00FE40E7"/>
    <w:rsid w:val="00FE4542"/>
    <w:rsid w:val="00FE4B52"/>
    <w:rsid w:val="00FE4F91"/>
    <w:rsid w:val="00FE581F"/>
    <w:rsid w:val="00FE6141"/>
    <w:rsid w:val="00FE6265"/>
    <w:rsid w:val="00FE6284"/>
    <w:rsid w:val="00FE631E"/>
    <w:rsid w:val="00FE64AD"/>
    <w:rsid w:val="00FE6E8F"/>
    <w:rsid w:val="00FF01D2"/>
    <w:rsid w:val="00FF08F5"/>
    <w:rsid w:val="00FF0AFA"/>
    <w:rsid w:val="00FF1502"/>
    <w:rsid w:val="00FF1678"/>
    <w:rsid w:val="00FF2232"/>
    <w:rsid w:val="00FF23B4"/>
    <w:rsid w:val="00FF25CF"/>
    <w:rsid w:val="00FF326B"/>
    <w:rsid w:val="00FF3C02"/>
    <w:rsid w:val="00FF4FA4"/>
    <w:rsid w:val="00FF59BA"/>
    <w:rsid w:val="00FF6255"/>
    <w:rsid w:val="00FF71F7"/>
    <w:rsid w:val="00FF738A"/>
    <w:rsid w:val="00FF753D"/>
    <w:rsid w:val="00FF771C"/>
    <w:rsid w:val="0104109A"/>
    <w:rsid w:val="0106773A"/>
    <w:rsid w:val="0106995E"/>
    <w:rsid w:val="010B6E47"/>
    <w:rsid w:val="01150480"/>
    <w:rsid w:val="01158627"/>
    <w:rsid w:val="01175B38"/>
    <w:rsid w:val="011E7CDB"/>
    <w:rsid w:val="0122C0A8"/>
    <w:rsid w:val="012AE4A3"/>
    <w:rsid w:val="0133213A"/>
    <w:rsid w:val="014A9652"/>
    <w:rsid w:val="014E77F7"/>
    <w:rsid w:val="0155884C"/>
    <w:rsid w:val="01589159"/>
    <w:rsid w:val="015AFFC1"/>
    <w:rsid w:val="01642171"/>
    <w:rsid w:val="01693E08"/>
    <w:rsid w:val="017A2B64"/>
    <w:rsid w:val="0187A1E0"/>
    <w:rsid w:val="01992C13"/>
    <w:rsid w:val="01A47287"/>
    <w:rsid w:val="01A6A463"/>
    <w:rsid w:val="01BC26E2"/>
    <w:rsid w:val="01CF8667"/>
    <w:rsid w:val="01D02350"/>
    <w:rsid w:val="01DD3D70"/>
    <w:rsid w:val="01E357E1"/>
    <w:rsid w:val="01E6374A"/>
    <w:rsid w:val="01EB75E2"/>
    <w:rsid w:val="01F22EA9"/>
    <w:rsid w:val="01F63722"/>
    <w:rsid w:val="0216F283"/>
    <w:rsid w:val="02272AAF"/>
    <w:rsid w:val="022E3DB8"/>
    <w:rsid w:val="0234B093"/>
    <w:rsid w:val="02362B39"/>
    <w:rsid w:val="0237699F"/>
    <w:rsid w:val="023C8672"/>
    <w:rsid w:val="023D0CBE"/>
    <w:rsid w:val="0246E101"/>
    <w:rsid w:val="02513AFA"/>
    <w:rsid w:val="0256F110"/>
    <w:rsid w:val="025A6610"/>
    <w:rsid w:val="025C704F"/>
    <w:rsid w:val="025E0ADA"/>
    <w:rsid w:val="026038DA"/>
    <w:rsid w:val="02691963"/>
    <w:rsid w:val="026E065C"/>
    <w:rsid w:val="02762ED8"/>
    <w:rsid w:val="02775BD0"/>
    <w:rsid w:val="0279774F"/>
    <w:rsid w:val="0285FD9F"/>
    <w:rsid w:val="02900224"/>
    <w:rsid w:val="029CADA4"/>
    <w:rsid w:val="029F595B"/>
    <w:rsid w:val="029FB1E0"/>
    <w:rsid w:val="029FE254"/>
    <w:rsid w:val="02A7581E"/>
    <w:rsid w:val="02B08471"/>
    <w:rsid w:val="02B69A23"/>
    <w:rsid w:val="02C451C0"/>
    <w:rsid w:val="02CAC906"/>
    <w:rsid w:val="02D1205E"/>
    <w:rsid w:val="02D188F9"/>
    <w:rsid w:val="02DDA3A2"/>
    <w:rsid w:val="02DDD155"/>
    <w:rsid w:val="02E282EA"/>
    <w:rsid w:val="02EEAE25"/>
    <w:rsid w:val="02FA8C44"/>
    <w:rsid w:val="02FD02AB"/>
    <w:rsid w:val="02FF6468"/>
    <w:rsid w:val="0301895E"/>
    <w:rsid w:val="0321FD48"/>
    <w:rsid w:val="03289558"/>
    <w:rsid w:val="03290D01"/>
    <w:rsid w:val="0329AD21"/>
    <w:rsid w:val="032D3B53"/>
    <w:rsid w:val="032E8ECF"/>
    <w:rsid w:val="0334CB93"/>
    <w:rsid w:val="0334E49F"/>
    <w:rsid w:val="033B8AD3"/>
    <w:rsid w:val="036192B6"/>
    <w:rsid w:val="0362F1C9"/>
    <w:rsid w:val="03662C27"/>
    <w:rsid w:val="0377AE1C"/>
    <w:rsid w:val="037DFBC5"/>
    <w:rsid w:val="038416D0"/>
    <w:rsid w:val="0385C2A7"/>
    <w:rsid w:val="0385D20A"/>
    <w:rsid w:val="03870993"/>
    <w:rsid w:val="0396DC7F"/>
    <w:rsid w:val="03AC079E"/>
    <w:rsid w:val="03C1E177"/>
    <w:rsid w:val="03C2123F"/>
    <w:rsid w:val="03C40CDF"/>
    <w:rsid w:val="03C46A59"/>
    <w:rsid w:val="03D05B99"/>
    <w:rsid w:val="03D49993"/>
    <w:rsid w:val="03ED2781"/>
    <w:rsid w:val="03F0384B"/>
    <w:rsid w:val="03F2D840"/>
    <w:rsid w:val="03F977CF"/>
    <w:rsid w:val="03F9C360"/>
    <w:rsid w:val="0403D0B6"/>
    <w:rsid w:val="040516FE"/>
    <w:rsid w:val="0412DADE"/>
    <w:rsid w:val="0426B8C0"/>
    <w:rsid w:val="0427221D"/>
    <w:rsid w:val="042E84B7"/>
    <w:rsid w:val="0442C922"/>
    <w:rsid w:val="044C4E34"/>
    <w:rsid w:val="04582AF8"/>
    <w:rsid w:val="045B3D86"/>
    <w:rsid w:val="045BD22E"/>
    <w:rsid w:val="045F2013"/>
    <w:rsid w:val="0466821F"/>
    <w:rsid w:val="0471CFCC"/>
    <w:rsid w:val="04782C40"/>
    <w:rsid w:val="04793EB4"/>
    <w:rsid w:val="04C03660"/>
    <w:rsid w:val="04C1B1D1"/>
    <w:rsid w:val="04CA873E"/>
    <w:rsid w:val="04DDD299"/>
    <w:rsid w:val="04E4AB59"/>
    <w:rsid w:val="04E5311D"/>
    <w:rsid w:val="04E72E01"/>
    <w:rsid w:val="04F4DE63"/>
    <w:rsid w:val="04FB91C2"/>
    <w:rsid w:val="050260FB"/>
    <w:rsid w:val="05028304"/>
    <w:rsid w:val="05084FCA"/>
    <w:rsid w:val="050BB9CE"/>
    <w:rsid w:val="0540C9E2"/>
    <w:rsid w:val="05426073"/>
    <w:rsid w:val="0545636D"/>
    <w:rsid w:val="054B5E58"/>
    <w:rsid w:val="05525A28"/>
    <w:rsid w:val="05548E51"/>
    <w:rsid w:val="056D9F76"/>
    <w:rsid w:val="0574AE7B"/>
    <w:rsid w:val="0576BDBC"/>
    <w:rsid w:val="057A0933"/>
    <w:rsid w:val="0584DFAD"/>
    <w:rsid w:val="0585327E"/>
    <w:rsid w:val="05956DAF"/>
    <w:rsid w:val="059B377E"/>
    <w:rsid w:val="05A08C28"/>
    <w:rsid w:val="05A631FE"/>
    <w:rsid w:val="05C1E31B"/>
    <w:rsid w:val="05C50080"/>
    <w:rsid w:val="05DC85E8"/>
    <w:rsid w:val="05EA1DD0"/>
    <w:rsid w:val="05F428BC"/>
    <w:rsid w:val="05F63E51"/>
    <w:rsid w:val="05FA5A73"/>
    <w:rsid w:val="05FB41A9"/>
    <w:rsid w:val="05FC9B44"/>
    <w:rsid w:val="05FE7838"/>
    <w:rsid w:val="05FE9C60"/>
    <w:rsid w:val="0606B896"/>
    <w:rsid w:val="060736EB"/>
    <w:rsid w:val="06184648"/>
    <w:rsid w:val="061BAA43"/>
    <w:rsid w:val="063AA8E1"/>
    <w:rsid w:val="0644C4BB"/>
    <w:rsid w:val="06460B09"/>
    <w:rsid w:val="064D241C"/>
    <w:rsid w:val="064F67A3"/>
    <w:rsid w:val="064F69EC"/>
    <w:rsid w:val="0655DDAA"/>
    <w:rsid w:val="06581E1B"/>
    <w:rsid w:val="0663B391"/>
    <w:rsid w:val="066689CC"/>
    <w:rsid w:val="0676FD2A"/>
    <w:rsid w:val="06774108"/>
    <w:rsid w:val="067C075D"/>
    <w:rsid w:val="067CB334"/>
    <w:rsid w:val="0691E935"/>
    <w:rsid w:val="069F31C5"/>
    <w:rsid w:val="06A78A73"/>
    <w:rsid w:val="06AB90D1"/>
    <w:rsid w:val="06ABB640"/>
    <w:rsid w:val="06B17CC1"/>
    <w:rsid w:val="06B2B688"/>
    <w:rsid w:val="06C283F4"/>
    <w:rsid w:val="06C369A9"/>
    <w:rsid w:val="06CB1C41"/>
    <w:rsid w:val="06D627B8"/>
    <w:rsid w:val="06E26EBF"/>
    <w:rsid w:val="06ECCEAB"/>
    <w:rsid w:val="06EE6CDF"/>
    <w:rsid w:val="0708BF0D"/>
    <w:rsid w:val="070AE122"/>
    <w:rsid w:val="070BD462"/>
    <w:rsid w:val="07221464"/>
    <w:rsid w:val="0722A5E3"/>
    <w:rsid w:val="0731BA1E"/>
    <w:rsid w:val="073C0FBA"/>
    <w:rsid w:val="073D2575"/>
    <w:rsid w:val="075127C4"/>
    <w:rsid w:val="0759F34E"/>
    <w:rsid w:val="0764C705"/>
    <w:rsid w:val="0779D5C1"/>
    <w:rsid w:val="077A146D"/>
    <w:rsid w:val="07920EB2"/>
    <w:rsid w:val="0798531F"/>
    <w:rsid w:val="07AACA11"/>
    <w:rsid w:val="07B0058D"/>
    <w:rsid w:val="07BEF718"/>
    <w:rsid w:val="07CB6333"/>
    <w:rsid w:val="07D3828F"/>
    <w:rsid w:val="07DFC15E"/>
    <w:rsid w:val="07E1EB35"/>
    <w:rsid w:val="07E4AA1F"/>
    <w:rsid w:val="07F3D697"/>
    <w:rsid w:val="07F6E69C"/>
    <w:rsid w:val="07FC3B18"/>
    <w:rsid w:val="0806DFB8"/>
    <w:rsid w:val="08073A82"/>
    <w:rsid w:val="0820C54D"/>
    <w:rsid w:val="0824F19E"/>
    <w:rsid w:val="0826B50E"/>
    <w:rsid w:val="0833C636"/>
    <w:rsid w:val="0844A31B"/>
    <w:rsid w:val="08486163"/>
    <w:rsid w:val="085032CF"/>
    <w:rsid w:val="087C9BDC"/>
    <w:rsid w:val="087D91A6"/>
    <w:rsid w:val="088C463E"/>
    <w:rsid w:val="088E679D"/>
    <w:rsid w:val="088EC42D"/>
    <w:rsid w:val="08902BDE"/>
    <w:rsid w:val="08927206"/>
    <w:rsid w:val="089BF854"/>
    <w:rsid w:val="08A0430B"/>
    <w:rsid w:val="08C72CDB"/>
    <w:rsid w:val="08D21CF8"/>
    <w:rsid w:val="08E5C258"/>
    <w:rsid w:val="08E641AB"/>
    <w:rsid w:val="08E6A1C1"/>
    <w:rsid w:val="08FD8EF5"/>
    <w:rsid w:val="0914537D"/>
    <w:rsid w:val="091F54AA"/>
    <w:rsid w:val="0929F7CC"/>
    <w:rsid w:val="092C5A87"/>
    <w:rsid w:val="0936496A"/>
    <w:rsid w:val="0940975D"/>
    <w:rsid w:val="0944813A"/>
    <w:rsid w:val="09449325"/>
    <w:rsid w:val="0953A054"/>
    <w:rsid w:val="095689A1"/>
    <w:rsid w:val="09603292"/>
    <w:rsid w:val="0967DDFB"/>
    <w:rsid w:val="0967E08D"/>
    <w:rsid w:val="096C6D8E"/>
    <w:rsid w:val="098F88CE"/>
    <w:rsid w:val="09957374"/>
    <w:rsid w:val="09965FDF"/>
    <w:rsid w:val="09A1945B"/>
    <w:rsid w:val="09A33B2B"/>
    <w:rsid w:val="09A83696"/>
    <w:rsid w:val="09A8A103"/>
    <w:rsid w:val="09B3C7A4"/>
    <w:rsid w:val="09B83B80"/>
    <w:rsid w:val="09C28752"/>
    <w:rsid w:val="09CABB20"/>
    <w:rsid w:val="09CFBD20"/>
    <w:rsid w:val="09D2469D"/>
    <w:rsid w:val="09E26696"/>
    <w:rsid w:val="09E83170"/>
    <w:rsid w:val="09FA0D97"/>
    <w:rsid w:val="0A012183"/>
    <w:rsid w:val="0A153208"/>
    <w:rsid w:val="0A37C3FA"/>
    <w:rsid w:val="0A39B7EA"/>
    <w:rsid w:val="0A4ACAED"/>
    <w:rsid w:val="0A5BD4C7"/>
    <w:rsid w:val="0A67C813"/>
    <w:rsid w:val="0A7006C9"/>
    <w:rsid w:val="0A78752E"/>
    <w:rsid w:val="0A82861A"/>
    <w:rsid w:val="0A89976B"/>
    <w:rsid w:val="0A9A4183"/>
    <w:rsid w:val="0A9FB9A8"/>
    <w:rsid w:val="0AAA2041"/>
    <w:rsid w:val="0AB9FCF6"/>
    <w:rsid w:val="0ABAFDE5"/>
    <w:rsid w:val="0ABBE3CC"/>
    <w:rsid w:val="0ABE549A"/>
    <w:rsid w:val="0ABEF36F"/>
    <w:rsid w:val="0AC91A55"/>
    <w:rsid w:val="0ACE74D1"/>
    <w:rsid w:val="0AD448C2"/>
    <w:rsid w:val="0AE0B965"/>
    <w:rsid w:val="0AE3E195"/>
    <w:rsid w:val="0AEA27AD"/>
    <w:rsid w:val="0AF31D16"/>
    <w:rsid w:val="0AF9909B"/>
    <w:rsid w:val="0AFBC2D8"/>
    <w:rsid w:val="0B00612A"/>
    <w:rsid w:val="0B063E9A"/>
    <w:rsid w:val="0B0AD535"/>
    <w:rsid w:val="0B173E28"/>
    <w:rsid w:val="0B21B1C8"/>
    <w:rsid w:val="0B3DA60B"/>
    <w:rsid w:val="0B497387"/>
    <w:rsid w:val="0B4B71A9"/>
    <w:rsid w:val="0B5C96C9"/>
    <w:rsid w:val="0B5FBF20"/>
    <w:rsid w:val="0B7590A7"/>
    <w:rsid w:val="0B7E94E8"/>
    <w:rsid w:val="0B81D057"/>
    <w:rsid w:val="0B951C2A"/>
    <w:rsid w:val="0B962503"/>
    <w:rsid w:val="0BAAB2F6"/>
    <w:rsid w:val="0BAB6D47"/>
    <w:rsid w:val="0BB179C8"/>
    <w:rsid w:val="0BBE0624"/>
    <w:rsid w:val="0BC05143"/>
    <w:rsid w:val="0BEC36FD"/>
    <w:rsid w:val="0BFF580B"/>
    <w:rsid w:val="0C100042"/>
    <w:rsid w:val="0C1039CE"/>
    <w:rsid w:val="0C13C12C"/>
    <w:rsid w:val="0C19E936"/>
    <w:rsid w:val="0C38414D"/>
    <w:rsid w:val="0C3FC51C"/>
    <w:rsid w:val="0C42894D"/>
    <w:rsid w:val="0C491D78"/>
    <w:rsid w:val="0C4DBC95"/>
    <w:rsid w:val="0C55CFE3"/>
    <w:rsid w:val="0C644FF7"/>
    <w:rsid w:val="0C6F8094"/>
    <w:rsid w:val="0C713D89"/>
    <w:rsid w:val="0C989C33"/>
    <w:rsid w:val="0CA9D8DE"/>
    <w:rsid w:val="0CB0E2D5"/>
    <w:rsid w:val="0CB85022"/>
    <w:rsid w:val="0CC849D7"/>
    <w:rsid w:val="0CD78D1B"/>
    <w:rsid w:val="0CDF0C5D"/>
    <w:rsid w:val="0CE18224"/>
    <w:rsid w:val="0CE3FBF6"/>
    <w:rsid w:val="0CF5227C"/>
    <w:rsid w:val="0D0C549D"/>
    <w:rsid w:val="0D16DBD9"/>
    <w:rsid w:val="0D21B99C"/>
    <w:rsid w:val="0D2B923F"/>
    <w:rsid w:val="0D2C51A5"/>
    <w:rsid w:val="0D3C4907"/>
    <w:rsid w:val="0D418461"/>
    <w:rsid w:val="0D4B417D"/>
    <w:rsid w:val="0D562291"/>
    <w:rsid w:val="0D8AF1AE"/>
    <w:rsid w:val="0D9A7A54"/>
    <w:rsid w:val="0D9AB6A5"/>
    <w:rsid w:val="0D9F07A0"/>
    <w:rsid w:val="0DAA8C9E"/>
    <w:rsid w:val="0DB7557D"/>
    <w:rsid w:val="0DC44D03"/>
    <w:rsid w:val="0DD431FF"/>
    <w:rsid w:val="0DD4FB3D"/>
    <w:rsid w:val="0DE7AC2E"/>
    <w:rsid w:val="0DED432C"/>
    <w:rsid w:val="0DFD9050"/>
    <w:rsid w:val="0E0724A2"/>
    <w:rsid w:val="0E1193B4"/>
    <w:rsid w:val="0E16E582"/>
    <w:rsid w:val="0E351B11"/>
    <w:rsid w:val="0E3A666B"/>
    <w:rsid w:val="0E52EC5A"/>
    <w:rsid w:val="0E6248FB"/>
    <w:rsid w:val="0E7A884E"/>
    <w:rsid w:val="0E818F5E"/>
    <w:rsid w:val="0E886B70"/>
    <w:rsid w:val="0E978EC2"/>
    <w:rsid w:val="0E9CB06F"/>
    <w:rsid w:val="0EA77C3C"/>
    <w:rsid w:val="0EA8B7A6"/>
    <w:rsid w:val="0EB83867"/>
    <w:rsid w:val="0EC2543F"/>
    <w:rsid w:val="0EC9A31F"/>
    <w:rsid w:val="0EECFD68"/>
    <w:rsid w:val="0F0112DA"/>
    <w:rsid w:val="0F025DC3"/>
    <w:rsid w:val="0F09433F"/>
    <w:rsid w:val="0F1F2ABB"/>
    <w:rsid w:val="0F2486B5"/>
    <w:rsid w:val="0F38BE82"/>
    <w:rsid w:val="0F64B9EE"/>
    <w:rsid w:val="0F804821"/>
    <w:rsid w:val="0F856A48"/>
    <w:rsid w:val="0F86D521"/>
    <w:rsid w:val="0F87D64B"/>
    <w:rsid w:val="0F8D4549"/>
    <w:rsid w:val="0F9A373D"/>
    <w:rsid w:val="0F9B510F"/>
    <w:rsid w:val="0F9F1042"/>
    <w:rsid w:val="0FAE905D"/>
    <w:rsid w:val="0FAEEF2C"/>
    <w:rsid w:val="0FBD3896"/>
    <w:rsid w:val="0FC021AC"/>
    <w:rsid w:val="0FCB362F"/>
    <w:rsid w:val="0FE59DD6"/>
    <w:rsid w:val="10062B7A"/>
    <w:rsid w:val="10114157"/>
    <w:rsid w:val="101825D2"/>
    <w:rsid w:val="101AF419"/>
    <w:rsid w:val="1022E97D"/>
    <w:rsid w:val="10297BBD"/>
    <w:rsid w:val="1044976F"/>
    <w:rsid w:val="10522F70"/>
    <w:rsid w:val="105E8A3E"/>
    <w:rsid w:val="1064CCD9"/>
    <w:rsid w:val="109225D5"/>
    <w:rsid w:val="10AF5341"/>
    <w:rsid w:val="10AFAEEF"/>
    <w:rsid w:val="10B2FAEC"/>
    <w:rsid w:val="10BC12AC"/>
    <w:rsid w:val="10BF585A"/>
    <w:rsid w:val="10C2910A"/>
    <w:rsid w:val="10D67436"/>
    <w:rsid w:val="10D6E471"/>
    <w:rsid w:val="10EAE781"/>
    <w:rsid w:val="10F3C62B"/>
    <w:rsid w:val="10FECFA9"/>
    <w:rsid w:val="11123DC6"/>
    <w:rsid w:val="111A6696"/>
    <w:rsid w:val="1131F726"/>
    <w:rsid w:val="1135B093"/>
    <w:rsid w:val="114D1529"/>
    <w:rsid w:val="1158B875"/>
    <w:rsid w:val="115F4B6A"/>
    <w:rsid w:val="11648E57"/>
    <w:rsid w:val="11687D08"/>
    <w:rsid w:val="116BA3E5"/>
    <w:rsid w:val="1174EE69"/>
    <w:rsid w:val="117F3F2D"/>
    <w:rsid w:val="1180E3D3"/>
    <w:rsid w:val="11849725"/>
    <w:rsid w:val="11A314B9"/>
    <w:rsid w:val="11B18F6C"/>
    <w:rsid w:val="11B5BAA0"/>
    <w:rsid w:val="11BEAE67"/>
    <w:rsid w:val="11C3D8CC"/>
    <w:rsid w:val="11C8EBAC"/>
    <w:rsid w:val="11C92440"/>
    <w:rsid w:val="11C9AC58"/>
    <w:rsid w:val="11D40EFC"/>
    <w:rsid w:val="11D429EC"/>
    <w:rsid w:val="11D8059F"/>
    <w:rsid w:val="11DD5473"/>
    <w:rsid w:val="11DE48BE"/>
    <w:rsid w:val="11E05514"/>
    <w:rsid w:val="11E638A2"/>
    <w:rsid w:val="11F00542"/>
    <w:rsid w:val="11F4971D"/>
    <w:rsid w:val="11FC13EA"/>
    <w:rsid w:val="11FE846B"/>
    <w:rsid w:val="121199C7"/>
    <w:rsid w:val="12130889"/>
    <w:rsid w:val="12149274"/>
    <w:rsid w:val="121AAECB"/>
    <w:rsid w:val="122FAFE1"/>
    <w:rsid w:val="12366292"/>
    <w:rsid w:val="12382445"/>
    <w:rsid w:val="1267E54D"/>
    <w:rsid w:val="12779B90"/>
    <w:rsid w:val="127CB4DB"/>
    <w:rsid w:val="128C9D74"/>
    <w:rsid w:val="1297E03D"/>
    <w:rsid w:val="129BA86C"/>
    <w:rsid w:val="12BD50EF"/>
    <w:rsid w:val="12CE19F3"/>
    <w:rsid w:val="12D41C10"/>
    <w:rsid w:val="12D5B53B"/>
    <w:rsid w:val="12F9EFC2"/>
    <w:rsid w:val="12FB2507"/>
    <w:rsid w:val="13013E54"/>
    <w:rsid w:val="130A47C9"/>
    <w:rsid w:val="130B1A72"/>
    <w:rsid w:val="1310C1F0"/>
    <w:rsid w:val="13264EF8"/>
    <w:rsid w:val="132BFC00"/>
    <w:rsid w:val="1338B2AF"/>
    <w:rsid w:val="13496B9E"/>
    <w:rsid w:val="1349EBDE"/>
    <w:rsid w:val="13555364"/>
    <w:rsid w:val="1356E763"/>
    <w:rsid w:val="1361EB63"/>
    <w:rsid w:val="13629DD1"/>
    <w:rsid w:val="13681E97"/>
    <w:rsid w:val="1376F0A5"/>
    <w:rsid w:val="137897F0"/>
    <w:rsid w:val="137F4B09"/>
    <w:rsid w:val="13847686"/>
    <w:rsid w:val="13860B68"/>
    <w:rsid w:val="13BDC1F4"/>
    <w:rsid w:val="13C9A891"/>
    <w:rsid w:val="13D0EEA3"/>
    <w:rsid w:val="13D36E5A"/>
    <w:rsid w:val="13D57498"/>
    <w:rsid w:val="13D76093"/>
    <w:rsid w:val="13E5AAAB"/>
    <w:rsid w:val="13ECFAFD"/>
    <w:rsid w:val="13F09381"/>
    <w:rsid w:val="140D2DBF"/>
    <w:rsid w:val="14272DD2"/>
    <w:rsid w:val="142FC770"/>
    <w:rsid w:val="14381E18"/>
    <w:rsid w:val="145997AD"/>
    <w:rsid w:val="145B6654"/>
    <w:rsid w:val="145E8B7E"/>
    <w:rsid w:val="14648251"/>
    <w:rsid w:val="146FF149"/>
    <w:rsid w:val="1471DF56"/>
    <w:rsid w:val="1473D873"/>
    <w:rsid w:val="1474CD27"/>
    <w:rsid w:val="1479EBAD"/>
    <w:rsid w:val="149592C6"/>
    <w:rsid w:val="1496FF2A"/>
    <w:rsid w:val="14995DDB"/>
    <w:rsid w:val="14995F20"/>
    <w:rsid w:val="149E6EEB"/>
    <w:rsid w:val="14B72941"/>
    <w:rsid w:val="14BC7AEC"/>
    <w:rsid w:val="14CA377F"/>
    <w:rsid w:val="14CE38A6"/>
    <w:rsid w:val="14CFDF08"/>
    <w:rsid w:val="14D82112"/>
    <w:rsid w:val="14DE39CB"/>
    <w:rsid w:val="14DEF465"/>
    <w:rsid w:val="14E242AC"/>
    <w:rsid w:val="14E749C2"/>
    <w:rsid w:val="14EA6900"/>
    <w:rsid w:val="14F2A32A"/>
    <w:rsid w:val="14F77C23"/>
    <w:rsid w:val="14F9E820"/>
    <w:rsid w:val="1512E913"/>
    <w:rsid w:val="15176682"/>
    <w:rsid w:val="15357D65"/>
    <w:rsid w:val="153F5B1E"/>
    <w:rsid w:val="1546F5D2"/>
    <w:rsid w:val="1548877E"/>
    <w:rsid w:val="1549DCFE"/>
    <w:rsid w:val="155175F3"/>
    <w:rsid w:val="15545B5C"/>
    <w:rsid w:val="15667BC7"/>
    <w:rsid w:val="15691FD5"/>
    <w:rsid w:val="156A83B0"/>
    <w:rsid w:val="15764F1C"/>
    <w:rsid w:val="1577F5C3"/>
    <w:rsid w:val="1579193E"/>
    <w:rsid w:val="1592439D"/>
    <w:rsid w:val="15958D6E"/>
    <w:rsid w:val="15960FC4"/>
    <w:rsid w:val="15A12404"/>
    <w:rsid w:val="15A519F5"/>
    <w:rsid w:val="15AAC62D"/>
    <w:rsid w:val="15B50F48"/>
    <w:rsid w:val="15BF0670"/>
    <w:rsid w:val="15C1A336"/>
    <w:rsid w:val="15C2A844"/>
    <w:rsid w:val="15C646A2"/>
    <w:rsid w:val="15EFE1C9"/>
    <w:rsid w:val="15F665DE"/>
    <w:rsid w:val="15FA0212"/>
    <w:rsid w:val="15FAD7C2"/>
    <w:rsid w:val="15FC5743"/>
    <w:rsid w:val="15FDE1A5"/>
    <w:rsid w:val="161C1473"/>
    <w:rsid w:val="163448F4"/>
    <w:rsid w:val="16389D9E"/>
    <w:rsid w:val="163918C8"/>
    <w:rsid w:val="16474373"/>
    <w:rsid w:val="164CCF34"/>
    <w:rsid w:val="164D03B8"/>
    <w:rsid w:val="164EB18A"/>
    <w:rsid w:val="164F323B"/>
    <w:rsid w:val="1654110D"/>
    <w:rsid w:val="16566E61"/>
    <w:rsid w:val="165AF194"/>
    <w:rsid w:val="165E35FE"/>
    <w:rsid w:val="166082A0"/>
    <w:rsid w:val="166CD2FB"/>
    <w:rsid w:val="1674D096"/>
    <w:rsid w:val="16763B48"/>
    <w:rsid w:val="16846FE4"/>
    <w:rsid w:val="1693AB35"/>
    <w:rsid w:val="1695B881"/>
    <w:rsid w:val="1698E7E1"/>
    <w:rsid w:val="169A29D4"/>
    <w:rsid w:val="169F888A"/>
    <w:rsid w:val="16C1CF4E"/>
    <w:rsid w:val="16C3E038"/>
    <w:rsid w:val="16CACE97"/>
    <w:rsid w:val="16CD5C0B"/>
    <w:rsid w:val="16CFF712"/>
    <w:rsid w:val="16DEED75"/>
    <w:rsid w:val="16DF3280"/>
    <w:rsid w:val="16DFF8BB"/>
    <w:rsid w:val="16E404AB"/>
    <w:rsid w:val="16F93669"/>
    <w:rsid w:val="170589FE"/>
    <w:rsid w:val="170AF8B0"/>
    <w:rsid w:val="170EF30E"/>
    <w:rsid w:val="1711D5A0"/>
    <w:rsid w:val="17288FEB"/>
    <w:rsid w:val="1728C851"/>
    <w:rsid w:val="1745A15C"/>
    <w:rsid w:val="1747D3BD"/>
    <w:rsid w:val="17505BF4"/>
    <w:rsid w:val="175D6687"/>
    <w:rsid w:val="175F9C2E"/>
    <w:rsid w:val="1765726D"/>
    <w:rsid w:val="176B7B73"/>
    <w:rsid w:val="176CBDA3"/>
    <w:rsid w:val="176D1732"/>
    <w:rsid w:val="176DD10F"/>
    <w:rsid w:val="176E6DB1"/>
    <w:rsid w:val="17705198"/>
    <w:rsid w:val="17709D82"/>
    <w:rsid w:val="17768F01"/>
    <w:rsid w:val="1778E336"/>
    <w:rsid w:val="177DBEFE"/>
    <w:rsid w:val="17802748"/>
    <w:rsid w:val="1780B799"/>
    <w:rsid w:val="179A2AC9"/>
    <w:rsid w:val="17A7F63E"/>
    <w:rsid w:val="17A85A80"/>
    <w:rsid w:val="17B47596"/>
    <w:rsid w:val="17C10F5B"/>
    <w:rsid w:val="17CFFA21"/>
    <w:rsid w:val="17D5D875"/>
    <w:rsid w:val="17D6EDCD"/>
    <w:rsid w:val="17DD031B"/>
    <w:rsid w:val="17E1E7ED"/>
    <w:rsid w:val="17F66088"/>
    <w:rsid w:val="17F79148"/>
    <w:rsid w:val="17F90A45"/>
    <w:rsid w:val="1801993C"/>
    <w:rsid w:val="1812B8EF"/>
    <w:rsid w:val="181B696E"/>
    <w:rsid w:val="182665A8"/>
    <w:rsid w:val="1840887C"/>
    <w:rsid w:val="185546E4"/>
    <w:rsid w:val="1857746D"/>
    <w:rsid w:val="1859F1AD"/>
    <w:rsid w:val="186EE122"/>
    <w:rsid w:val="1883C127"/>
    <w:rsid w:val="188F65AC"/>
    <w:rsid w:val="18A00DF5"/>
    <w:rsid w:val="18B852DF"/>
    <w:rsid w:val="18BED899"/>
    <w:rsid w:val="18C60757"/>
    <w:rsid w:val="18D19078"/>
    <w:rsid w:val="18D38C55"/>
    <w:rsid w:val="18D72CCB"/>
    <w:rsid w:val="19055791"/>
    <w:rsid w:val="190E851A"/>
    <w:rsid w:val="1935F029"/>
    <w:rsid w:val="193E4BE9"/>
    <w:rsid w:val="19568DB1"/>
    <w:rsid w:val="19647EB7"/>
    <w:rsid w:val="196BE499"/>
    <w:rsid w:val="196FE036"/>
    <w:rsid w:val="19754CC1"/>
    <w:rsid w:val="197D7816"/>
    <w:rsid w:val="198520F8"/>
    <w:rsid w:val="198ED9F0"/>
    <w:rsid w:val="19911F9E"/>
    <w:rsid w:val="199AD93A"/>
    <w:rsid w:val="19A1A9C9"/>
    <w:rsid w:val="19A41A2C"/>
    <w:rsid w:val="19AA194C"/>
    <w:rsid w:val="19AC4B30"/>
    <w:rsid w:val="19B3D98E"/>
    <w:rsid w:val="19B47A3B"/>
    <w:rsid w:val="19D2A4F2"/>
    <w:rsid w:val="19DFCD44"/>
    <w:rsid w:val="19E6CC60"/>
    <w:rsid w:val="19EAC405"/>
    <w:rsid w:val="19ECC23E"/>
    <w:rsid w:val="1A3066BD"/>
    <w:rsid w:val="1A3464E2"/>
    <w:rsid w:val="1A3C0E87"/>
    <w:rsid w:val="1A499B85"/>
    <w:rsid w:val="1A4A45D6"/>
    <w:rsid w:val="1A50A640"/>
    <w:rsid w:val="1A52169D"/>
    <w:rsid w:val="1A61A9BE"/>
    <w:rsid w:val="1A66A010"/>
    <w:rsid w:val="1A6B67A0"/>
    <w:rsid w:val="1A7BC06A"/>
    <w:rsid w:val="1A81AA3C"/>
    <w:rsid w:val="1A856B93"/>
    <w:rsid w:val="1A940870"/>
    <w:rsid w:val="1A94218E"/>
    <w:rsid w:val="1A96529C"/>
    <w:rsid w:val="1A9C5052"/>
    <w:rsid w:val="1ACCFE5D"/>
    <w:rsid w:val="1AD58AA9"/>
    <w:rsid w:val="1ADA428B"/>
    <w:rsid w:val="1ADA4A13"/>
    <w:rsid w:val="1ADE63F0"/>
    <w:rsid w:val="1ADF6279"/>
    <w:rsid w:val="1AE32E9D"/>
    <w:rsid w:val="1AE67C7D"/>
    <w:rsid w:val="1AE92D31"/>
    <w:rsid w:val="1AF06706"/>
    <w:rsid w:val="1AFCF1E2"/>
    <w:rsid w:val="1B00D9EF"/>
    <w:rsid w:val="1B01F207"/>
    <w:rsid w:val="1B02E826"/>
    <w:rsid w:val="1B088643"/>
    <w:rsid w:val="1B10A227"/>
    <w:rsid w:val="1B1A9726"/>
    <w:rsid w:val="1B1DA045"/>
    <w:rsid w:val="1B31CEF9"/>
    <w:rsid w:val="1B3A2955"/>
    <w:rsid w:val="1B3A6C1B"/>
    <w:rsid w:val="1B4BD5EA"/>
    <w:rsid w:val="1B57CB5E"/>
    <w:rsid w:val="1B6806C8"/>
    <w:rsid w:val="1B75E6D6"/>
    <w:rsid w:val="1B81EC21"/>
    <w:rsid w:val="1B8F42EC"/>
    <w:rsid w:val="1BA5423E"/>
    <w:rsid w:val="1BA96423"/>
    <w:rsid w:val="1BABA7DD"/>
    <w:rsid w:val="1BAE9DD2"/>
    <w:rsid w:val="1BB5118D"/>
    <w:rsid w:val="1BBFCDD3"/>
    <w:rsid w:val="1BC0D57C"/>
    <w:rsid w:val="1BC3610B"/>
    <w:rsid w:val="1BCCFB45"/>
    <w:rsid w:val="1BD8959C"/>
    <w:rsid w:val="1BDA313D"/>
    <w:rsid w:val="1BE1CC38"/>
    <w:rsid w:val="1BEFBCD3"/>
    <w:rsid w:val="1BF3685A"/>
    <w:rsid w:val="1BF591D3"/>
    <w:rsid w:val="1BF76BA0"/>
    <w:rsid w:val="1BF80F12"/>
    <w:rsid w:val="1BF970D0"/>
    <w:rsid w:val="1BFA51C9"/>
    <w:rsid w:val="1C020648"/>
    <w:rsid w:val="1C03E1CA"/>
    <w:rsid w:val="1C0562CE"/>
    <w:rsid w:val="1C08B8B7"/>
    <w:rsid w:val="1C0B709E"/>
    <w:rsid w:val="1C17B8E8"/>
    <w:rsid w:val="1C1DCDFB"/>
    <w:rsid w:val="1C23B7F1"/>
    <w:rsid w:val="1C2504C0"/>
    <w:rsid w:val="1C2CE076"/>
    <w:rsid w:val="1C30C721"/>
    <w:rsid w:val="1C530D15"/>
    <w:rsid w:val="1C53215E"/>
    <w:rsid w:val="1C66FFD3"/>
    <w:rsid w:val="1C75D4E4"/>
    <w:rsid w:val="1C75E3B9"/>
    <w:rsid w:val="1C7FE0B4"/>
    <w:rsid w:val="1C934394"/>
    <w:rsid w:val="1C98C243"/>
    <w:rsid w:val="1CA53705"/>
    <w:rsid w:val="1CAA1578"/>
    <w:rsid w:val="1CBD9883"/>
    <w:rsid w:val="1CC20E1A"/>
    <w:rsid w:val="1CD7009E"/>
    <w:rsid w:val="1CD8A95D"/>
    <w:rsid w:val="1CDE98E3"/>
    <w:rsid w:val="1CE072F5"/>
    <w:rsid w:val="1CEF347D"/>
    <w:rsid w:val="1CF41C8C"/>
    <w:rsid w:val="1D04030C"/>
    <w:rsid w:val="1D096D71"/>
    <w:rsid w:val="1D0DC037"/>
    <w:rsid w:val="1D0FF34E"/>
    <w:rsid w:val="1D1C91C0"/>
    <w:rsid w:val="1D1CC3F7"/>
    <w:rsid w:val="1D33F78D"/>
    <w:rsid w:val="1D3791CF"/>
    <w:rsid w:val="1D4A37A7"/>
    <w:rsid w:val="1D5B71D7"/>
    <w:rsid w:val="1D5DB59C"/>
    <w:rsid w:val="1D623292"/>
    <w:rsid w:val="1D910B5E"/>
    <w:rsid w:val="1D93C0CC"/>
    <w:rsid w:val="1DA3483D"/>
    <w:rsid w:val="1DA41A6E"/>
    <w:rsid w:val="1DB9C67A"/>
    <w:rsid w:val="1DC35D70"/>
    <w:rsid w:val="1DCF5533"/>
    <w:rsid w:val="1DE1832C"/>
    <w:rsid w:val="1DF2B50D"/>
    <w:rsid w:val="1DFAC98C"/>
    <w:rsid w:val="1DFE92E4"/>
    <w:rsid w:val="1E119DAE"/>
    <w:rsid w:val="1E12B7C2"/>
    <w:rsid w:val="1E24F78E"/>
    <w:rsid w:val="1E2DA506"/>
    <w:rsid w:val="1E2DEFC2"/>
    <w:rsid w:val="1E31ACCB"/>
    <w:rsid w:val="1E39063C"/>
    <w:rsid w:val="1E3CC730"/>
    <w:rsid w:val="1E44EF4E"/>
    <w:rsid w:val="1E47204B"/>
    <w:rsid w:val="1E4C49EC"/>
    <w:rsid w:val="1E521E36"/>
    <w:rsid w:val="1E67AFF9"/>
    <w:rsid w:val="1E6ECC9A"/>
    <w:rsid w:val="1E75BF9D"/>
    <w:rsid w:val="1E8D6CD7"/>
    <w:rsid w:val="1E8F65C3"/>
    <w:rsid w:val="1E90ACC4"/>
    <w:rsid w:val="1E922D73"/>
    <w:rsid w:val="1EAAE0F4"/>
    <w:rsid w:val="1EB83A29"/>
    <w:rsid w:val="1EBF9A93"/>
    <w:rsid w:val="1ECB845D"/>
    <w:rsid w:val="1ED46AD2"/>
    <w:rsid w:val="1ED66CDA"/>
    <w:rsid w:val="1EDD5393"/>
    <w:rsid w:val="1EDE94C8"/>
    <w:rsid w:val="1EE229AB"/>
    <w:rsid w:val="1EE52E1E"/>
    <w:rsid w:val="1EECECFC"/>
    <w:rsid w:val="1EF8B66A"/>
    <w:rsid w:val="1EFB0998"/>
    <w:rsid w:val="1F0E48F7"/>
    <w:rsid w:val="1F0E7BCB"/>
    <w:rsid w:val="1F1F08C3"/>
    <w:rsid w:val="1F240261"/>
    <w:rsid w:val="1F4F56C8"/>
    <w:rsid w:val="1F55BD9C"/>
    <w:rsid w:val="1F663EE6"/>
    <w:rsid w:val="1F691634"/>
    <w:rsid w:val="1F7EE030"/>
    <w:rsid w:val="1F7EE589"/>
    <w:rsid w:val="1F8AAAAD"/>
    <w:rsid w:val="1F977705"/>
    <w:rsid w:val="1F98C112"/>
    <w:rsid w:val="1FA3D6FC"/>
    <w:rsid w:val="1FA95E0A"/>
    <w:rsid w:val="1FAFB440"/>
    <w:rsid w:val="1FB4F383"/>
    <w:rsid w:val="1FBF8D90"/>
    <w:rsid w:val="1FD40541"/>
    <w:rsid w:val="1FD4A18A"/>
    <w:rsid w:val="1FEC17BF"/>
    <w:rsid w:val="1FFC16C7"/>
    <w:rsid w:val="200A35BF"/>
    <w:rsid w:val="201762A4"/>
    <w:rsid w:val="20224400"/>
    <w:rsid w:val="20252416"/>
    <w:rsid w:val="20479213"/>
    <w:rsid w:val="204A0BE1"/>
    <w:rsid w:val="204B652F"/>
    <w:rsid w:val="2052AD97"/>
    <w:rsid w:val="205BA3E7"/>
    <w:rsid w:val="205D35BD"/>
    <w:rsid w:val="205FF43D"/>
    <w:rsid w:val="2062121E"/>
    <w:rsid w:val="2070AED3"/>
    <w:rsid w:val="2077D54B"/>
    <w:rsid w:val="208909EA"/>
    <w:rsid w:val="208A0D20"/>
    <w:rsid w:val="20929657"/>
    <w:rsid w:val="2098548B"/>
    <w:rsid w:val="209B469F"/>
    <w:rsid w:val="20BC3EC1"/>
    <w:rsid w:val="20C6AE38"/>
    <w:rsid w:val="20CC6A0C"/>
    <w:rsid w:val="20D5F92C"/>
    <w:rsid w:val="20EBCB9C"/>
    <w:rsid w:val="21024BD3"/>
    <w:rsid w:val="210349F4"/>
    <w:rsid w:val="21139EF0"/>
    <w:rsid w:val="21181C60"/>
    <w:rsid w:val="212120CA"/>
    <w:rsid w:val="21282669"/>
    <w:rsid w:val="21303487"/>
    <w:rsid w:val="2134C69C"/>
    <w:rsid w:val="215771C7"/>
    <w:rsid w:val="215B4857"/>
    <w:rsid w:val="215E0483"/>
    <w:rsid w:val="215E7AA8"/>
    <w:rsid w:val="216222E4"/>
    <w:rsid w:val="2163A77D"/>
    <w:rsid w:val="216F4472"/>
    <w:rsid w:val="21868AB0"/>
    <w:rsid w:val="2186F642"/>
    <w:rsid w:val="21AC3C75"/>
    <w:rsid w:val="21AC78D2"/>
    <w:rsid w:val="21B92524"/>
    <w:rsid w:val="21C62F1B"/>
    <w:rsid w:val="21DDDB6E"/>
    <w:rsid w:val="21E107CF"/>
    <w:rsid w:val="21ED55B0"/>
    <w:rsid w:val="21FEEEDA"/>
    <w:rsid w:val="21FFED5A"/>
    <w:rsid w:val="2204C912"/>
    <w:rsid w:val="220B0CD0"/>
    <w:rsid w:val="2219DB26"/>
    <w:rsid w:val="221D48B9"/>
    <w:rsid w:val="22272070"/>
    <w:rsid w:val="223D5A82"/>
    <w:rsid w:val="225C136D"/>
    <w:rsid w:val="2260B596"/>
    <w:rsid w:val="2261B08F"/>
    <w:rsid w:val="22637A8F"/>
    <w:rsid w:val="2288FB63"/>
    <w:rsid w:val="22894EB1"/>
    <w:rsid w:val="228F97B7"/>
    <w:rsid w:val="2295EE54"/>
    <w:rsid w:val="22C3E7F8"/>
    <w:rsid w:val="22C54302"/>
    <w:rsid w:val="22C58981"/>
    <w:rsid w:val="22D559F9"/>
    <w:rsid w:val="22DDF9D6"/>
    <w:rsid w:val="22DEF1A4"/>
    <w:rsid w:val="2304166C"/>
    <w:rsid w:val="230ED379"/>
    <w:rsid w:val="230EE517"/>
    <w:rsid w:val="232F4D84"/>
    <w:rsid w:val="2346898A"/>
    <w:rsid w:val="23667994"/>
    <w:rsid w:val="236E5FD4"/>
    <w:rsid w:val="2376AA15"/>
    <w:rsid w:val="23788AA2"/>
    <w:rsid w:val="237F8428"/>
    <w:rsid w:val="2382A2F7"/>
    <w:rsid w:val="238676DB"/>
    <w:rsid w:val="239344A9"/>
    <w:rsid w:val="239F86B4"/>
    <w:rsid w:val="23A15ADD"/>
    <w:rsid w:val="23ACF0D7"/>
    <w:rsid w:val="23B09973"/>
    <w:rsid w:val="23B0A40D"/>
    <w:rsid w:val="23B98088"/>
    <w:rsid w:val="23CA8A25"/>
    <w:rsid w:val="23CBEFA9"/>
    <w:rsid w:val="23D204CA"/>
    <w:rsid w:val="23D4EC99"/>
    <w:rsid w:val="23DAF6ED"/>
    <w:rsid w:val="23DFD8B5"/>
    <w:rsid w:val="23E96EA6"/>
    <w:rsid w:val="23EFE7B8"/>
    <w:rsid w:val="23FE0CE5"/>
    <w:rsid w:val="23FE5487"/>
    <w:rsid w:val="23FFCF7C"/>
    <w:rsid w:val="24041657"/>
    <w:rsid w:val="2410ECE6"/>
    <w:rsid w:val="24170078"/>
    <w:rsid w:val="24177757"/>
    <w:rsid w:val="241C01C3"/>
    <w:rsid w:val="24227700"/>
    <w:rsid w:val="2423C712"/>
    <w:rsid w:val="243C4F02"/>
    <w:rsid w:val="244B85DE"/>
    <w:rsid w:val="2451354F"/>
    <w:rsid w:val="246BB29E"/>
    <w:rsid w:val="246C5B7F"/>
    <w:rsid w:val="24737C98"/>
    <w:rsid w:val="2476270A"/>
    <w:rsid w:val="247F8604"/>
    <w:rsid w:val="2484DAFB"/>
    <w:rsid w:val="249555F1"/>
    <w:rsid w:val="249BEEC8"/>
    <w:rsid w:val="249BF1C7"/>
    <w:rsid w:val="24C17C93"/>
    <w:rsid w:val="24CC6078"/>
    <w:rsid w:val="24D4091F"/>
    <w:rsid w:val="24D8E64B"/>
    <w:rsid w:val="24E0BC1B"/>
    <w:rsid w:val="24E7319C"/>
    <w:rsid w:val="24F05B21"/>
    <w:rsid w:val="24F5AD6A"/>
    <w:rsid w:val="24F97211"/>
    <w:rsid w:val="2513403D"/>
    <w:rsid w:val="25161662"/>
    <w:rsid w:val="251624FF"/>
    <w:rsid w:val="2518BCD3"/>
    <w:rsid w:val="251919B5"/>
    <w:rsid w:val="2532E903"/>
    <w:rsid w:val="2535861B"/>
    <w:rsid w:val="2535CC31"/>
    <w:rsid w:val="253E741A"/>
    <w:rsid w:val="254639D5"/>
    <w:rsid w:val="25483B93"/>
    <w:rsid w:val="254C3CF8"/>
    <w:rsid w:val="255DD664"/>
    <w:rsid w:val="2566CFA3"/>
    <w:rsid w:val="2571B4F0"/>
    <w:rsid w:val="25743AF9"/>
    <w:rsid w:val="2576D9C5"/>
    <w:rsid w:val="257851D7"/>
    <w:rsid w:val="258A93F7"/>
    <w:rsid w:val="258B76B1"/>
    <w:rsid w:val="258C140E"/>
    <w:rsid w:val="25975179"/>
    <w:rsid w:val="2598C065"/>
    <w:rsid w:val="259D3114"/>
    <w:rsid w:val="25A9548B"/>
    <w:rsid w:val="25AD13B1"/>
    <w:rsid w:val="25DA7791"/>
    <w:rsid w:val="25E19354"/>
    <w:rsid w:val="25E1DC22"/>
    <w:rsid w:val="25E5678E"/>
    <w:rsid w:val="25EBC8BD"/>
    <w:rsid w:val="260B10C7"/>
    <w:rsid w:val="26135541"/>
    <w:rsid w:val="2615286D"/>
    <w:rsid w:val="263A9339"/>
    <w:rsid w:val="26426806"/>
    <w:rsid w:val="2650DC8F"/>
    <w:rsid w:val="26620359"/>
    <w:rsid w:val="2662D9A8"/>
    <w:rsid w:val="2668F411"/>
    <w:rsid w:val="26717A9C"/>
    <w:rsid w:val="26719B83"/>
    <w:rsid w:val="267F2AD2"/>
    <w:rsid w:val="268E767C"/>
    <w:rsid w:val="269A2A63"/>
    <w:rsid w:val="26A7E3F9"/>
    <w:rsid w:val="26B6CE91"/>
    <w:rsid w:val="26B728A0"/>
    <w:rsid w:val="26E7783B"/>
    <w:rsid w:val="26FFE982"/>
    <w:rsid w:val="270FE2FE"/>
    <w:rsid w:val="271C9FA5"/>
    <w:rsid w:val="271D5E2D"/>
    <w:rsid w:val="271E7465"/>
    <w:rsid w:val="272954C7"/>
    <w:rsid w:val="273EF366"/>
    <w:rsid w:val="27407049"/>
    <w:rsid w:val="274264C6"/>
    <w:rsid w:val="2743140C"/>
    <w:rsid w:val="274CEFAF"/>
    <w:rsid w:val="275245DD"/>
    <w:rsid w:val="27563C74"/>
    <w:rsid w:val="2762C145"/>
    <w:rsid w:val="27656E0A"/>
    <w:rsid w:val="277630FE"/>
    <w:rsid w:val="27768324"/>
    <w:rsid w:val="277E36E9"/>
    <w:rsid w:val="27857A4A"/>
    <w:rsid w:val="278B816D"/>
    <w:rsid w:val="2797DBF0"/>
    <w:rsid w:val="27A07A9C"/>
    <w:rsid w:val="27AAB7BC"/>
    <w:rsid w:val="27C110A7"/>
    <w:rsid w:val="27D01B13"/>
    <w:rsid w:val="27E0C71C"/>
    <w:rsid w:val="27E734C3"/>
    <w:rsid w:val="27FDD3BA"/>
    <w:rsid w:val="280555C7"/>
    <w:rsid w:val="280CB354"/>
    <w:rsid w:val="281447E9"/>
    <w:rsid w:val="28180F56"/>
    <w:rsid w:val="281A62AD"/>
    <w:rsid w:val="28346683"/>
    <w:rsid w:val="28359199"/>
    <w:rsid w:val="284F15C3"/>
    <w:rsid w:val="286AF226"/>
    <w:rsid w:val="286CD0FE"/>
    <w:rsid w:val="28719C73"/>
    <w:rsid w:val="288025C5"/>
    <w:rsid w:val="28916C59"/>
    <w:rsid w:val="289FC9E4"/>
    <w:rsid w:val="28C150A3"/>
    <w:rsid w:val="28C256E1"/>
    <w:rsid w:val="28C77EBD"/>
    <w:rsid w:val="28C9F455"/>
    <w:rsid w:val="28CC4217"/>
    <w:rsid w:val="28E489BB"/>
    <w:rsid w:val="28E9A927"/>
    <w:rsid w:val="28FE5C33"/>
    <w:rsid w:val="290D13B4"/>
    <w:rsid w:val="290D4ACD"/>
    <w:rsid w:val="291569D5"/>
    <w:rsid w:val="29189CD0"/>
    <w:rsid w:val="291F26C3"/>
    <w:rsid w:val="29249437"/>
    <w:rsid w:val="29353EE4"/>
    <w:rsid w:val="293B1D38"/>
    <w:rsid w:val="293DE252"/>
    <w:rsid w:val="293F697B"/>
    <w:rsid w:val="29472922"/>
    <w:rsid w:val="294836A4"/>
    <w:rsid w:val="295AD275"/>
    <w:rsid w:val="29645EAF"/>
    <w:rsid w:val="29661CEE"/>
    <w:rsid w:val="296D97A2"/>
    <w:rsid w:val="2981D87E"/>
    <w:rsid w:val="29852153"/>
    <w:rsid w:val="2988349E"/>
    <w:rsid w:val="298A5A5B"/>
    <w:rsid w:val="298E964F"/>
    <w:rsid w:val="29A2B3AE"/>
    <w:rsid w:val="29A958F3"/>
    <w:rsid w:val="29AE62F2"/>
    <w:rsid w:val="29AFDCEB"/>
    <w:rsid w:val="29B483E3"/>
    <w:rsid w:val="29BA5D46"/>
    <w:rsid w:val="29CDE24B"/>
    <w:rsid w:val="29FF0C87"/>
    <w:rsid w:val="2A01407F"/>
    <w:rsid w:val="2A0B1ACC"/>
    <w:rsid w:val="2A1C2279"/>
    <w:rsid w:val="2A1C6241"/>
    <w:rsid w:val="2A1E8185"/>
    <w:rsid w:val="2A3D802E"/>
    <w:rsid w:val="2A409FE4"/>
    <w:rsid w:val="2A43B62D"/>
    <w:rsid w:val="2A451A7C"/>
    <w:rsid w:val="2A4C145E"/>
    <w:rsid w:val="2A67A91A"/>
    <w:rsid w:val="2A6C0023"/>
    <w:rsid w:val="2A72CA43"/>
    <w:rsid w:val="2A7A42F1"/>
    <w:rsid w:val="2A8A0181"/>
    <w:rsid w:val="2A8B37F2"/>
    <w:rsid w:val="2A976D8A"/>
    <w:rsid w:val="2A98278B"/>
    <w:rsid w:val="2A9B9200"/>
    <w:rsid w:val="2A9BB77F"/>
    <w:rsid w:val="2AA6A585"/>
    <w:rsid w:val="2AA86DFC"/>
    <w:rsid w:val="2AB4E595"/>
    <w:rsid w:val="2ABBCB97"/>
    <w:rsid w:val="2AC97A81"/>
    <w:rsid w:val="2ACD4E89"/>
    <w:rsid w:val="2AD68A37"/>
    <w:rsid w:val="2AD77F31"/>
    <w:rsid w:val="2ADB1E2A"/>
    <w:rsid w:val="2ADEACCC"/>
    <w:rsid w:val="2AF3CCCB"/>
    <w:rsid w:val="2B068B0C"/>
    <w:rsid w:val="2B0AF851"/>
    <w:rsid w:val="2B0B8EAA"/>
    <w:rsid w:val="2B1FDD7C"/>
    <w:rsid w:val="2B221248"/>
    <w:rsid w:val="2B2872F9"/>
    <w:rsid w:val="2B35747C"/>
    <w:rsid w:val="2B424755"/>
    <w:rsid w:val="2B46E470"/>
    <w:rsid w:val="2B4B450E"/>
    <w:rsid w:val="2B521E50"/>
    <w:rsid w:val="2B5AC2A0"/>
    <w:rsid w:val="2B607E20"/>
    <w:rsid w:val="2B6C2F89"/>
    <w:rsid w:val="2B786D31"/>
    <w:rsid w:val="2B911A3D"/>
    <w:rsid w:val="2B932D7F"/>
    <w:rsid w:val="2B946B34"/>
    <w:rsid w:val="2B95FAE8"/>
    <w:rsid w:val="2B9780F5"/>
    <w:rsid w:val="2BA3EF44"/>
    <w:rsid w:val="2BABB18C"/>
    <w:rsid w:val="2BB5FA79"/>
    <w:rsid w:val="2BBE0235"/>
    <w:rsid w:val="2BD94E84"/>
    <w:rsid w:val="2BDB0FE0"/>
    <w:rsid w:val="2BE2DBCA"/>
    <w:rsid w:val="2BE92905"/>
    <w:rsid w:val="2BECE109"/>
    <w:rsid w:val="2BF62668"/>
    <w:rsid w:val="2BFFF38F"/>
    <w:rsid w:val="2C09F1DC"/>
    <w:rsid w:val="2C16CB79"/>
    <w:rsid w:val="2C1E8CBD"/>
    <w:rsid w:val="2C2B5FB8"/>
    <w:rsid w:val="2C54AC5A"/>
    <w:rsid w:val="2C5A884F"/>
    <w:rsid w:val="2C60757C"/>
    <w:rsid w:val="2C608C52"/>
    <w:rsid w:val="2C60F839"/>
    <w:rsid w:val="2C661A1D"/>
    <w:rsid w:val="2C68DE20"/>
    <w:rsid w:val="2C68E78A"/>
    <w:rsid w:val="2C99938C"/>
    <w:rsid w:val="2CA3D261"/>
    <w:rsid w:val="2CA5CD6E"/>
    <w:rsid w:val="2CACCF49"/>
    <w:rsid w:val="2CAE5CBE"/>
    <w:rsid w:val="2CB06796"/>
    <w:rsid w:val="2CB1E1FB"/>
    <w:rsid w:val="2CB4B05C"/>
    <w:rsid w:val="2CB7AB23"/>
    <w:rsid w:val="2CBFFB6A"/>
    <w:rsid w:val="2CC218E3"/>
    <w:rsid w:val="2CCAF076"/>
    <w:rsid w:val="2CCB89FC"/>
    <w:rsid w:val="2CCEF2B0"/>
    <w:rsid w:val="2CD9B5AA"/>
    <w:rsid w:val="2CE10F2B"/>
    <w:rsid w:val="2CE1E1E8"/>
    <w:rsid w:val="2CE6A1E4"/>
    <w:rsid w:val="2CF20462"/>
    <w:rsid w:val="2CF783C9"/>
    <w:rsid w:val="2CFA95DB"/>
    <w:rsid w:val="2CFDC115"/>
    <w:rsid w:val="2D0A7A8F"/>
    <w:rsid w:val="2D0F0AA5"/>
    <w:rsid w:val="2D1491BD"/>
    <w:rsid w:val="2D19F36F"/>
    <w:rsid w:val="2D1DDAD1"/>
    <w:rsid w:val="2D20AA9E"/>
    <w:rsid w:val="2D3171DC"/>
    <w:rsid w:val="2D3477F6"/>
    <w:rsid w:val="2D3E2411"/>
    <w:rsid w:val="2D4860E3"/>
    <w:rsid w:val="2D4E7058"/>
    <w:rsid w:val="2D528FF4"/>
    <w:rsid w:val="2D58A035"/>
    <w:rsid w:val="2D6DC054"/>
    <w:rsid w:val="2D76A042"/>
    <w:rsid w:val="2D7D4E18"/>
    <w:rsid w:val="2D88DA98"/>
    <w:rsid w:val="2DBF57CF"/>
    <w:rsid w:val="2DCDD431"/>
    <w:rsid w:val="2DD37962"/>
    <w:rsid w:val="2DDF5729"/>
    <w:rsid w:val="2DF6D842"/>
    <w:rsid w:val="2DFC5CB3"/>
    <w:rsid w:val="2E01E3CF"/>
    <w:rsid w:val="2E03A77F"/>
    <w:rsid w:val="2E08D05E"/>
    <w:rsid w:val="2E0E914B"/>
    <w:rsid w:val="2E190CFC"/>
    <w:rsid w:val="2E1C98EC"/>
    <w:rsid w:val="2E25F44F"/>
    <w:rsid w:val="2E2713AE"/>
    <w:rsid w:val="2E2D237C"/>
    <w:rsid w:val="2E339936"/>
    <w:rsid w:val="2E34F34D"/>
    <w:rsid w:val="2E3AD2D9"/>
    <w:rsid w:val="2E3D1BD0"/>
    <w:rsid w:val="2E4BA026"/>
    <w:rsid w:val="2E4C806C"/>
    <w:rsid w:val="2E515AC7"/>
    <w:rsid w:val="2E58CF86"/>
    <w:rsid w:val="2E5E366F"/>
    <w:rsid w:val="2E6293AB"/>
    <w:rsid w:val="2E659BB8"/>
    <w:rsid w:val="2E6D153E"/>
    <w:rsid w:val="2E7990C4"/>
    <w:rsid w:val="2E86C967"/>
    <w:rsid w:val="2E8A6AF1"/>
    <w:rsid w:val="2E97A2C8"/>
    <w:rsid w:val="2E9856FF"/>
    <w:rsid w:val="2EA06230"/>
    <w:rsid w:val="2EA3D04B"/>
    <w:rsid w:val="2EA8B2E1"/>
    <w:rsid w:val="2EAA32C4"/>
    <w:rsid w:val="2ECF805A"/>
    <w:rsid w:val="2EEB514D"/>
    <w:rsid w:val="2EF665DC"/>
    <w:rsid w:val="2F0ADE0C"/>
    <w:rsid w:val="2F2A566F"/>
    <w:rsid w:val="2F2B902E"/>
    <w:rsid w:val="2F33F96F"/>
    <w:rsid w:val="2F357B0B"/>
    <w:rsid w:val="2F3EEFB4"/>
    <w:rsid w:val="2F41FC65"/>
    <w:rsid w:val="2F473FAC"/>
    <w:rsid w:val="2F55A9EC"/>
    <w:rsid w:val="2F693E12"/>
    <w:rsid w:val="2F87EAF7"/>
    <w:rsid w:val="2F9E129B"/>
    <w:rsid w:val="2FA1F2F8"/>
    <w:rsid w:val="2FA25D60"/>
    <w:rsid w:val="2FA5D510"/>
    <w:rsid w:val="2FD7BF08"/>
    <w:rsid w:val="2FEAEE1D"/>
    <w:rsid w:val="2FF037FC"/>
    <w:rsid w:val="2FF85460"/>
    <w:rsid w:val="2FFE5D55"/>
    <w:rsid w:val="30080424"/>
    <w:rsid w:val="30116F4F"/>
    <w:rsid w:val="3013E20D"/>
    <w:rsid w:val="301D95D6"/>
    <w:rsid w:val="3026565B"/>
    <w:rsid w:val="302C9688"/>
    <w:rsid w:val="302CBFE2"/>
    <w:rsid w:val="303A4E58"/>
    <w:rsid w:val="303F0217"/>
    <w:rsid w:val="30448C6D"/>
    <w:rsid w:val="304705B2"/>
    <w:rsid w:val="304883FC"/>
    <w:rsid w:val="3059C353"/>
    <w:rsid w:val="305C5C3B"/>
    <w:rsid w:val="30687F76"/>
    <w:rsid w:val="306CF3DC"/>
    <w:rsid w:val="3072C174"/>
    <w:rsid w:val="307A685E"/>
    <w:rsid w:val="307CE5E5"/>
    <w:rsid w:val="307FA267"/>
    <w:rsid w:val="30876B2F"/>
    <w:rsid w:val="3094665E"/>
    <w:rsid w:val="30961268"/>
    <w:rsid w:val="3096B774"/>
    <w:rsid w:val="3098F2D8"/>
    <w:rsid w:val="309D463B"/>
    <w:rsid w:val="30A68AD9"/>
    <w:rsid w:val="30A831CD"/>
    <w:rsid w:val="30AA02CC"/>
    <w:rsid w:val="30B45375"/>
    <w:rsid w:val="30CCD061"/>
    <w:rsid w:val="30CFED52"/>
    <w:rsid w:val="30CFFB91"/>
    <w:rsid w:val="30D4D918"/>
    <w:rsid w:val="30D5A42D"/>
    <w:rsid w:val="30DFCCD6"/>
    <w:rsid w:val="30E095A9"/>
    <w:rsid w:val="30E33746"/>
    <w:rsid w:val="30E8F805"/>
    <w:rsid w:val="30EEAE79"/>
    <w:rsid w:val="30F80E02"/>
    <w:rsid w:val="30F8D419"/>
    <w:rsid w:val="310C4823"/>
    <w:rsid w:val="31114616"/>
    <w:rsid w:val="312D2E4E"/>
    <w:rsid w:val="313C32A9"/>
    <w:rsid w:val="313CF660"/>
    <w:rsid w:val="314C6DB3"/>
    <w:rsid w:val="316C65E7"/>
    <w:rsid w:val="316E74CA"/>
    <w:rsid w:val="317C70B8"/>
    <w:rsid w:val="318F44DB"/>
    <w:rsid w:val="3199DE05"/>
    <w:rsid w:val="319A51CA"/>
    <w:rsid w:val="31CB6784"/>
    <w:rsid w:val="31CFEAE5"/>
    <w:rsid w:val="31D23631"/>
    <w:rsid w:val="31D4BC6F"/>
    <w:rsid w:val="3200790B"/>
    <w:rsid w:val="320B9884"/>
    <w:rsid w:val="3220832C"/>
    <w:rsid w:val="323717E9"/>
    <w:rsid w:val="3247C0A8"/>
    <w:rsid w:val="325147A6"/>
    <w:rsid w:val="326F1D4E"/>
    <w:rsid w:val="327DD10C"/>
    <w:rsid w:val="328B8A0E"/>
    <w:rsid w:val="3295F5D2"/>
    <w:rsid w:val="329DEE22"/>
    <w:rsid w:val="32BB737F"/>
    <w:rsid w:val="32C3EF04"/>
    <w:rsid w:val="32DDEB04"/>
    <w:rsid w:val="32E2026E"/>
    <w:rsid w:val="32EFD18A"/>
    <w:rsid w:val="32F577EC"/>
    <w:rsid w:val="3301A15A"/>
    <w:rsid w:val="33150F2D"/>
    <w:rsid w:val="331D2F8E"/>
    <w:rsid w:val="3328A5ED"/>
    <w:rsid w:val="333479E7"/>
    <w:rsid w:val="33414220"/>
    <w:rsid w:val="33452304"/>
    <w:rsid w:val="33453917"/>
    <w:rsid w:val="33454580"/>
    <w:rsid w:val="3348CA6D"/>
    <w:rsid w:val="334C9941"/>
    <w:rsid w:val="334CB7DB"/>
    <w:rsid w:val="335E5A9F"/>
    <w:rsid w:val="335EF7A2"/>
    <w:rsid w:val="336DC997"/>
    <w:rsid w:val="33764D96"/>
    <w:rsid w:val="3378CA98"/>
    <w:rsid w:val="33851F21"/>
    <w:rsid w:val="33859A0A"/>
    <w:rsid w:val="33953BD1"/>
    <w:rsid w:val="33961481"/>
    <w:rsid w:val="3397451B"/>
    <w:rsid w:val="3399C902"/>
    <w:rsid w:val="339A107B"/>
    <w:rsid w:val="33A19728"/>
    <w:rsid w:val="33A31F48"/>
    <w:rsid w:val="33AA0B17"/>
    <w:rsid w:val="33AB024D"/>
    <w:rsid w:val="33AD94C6"/>
    <w:rsid w:val="33AEB6F9"/>
    <w:rsid w:val="33BEEE44"/>
    <w:rsid w:val="33C0D341"/>
    <w:rsid w:val="33C1D11F"/>
    <w:rsid w:val="33C2749D"/>
    <w:rsid w:val="33CB0E9C"/>
    <w:rsid w:val="33E207BC"/>
    <w:rsid w:val="33EE260B"/>
    <w:rsid w:val="33F0C83D"/>
    <w:rsid w:val="33F5AE50"/>
    <w:rsid w:val="33F84A2A"/>
    <w:rsid w:val="33F8FF06"/>
    <w:rsid w:val="33FD4067"/>
    <w:rsid w:val="340110C1"/>
    <w:rsid w:val="342C5B1E"/>
    <w:rsid w:val="343018B2"/>
    <w:rsid w:val="343435E7"/>
    <w:rsid w:val="343E429D"/>
    <w:rsid w:val="344B267B"/>
    <w:rsid w:val="3454170B"/>
    <w:rsid w:val="3457E04D"/>
    <w:rsid w:val="345D06A7"/>
    <w:rsid w:val="3463304F"/>
    <w:rsid w:val="346DCE72"/>
    <w:rsid w:val="34710781"/>
    <w:rsid w:val="34761B14"/>
    <w:rsid w:val="347E7E54"/>
    <w:rsid w:val="34853885"/>
    <w:rsid w:val="348D0045"/>
    <w:rsid w:val="3492F018"/>
    <w:rsid w:val="34983E54"/>
    <w:rsid w:val="349881E5"/>
    <w:rsid w:val="349A2C5D"/>
    <w:rsid w:val="34B81F1C"/>
    <w:rsid w:val="34BC3B78"/>
    <w:rsid w:val="34BE84D3"/>
    <w:rsid w:val="34C7536B"/>
    <w:rsid w:val="34CBD9D3"/>
    <w:rsid w:val="34D3FAFB"/>
    <w:rsid w:val="34DC4441"/>
    <w:rsid w:val="34E22F5F"/>
    <w:rsid w:val="34EB367B"/>
    <w:rsid w:val="34ECEFE1"/>
    <w:rsid w:val="34F9BEE3"/>
    <w:rsid w:val="34F9F5E6"/>
    <w:rsid w:val="350DED4F"/>
    <w:rsid w:val="352EBC07"/>
    <w:rsid w:val="353577EB"/>
    <w:rsid w:val="353BACC6"/>
    <w:rsid w:val="35551B83"/>
    <w:rsid w:val="3561D799"/>
    <w:rsid w:val="35641FF3"/>
    <w:rsid w:val="35656313"/>
    <w:rsid w:val="356B61E2"/>
    <w:rsid w:val="35763B3E"/>
    <w:rsid w:val="3580F1DB"/>
    <w:rsid w:val="35818C60"/>
    <w:rsid w:val="3585B38B"/>
    <w:rsid w:val="35925FCF"/>
    <w:rsid w:val="35B042C0"/>
    <w:rsid w:val="35B290A2"/>
    <w:rsid w:val="35B91AC0"/>
    <w:rsid w:val="35BAD632"/>
    <w:rsid w:val="35BB22F5"/>
    <w:rsid w:val="35BD41EC"/>
    <w:rsid w:val="35CA6E55"/>
    <w:rsid w:val="35E0C64F"/>
    <w:rsid w:val="35EBBEB1"/>
    <w:rsid w:val="35EF61D4"/>
    <w:rsid w:val="35FE0946"/>
    <w:rsid w:val="36043944"/>
    <w:rsid w:val="36178E82"/>
    <w:rsid w:val="3619A330"/>
    <w:rsid w:val="36292CA7"/>
    <w:rsid w:val="3636E4D3"/>
    <w:rsid w:val="363FAE71"/>
    <w:rsid w:val="36616B5D"/>
    <w:rsid w:val="3665998A"/>
    <w:rsid w:val="3669D3B5"/>
    <w:rsid w:val="3672FD5B"/>
    <w:rsid w:val="367B384B"/>
    <w:rsid w:val="36875FA1"/>
    <w:rsid w:val="369E8748"/>
    <w:rsid w:val="36B21331"/>
    <w:rsid w:val="36C71507"/>
    <w:rsid w:val="36CB1146"/>
    <w:rsid w:val="36CE43A0"/>
    <w:rsid w:val="36DA7478"/>
    <w:rsid w:val="36E0182E"/>
    <w:rsid w:val="36E40ADE"/>
    <w:rsid w:val="36E8FEC1"/>
    <w:rsid w:val="36EE45DE"/>
    <w:rsid w:val="36F45C4A"/>
    <w:rsid w:val="36F81806"/>
    <w:rsid w:val="36FD582A"/>
    <w:rsid w:val="37145A6E"/>
    <w:rsid w:val="37246B86"/>
    <w:rsid w:val="3727A575"/>
    <w:rsid w:val="372922E0"/>
    <w:rsid w:val="372B6022"/>
    <w:rsid w:val="3736F45B"/>
    <w:rsid w:val="373932E0"/>
    <w:rsid w:val="373DAB8A"/>
    <w:rsid w:val="3749F1C2"/>
    <w:rsid w:val="3750BDE8"/>
    <w:rsid w:val="3761E775"/>
    <w:rsid w:val="37782C2F"/>
    <w:rsid w:val="378B77FE"/>
    <w:rsid w:val="378E4D06"/>
    <w:rsid w:val="379736E5"/>
    <w:rsid w:val="379D32B8"/>
    <w:rsid w:val="379E5CCA"/>
    <w:rsid w:val="379EFA71"/>
    <w:rsid w:val="37AB6513"/>
    <w:rsid w:val="37ABF9A7"/>
    <w:rsid w:val="37AFC1CC"/>
    <w:rsid w:val="37B2C5C0"/>
    <w:rsid w:val="37B7047A"/>
    <w:rsid w:val="37B8A0F9"/>
    <w:rsid w:val="37BB6609"/>
    <w:rsid w:val="37BFB81E"/>
    <w:rsid w:val="37D68DBE"/>
    <w:rsid w:val="37DB71FF"/>
    <w:rsid w:val="37DC3079"/>
    <w:rsid w:val="37E2A726"/>
    <w:rsid w:val="37E4225F"/>
    <w:rsid w:val="37EEE3D4"/>
    <w:rsid w:val="3812E905"/>
    <w:rsid w:val="38178D35"/>
    <w:rsid w:val="38179C59"/>
    <w:rsid w:val="381A9693"/>
    <w:rsid w:val="382841D3"/>
    <w:rsid w:val="382A145E"/>
    <w:rsid w:val="382B2D94"/>
    <w:rsid w:val="383E9000"/>
    <w:rsid w:val="3856D8A5"/>
    <w:rsid w:val="386107D9"/>
    <w:rsid w:val="38629860"/>
    <w:rsid w:val="386B0E38"/>
    <w:rsid w:val="3879DC28"/>
    <w:rsid w:val="387B3143"/>
    <w:rsid w:val="387B7A4B"/>
    <w:rsid w:val="3885C922"/>
    <w:rsid w:val="388FC615"/>
    <w:rsid w:val="3894C44C"/>
    <w:rsid w:val="389636F8"/>
    <w:rsid w:val="38A6CE3E"/>
    <w:rsid w:val="38B909BD"/>
    <w:rsid w:val="38F70736"/>
    <w:rsid w:val="38FAB1E5"/>
    <w:rsid w:val="38FE261E"/>
    <w:rsid w:val="3908A729"/>
    <w:rsid w:val="3909B36A"/>
    <w:rsid w:val="3921E7E0"/>
    <w:rsid w:val="3922F64A"/>
    <w:rsid w:val="39305D90"/>
    <w:rsid w:val="393A49D0"/>
    <w:rsid w:val="394290DF"/>
    <w:rsid w:val="395AC00F"/>
    <w:rsid w:val="39615DEF"/>
    <w:rsid w:val="3969D647"/>
    <w:rsid w:val="396E6D2E"/>
    <w:rsid w:val="3984D523"/>
    <w:rsid w:val="3985031B"/>
    <w:rsid w:val="399290B2"/>
    <w:rsid w:val="399C0B1A"/>
    <w:rsid w:val="399F42FC"/>
    <w:rsid w:val="39A6F561"/>
    <w:rsid w:val="39B077EC"/>
    <w:rsid w:val="39B21A19"/>
    <w:rsid w:val="39B3DD01"/>
    <w:rsid w:val="39E584A3"/>
    <w:rsid w:val="39EB18C3"/>
    <w:rsid w:val="39F0D5DB"/>
    <w:rsid w:val="39FBC0E1"/>
    <w:rsid w:val="3A00B94A"/>
    <w:rsid w:val="3A216484"/>
    <w:rsid w:val="3A22C142"/>
    <w:rsid w:val="3A2585CE"/>
    <w:rsid w:val="3A358A71"/>
    <w:rsid w:val="3A59105A"/>
    <w:rsid w:val="3A595A06"/>
    <w:rsid w:val="3A598B18"/>
    <w:rsid w:val="3A662455"/>
    <w:rsid w:val="3A78DDFC"/>
    <w:rsid w:val="3A7B268D"/>
    <w:rsid w:val="3A839021"/>
    <w:rsid w:val="3A9743D3"/>
    <w:rsid w:val="3A9A2A2B"/>
    <w:rsid w:val="3AA1D665"/>
    <w:rsid w:val="3AB952CF"/>
    <w:rsid w:val="3ABA0AD7"/>
    <w:rsid w:val="3AC4897C"/>
    <w:rsid w:val="3ACDAA56"/>
    <w:rsid w:val="3ADD0697"/>
    <w:rsid w:val="3ADDCFE5"/>
    <w:rsid w:val="3ADF19FF"/>
    <w:rsid w:val="3ADF871F"/>
    <w:rsid w:val="3AF3448D"/>
    <w:rsid w:val="3B02E25D"/>
    <w:rsid w:val="3B18924B"/>
    <w:rsid w:val="3B209197"/>
    <w:rsid w:val="3B23F7AB"/>
    <w:rsid w:val="3B3522AC"/>
    <w:rsid w:val="3B3DAA6A"/>
    <w:rsid w:val="3B3F16C5"/>
    <w:rsid w:val="3B5FDD18"/>
    <w:rsid w:val="3B629B4B"/>
    <w:rsid w:val="3B6AD83E"/>
    <w:rsid w:val="3B757E9A"/>
    <w:rsid w:val="3B7D747A"/>
    <w:rsid w:val="3B814F41"/>
    <w:rsid w:val="3B81CC15"/>
    <w:rsid w:val="3B8F29D4"/>
    <w:rsid w:val="3B98C608"/>
    <w:rsid w:val="3B9C81ED"/>
    <w:rsid w:val="3B9F76BC"/>
    <w:rsid w:val="3BB25A3A"/>
    <w:rsid w:val="3BC06B7F"/>
    <w:rsid w:val="3BD2DF37"/>
    <w:rsid w:val="3BE6F407"/>
    <w:rsid w:val="3BE81031"/>
    <w:rsid w:val="3BED6997"/>
    <w:rsid w:val="3BF36DFB"/>
    <w:rsid w:val="3C02FC06"/>
    <w:rsid w:val="3C040648"/>
    <w:rsid w:val="3C0F8B5C"/>
    <w:rsid w:val="3C11833E"/>
    <w:rsid w:val="3C165097"/>
    <w:rsid w:val="3C33AAC5"/>
    <w:rsid w:val="3C349EAD"/>
    <w:rsid w:val="3C35602A"/>
    <w:rsid w:val="3C37A35D"/>
    <w:rsid w:val="3C38122D"/>
    <w:rsid w:val="3C3DA6C6"/>
    <w:rsid w:val="3C42EA49"/>
    <w:rsid w:val="3C476451"/>
    <w:rsid w:val="3C4B8CDC"/>
    <w:rsid w:val="3C4DBA0D"/>
    <w:rsid w:val="3C577A5A"/>
    <w:rsid w:val="3C5AB22D"/>
    <w:rsid w:val="3C6AFCEE"/>
    <w:rsid w:val="3C74B1F9"/>
    <w:rsid w:val="3C832BFB"/>
    <w:rsid w:val="3C85ADFE"/>
    <w:rsid w:val="3C890566"/>
    <w:rsid w:val="3C8C0605"/>
    <w:rsid w:val="3C94DD41"/>
    <w:rsid w:val="3CB7D723"/>
    <w:rsid w:val="3CBDAA99"/>
    <w:rsid w:val="3CC60A46"/>
    <w:rsid w:val="3CD0A860"/>
    <w:rsid w:val="3CD3BB1F"/>
    <w:rsid w:val="3CD865F4"/>
    <w:rsid w:val="3CE0B4A1"/>
    <w:rsid w:val="3CEE287E"/>
    <w:rsid w:val="3CFB1013"/>
    <w:rsid w:val="3D02FB35"/>
    <w:rsid w:val="3D0C82B2"/>
    <w:rsid w:val="3D0C8C02"/>
    <w:rsid w:val="3D18295C"/>
    <w:rsid w:val="3D185586"/>
    <w:rsid w:val="3D195214"/>
    <w:rsid w:val="3D20EF57"/>
    <w:rsid w:val="3D2FC37E"/>
    <w:rsid w:val="3D4D9770"/>
    <w:rsid w:val="3D5760A4"/>
    <w:rsid w:val="3D6176E8"/>
    <w:rsid w:val="3D62931E"/>
    <w:rsid w:val="3D6B0685"/>
    <w:rsid w:val="3D6C4373"/>
    <w:rsid w:val="3D85402A"/>
    <w:rsid w:val="3D8B5795"/>
    <w:rsid w:val="3D91AFEA"/>
    <w:rsid w:val="3D9CC015"/>
    <w:rsid w:val="3DA75D6E"/>
    <w:rsid w:val="3DA77D14"/>
    <w:rsid w:val="3DB6FEB4"/>
    <w:rsid w:val="3DB93592"/>
    <w:rsid w:val="3DBA98BE"/>
    <w:rsid w:val="3DBC7925"/>
    <w:rsid w:val="3DC81CF8"/>
    <w:rsid w:val="3DC8DCAD"/>
    <w:rsid w:val="3DCEE621"/>
    <w:rsid w:val="3DD30676"/>
    <w:rsid w:val="3DDB5641"/>
    <w:rsid w:val="3DE30E3A"/>
    <w:rsid w:val="3DE43E94"/>
    <w:rsid w:val="3DE6FFC8"/>
    <w:rsid w:val="3DEE167F"/>
    <w:rsid w:val="3DF5B85F"/>
    <w:rsid w:val="3DF85448"/>
    <w:rsid w:val="3E07307D"/>
    <w:rsid w:val="3E0CD879"/>
    <w:rsid w:val="3E13C9B5"/>
    <w:rsid w:val="3E15EB5A"/>
    <w:rsid w:val="3E20B1DB"/>
    <w:rsid w:val="3E2544B1"/>
    <w:rsid w:val="3E269B7A"/>
    <w:rsid w:val="3E2E3C02"/>
    <w:rsid w:val="3E2ECF70"/>
    <w:rsid w:val="3E33E8E6"/>
    <w:rsid w:val="3E3FEEDC"/>
    <w:rsid w:val="3E47E5A6"/>
    <w:rsid w:val="3E5648A8"/>
    <w:rsid w:val="3E69EAC4"/>
    <w:rsid w:val="3E718995"/>
    <w:rsid w:val="3E8BAF4F"/>
    <w:rsid w:val="3E97A6F7"/>
    <w:rsid w:val="3EB46C9B"/>
    <w:rsid w:val="3EBFB38F"/>
    <w:rsid w:val="3EC02D28"/>
    <w:rsid w:val="3EC5F7B6"/>
    <w:rsid w:val="3ECB5E18"/>
    <w:rsid w:val="3ED66CF5"/>
    <w:rsid w:val="3EDF5575"/>
    <w:rsid w:val="3EF60C93"/>
    <w:rsid w:val="3EF6A81D"/>
    <w:rsid w:val="3EFCCD5C"/>
    <w:rsid w:val="3F06CF1F"/>
    <w:rsid w:val="3F166C66"/>
    <w:rsid w:val="3F1B29B3"/>
    <w:rsid w:val="3F1C1C4C"/>
    <w:rsid w:val="3F2381E3"/>
    <w:rsid w:val="3F26A897"/>
    <w:rsid w:val="3F293288"/>
    <w:rsid w:val="3F46A2A5"/>
    <w:rsid w:val="3F562C99"/>
    <w:rsid w:val="3F62B582"/>
    <w:rsid w:val="3F7D5C2A"/>
    <w:rsid w:val="3F864747"/>
    <w:rsid w:val="3F9ECA48"/>
    <w:rsid w:val="3FA0D384"/>
    <w:rsid w:val="3FA25BB9"/>
    <w:rsid w:val="3FA39430"/>
    <w:rsid w:val="3FAB109E"/>
    <w:rsid w:val="3FAF9A16"/>
    <w:rsid w:val="3FAFF5DD"/>
    <w:rsid w:val="3FB5DB40"/>
    <w:rsid w:val="3FB701FF"/>
    <w:rsid w:val="3FB91547"/>
    <w:rsid w:val="3FB9D251"/>
    <w:rsid w:val="3FC1ABF1"/>
    <w:rsid w:val="3FD185FD"/>
    <w:rsid w:val="3FED5CE5"/>
    <w:rsid w:val="3FF41531"/>
    <w:rsid w:val="3FFAD1AD"/>
    <w:rsid w:val="3FFB677D"/>
    <w:rsid w:val="4004C8ED"/>
    <w:rsid w:val="400579D4"/>
    <w:rsid w:val="40070A04"/>
    <w:rsid w:val="40076921"/>
    <w:rsid w:val="40082769"/>
    <w:rsid w:val="400D2019"/>
    <w:rsid w:val="401A1EDB"/>
    <w:rsid w:val="401BFE7A"/>
    <w:rsid w:val="401E6539"/>
    <w:rsid w:val="401EDD5E"/>
    <w:rsid w:val="401F51D8"/>
    <w:rsid w:val="40229F19"/>
    <w:rsid w:val="4028E33A"/>
    <w:rsid w:val="403446FE"/>
    <w:rsid w:val="4043C3BE"/>
    <w:rsid w:val="40441D7A"/>
    <w:rsid w:val="404ACF96"/>
    <w:rsid w:val="404D8E65"/>
    <w:rsid w:val="407C22AA"/>
    <w:rsid w:val="407C2A41"/>
    <w:rsid w:val="4088EB74"/>
    <w:rsid w:val="409A3567"/>
    <w:rsid w:val="409F6ACA"/>
    <w:rsid w:val="40A5640A"/>
    <w:rsid w:val="40AD756F"/>
    <w:rsid w:val="40AEDD9A"/>
    <w:rsid w:val="40B25705"/>
    <w:rsid w:val="40B77C10"/>
    <w:rsid w:val="40B9BFA7"/>
    <w:rsid w:val="40CA9DCF"/>
    <w:rsid w:val="40F1B5C9"/>
    <w:rsid w:val="411F17C8"/>
    <w:rsid w:val="4130EF5D"/>
    <w:rsid w:val="41327B4D"/>
    <w:rsid w:val="41338571"/>
    <w:rsid w:val="4137AC57"/>
    <w:rsid w:val="41395324"/>
    <w:rsid w:val="413D0D80"/>
    <w:rsid w:val="413D29CD"/>
    <w:rsid w:val="414069D5"/>
    <w:rsid w:val="414B6A77"/>
    <w:rsid w:val="41533FA1"/>
    <w:rsid w:val="4156CE46"/>
    <w:rsid w:val="4162DFC7"/>
    <w:rsid w:val="417155CB"/>
    <w:rsid w:val="4174A5BB"/>
    <w:rsid w:val="41781759"/>
    <w:rsid w:val="418AA987"/>
    <w:rsid w:val="4194876B"/>
    <w:rsid w:val="419AE6EF"/>
    <w:rsid w:val="419BA913"/>
    <w:rsid w:val="41A119DF"/>
    <w:rsid w:val="41A38273"/>
    <w:rsid w:val="41B12502"/>
    <w:rsid w:val="41B7DB57"/>
    <w:rsid w:val="41BB9C6A"/>
    <w:rsid w:val="41C72536"/>
    <w:rsid w:val="41CFC800"/>
    <w:rsid w:val="41DD4335"/>
    <w:rsid w:val="41E9CD40"/>
    <w:rsid w:val="41ED9818"/>
    <w:rsid w:val="41EF66F9"/>
    <w:rsid w:val="41F9825D"/>
    <w:rsid w:val="42016F85"/>
    <w:rsid w:val="4207AE7E"/>
    <w:rsid w:val="420A28B8"/>
    <w:rsid w:val="421F12F6"/>
    <w:rsid w:val="421FAFAD"/>
    <w:rsid w:val="4220D15B"/>
    <w:rsid w:val="422FFEF8"/>
    <w:rsid w:val="4235B6E5"/>
    <w:rsid w:val="423EC1ED"/>
    <w:rsid w:val="42472D5F"/>
    <w:rsid w:val="424803F2"/>
    <w:rsid w:val="424E3050"/>
    <w:rsid w:val="425105AA"/>
    <w:rsid w:val="4251CE54"/>
    <w:rsid w:val="42561BB3"/>
    <w:rsid w:val="425B40ED"/>
    <w:rsid w:val="42738531"/>
    <w:rsid w:val="427D2629"/>
    <w:rsid w:val="427D8B56"/>
    <w:rsid w:val="4288A657"/>
    <w:rsid w:val="4288F89C"/>
    <w:rsid w:val="4289C3C8"/>
    <w:rsid w:val="428F0AB6"/>
    <w:rsid w:val="42A4338E"/>
    <w:rsid w:val="42AEC0D6"/>
    <w:rsid w:val="42B141FA"/>
    <w:rsid w:val="42B440C2"/>
    <w:rsid w:val="42BA2712"/>
    <w:rsid w:val="42C1A997"/>
    <w:rsid w:val="42C5DEE6"/>
    <w:rsid w:val="42E654A3"/>
    <w:rsid w:val="42E765E3"/>
    <w:rsid w:val="42E8AD94"/>
    <w:rsid w:val="430751DE"/>
    <w:rsid w:val="4315318B"/>
    <w:rsid w:val="4319C7E3"/>
    <w:rsid w:val="43241FAE"/>
    <w:rsid w:val="432679E8"/>
    <w:rsid w:val="432F9039"/>
    <w:rsid w:val="4334AB19"/>
    <w:rsid w:val="4338B02E"/>
    <w:rsid w:val="43410976"/>
    <w:rsid w:val="4356A14B"/>
    <w:rsid w:val="435BFE99"/>
    <w:rsid w:val="43618144"/>
    <w:rsid w:val="437C3CF0"/>
    <w:rsid w:val="4380CC7F"/>
    <w:rsid w:val="43860184"/>
    <w:rsid w:val="43905DA1"/>
    <w:rsid w:val="4393E198"/>
    <w:rsid w:val="439F7E83"/>
    <w:rsid w:val="43B420A7"/>
    <w:rsid w:val="43BACA5B"/>
    <w:rsid w:val="43BC374A"/>
    <w:rsid w:val="43C647E7"/>
    <w:rsid w:val="43D580D8"/>
    <w:rsid w:val="43D9A29F"/>
    <w:rsid w:val="43E6B26F"/>
    <w:rsid w:val="43F1F594"/>
    <w:rsid w:val="43F93DEC"/>
    <w:rsid w:val="440A81C1"/>
    <w:rsid w:val="440D74DC"/>
    <w:rsid w:val="441B4134"/>
    <w:rsid w:val="441BCCE1"/>
    <w:rsid w:val="441CCD06"/>
    <w:rsid w:val="443DD4E6"/>
    <w:rsid w:val="4450D93C"/>
    <w:rsid w:val="44552A83"/>
    <w:rsid w:val="44610046"/>
    <w:rsid w:val="44634A64"/>
    <w:rsid w:val="44785438"/>
    <w:rsid w:val="44816EA8"/>
    <w:rsid w:val="4491B786"/>
    <w:rsid w:val="4496EFC3"/>
    <w:rsid w:val="449E3EDD"/>
    <w:rsid w:val="44A16C59"/>
    <w:rsid w:val="44A55A7C"/>
    <w:rsid w:val="44A6DF92"/>
    <w:rsid w:val="44B09BC3"/>
    <w:rsid w:val="44B5BD84"/>
    <w:rsid w:val="44BE57DA"/>
    <w:rsid w:val="44C22C56"/>
    <w:rsid w:val="44CBC494"/>
    <w:rsid w:val="44CF4B4B"/>
    <w:rsid w:val="44D1F628"/>
    <w:rsid w:val="44D600B7"/>
    <w:rsid w:val="44DAB5B1"/>
    <w:rsid w:val="44F586EE"/>
    <w:rsid w:val="45119252"/>
    <w:rsid w:val="451529F8"/>
    <w:rsid w:val="451B709C"/>
    <w:rsid w:val="4523C2B8"/>
    <w:rsid w:val="452C5533"/>
    <w:rsid w:val="45311D76"/>
    <w:rsid w:val="4531F361"/>
    <w:rsid w:val="4540A92D"/>
    <w:rsid w:val="45435486"/>
    <w:rsid w:val="45474FC3"/>
    <w:rsid w:val="455244FD"/>
    <w:rsid w:val="456755E5"/>
    <w:rsid w:val="4567D013"/>
    <w:rsid w:val="4581A48A"/>
    <w:rsid w:val="458286CE"/>
    <w:rsid w:val="45842FB6"/>
    <w:rsid w:val="4587C09E"/>
    <w:rsid w:val="45880808"/>
    <w:rsid w:val="458CEC37"/>
    <w:rsid w:val="45C0799B"/>
    <w:rsid w:val="45D2BEB6"/>
    <w:rsid w:val="45D3C0EE"/>
    <w:rsid w:val="45D6ED77"/>
    <w:rsid w:val="45D72727"/>
    <w:rsid w:val="45E06CF9"/>
    <w:rsid w:val="45E74DF6"/>
    <w:rsid w:val="45E98352"/>
    <w:rsid w:val="45F2273D"/>
    <w:rsid w:val="45F32C20"/>
    <w:rsid w:val="45FB355A"/>
    <w:rsid w:val="460B63CB"/>
    <w:rsid w:val="46146C21"/>
    <w:rsid w:val="461770BD"/>
    <w:rsid w:val="461C4AD8"/>
    <w:rsid w:val="46203BA6"/>
    <w:rsid w:val="462D4177"/>
    <w:rsid w:val="463A40F7"/>
    <w:rsid w:val="463AE172"/>
    <w:rsid w:val="464C0655"/>
    <w:rsid w:val="465DA9E5"/>
    <w:rsid w:val="46630781"/>
    <w:rsid w:val="4670016A"/>
    <w:rsid w:val="469216C5"/>
    <w:rsid w:val="4692F4F5"/>
    <w:rsid w:val="469A0DB7"/>
    <w:rsid w:val="469D86B8"/>
    <w:rsid w:val="469EFBDE"/>
    <w:rsid w:val="46A3D038"/>
    <w:rsid w:val="46A3E19C"/>
    <w:rsid w:val="46B3CB23"/>
    <w:rsid w:val="46BFE878"/>
    <w:rsid w:val="46CB0300"/>
    <w:rsid w:val="46D9F634"/>
    <w:rsid w:val="46EAA813"/>
    <w:rsid w:val="46EC29F9"/>
    <w:rsid w:val="46EF1666"/>
    <w:rsid w:val="46F46040"/>
    <w:rsid w:val="46FD0FC7"/>
    <w:rsid w:val="47030C3A"/>
    <w:rsid w:val="47182085"/>
    <w:rsid w:val="4719A055"/>
    <w:rsid w:val="471CABE9"/>
    <w:rsid w:val="47225A6E"/>
    <w:rsid w:val="4722B50C"/>
    <w:rsid w:val="47242368"/>
    <w:rsid w:val="47277822"/>
    <w:rsid w:val="4727BE06"/>
    <w:rsid w:val="4728FF8A"/>
    <w:rsid w:val="4739376F"/>
    <w:rsid w:val="474408B6"/>
    <w:rsid w:val="47468D8A"/>
    <w:rsid w:val="4756977D"/>
    <w:rsid w:val="4760A673"/>
    <w:rsid w:val="476875B0"/>
    <w:rsid w:val="4771E349"/>
    <w:rsid w:val="4773D0B4"/>
    <w:rsid w:val="47833267"/>
    <w:rsid w:val="4793F4AF"/>
    <w:rsid w:val="47AD4FCE"/>
    <w:rsid w:val="47B7D6B6"/>
    <w:rsid w:val="47C66B49"/>
    <w:rsid w:val="47C6B971"/>
    <w:rsid w:val="47D2B229"/>
    <w:rsid w:val="47D2DF0D"/>
    <w:rsid w:val="47D5C20C"/>
    <w:rsid w:val="47DDDC99"/>
    <w:rsid w:val="47E5A6A3"/>
    <w:rsid w:val="47E66516"/>
    <w:rsid w:val="47ECFD0A"/>
    <w:rsid w:val="47F95D51"/>
    <w:rsid w:val="48043CD3"/>
    <w:rsid w:val="480E2FBA"/>
    <w:rsid w:val="4811AFB4"/>
    <w:rsid w:val="48163D06"/>
    <w:rsid w:val="48322CA0"/>
    <w:rsid w:val="48398251"/>
    <w:rsid w:val="484FC01A"/>
    <w:rsid w:val="48585C6F"/>
    <w:rsid w:val="485C145E"/>
    <w:rsid w:val="4862B434"/>
    <w:rsid w:val="486C4E56"/>
    <w:rsid w:val="486FE91D"/>
    <w:rsid w:val="4873C7AF"/>
    <w:rsid w:val="488C0961"/>
    <w:rsid w:val="48993B48"/>
    <w:rsid w:val="48B5202D"/>
    <w:rsid w:val="48BF94CE"/>
    <w:rsid w:val="48C0CF2C"/>
    <w:rsid w:val="48EA6A5D"/>
    <w:rsid w:val="48F85DF2"/>
    <w:rsid w:val="48F8608D"/>
    <w:rsid w:val="48FB267B"/>
    <w:rsid w:val="48FC570D"/>
    <w:rsid w:val="48FE1A17"/>
    <w:rsid w:val="490D97E9"/>
    <w:rsid w:val="492181D3"/>
    <w:rsid w:val="4929BEBE"/>
    <w:rsid w:val="493CFC91"/>
    <w:rsid w:val="495AD261"/>
    <w:rsid w:val="495D306E"/>
    <w:rsid w:val="49668B57"/>
    <w:rsid w:val="496DB336"/>
    <w:rsid w:val="49754D83"/>
    <w:rsid w:val="497672CE"/>
    <w:rsid w:val="497A461D"/>
    <w:rsid w:val="497BB2E6"/>
    <w:rsid w:val="4985D9BA"/>
    <w:rsid w:val="498F6C9B"/>
    <w:rsid w:val="4996700A"/>
    <w:rsid w:val="499CB596"/>
    <w:rsid w:val="499DE037"/>
    <w:rsid w:val="499F70A4"/>
    <w:rsid w:val="49AA001B"/>
    <w:rsid w:val="49AF91C2"/>
    <w:rsid w:val="49D944FA"/>
    <w:rsid w:val="49DAB3DE"/>
    <w:rsid w:val="49DB0D79"/>
    <w:rsid w:val="49E4E7E4"/>
    <w:rsid w:val="49E51E59"/>
    <w:rsid w:val="49F18C1D"/>
    <w:rsid w:val="49FCF79B"/>
    <w:rsid w:val="4A08AC2C"/>
    <w:rsid w:val="4A0A2EBD"/>
    <w:rsid w:val="4A0A5A0A"/>
    <w:rsid w:val="4A128932"/>
    <w:rsid w:val="4A1F1390"/>
    <w:rsid w:val="4A25A3E7"/>
    <w:rsid w:val="4A29296C"/>
    <w:rsid w:val="4A2CC226"/>
    <w:rsid w:val="4A36946D"/>
    <w:rsid w:val="4A3D279A"/>
    <w:rsid w:val="4A3DEB8E"/>
    <w:rsid w:val="4A474D33"/>
    <w:rsid w:val="4A499582"/>
    <w:rsid w:val="4A4B15CF"/>
    <w:rsid w:val="4A4E8F7E"/>
    <w:rsid w:val="4A4EE584"/>
    <w:rsid w:val="4A4F9327"/>
    <w:rsid w:val="4A54059D"/>
    <w:rsid w:val="4A58B5F9"/>
    <w:rsid w:val="4A7F57E1"/>
    <w:rsid w:val="4A80C67B"/>
    <w:rsid w:val="4A85DEEF"/>
    <w:rsid w:val="4A9D96B8"/>
    <w:rsid w:val="4AA150A2"/>
    <w:rsid w:val="4AAFBC3A"/>
    <w:rsid w:val="4ABABCA1"/>
    <w:rsid w:val="4AC71808"/>
    <w:rsid w:val="4AD7A05F"/>
    <w:rsid w:val="4ADBFD03"/>
    <w:rsid w:val="4AEEF01F"/>
    <w:rsid w:val="4AF94F03"/>
    <w:rsid w:val="4B0FBB29"/>
    <w:rsid w:val="4B2076B1"/>
    <w:rsid w:val="4B218080"/>
    <w:rsid w:val="4B236807"/>
    <w:rsid w:val="4B3ED5E5"/>
    <w:rsid w:val="4B4EC5AD"/>
    <w:rsid w:val="4B4FCE11"/>
    <w:rsid w:val="4B62109D"/>
    <w:rsid w:val="4B6E347D"/>
    <w:rsid w:val="4B73206F"/>
    <w:rsid w:val="4B78ACEF"/>
    <w:rsid w:val="4B7922AC"/>
    <w:rsid w:val="4B933F96"/>
    <w:rsid w:val="4B9D2FE4"/>
    <w:rsid w:val="4BA0650D"/>
    <w:rsid w:val="4BA173FB"/>
    <w:rsid w:val="4BB02170"/>
    <w:rsid w:val="4BC5EE4E"/>
    <w:rsid w:val="4BCA4EC5"/>
    <w:rsid w:val="4BD46F22"/>
    <w:rsid w:val="4BD61120"/>
    <w:rsid w:val="4BD77CD0"/>
    <w:rsid w:val="4BDA94AA"/>
    <w:rsid w:val="4BE79D25"/>
    <w:rsid w:val="4BEC2920"/>
    <w:rsid w:val="4BF6E1C3"/>
    <w:rsid w:val="4BFD069D"/>
    <w:rsid w:val="4BFFE9C8"/>
    <w:rsid w:val="4C076AC4"/>
    <w:rsid w:val="4C0EAB81"/>
    <w:rsid w:val="4C15EC73"/>
    <w:rsid w:val="4C283FC5"/>
    <w:rsid w:val="4C343182"/>
    <w:rsid w:val="4C3D9A16"/>
    <w:rsid w:val="4C5334D7"/>
    <w:rsid w:val="4C610A80"/>
    <w:rsid w:val="4C686EFD"/>
    <w:rsid w:val="4C74A6B4"/>
    <w:rsid w:val="4C7BE6D9"/>
    <w:rsid w:val="4C8057D8"/>
    <w:rsid w:val="4C9388F3"/>
    <w:rsid w:val="4CACF366"/>
    <w:rsid w:val="4CB6F452"/>
    <w:rsid w:val="4CC14BA8"/>
    <w:rsid w:val="4CCD5C2E"/>
    <w:rsid w:val="4CD005D0"/>
    <w:rsid w:val="4CDE8A52"/>
    <w:rsid w:val="4CF460BA"/>
    <w:rsid w:val="4CFFD4AF"/>
    <w:rsid w:val="4D0777C8"/>
    <w:rsid w:val="4D0895D2"/>
    <w:rsid w:val="4D0DFE0E"/>
    <w:rsid w:val="4D1DA840"/>
    <w:rsid w:val="4D202AFF"/>
    <w:rsid w:val="4D29E1EA"/>
    <w:rsid w:val="4D3E2542"/>
    <w:rsid w:val="4D3E6813"/>
    <w:rsid w:val="4D535990"/>
    <w:rsid w:val="4D611529"/>
    <w:rsid w:val="4D6304EE"/>
    <w:rsid w:val="4D65996C"/>
    <w:rsid w:val="4D833F86"/>
    <w:rsid w:val="4D944EA1"/>
    <w:rsid w:val="4DB59A1D"/>
    <w:rsid w:val="4DB93197"/>
    <w:rsid w:val="4DC0F60E"/>
    <w:rsid w:val="4DCDA35E"/>
    <w:rsid w:val="4DF92D0A"/>
    <w:rsid w:val="4E01AD19"/>
    <w:rsid w:val="4E09F143"/>
    <w:rsid w:val="4E16CF9A"/>
    <w:rsid w:val="4E1F4B96"/>
    <w:rsid w:val="4E2B4553"/>
    <w:rsid w:val="4E311FB6"/>
    <w:rsid w:val="4E4BEDB1"/>
    <w:rsid w:val="4E4CBB97"/>
    <w:rsid w:val="4E71F6A7"/>
    <w:rsid w:val="4E765FCB"/>
    <w:rsid w:val="4E77E16E"/>
    <w:rsid w:val="4E7B6480"/>
    <w:rsid w:val="4E82D1BD"/>
    <w:rsid w:val="4E835C06"/>
    <w:rsid w:val="4E923A40"/>
    <w:rsid w:val="4E93254F"/>
    <w:rsid w:val="4EB904DA"/>
    <w:rsid w:val="4EBDCF14"/>
    <w:rsid w:val="4EBF29C2"/>
    <w:rsid w:val="4EC5E1AE"/>
    <w:rsid w:val="4ED5B330"/>
    <w:rsid w:val="4ED9FE64"/>
    <w:rsid w:val="4EF26A69"/>
    <w:rsid w:val="4EF828DF"/>
    <w:rsid w:val="4F022F05"/>
    <w:rsid w:val="4F0C73FC"/>
    <w:rsid w:val="4F22CDC3"/>
    <w:rsid w:val="4F2C63DB"/>
    <w:rsid w:val="4F3563AE"/>
    <w:rsid w:val="4F4EAA5A"/>
    <w:rsid w:val="4F58DF25"/>
    <w:rsid w:val="4F5D608D"/>
    <w:rsid w:val="4F61309C"/>
    <w:rsid w:val="4F95E3B0"/>
    <w:rsid w:val="4F9BAA16"/>
    <w:rsid w:val="4F9D1663"/>
    <w:rsid w:val="4FA569AD"/>
    <w:rsid w:val="4FBB33F1"/>
    <w:rsid w:val="4FCF3F0A"/>
    <w:rsid w:val="4FDE39A1"/>
    <w:rsid w:val="4FE0DF57"/>
    <w:rsid w:val="4FEABECF"/>
    <w:rsid w:val="4FF30A90"/>
    <w:rsid w:val="4FF54EC5"/>
    <w:rsid w:val="4FF701D0"/>
    <w:rsid w:val="500024FF"/>
    <w:rsid w:val="500A3D08"/>
    <w:rsid w:val="5032B5B4"/>
    <w:rsid w:val="50477ADD"/>
    <w:rsid w:val="504A3148"/>
    <w:rsid w:val="504B9165"/>
    <w:rsid w:val="50515828"/>
    <w:rsid w:val="5055FF69"/>
    <w:rsid w:val="505C6E5D"/>
    <w:rsid w:val="506EA678"/>
    <w:rsid w:val="507855B0"/>
    <w:rsid w:val="508834A8"/>
    <w:rsid w:val="50943E1A"/>
    <w:rsid w:val="50952378"/>
    <w:rsid w:val="509CF7E0"/>
    <w:rsid w:val="509E7FCD"/>
    <w:rsid w:val="50A8570A"/>
    <w:rsid w:val="50A8D1B4"/>
    <w:rsid w:val="50B48189"/>
    <w:rsid w:val="50B7C34D"/>
    <w:rsid w:val="50BA3678"/>
    <w:rsid w:val="50CBDC26"/>
    <w:rsid w:val="50CFD2F0"/>
    <w:rsid w:val="50D1C94B"/>
    <w:rsid w:val="50D8DEAE"/>
    <w:rsid w:val="50F03936"/>
    <w:rsid w:val="50F4DBFE"/>
    <w:rsid w:val="5101E129"/>
    <w:rsid w:val="5103F88A"/>
    <w:rsid w:val="511574DC"/>
    <w:rsid w:val="51202E8A"/>
    <w:rsid w:val="51271B3E"/>
    <w:rsid w:val="5129FCE1"/>
    <w:rsid w:val="5134F1A4"/>
    <w:rsid w:val="513C6801"/>
    <w:rsid w:val="514E705C"/>
    <w:rsid w:val="515880CB"/>
    <w:rsid w:val="515A7449"/>
    <w:rsid w:val="515D8C37"/>
    <w:rsid w:val="517990A7"/>
    <w:rsid w:val="5182719A"/>
    <w:rsid w:val="519AD9A6"/>
    <w:rsid w:val="51AB0FCD"/>
    <w:rsid w:val="51ACC862"/>
    <w:rsid w:val="51C7F42B"/>
    <w:rsid w:val="51F4FA81"/>
    <w:rsid w:val="520BCB8E"/>
    <w:rsid w:val="52207AAA"/>
    <w:rsid w:val="52248960"/>
    <w:rsid w:val="52276BAC"/>
    <w:rsid w:val="5228DE0A"/>
    <w:rsid w:val="5236BB11"/>
    <w:rsid w:val="523859F1"/>
    <w:rsid w:val="523D1E86"/>
    <w:rsid w:val="523D4CBF"/>
    <w:rsid w:val="52424EF3"/>
    <w:rsid w:val="524C1D73"/>
    <w:rsid w:val="52744FFF"/>
    <w:rsid w:val="52899BA3"/>
    <w:rsid w:val="528EE33E"/>
    <w:rsid w:val="529066CD"/>
    <w:rsid w:val="5298D38C"/>
    <w:rsid w:val="529CE793"/>
    <w:rsid w:val="52A67ABD"/>
    <w:rsid w:val="52AB8D79"/>
    <w:rsid w:val="52B89B0F"/>
    <w:rsid w:val="52BE4E3E"/>
    <w:rsid w:val="52C98526"/>
    <w:rsid w:val="52D52286"/>
    <w:rsid w:val="52D797B8"/>
    <w:rsid w:val="52E8591F"/>
    <w:rsid w:val="52E8A726"/>
    <w:rsid w:val="52ECF50F"/>
    <w:rsid w:val="530429F1"/>
    <w:rsid w:val="53107BFB"/>
    <w:rsid w:val="531B41D8"/>
    <w:rsid w:val="53276C04"/>
    <w:rsid w:val="532A30B0"/>
    <w:rsid w:val="533043BE"/>
    <w:rsid w:val="5330DC94"/>
    <w:rsid w:val="53324062"/>
    <w:rsid w:val="533DC0AE"/>
    <w:rsid w:val="5351CC84"/>
    <w:rsid w:val="53575B2C"/>
    <w:rsid w:val="53600ECF"/>
    <w:rsid w:val="53684039"/>
    <w:rsid w:val="5374C812"/>
    <w:rsid w:val="53818664"/>
    <w:rsid w:val="538285EF"/>
    <w:rsid w:val="538DC814"/>
    <w:rsid w:val="539090F3"/>
    <w:rsid w:val="539735F9"/>
    <w:rsid w:val="53AE2668"/>
    <w:rsid w:val="53B1A8BF"/>
    <w:rsid w:val="53B593ED"/>
    <w:rsid w:val="53BDAA59"/>
    <w:rsid w:val="53C08D91"/>
    <w:rsid w:val="53CB6122"/>
    <w:rsid w:val="53DBE61D"/>
    <w:rsid w:val="53DED61A"/>
    <w:rsid w:val="53E3C22B"/>
    <w:rsid w:val="53FA0D19"/>
    <w:rsid w:val="540D5AB3"/>
    <w:rsid w:val="541292FE"/>
    <w:rsid w:val="541A0AEF"/>
    <w:rsid w:val="542182B3"/>
    <w:rsid w:val="54245831"/>
    <w:rsid w:val="542F1FD9"/>
    <w:rsid w:val="54367C90"/>
    <w:rsid w:val="543734D3"/>
    <w:rsid w:val="543AB26D"/>
    <w:rsid w:val="5440B1BC"/>
    <w:rsid w:val="544B77BA"/>
    <w:rsid w:val="544F2AC5"/>
    <w:rsid w:val="54569CB4"/>
    <w:rsid w:val="5456C321"/>
    <w:rsid w:val="5458B186"/>
    <w:rsid w:val="546F7B71"/>
    <w:rsid w:val="5470524E"/>
    <w:rsid w:val="547054B5"/>
    <w:rsid w:val="54705DCF"/>
    <w:rsid w:val="547D1E83"/>
    <w:rsid w:val="54A01805"/>
    <w:rsid w:val="54A3E5EA"/>
    <w:rsid w:val="54AA390C"/>
    <w:rsid w:val="54CB905D"/>
    <w:rsid w:val="54D27EC0"/>
    <w:rsid w:val="54E3050E"/>
    <w:rsid w:val="54EFDBC8"/>
    <w:rsid w:val="54F1D997"/>
    <w:rsid w:val="54F5960E"/>
    <w:rsid w:val="5502A290"/>
    <w:rsid w:val="5528D3B0"/>
    <w:rsid w:val="552D6C80"/>
    <w:rsid w:val="5535E3FD"/>
    <w:rsid w:val="554D3D35"/>
    <w:rsid w:val="555D3990"/>
    <w:rsid w:val="5560C4D3"/>
    <w:rsid w:val="5565786E"/>
    <w:rsid w:val="556F9065"/>
    <w:rsid w:val="5582342D"/>
    <w:rsid w:val="558273EC"/>
    <w:rsid w:val="5586D041"/>
    <w:rsid w:val="55BD5314"/>
    <w:rsid w:val="55CDEBC3"/>
    <w:rsid w:val="55DE5BAE"/>
    <w:rsid w:val="55E04B9F"/>
    <w:rsid w:val="55E32E3B"/>
    <w:rsid w:val="55E47C5C"/>
    <w:rsid w:val="55F36E1B"/>
    <w:rsid w:val="55F50217"/>
    <w:rsid w:val="562C66DC"/>
    <w:rsid w:val="562EC645"/>
    <w:rsid w:val="5652BF9D"/>
    <w:rsid w:val="5659DD8A"/>
    <w:rsid w:val="565FC9B1"/>
    <w:rsid w:val="566101BF"/>
    <w:rsid w:val="568844F3"/>
    <w:rsid w:val="56892564"/>
    <w:rsid w:val="568AAD31"/>
    <w:rsid w:val="569F8CA2"/>
    <w:rsid w:val="56A8D07C"/>
    <w:rsid w:val="56AE7CA3"/>
    <w:rsid w:val="56BF6DE3"/>
    <w:rsid w:val="56C4BF21"/>
    <w:rsid w:val="56CE010E"/>
    <w:rsid w:val="56D01C60"/>
    <w:rsid w:val="56D2754E"/>
    <w:rsid w:val="56DD523B"/>
    <w:rsid w:val="56F1D292"/>
    <w:rsid w:val="56F38A98"/>
    <w:rsid w:val="56F7EB88"/>
    <w:rsid w:val="57005EAC"/>
    <w:rsid w:val="570220C6"/>
    <w:rsid w:val="571429C8"/>
    <w:rsid w:val="571676DC"/>
    <w:rsid w:val="5718DFAD"/>
    <w:rsid w:val="572AFCB0"/>
    <w:rsid w:val="5733C313"/>
    <w:rsid w:val="573798D8"/>
    <w:rsid w:val="573EDB60"/>
    <w:rsid w:val="57508B8A"/>
    <w:rsid w:val="57662F9A"/>
    <w:rsid w:val="57680167"/>
    <w:rsid w:val="576E16C1"/>
    <w:rsid w:val="5775F878"/>
    <w:rsid w:val="5776D694"/>
    <w:rsid w:val="577EFE9C"/>
    <w:rsid w:val="57830BFD"/>
    <w:rsid w:val="57888496"/>
    <w:rsid w:val="57A53142"/>
    <w:rsid w:val="57A5D212"/>
    <w:rsid w:val="57B9578C"/>
    <w:rsid w:val="57C4685D"/>
    <w:rsid w:val="57C494B5"/>
    <w:rsid w:val="57CBC3A1"/>
    <w:rsid w:val="57CE4108"/>
    <w:rsid w:val="57E1B0E7"/>
    <w:rsid w:val="57E532D9"/>
    <w:rsid w:val="57EB807C"/>
    <w:rsid w:val="57F0A5F3"/>
    <w:rsid w:val="57F5B8E5"/>
    <w:rsid w:val="57F8334A"/>
    <w:rsid w:val="57FE165D"/>
    <w:rsid w:val="57FE7AFE"/>
    <w:rsid w:val="5802F597"/>
    <w:rsid w:val="58285DF9"/>
    <w:rsid w:val="582DD0DE"/>
    <w:rsid w:val="58301FA5"/>
    <w:rsid w:val="583EBD5D"/>
    <w:rsid w:val="5846A791"/>
    <w:rsid w:val="5847D48E"/>
    <w:rsid w:val="584C3EA1"/>
    <w:rsid w:val="586E83ED"/>
    <w:rsid w:val="5871605A"/>
    <w:rsid w:val="587A1510"/>
    <w:rsid w:val="58884509"/>
    <w:rsid w:val="58911684"/>
    <w:rsid w:val="58967125"/>
    <w:rsid w:val="5896DFF7"/>
    <w:rsid w:val="5898124A"/>
    <w:rsid w:val="58A0D8A9"/>
    <w:rsid w:val="58AF21B4"/>
    <w:rsid w:val="58B01AC3"/>
    <w:rsid w:val="58B35AE2"/>
    <w:rsid w:val="58B61E88"/>
    <w:rsid w:val="58B718CC"/>
    <w:rsid w:val="58BB6766"/>
    <w:rsid w:val="58C3D1B0"/>
    <w:rsid w:val="58CE235C"/>
    <w:rsid w:val="58CFF4C4"/>
    <w:rsid w:val="58DD6D24"/>
    <w:rsid w:val="58DEE385"/>
    <w:rsid w:val="58FFB53A"/>
    <w:rsid w:val="59037C76"/>
    <w:rsid w:val="5905E671"/>
    <w:rsid w:val="590F86BA"/>
    <w:rsid w:val="59128FC2"/>
    <w:rsid w:val="59132A84"/>
    <w:rsid w:val="59181677"/>
    <w:rsid w:val="591EF0D9"/>
    <w:rsid w:val="5926B417"/>
    <w:rsid w:val="592B32F1"/>
    <w:rsid w:val="592F1976"/>
    <w:rsid w:val="5930A637"/>
    <w:rsid w:val="593443D9"/>
    <w:rsid w:val="59441F42"/>
    <w:rsid w:val="594776BC"/>
    <w:rsid w:val="594BCDBE"/>
    <w:rsid w:val="595CA400"/>
    <w:rsid w:val="5978520A"/>
    <w:rsid w:val="597C4623"/>
    <w:rsid w:val="597E15AF"/>
    <w:rsid w:val="597F9156"/>
    <w:rsid w:val="5984F150"/>
    <w:rsid w:val="5991C478"/>
    <w:rsid w:val="59A15FCF"/>
    <w:rsid w:val="59B91B47"/>
    <w:rsid w:val="59C0F9A7"/>
    <w:rsid w:val="59CAA8C5"/>
    <w:rsid w:val="59D47141"/>
    <w:rsid w:val="59D6DE7F"/>
    <w:rsid w:val="59D83523"/>
    <w:rsid w:val="59EEE831"/>
    <w:rsid w:val="59F5AE72"/>
    <w:rsid w:val="5A07070B"/>
    <w:rsid w:val="5A20C5C7"/>
    <w:rsid w:val="5A234D34"/>
    <w:rsid w:val="5A3ABDA8"/>
    <w:rsid w:val="5A452688"/>
    <w:rsid w:val="5A4BB41F"/>
    <w:rsid w:val="5A50B7FB"/>
    <w:rsid w:val="5A562798"/>
    <w:rsid w:val="5A5DA331"/>
    <w:rsid w:val="5A5E01CD"/>
    <w:rsid w:val="5A6961EA"/>
    <w:rsid w:val="5A6CBB80"/>
    <w:rsid w:val="5A6FF68C"/>
    <w:rsid w:val="5A71E1BB"/>
    <w:rsid w:val="5A8F8C9D"/>
    <w:rsid w:val="5A99D16A"/>
    <w:rsid w:val="5AB20827"/>
    <w:rsid w:val="5AB8BB9D"/>
    <w:rsid w:val="5ABA32E2"/>
    <w:rsid w:val="5ABCC9B7"/>
    <w:rsid w:val="5AC27C64"/>
    <w:rsid w:val="5AC55C8C"/>
    <w:rsid w:val="5ACEF9C0"/>
    <w:rsid w:val="5B041981"/>
    <w:rsid w:val="5B0B1282"/>
    <w:rsid w:val="5B0BA5D3"/>
    <w:rsid w:val="5B2CA1D6"/>
    <w:rsid w:val="5B33327E"/>
    <w:rsid w:val="5B371C8A"/>
    <w:rsid w:val="5B3826EB"/>
    <w:rsid w:val="5B4F9D1D"/>
    <w:rsid w:val="5B61831D"/>
    <w:rsid w:val="5B6352D8"/>
    <w:rsid w:val="5B662CEC"/>
    <w:rsid w:val="5B67E709"/>
    <w:rsid w:val="5B7CF298"/>
    <w:rsid w:val="5B7D7CBB"/>
    <w:rsid w:val="5B9CF12A"/>
    <w:rsid w:val="5BA070ED"/>
    <w:rsid w:val="5BAA0161"/>
    <w:rsid w:val="5BB22F5B"/>
    <w:rsid w:val="5BB8364D"/>
    <w:rsid w:val="5BCA66FE"/>
    <w:rsid w:val="5BCDBA91"/>
    <w:rsid w:val="5BCFC339"/>
    <w:rsid w:val="5BD54540"/>
    <w:rsid w:val="5BD69D00"/>
    <w:rsid w:val="5BD900D6"/>
    <w:rsid w:val="5BE0C8B8"/>
    <w:rsid w:val="5BE25137"/>
    <w:rsid w:val="5BFD1C0F"/>
    <w:rsid w:val="5C02489E"/>
    <w:rsid w:val="5C0C51AF"/>
    <w:rsid w:val="5C0DB21C"/>
    <w:rsid w:val="5C0E04BA"/>
    <w:rsid w:val="5C10E2AE"/>
    <w:rsid w:val="5C13099E"/>
    <w:rsid w:val="5C193B74"/>
    <w:rsid w:val="5C274CCB"/>
    <w:rsid w:val="5C35B54C"/>
    <w:rsid w:val="5C414369"/>
    <w:rsid w:val="5C458CC3"/>
    <w:rsid w:val="5C476D19"/>
    <w:rsid w:val="5C478AFD"/>
    <w:rsid w:val="5C4BA9B0"/>
    <w:rsid w:val="5C56AE53"/>
    <w:rsid w:val="5C62B9E1"/>
    <w:rsid w:val="5C6D52DB"/>
    <w:rsid w:val="5C83187D"/>
    <w:rsid w:val="5C83D524"/>
    <w:rsid w:val="5C915A82"/>
    <w:rsid w:val="5CB20B25"/>
    <w:rsid w:val="5CB65E91"/>
    <w:rsid w:val="5CB8BF32"/>
    <w:rsid w:val="5CCB7ADA"/>
    <w:rsid w:val="5CCC7533"/>
    <w:rsid w:val="5CCDE803"/>
    <w:rsid w:val="5CE42611"/>
    <w:rsid w:val="5CF0ACFD"/>
    <w:rsid w:val="5D0356FB"/>
    <w:rsid w:val="5D145545"/>
    <w:rsid w:val="5D195D38"/>
    <w:rsid w:val="5D1D4BD8"/>
    <w:rsid w:val="5D236EF0"/>
    <w:rsid w:val="5D2ABC9C"/>
    <w:rsid w:val="5D2B1663"/>
    <w:rsid w:val="5D2E3632"/>
    <w:rsid w:val="5D3F9115"/>
    <w:rsid w:val="5D4780D3"/>
    <w:rsid w:val="5D483CEE"/>
    <w:rsid w:val="5D4F3F87"/>
    <w:rsid w:val="5D4F65B2"/>
    <w:rsid w:val="5D56845F"/>
    <w:rsid w:val="5D5A2077"/>
    <w:rsid w:val="5D746528"/>
    <w:rsid w:val="5D75139E"/>
    <w:rsid w:val="5D78079F"/>
    <w:rsid w:val="5D799B20"/>
    <w:rsid w:val="5D86EFEA"/>
    <w:rsid w:val="5DA73838"/>
    <w:rsid w:val="5DAC999E"/>
    <w:rsid w:val="5DB40761"/>
    <w:rsid w:val="5DB8FA3D"/>
    <w:rsid w:val="5DBC8729"/>
    <w:rsid w:val="5DC3ABCC"/>
    <w:rsid w:val="5DD04262"/>
    <w:rsid w:val="5DD9257C"/>
    <w:rsid w:val="5DDED19D"/>
    <w:rsid w:val="5DEB326E"/>
    <w:rsid w:val="5DF05693"/>
    <w:rsid w:val="5DF10732"/>
    <w:rsid w:val="5DF2AC90"/>
    <w:rsid w:val="5DFE287D"/>
    <w:rsid w:val="5E01C2AC"/>
    <w:rsid w:val="5E024588"/>
    <w:rsid w:val="5E036C1D"/>
    <w:rsid w:val="5E055717"/>
    <w:rsid w:val="5E067B68"/>
    <w:rsid w:val="5E158724"/>
    <w:rsid w:val="5E1926F5"/>
    <w:rsid w:val="5E1AC6FC"/>
    <w:rsid w:val="5E21F95F"/>
    <w:rsid w:val="5E244379"/>
    <w:rsid w:val="5E2E51FE"/>
    <w:rsid w:val="5E321220"/>
    <w:rsid w:val="5E49C758"/>
    <w:rsid w:val="5E4AF43C"/>
    <w:rsid w:val="5E586867"/>
    <w:rsid w:val="5E5B8B7C"/>
    <w:rsid w:val="5E6C5BBC"/>
    <w:rsid w:val="5E7F98CD"/>
    <w:rsid w:val="5E82D503"/>
    <w:rsid w:val="5E8F6DE4"/>
    <w:rsid w:val="5E9C41A4"/>
    <w:rsid w:val="5EA9F6C1"/>
    <w:rsid w:val="5EC3AE3B"/>
    <w:rsid w:val="5EC4AF19"/>
    <w:rsid w:val="5ED2DC9E"/>
    <w:rsid w:val="5EDCEE58"/>
    <w:rsid w:val="5EF61E55"/>
    <w:rsid w:val="5F0F7689"/>
    <w:rsid w:val="5F135D0A"/>
    <w:rsid w:val="5F1CDF49"/>
    <w:rsid w:val="5F26D4AB"/>
    <w:rsid w:val="5F2AD538"/>
    <w:rsid w:val="5F2FCA7F"/>
    <w:rsid w:val="5F3384C5"/>
    <w:rsid w:val="5F3A735C"/>
    <w:rsid w:val="5F41270C"/>
    <w:rsid w:val="5F470E89"/>
    <w:rsid w:val="5F5D2F8F"/>
    <w:rsid w:val="5F6FBC2A"/>
    <w:rsid w:val="5F80B952"/>
    <w:rsid w:val="5F90EDBE"/>
    <w:rsid w:val="5F913F8D"/>
    <w:rsid w:val="5F9C853E"/>
    <w:rsid w:val="5FA4402F"/>
    <w:rsid w:val="5FA6E05E"/>
    <w:rsid w:val="5FC6F3D4"/>
    <w:rsid w:val="5FE02265"/>
    <w:rsid w:val="5FEAC5AF"/>
    <w:rsid w:val="6001CE40"/>
    <w:rsid w:val="60038A27"/>
    <w:rsid w:val="60060FF9"/>
    <w:rsid w:val="600951D5"/>
    <w:rsid w:val="600E63BB"/>
    <w:rsid w:val="600EA57E"/>
    <w:rsid w:val="6011A9B5"/>
    <w:rsid w:val="601270AE"/>
    <w:rsid w:val="603A9321"/>
    <w:rsid w:val="604B9065"/>
    <w:rsid w:val="604DC586"/>
    <w:rsid w:val="605773F2"/>
    <w:rsid w:val="6058AA50"/>
    <w:rsid w:val="605DB4BF"/>
    <w:rsid w:val="60609F0F"/>
    <w:rsid w:val="6064293A"/>
    <w:rsid w:val="606CFD71"/>
    <w:rsid w:val="6071101E"/>
    <w:rsid w:val="6078B91D"/>
    <w:rsid w:val="60886C86"/>
    <w:rsid w:val="6089C3D4"/>
    <w:rsid w:val="608D2921"/>
    <w:rsid w:val="608D2C8F"/>
    <w:rsid w:val="60937BDE"/>
    <w:rsid w:val="60AF97F1"/>
    <w:rsid w:val="60B61A60"/>
    <w:rsid w:val="60B6D05F"/>
    <w:rsid w:val="60BB7455"/>
    <w:rsid w:val="60C39FEF"/>
    <w:rsid w:val="60C798EF"/>
    <w:rsid w:val="60CC48B1"/>
    <w:rsid w:val="60D991F2"/>
    <w:rsid w:val="60D9FAFE"/>
    <w:rsid w:val="60E60B0D"/>
    <w:rsid w:val="60E62896"/>
    <w:rsid w:val="60EE2E76"/>
    <w:rsid w:val="60EF62C2"/>
    <w:rsid w:val="60FC3FD6"/>
    <w:rsid w:val="60FFA017"/>
    <w:rsid w:val="6118E19B"/>
    <w:rsid w:val="611905E7"/>
    <w:rsid w:val="6133780C"/>
    <w:rsid w:val="613B9401"/>
    <w:rsid w:val="613E8A0A"/>
    <w:rsid w:val="6142A495"/>
    <w:rsid w:val="61511FF3"/>
    <w:rsid w:val="61590D11"/>
    <w:rsid w:val="615EA63B"/>
    <w:rsid w:val="615FE2D6"/>
    <w:rsid w:val="616C0CC6"/>
    <w:rsid w:val="61738C0D"/>
    <w:rsid w:val="6174248B"/>
    <w:rsid w:val="61792302"/>
    <w:rsid w:val="6186153F"/>
    <w:rsid w:val="61874786"/>
    <w:rsid w:val="6190E2C0"/>
    <w:rsid w:val="619FC216"/>
    <w:rsid w:val="61B1042B"/>
    <w:rsid w:val="61B563B0"/>
    <w:rsid w:val="61BA55B2"/>
    <w:rsid w:val="61C00EE3"/>
    <w:rsid w:val="61D41722"/>
    <w:rsid w:val="61EF1E7A"/>
    <w:rsid w:val="61F5C0F1"/>
    <w:rsid w:val="6202C186"/>
    <w:rsid w:val="62045D87"/>
    <w:rsid w:val="62053DE0"/>
    <w:rsid w:val="6209DBA8"/>
    <w:rsid w:val="62169378"/>
    <w:rsid w:val="62245B87"/>
    <w:rsid w:val="6226B4E0"/>
    <w:rsid w:val="62303C52"/>
    <w:rsid w:val="624166C1"/>
    <w:rsid w:val="6248B1D8"/>
    <w:rsid w:val="624C8B0C"/>
    <w:rsid w:val="62526BB9"/>
    <w:rsid w:val="6252C5F2"/>
    <w:rsid w:val="625B0F5F"/>
    <w:rsid w:val="62635453"/>
    <w:rsid w:val="6266C5BE"/>
    <w:rsid w:val="62679BB1"/>
    <w:rsid w:val="626A2B1B"/>
    <w:rsid w:val="626B2587"/>
    <w:rsid w:val="626EA67F"/>
    <w:rsid w:val="6277343F"/>
    <w:rsid w:val="62792331"/>
    <w:rsid w:val="627AB21C"/>
    <w:rsid w:val="6280D336"/>
    <w:rsid w:val="62A4DFCF"/>
    <w:rsid w:val="62BBF9A2"/>
    <w:rsid w:val="62C05268"/>
    <w:rsid w:val="62D6191F"/>
    <w:rsid w:val="62D83DB7"/>
    <w:rsid w:val="62E9586B"/>
    <w:rsid w:val="62FA40B8"/>
    <w:rsid w:val="630DABD3"/>
    <w:rsid w:val="6315C233"/>
    <w:rsid w:val="63240E0D"/>
    <w:rsid w:val="63248B54"/>
    <w:rsid w:val="63374657"/>
    <w:rsid w:val="633CE968"/>
    <w:rsid w:val="63546843"/>
    <w:rsid w:val="637CF256"/>
    <w:rsid w:val="63875D4F"/>
    <w:rsid w:val="638B6B11"/>
    <w:rsid w:val="639AFC6E"/>
    <w:rsid w:val="639C568A"/>
    <w:rsid w:val="639E7701"/>
    <w:rsid w:val="63B2823E"/>
    <w:rsid w:val="63C765B6"/>
    <w:rsid w:val="63DC4A17"/>
    <w:rsid w:val="63DF9838"/>
    <w:rsid w:val="63E3677B"/>
    <w:rsid w:val="63E3BD7B"/>
    <w:rsid w:val="63F27307"/>
    <w:rsid w:val="63FFA7D4"/>
    <w:rsid w:val="6407DEF4"/>
    <w:rsid w:val="6423595C"/>
    <w:rsid w:val="642C2E38"/>
    <w:rsid w:val="642D86B2"/>
    <w:rsid w:val="64376A3F"/>
    <w:rsid w:val="6437CEB6"/>
    <w:rsid w:val="643C061B"/>
    <w:rsid w:val="644444BE"/>
    <w:rsid w:val="6446A992"/>
    <w:rsid w:val="644ABDE7"/>
    <w:rsid w:val="644AD515"/>
    <w:rsid w:val="64628A4E"/>
    <w:rsid w:val="6467E452"/>
    <w:rsid w:val="6476ED3F"/>
    <w:rsid w:val="647A4557"/>
    <w:rsid w:val="648A12A2"/>
    <w:rsid w:val="648DB056"/>
    <w:rsid w:val="648DBEF2"/>
    <w:rsid w:val="6490197D"/>
    <w:rsid w:val="64BC0B40"/>
    <w:rsid w:val="64C2792F"/>
    <w:rsid w:val="64C873D8"/>
    <w:rsid w:val="64C92A0B"/>
    <w:rsid w:val="64CCB4F9"/>
    <w:rsid w:val="64E4C9A1"/>
    <w:rsid w:val="64E53F6C"/>
    <w:rsid w:val="64E9A9CE"/>
    <w:rsid w:val="65089340"/>
    <w:rsid w:val="651A0586"/>
    <w:rsid w:val="652669AA"/>
    <w:rsid w:val="653B2A58"/>
    <w:rsid w:val="653D1F0A"/>
    <w:rsid w:val="654A6369"/>
    <w:rsid w:val="655A7923"/>
    <w:rsid w:val="6561CB91"/>
    <w:rsid w:val="6568611E"/>
    <w:rsid w:val="65692A30"/>
    <w:rsid w:val="6573C639"/>
    <w:rsid w:val="657C212B"/>
    <w:rsid w:val="657D01E5"/>
    <w:rsid w:val="658EBADC"/>
    <w:rsid w:val="658F6C63"/>
    <w:rsid w:val="659024E8"/>
    <w:rsid w:val="65902D03"/>
    <w:rsid w:val="6594191C"/>
    <w:rsid w:val="65A1DAB5"/>
    <w:rsid w:val="65A2C649"/>
    <w:rsid w:val="65A452DF"/>
    <w:rsid w:val="65AA6CDF"/>
    <w:rsid w:val="65B8C342"/>
    <w:rsid w:val="65BAA406"/>
    <w:rsid w:val="65C01422"/>
    <w:rsid w:val="65C3C780"/>
    <w:rsid w:val="65E8B2C9"/>
    <w:rsid w:val="65EC380A"/>
    <w:rsid w:val="65EFD9A2"/>
    <w:rsid w:val="65F10BD1"/>
    <w:rsid w:val="6610A834"/>
    <w:rsid w:val="6616372B"/>
    <w:rsid w:val="661C509B"/>
    <w:rsid w:val="66261AA4"/>
    <w:rsid w:val="66294BD3"/>
    <w:rsid w:val="662D0AAC"/>
    <w:rsid w:val="662E941F"/>
    <w:rsid w:val="6637206B"/>
    <w:rsid w:val="663E3937"/>
    <w:rsid w:val="663FA928"/>
    <w:rsid w:val="665B22BA"/>
    <w:rsid w:val="665E1A59"/>
    <w:rsid w:val="66720A28"/>
    <w:rsid w:val="6687F53C"/>
    <w:rsid w:val="668D793F"/>
    <w:rsid w:val="6695BDAE"/>
    <w:rsid w:val="669AD6F1"/>
    <w:rsid w:val="669F976B"/>
    <w:rsid w:val="66A3E28F"/>
    <w:rsid w:val="66A86822"/>
    <w:rsid w:val="66B9ED9A"/>
    <w:rsid w:val="66C353AA"/>
    <w:rsid w:val="66C3C042"/>
    <w:rsid w:val="66CF6BEE"/>
    <w:rsid w:val="66D1E89F"/>
    <w:rsid w:val="66D9E101"/>
    <w:rsid w:val="66E8003D"/>
    <w:rsid w:val="66FCE376"/>
    <w:rsid w:val="6706D3D2"/>
    <w:rsid w:val="6710A2D6"/>
    <w:rsid w:val="6711024C"/>
    <w:rsid w:val="6717DA6B"/>
    <w:rsid w:val="671BEB8C"/>
    <w:rsid w:val="673CF4C8"/>
    <w:rsid w:val="673E0CA4"/>
    <w:rsid w:val="67405222"/>
    <w:rsid w:val="67416D3E"/>
    <w:rsid w:val="67462F33"/>
    <w:rsid w:val="6748507A"/>
    <w:rsid w:val="6759EE1E"/>
    <w:rsid w:val="675B1E27"/>
    <w:rsid w:val="675F4D40"/>
    <w:rsid w:val="6767CC76"/>
    <w:rsid w:val="676E6DD4"/>
    <w:rsid w:val="6798C47F"/>
    <w:rsid w:val="679CFB9C"/>
    <w:rsid w:val="67B59B1A"/>
    <w:rsid w:val="67B67B64"/>
    <w:rsid w:val="67BB754A"/>
    <w:rsid w:val="67BDAE5C"/>
    <w:rsid w:val="67BE7F6F"/>
    <w:rsid w:val="67C1FB50"/>
    <w:rsid w:val="67CEDFE2"/>
    <w:rsid w:val="67D60F2C"/>
    <w:rsid w:val="67D6ECB0"/>
    <w:rsid w:val="67D9D763"/>
    <w:rsid w:val="67DB4014"/>
    <w:rsid w:val="67FF8D16"/>
    <w:rsid w:val="680A2C56"/>
    <w:rsid w:val="680BDF77"/>
    <w:rsid w:val="68126FFF"/>
    <w:rsid w:val="6812ACD8"/>
    <w:rsid w:val="6817A028"/>
    <w:rsid w:val="681BE037"/>
    <w:rsid w:val="68228B3E"/>
    <w:rsid w:val="6822CB4E"/>
    <w:rsid w:val="68273637"/>
    <w:rsid w:val="6831190A"/>
    <w:rsid w:val="68326781"/>
    <w:rsid w:val="683E1B97"/>
    <w:rsid w:val="683EB6D1"/>
    <w:rsid w:val="684052E0"/>
    <w:rsid w:val="6851304F"/>
    <w:rsid w:val="68583F02"/>
    <w:rsid w:val="68639570"/>
    <w:rsid w:val="6868ABCD"/>
    <w:rsid w:val="6873547D"/>
    <w:rsid w:val="6883A6A3"/>
    <w:rsid w:val="6892F777"/>
    <w:rsid w:val="68930D34"/>
    <w:rsid w:val="6896A20C"/>
    <w:rsid w:val="68989FF1"/>
    <w:rsid w:val="689DA26D"/>
    <w:rsid w:val="68A0E9A3"/>
    <w:rsid w:val="68A6FC7C"/>
    <w:rsid w:val="68AE2DF8"/>
    <w:rsid w:val="68BDADD9"/>
    <w:rsid w:val="68CCEF67"/>
    <w:rsid w:val="68D685F7"/>
    <w:rsid w:val="68E9816B"/>
    <w:rsid w:val="68EDA249"/>
    <w:rsid w:val="68FE8516"/>
    <w:rsid w:val="6913EDBF"/>
    <w:rsid w:val="692026D3"/>
    <w:rsid w:val="6920A9C8"/>
    <w:rsid w:val="6924BDE6"/>
    <w:rsid w:val="692EBE13"/>
    <w:rsid w:val="693439B5"/>
    <w:rsid w:val="6935FB71"/>
    <w:rsid w:val="69368952"/>
    <w:rsid w:val="693DB95A"/>
    <w:rsid w:val="693E2BF5"/>
    <w:rsid w:val="69569D06"/>
    <w:rsid w:val="695E08E4"/>
    <w:rsid w:val="69686AB5"/>
    <w:rsid w:val="69737B7D"/>
    <w:rsid w:val="697544A9"/>
    <w:rsid w:val="6977FBCA"/>
    <w:rsid w:val="697E89AA"/>
    <w:rsid w:val="697FE456"/>
    <w:rsid w:val="6986AD66"/>
    <w:rsid w:val="699F19C7"/>
    <w:rsid w:val="69A35BDF"/>
    <w:rsid w:val="69B607A8"/>
    <w:rsid w:val="69CFA1E5"/>
    <w:rsid w:val="69DCBE6E"/>
    <w:rsid w:val="69E37234"/>
    <w:rsid w:val="69E9237C"/>
    <w:rsid w:val="69F491CB"/>
    <w:rsid w:val="69F7CA73"/>
    <w:rsid w:val="69FF8C45"/>
    <w:rsid w:val="6A0F24DE"/>
    <w:rsid w:val="6A163A01"/>
    <w:rsid w:val="6A197DA0"/>
    <w:rsid w:val="6A215BBB"/>
    <w:rsid w:val="6A2BBAD2"/>
    <w:rsid w:val="6A3B7097"/>
    <w:rsid w:val="6A3C20D4"/>
    <w:rsid w:val="6A49CF9E"/>
    <w:rsid w:val="6A4FB087"/>
    <w:rsid w:val="6A57659A"/>
    <w:rsid w:val="6A63250C"/>
    <w:rsid w:val="6A6CB101"/>
    <w:rsid w:val="6A6FF780"/>
    <w:rsid w:val="6A759E1F"/>
    <w:rsid w:val="6A7B810F"/>
    <w:rsid w:val="6A977379"/>
    <w:rsid w:val="6A9F7011"/>
    <w:rsid w:val="6AACADA2"/>
    <w:rsid w:val="6AC418CF"/>
    <w:rsid w:val="6AC88EED"/>
    <w:rsid w:val="6ADB9A8C"/>
    <w:rsid w:val="6AE5AAA7"/>
    <w:rsid w:val="6AF4121B"/>
    <w:rsid w:val="6AF88722"/>
    <w:rsid w:val="6AFEB973"/>
    <w:rsid w:val="6B1C66BF"/>
    <w:rsid w:val="6B292702"/>
    <w:rsid w:val="6B2A4582"/>
    <w:rsid w:val="6B2B8532"/>
    <w:rsid w:val="6B2CB3E4"/>
    <w:rsid w:val="6B39BEA1"/>
    <w:rsid w:val="6B48789A"/>
    <w:rsid w:val="6B48C6B3"/>
    <w:rsid w:val="6B511451"/>
    <w:rsid w:val="6B5146C0"/>
    <w:rsid w:val="6B5272BE"/>
    <w:rsid w:val="6B56E1DE"/>
    <w:rsid w:val="6B5E23A4"/>
    <w:rsid w:val="6B620163"/>
    <w:rsid w:val="6B6540D3"/>
    <w:rsid w:val="6B676B08"/>
    <w:rsid w:val="6B67E651"/>
    <w:rsid w:val="6B69EA06"/>
    <w:rsid w:val="6B74C67C"/>
    <w:rsid w:val="6B77D95E"/>
    <w:rsid w:val="6B7B8197"/>
    <w:rsid w:val="6B866FF3"/>
    <w:rsid w:val="6B881E41"/>
    <w:rsid w:val="6B9A76D7"/>
    <w:rsid w:val="6BA6171E"/>
    <w:rsid w:val="6BA8ABDF"/>
    <w:rsid w:val="6BA8F183"/>
    <w:rsid w:val="6BB315C3"/>
    <w:rsid w:val="6BB335C4"/>
    <w:rsid w:val="6BB7D817"/>
    <w:rsid w:val="6BBC72F6"/>
    <w:rsid w:val="6BCA24FB"/>
    <w:rsid w:val="6BD03604"/>
    <w:rsid w:val="6BDA44F5"/>
    <w:rsid w:val="6BDABD0A"/>
    <w:rsid w:val="6BE97CF6"/>
    <w:rsid w:val="6C056FE5"/>
    <w:rsid w:val="6C095D69"/>
    <w:rsid w:val="6C0F7302"/>
    <w:rsid w:val="6C1AA2F1"/>
    <w:rsid w:val="6C2967A4"/>
    <w:rsid w:val="6C2F55A6"/>
    <w:rsid w:val="6C3C1747"/>
    <w:rsid w:val="6C432724"/>
    <w:rsid w:val="6C441361"/>
    <w:rsid w:val="6C6F04C0"/>
    <w:rsid w:val="6C7821F0"/>
    <w:rsid w:val="6C960175"/>
    <w:rsid w:val="6CA2752D"/>
    <w:rsid w:val="6CAA1270"/>
    <w:rsid w:val="6CBA4637"/>
    <w:rsid w:val="6CC8FB56"/>
    <w:rsid w:val="6CCAC7AC"/>
    <w:rsid w:val="6CDB6BD6"/>
    <w:rsid w:val="6CEBFB34"/>
    <w:rsid w:val="6D08BFC5"/>
    <w:rsid w:val="6D09F942"/>
    <w:rsid w:val="6D1B80BB"/>
    <w:rsid w:val="6D2F5022"/>
    <w:rsid w:val="6D32A118"/>
    <w:rsid w:val="6D353BC5"/>
    <w:rsid w:val="6D3CC89F"/>
    <w:rsid w:val="6D3EC9C6"/>
    <w:rsid w:val="6D5DF8C7"/>
    <w:rsid w:val="6D6C57CB"/>
    <w:rsid w:val="6D77FDA8"/>
    <w:rsid w:val="6D86D6D7"/>
    <w:rsid w:val="6D8A3982"/>
    <w:rsid w:val="6D8D38C2"/>
    <w:rsid w:val="6D977ED8"/>
    <w:rsid w:val="6D98DFA6"/>
    <w:rsid w:val="6D9BBDEA"/>
    <w:rsid w:val="6DA2498A"/>
    <w:rsid w:val="6DAB5C7B"/>
    <w:rsid w:val="6DB76CFF"/>
    <w:rsid w:val="6DBB8023"/>
    <w:rsid w:val="6DE832EB"/>
    <w:rsid w:val="6DEA9565"/>
    <w:rsid w:val="6E068E68"/>
    <w:rsid w:val="6E11284B"/>
    <w:rsid w:val="6E17C0BD"/>
    <w:rsid w:val="6E1FE5E6"/>
    <w:rsid w:val="6E4E7A98"/>
    <w:rsid w:val="6E5094BF"/>
    <w:rsid w:val="6E579FAF"/>
    <w:rsid w:val="6E61D387"/>
    <w:rsid w:val="6E63E3FC"/>
    <w:rsid w:val="6E707064"/>
    <w:rsid w:val="6E75941E"/>
    <w:rsid w:val="6E78B256"/>
    <w:rsid w:val="6E82E0F4"/>
    <w:rsid w:val="6E85EF97"/>
    <w:rsid w:val="6E866820"/>
    <w:rsid w:val="6E911095"/>
    <w:rsid w:val="6E977DC7"/>
    <w:rsid w:val="6EA092BE"/>
    <w:rsid w:val="6EB7BD68"/>
    <w:rsid w:val="6EB8C013"/>
    <w:rsid w:val="6EC9DDDE"/>
    <w:rsid w:val="6ECE5882"/>
    <w:rsid w:val="6ED4735C"/>
    <w:rsid w:val="6EDC8212"/>
    <w:rsid w:val="6EE4B6BD"/>
    <w:rsid w:val="6EEF631A"/>
    <w:rsid w:val="6EF77B16"/>
    <w:rsid w:val="6EFC4AFC"/>
    <w:rsid w:val="6F0683D9"/>
    <w:rsid w:val="6F18E2F0"/>
    <w:rsid w:val="6F20BED3"/>
    <w:rsid w:val="6F40F918"/>
    <w:rsid w:val="6F4CECC6"/>
    <w:rsid w:val="6F528885"/>
    <w:rsid w:val="6F5685EC"/>
    <w:rsid w:val="6F786346"/>
    <w:rsid w:val="6F8BF6E5"/>
    <w:rsid w:val="6F8F1B75"/>
    <w:rsid w:val="6F95F214"/>
    <w:rsid w:val="6F968EB3"/>
    <w:rsid w:val="6FA8798E"/>
    <w:rsid w:val="6FB5D2D1"/>
    <w:rsid w:val="6FBC8158"/>
    <w:rsid w:val="6FC372E7"/>
    <w:rsid w:val="6FCDFD96"/>
    <w:rsid w:val="6FCE4EC4"/>
    <w:rsid w:val="6FE0DDF8"/>
    <w:rsid w:val="6FE1404A"/>
    <w:rsid w:val="6FE5E616"/>
    <w:rsid w:val="6FF4EABD"/>
    <w:rsid w:val="6FFDB412"/>
    <w:rsid w:val="6FFFB45D"/>
    <w:rsid w:val="7005C718"/>
    <w:rsid w:val="7007F4B9"/>
    <w:rsid w:val="701F7BF3"/>
    <w:rsid w:val="70225167"/>
    <w:rsid w:val="7027977E"/>
    <w:rsid w:val="702AAFEB"/>
    <w:rsid w:val="703A5167"/>
    <w:rsid w:val="7060590F"/>
    <w:rsid w:val="7070CD9E"/>
    <w:rsid w:val="70A3C5BC"/>
    <w:rsid w:val="70B43181"/>
    <w:rsid w:val="70B50578"/>
    <w:rsid w:val="70BB36E4"/>
    <w:rsid w:val="70C34DFC"/>
    <w:rsid w:val="70D0D457"/>
    <w:rsid w:val="70DBA4BA"/>
    <w:rsid w:val="70DF263A"/>
    <w:rsid w:val="70E1E7CC"/>
    <w:rsid w:val="70E78DBB"/>
    <w:rsid w:val="70E96539"/>
    <w:rsid w:val="71015ECC"/>
    <w:rsid w:val="7112D1F1"/>
    <w:rsid w:val="71241B08"/>
    <w:rsid w:val="7125B1B0"/>
    <w:rsid w:val="71297131"/>
    <w:rsid w:val="71340477"/>
    <w:rsid w:val="713ED6ED"/>
    <w:rsid w:val="7143B53D"/>
    <w:rsid w:val="71547541"/>
    <w:rsid w:val="716B995A"/>
    <w:rsid w:val="717404F2"/>
    <w:rsid w:val="718F91B9"/>
    <w:rsid w:val="719DF242"/>
    <w:rsid w:val="71A8BB80"/>
    <w:rsid w:val="71BDD4BE"/>
    <w:rsid w:val="71C06F7F"/>
    <w:rsid w:val="71C6BB28"/>
    <w:rsid w:val="71CA2A96"/>
    <w:rsid w:val="71D4634F"/>
    <w:rsid w:val="71E1198A"/>
    <w:rsid w:val="71FA6628"/>
    <w:rsid w:val="72001747"/>
    <w:rsid w:val="72014137"/>
    <w:rsid w:val="7209E72D"/>
    <w:rsid w:val="7226F9AD"/>
    <w:rsid w:val="722DDEA8"/>
    <w:rsid w:val="722E7B98"/>
    <w:rsid w:val="7241B80F"/>
    <w:rsid w:val="72422A10"/>
    <w:rsid w:val="72448B48"/>
    <w:rsid w:val="7246EC56"/>
    <w:rsid w:val="72507324"/>
    <w:rsid w:val="7252B68D"/>
    <w:rsid w:val="725376DA"/>
    <w:rsid w:val="72553FC2"/>
    <w:rsid w:val="72601903"/>
    <w:rsid w:val="7261C300"/>
    <w:rsid w:val="7265D1CD"/>
    <w:rsid w:val="72682D98"/>
    <w:rsid w:val="7274AF7B"/>
    <w:rsid w:val="727B44A4"/>
    <w:rsid w:val="7285EAB2"/>
    <w:rsid w:val="728D9B20"/>
    <w:rsid w:val="72908166"/>
    <w:rsid w:val="72A12498"/>
    <w:rsid w:val="72AE429B"/>
    <w:rsid w:val="72B0A73B"/>
    <w:rsid w:val="72B7C2EF"/>
    <w:rsid w:val="72CCB065"/>
    <w:rsid w:val="72CCD521"/>
    <w:rsid w:val="72D3B135"/>
    <w:rsid w:val="72DA34DC"/>
    <w:rsid w:val="72E63539"/>
    <w:rsid w:val="73002B97"/>
    <w:rsid w:val="730418EC"/>
    <w:rsid w:val="73054D7A"/>
    <w:rsid w:val="73071668"/>
    <w:rsid w:val="730769BB"/>
    <w:rsid w:val="73155C81"/>
    <w:rsid w:val="731DED57"/>
    <w:rsid w:val="7327EEDE"/>
    <w:rsid w:val="73357C12"/>
    <w:rsid w:val="733C4A12"/>
    <w:rsid w:val="733DD8F7"/>
    <w:rsid w:val="7342FE4E"/>
    <w:rsid w:val="734399FF"/>
    <w:rsid w:val="73460BB6"/>
    <w:rsid w:val="73524844"/>
    <w:rsid w:val="735AAA5F"/>
    <w:rsid w:val="735AADBB"/>
    <w:rsid w:val="735FE570"/>
    <w:rsid w:val="736DA24F"/>
    <w:rsid w:val="736E74EC"/>
    <w:rsid w:val="737D0D20"/>
    <w:rsid w:val="737E7C06"/>
    <w:rsid w:val="73818C02"/>
    <w:rsid w:val="73821337"/>
    <w:rsid w:val="7393BE22"/>
    <w:rsid w:val="7394048C"/>
    <w:rsid w:val="7395E686"/>
    <w:rsid w:val="739B63E5"/>
    <w:rsid w:val="73A6806C"/>
    <w:rsid w:val="73C41849"/>
    <w:rsid w:val="73C80433"/>
    <w:rsid w:val="73D1A599"/>
    <w:rsid w:val="73DC23B5"/>
    <w:rsid w:val="73F80732"/>
    <w:rsid w:val="740128DD"/>
    <w:rsid w:val="740AEE9B"/>
    <w:rsid w:val="74171505"/>
    <w:rsid w:val="7419F8EA"/>
    <w:rsid w:val="741A6C23"/>
    <w:rsid w:val="7422E28B"/>
    <w:rsid w:val="74282B2B"/>
    <w:rsid w:val="7440A36C"/>
    <w:rsid w:val="74446AB1"/>
    <w:rsid w:val="7448FA29"/>
    <w:rsid w:val="7450FD4A"/>
    <w:rsid w:val="7456A186"/>
    <w:rsid w:val="7472F67C"/>
    <w:rsid w:val="7474FDB9"/>
    <w:rsid w:val="748BE584"/>
    <w:rsid w:val="748E06D9"/>
    <w:rsid w:val="749787C8"/>
    <w:rsid w:val="74991542"/>
    <w:rsid w:val="749E1823"/>
    <w:rsid w:val="74A33A1C"/>
    <w:rsid w:val="74A8B9EA"/>
    <w:rsid w:val="74B9F4A3"/>
    <w:rsid w:val="74C52953"/>
    <w:rsid w:val="74C8DCF1"/>
    <w:rsid w:val="74C96F03"/>
    <w:rsid w:val="74CE8ECD"/>
    <w:rsid w:val="74CFCE1B"/>
    <w:rsid w:val="74DD681B"/>
    <w:rsid w:val="74EA3E79"/>
    <w:rsid w:val="74EE4648"/>
    <w:rsid w:val="750210BA"/>
    <w:rsid w:val="75042ABB"/>
    <w:rsid w:val="7507DACC"/>
    <w:rsid w:val="750DBB77"/>
    <w:rsid w:val="7514628C"/>
    <w:rsid w:val="751A9C2F"/>
    <w:rsid w:val="751AB279"/>
    <w:rsid w:val="7522D269"/>
    <w:rsid w:val="754D5D81"/>
    <w:rsid w:val="755008A0"/>
    <w:rsid w:val="755201ED"/>
    <w:rsid w:val="75579901"/>
    <w:rsid w:val="75624BCE"/>
    <w:rsid w:val="7574099F"/>
    <w:rsid w:val="7575268B"/>
    <w:rsid w:val="75761B39"/>
    <w:rsid w:val="75810901"/>
    <w:rsid w:val="7599A9A6"/>
    <w:rsid w:val="75A07BBA"/>
    <w:rsid w:val="75AAFB70"/>
    <w:rsid w:val="75B65477"/>
    <w:rsid w:val="75D2860F"/>
    <w:rsid w:val="75DB99FC"/>
    <w:rsid w:val="75DC693A"/>
    <w:rsid w:val="7615E509"/>
    <w:rsid w:val="7616B05C"/>
    <w:rsid w:val="762159EC"/>
    <w:rsid w:val="7624CF6A"/>
    <w:rsid w:val="762DE6AB"/>
    <w:rsid w:val="763B43CA"/>
    <w:rsid w:val="76442212"/>
    <w:rsid w:val="7659C29F"/>
    <w:rsid w:val="766AF9D2"/>
    <w:rsid w:val="767FF87F"/>
    <w:rsid w:val="7682D86E"/>
    <w:rsid w:val="76838D42"/>
    <w:rsid w:val="7688591A"/>
    <w:rsid w:val="76928F53"/>
    <w:rsid w:val="76976C2D"/>
    <w:rsid w:val="769E44E9"/>
    <w:rsid w:val="76B1CB15"/>
    <w:rsid w:val="76B7EE8F"/>
    <w:rsid w:val="76D2F8FA"/>
    <w:rsid w:val="76D9113B"/>
    <w:rsid w:val="76DC685D"/>
    <w:rsid w:val="76E30372"/>
    <w:rsid w:val="76E6F943"/>
    <w:rsid w:val="76E8DC90"/>
    <w:rsid w:val="76EC0032"/>
    <w:rsid w:val="76FA11B4"/>
    <w:rsid w:val="76FC7C3C"/>
    <w:rsid w:val="76FE7E5F"/>
    <w:rsid w:val="770C2928"/>
    <w:rsid w:val="77124479"/>
    <w:rsid w:val="7712C574"/>
    <w:rsid w:val="7727303E"/>
    <w:rsid w:val="772E5314"/>
    <w:rsid w:val="7742797B"/>
    <w:rsid w:val="776289A3"/>
    <w:rsid w:val="776A86F1"/>
    <w:rsid w:val="776D067C"/>
    <w:rsid w:val="776E27F7"/>
    <w:rsid w:val="7787E9BF"/>
    <w:rsid w:val="77A3851C"/>
    <w:rsid w:val="77A5AB33"/>
    <w:rsid w:val="77B1FD2F"/>
    <w:rsid w:val="77B5D47F"/>
    <w:rsid w:val="77BB468C"/>
    <w:rsid w:val="77C0755D"/>
    <w:rsid w:val="77D5E9BF"/>
    <w:rsid w:val="77DB5B49"/>
    <w:rsid w:val="77DBF658"/>
    <w:rsid w:val="77E29980"/>
    <w:rsid w:val="77EC80FE"/>
    <w:rsid w:val="77EE5D1D"/>
    <w:rsid w:val="77F33C2D"/>
    <w:rsid w:val="77FED7CB"/>
    <w:rsid w:val="780311CA"/>
    <w:rsid w:val="78085CF3"/>
    <w:rsid w:val="781C5EC3"/>
    <w:rsid w:val="78226078"/>
    <w:rsid w:val="7835AA52"/>
    <w:rsid w:val="783D9C16"/>
    <w:rsid w:val="783EDE81"/>
    <w:rsid w:val="78460887"/>
    <w:rsid w:val="78501976"/>
    <w:rsid w:val="78528A76"/>
    <w:rsid w:val="7852AC32"/>
    <w:rsid w:val="78564850"/>
    <w:rsid w:val="785BB205"/>
    <w:rsid w:val="786D26E7"/>
    <w:rsid w:val="786DBBFE"/>
    <w:rsid w:val="78747666"/>
    <w:rsid w:val="78755662"/>
    <w:rsid w:val="7876A1DD"/>
    <w:rsid w:val="787E304C"/>
    <w:rsid w:val="78991154"/>
    <w:rsid w:val="78A3ADAC"/>
    <w:rsid w:val="78AC4D93"/>
    <w:rsid w:val="78B97A9B"/>
    <w:rsid w:val="78C07A32"/>
    <w:rsid w:val="78CFAC29"/>
    <w:rsid w:val="78DA43FB"/>
    <w:rsid w:val="78DB0CB1"/>
    <w:rsid w:val="78EA94C0"/>
    <w:rsid w:val="78ED5966"/>
    <w:rsid w:val="790008EA"/>
    <w:rsid w:val="7910E884"/>
    <w:rsid w:val="79196555"/>
    <w:rsid w:val="7925AD2E"/>
    <w:rsid w:val="792EA690"/>
    <w:rsid w:val="794703D0"/>
    <w:rsid w:val="794AA00C"/>
    <w:rsid w:val="7958AB56"/>
    <w:rsid w:val="79859127"/>
    <w:rsid w:val="79A091F7"/>
    <w:rsid w:val="79A6662D"/>
    <w:rsid w:val="79AD39E5"/>
    <w:rsid w:val="79AF51A3"/>
    <w:rsid w:val="79B8C966"/>
    <w:rsid w:val="79B95EA3"/>
    <w:rsid w:val="79BB886B"/>
    <w:rsid w:val="79CA7E55"/>
    <w:rsid w:val="79CAE848"/>
    <w:rsid w:val="79D812F0"/>
    <w:rsid w:val="79DC35D0"/>
    <w:rsid w:val="79DF3E56"/>
    <w:rsid w:val="79F51C03"/>
    <w:rsid w:val="7A18818B"/>
    <w:rsid w:val="7A1F178C"/>
    <w:rsid w:val="7A2307AE"/>
    <w:rsid w:val="7A2462C0"/>
    <w:rsid w:val="7A477B68"/>
    <w:rsid w:val="7A495D7A"/>
    <w:rsid w:val="7A4B71D5"/>
    <w:rsid w:val="7A5B44EA"/>
    <w:rsid w:val="7A5D03F1"/>
    <w:rsid w:val="7A65CDC9"/>
    <w:rsid w:val="7A674ACE"/>
    <w:rsid w:val="7A73F9B8"/>
    <w:rsid w:val="7A740F17"/>
    <w:rsid w:val="7A8B96F2"/>
    <w:rsid w:val="7A8DE430"/>
    <w:rsid w:val="7A9FFEDA"/>
    <w:rsid w:val="7AAEB52C"/>
    <w:rsid w:val="7AB6FDD2"/>
    <w:rsid w:val="7AB8B915"/>
    <w:rsid w:val="7ABCCDB2"/>
    <w:rsid w:val="7ACDE43B"/>
    <w:rsid w:val="7ACEF395"/>
    <w:rsid w:val="7ADAC3EF"/>
    <w:rsid w:val="7AE50C95"/>
    <w:rsid w:val="7B042D22"/>
    <w:rsid w:val="7B047FD1"/>
    <w:rsid w:val="7B242866"/>
    <w:rsid w:val="7B2C9D8F"/>
    <w:rsid w:val="7B3284BD"/>
    <w:rsid w:val="7B32FA7B"/>
    <w:rsid w:val="7B46B8E2"/>
    <w:rsid w:val="7B48570A"/>
    <w:rsid w:val="7B4C7F70"/>
    <w:rsid w:val="7B5C8883"/>
    <w:rsid w:val="7B887DB8"/>
    <w:rsid w:val="7B8D7A63"/>
    <w:rsid w:val="7B93758A"/>
    <w:rsid w:val="7B97E20E"/>
    <w:rsid w:val="7B9A0503"/>
    <w:rsid w:val="7B9D5FCA"/>
    <w:rsid w:val="7BA02E89"/>
    <w:rsid w:val="7BA2523B"/>
    <w:rsid w:val="7BA3019C"/>
    <w:rsid w:val="7BA63636"/>
    <w:rsid w:val="7BAC5162"/>
    <w:rsid w:val="7BB2FB90"/>
    <w:rsid w:val="7BBFF636"/>
    <w:rsid w:val="7BCECF57"/>
    <w:rsid w:val="7BD7ADE7"/>
    <w:rsid w:val="7BD8C904"/>
    <w:rsid w:val="7BD995C2"/>
    <w:rsid w:val="7BF946D1"/>
    <w:rsid w:val="7C0B9978"/>
    <w:rsid w:val="7C18F05B"/>
    <w:rsid w:val="7C1B087A"/>
    <w:rsid w:val="7C1E99BE"/>
    <w:rsid w:val="7C243D23"/>
    <w:rsid w:val="7C26BCB3"/>
    <w:rsid w:val="7C27E971"/>
    <w:rsid w:val="7C306799"/>
    <w:rsid w:val="7C321DF2"/>
    <w:rsid w:val="7C39A2AD"/>
    <w:rsid w:val="7C436CF3"/>
    <w:rsid w:val="7C485814"/>
    <w:rsid w:val="7C48BCBB"/>
    <w:rsid w:val="7C577684"/>
    <w:rsid w:val="7C602D95"/>
    <w:rsid w:val="7C826AD6"/>
    <w:rsid w:val="7C83D6E7"/>
    <w:rsid w:val="7C932DC7"/>
    <w:rsid w:val="7CA2E7B7"/>
    <w:rsid w:val="7CA36B8A"/>
    <w:rsid w:val="7CBA5471"/>
    <w:rsid w:val="7CCDD469"/>
    <w:rsid w:val="7CCEA399"/>
    <w:rsid w:val="7CD10FE9"/>
    <w:rsid w:val="7CD6CB1E"/>
    <w:rsid w:val="7CDEFA7D"/>
    <w:rsid w:val="7CE033DE"/>
    <w:rsid w:val="7CEB9D6B"/>
    <w:rsid w:val="7CF1BCDE"/>
    <w:rsid w:val="7CF30029"/>
    <w:rsid w:val="7CF52F21"/>
    <w:rsid w:val="7CF80971"/>
    <w:rsid w:val="7CF8B7AF"/>
    <w:rsid w:val="7D09009A"/>
    <w:rsid w:val="7D0C74BD"/>
    <w:rsid w:val="7D1E7E11"/>
    <w:rsid w:val="7D25F093"/>
    <w:rsid w:val="7D289DFE"/>
    <w:rsid w:val="7D30D055"/>
    <w:rsid w:val="7D3A53DD"/>
    <w:rsid w:val="7D4134D9"/>
    <w:rsid w:val="7D4CC77A"/>
    <w:rsid w:val="7D55904E"/>
    <w:rsid w:val="7D59C6C9"/>
    <w:rsid w:val="7D75D960"/>
    <w:rsid w:val="7D79D2DA"/>
    <w:rsid w:val="7D79F193"/>
    <w:rsid w:val="7D7E1ABA"/>
    <w:rsid w:val="7D8464D8"/>
    <w:rsid w:val="7D8DA133"/>
    <w:rsid w:val="7D90E14B"/>
    <w:rsid w:val="7D945469"/>
    <w:rsid w:val="7DA1FA2B"/>
    <w:rsid w:val="7DB492D1"/>
    <w:rsid w:val="7DBAC596"/>
    <w:rsid w:val="7DCC5B44"/>
    <w:rsid w:val="7DD22A31"/>
    <w:rsid w:val="7DF805E9"/>
    <w:rsid w:val="7E1513AA"/>
    <w:rsid w:val="7E196B52"/>
    <w:rsid w:val="7E1A6625"/>
    <w:rsid w:val="7E1F98A9"/>
    <w:rsid w:val="7E29BAF5"/>
    <w:rsid w:val="7E2B12F3"/>
    <w:rsid w:val="7E333A89"/>
    <w:rsid w:val="7E40BFE3"/>
    <w:rsid w:val="7E480BBC"/>
    <w:rsid w:val="7E4C6A4C"/>
    <w:rsid w:val="7E5B83BC"/>
    <w:rsid w:val="7E67F655"/>
    <w:rsid w:val="7E72A467"/>
    <w:rsid w:val="7E752C58"/>
    <w:rsid w:val="7E85BAF4"/>
    <w:rsid w:val="7E86A2EC"/>
    <w:rsid w:val="7E870A25"/>
    <w:rsid w:val="7E8A5511"/>
    <w:rsid w:val="7E8C6197"/>
    <w:rsid w:val="7E90C3E8"/>
    <w:rsid w:val="7E9A17AE"/>
    <w:rsid w:val="7EA3DE47"/>
    <w:rsid w:val="7EAC9EEB"/>
    <w:rsid w:val="7EC3B113"/>
    <w:rsid w:val="7ECA4899"/>
    <w:rsid w:val="7ECA824E"/>
    <w:rsid w:val="7ECBFB33"/>
    <w:rsid w:val="7ED18D50"/>
    <w:rsid w:val="7ED23CE3"/>
    <w:rsid w:val="7EDCC199"/>
    <w:rsid w:val="7EE52BE8"/>
    <w:rsid w:val="7EEB4648"/>
    <w:rsid w:val="7EF07132"/>
    <w:rsid w:val="7EF51246"/>
    <w:rsid w:val="7F1503DF"/>
    <w:rsid w:val="7F1715BB"/>
    <w:rsid w:val="7F28F4BF"/>
    <w:rsid w:val="7F292B7F"/>
    <w:rsid w:val="7F2A2230"/>
    <w:rsid w:val="7F38A8D4"/>
    <w:rsid w:val="7F42B2DB"/>
    <w:rsid w:val="7F437E9F"/>
    <w:rsid w:val="7F444610"/>
    <w:rsid w:val="7F51A14A"/>
    <w:rsid w:val="7F570B59"/>
    <w:rsid w:val="7F57FC5B"/>
    <w:rsid w:val="7F590A48"/>
    <w:rsid w:val="7F5AFC0E"/>
    <w:rsid w:val="7F5E190E"/>
    <w:rsid w:val="7F670CDE"/>
    <w:rsid w:val="7F8356A3"/>
    <w:rsid w:val="7F911FF9"/>
    <w:rsid w:val="7F931B39"/>
    <w:rsid w:val="7F9ECACD"/>
    <w:rsid w:val="7FA3C3E0"/>
    <w:rsid w:val="7FA3CC1A"/>
    <w:rsid w:val="7FD35461"/>
    <w:rsid w:val="7FD52A0D"/>
    <w:rsid w:val="7FD80FB2"/>
    <w:rsid w:val="7FE50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3273389"/>
  <w15:docId w15:val="{D83966C1-F224-4538-AC87-BC69871C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56AF"/>
    <w:rPr>
      <w:rFonts w:cs="Times New Roman"/>
      <w:sz w:val="16"/>
      <w:szCs w:val="16"/>
    </w:rPr>
  </w:style>
  <w:style w:type="paragraph" w:customStyle="1" w:styleId="Default">
    <w:name w:val="Default"/>
    <w:rsid w:val="001956AF"/>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ListParagraph">
    <w:name w:val="List Paragraph"/>
    <w:aliases w:val="List,Ordered list,Bullet list,1st level - Bullet List Paragraph,List Paragraph11,Lettre d'introduction,Medium Grid 1 - Accent 21,Normal bullet 2,Numbered List,Paragraphe de liste 2,Reference list,Paragraph,Bullet EY,List1,b1,Dot pt,No TOC"/>
    <w:basedOn w:val="Normal"/>
    <w:link w:val="ListParagraphChar"/>
    <w:uiPriority w:val="34"/>
    <w:qFormat/>
    <w:rsid w:val="001956AF"/>
    <w:pPr>
      <w:ind w:left="720"/>
      <w:contextualSpacing/>
    </w:pPr>
  </w:style>
  <w:style w:type="paragraph" w:customStyle="1" w:styleId="LegalNumPar">
    <w:name w:val="LegalNumPar"/>
    <w:basedOn w:val="Normal"/>
    <w:rsid w:val="001956AF"/>
    <w:pPr>
      <w:numPr>
        <w:numId w:val="1"/>
      </w:numPr>
      <w:spacing w:line="360" w:lineRule="auto"/>
    </w:pPr>
  </w:style>
  <w:style w:type="paragraph" w:customStyle="1" w:styleId="LegalNumPar2">
    <w:name w:val="LegalNumPar2"/>
    <w:basedOn w:val="Normal"/>
    <w:rsid w:val="001956AF"/>
    <w:pPr>
      <w:numPr>
        <w:ilvl w:val="1"/>
        <w:numId w:val="1"/>
      </w:numPr>
      <w:spacing w:line="360" w:lineRule="auto"/>
    </w:pPr>
  </w:style>
  <w:style w:type="paragraph" w:customStyle="1" w:styleId="LegalNumPar3">
    <w:name w:val="LegalNumPar3"/>
    <w:basedOn w:val="Normal"/>
    <w:rsid w:val="001956AF"/>
    <w:pPr>
      <w:numPr>
        <w:ilvl w:val="2"/>
        <w:numId w:val="1"/>
      </w:numPr>
      <w:spacing w:line="360" w:lineRule="auto"/>
    </w:pPr>
  </w:style>
  <w:style w:type="character" w:customStyle="1" w:styleId="ui-provider">
    <w:name w:val="ui-provider"/>
    <w:basedOn w:val="DefaultParagraphFont"/>
    <w:rsid w:val="001956AF"/>
  </w:style>
  <w:style w:type="paragraph" w:styleId="ListBullet">
    <w:name w:val="List Bullet"/>
    <w:basedOn w:val="Normal"/>
    <w:uiPriority w:val="99"/>
    <w:semiHidden/>
    <w:unhideWhenUsed/>
    <w:rsid w:val="008E734B"/>
    <w:pPr>
      <w:numPr>
        <w:numId w:val="2"/>
      </w:numPr>
      <w:contextualSpacing/>
    </w:pPr>
  </w:style>
  <w:style w:type="paragraph" w:styleId="ListBullet2">
    <w:name w:val="List Bullet 2"/>
    <w:basedOn w:val="Normal"/>
    <w:uiPriority w:val="99"/>
    <w:semiHidden/>
    <w:unhideWhenUsed/>
    <w:rsid w:val="008E734B"/>
    <w:pPr>
      <w:numPr>
        <w:numId w:val="3"/>
      </w:numPr>
      <w:contextualSpacing/>
    </w:pPr>
  </w:style>
  <w:style w:type="paragraph" w:styleId="ListBullet3">
    <w:name w:val="List Bullet 3"/>
    <w:basedOn w:val="Normal"/>
    <w:uiPriority w:val="99"/>
    <w:semiHidden/>
    <w:unhideWhenUsed/>
    <w:rsid w:val="008E734B"/>
    <w:pPr>
      <w:numPr>
        <w:numId w:val="4"/>
      </w:numPr>
      <w:contextualSpacing/>
    </w:pPr>
  </w:style>
  <w:style w:type="paragraph" w:styleId="ListBullet4">
    <w:name w:val="List Bullet 4"/>
    <w:basedOn w:val="Normal"/>
    <w:uiPriority w:val="99"/>
    <w:unhideWhenUsed/>
    <w:rsid w:val="008E734B"/>
    <w:pPr>
      <w:numPr>
        <w:numId w:val="5"/>
      </w:numPr>
      <w:contextualSpacing/>
    </w:pPr>
  </w:style>
  <w:style w:type="character" w:styleId="Hyperlink">
    <w:name w:val="Hyperlink"/>
    <w:basedOn w:val="DefaultParagraphFont"/>
    <w:uiPriority w:val="99"/>
    <w:unhideWhenUsed/>
    <w:rsid w:val="00031C74"/>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46EE4"/>
    <w:rPr>
      <w:b/>
      <w:bCs/>
    </w:rPr>
  </w:style>
  <w:style w:type="character" w:customStyle="1" w:styleId="CommentSubjectChar">
    <w:name w:val="Comment Subject Char"/>
    <w:basedOn w:val="CommentTextChar"/>
    <w:link w:val="CommentSubject"/>
    <w:uiPriority w:val="99"/>
    <w:semiHidden/>
    <w:rsid w:val="00446EE4"/>
    <w:rPr>
      <w:rFonts w:ascii="Times New Roman" w:hAnsi="Times New Roman" w:cs="Times New Roman"/>
      <w:b/>
      <w:bCs/>
      <w:sz w:val="20"/>
      <w:szCs w:val="20"/>
      <w:lang w:val="en-GB"/>
    </w:rPr>
  </w:style>
  <w:style w:type="character" w:customStyle="1" w:styleId="UnresolvedMention">
    <w:name w:val="Unresolved Mention"/>
    <w:basedOn w:val="DefaultParagraphFont"/>
    <w:uiPriority w:val="99"/>
    <w:semiHidden/>
    <w:unhideWhenUsed/>
    <w:rsid w:val="00446EE4"/>
    <w:rPr>
      <w:color w:val="605E5C"/>
      <w:shd w:val="clear" w:color="auto" w:fill="E1DFDD"/>
    </w:rPr>
  </w:style>
  <w:style w:type="paragraph" w:customStyle="1" w:styleId="TableParagraph">
    <w:name w:val="Table Paragraph"/>
    <w:basedOn w:val="Normal"/>
    <w:uiPriority w:val="1"/>
    <w:qFormat/>
    <w:rsid w:val="00141CFD"/>
    <w:pPr>
      <w:widowControl w:val="0"/>
      <w:autoSpaceDE w:val="0"/>
      <w:autoSpaceDN w:val="0"/>
      <w:spacing w:before="0" w:after="0"/>
      <w:ind w:left="107"/>
      <w:jc w:val="left"/>
    </w:pPr>
    <w:rPr>
      <w:rFonts w:eastAsia="Times New Roman"/>
      <w:sz w:val="22"/>
    </w:rPr>
  </w:style>
  <w:style w:type="paragraph" w:styleId="Revision">
    <w:name w:val="Revision"/>
    <w:hidden/>
    <w:uiPriority w:val="99"/>
    <w:semiHidden/>
    <w:rsid w:val="00AE45C7"/>
    <w:pPr>
      <w:spacing w:after="0" w:line="240" w:lineRule="auto"/>
    </w:pPr>
    <w:rPr>
      <w:rFonts w:ascii="Times New Roman" w:hAnsi="Times New Roman" w:cs="Times New Roman"/>
      <w:sz w:val="24"/>
      <w:lang w:val="en-GB"/>
    </w:rPr>
  </w:style>
  <w:style w:type="table" w:styleId="TableGrid">
    <w:name w:val="Table Grid"/>
    <w:basedOn w:val="TableNormal"/>
    <w:rsid w:val="00AA657A"/>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2">
    <w:name w:val="List Dash 2"/>
    <w:basedOn w:val="Normal"/>
    <w:rsid w:val="00052297"/>
    <w:pPr>
      <w:numPr>
        <w:numId w:val="7"/>
      </w:numPr>
      <w:tabs>
        <w:tab w:val="clear" w:pos="1134"/>
        <w:tab w:val="num" w:pos="850"/>
      </w:tabs>
      <w:ind w:left="850" w:hanging="850"/>
    </w:pPr>
    <w:rPr>
      <w:rFonts w:eastAsia="Times New Roman"/>
      <w:lang w:eastAsia="de-DE"/>
    </w:rPr>
  </w:style>
  <w:style w:type="paragraph" w:customStyle="1" w:styleId="ListDash1">
    <w:name w:val="List Dash 1"/>
    <w:basedOn w:val="Normal"/>
    <w:rsid w:val="00052297"/>
    <w:pPr>
      <w:numPr>
        <w:numId w:val="8"/>
      </w:numPr>
    </w:pPr>
    <w:rPr>
      <w:rFonts w:eastAsia="Times New Roman"/>
      <w:lang w:eastAsia="de-DE"/>
    </w:rPr>
  </w:style>
  <w:style w:type="character" w:customStyle="1" w:styleId="ListParagraphChar">
    <w:name w:val="List Paragraph Char"/>
    <w:aliases w:val="List Char,Ordered list Char,Bullet list Char,1st level - Bullet List Paragraph Char,List Paragraph11 Char,Lettre d'introduction Char,Medium Grid 1 - Accent 21 Char,Normal bullet 2 Char,Numbered List Char,Paragraphe de liste 2 Char"/>
    <w:basedOn w:val="DefaultParagraphFont"/>
    <w:link w:val="ListParagraph"/>
    <w:uiPriority w:val="34"/>
    <w:qFormat/>
    <w:rsid w:val="00052297"/>
    <w:rPr>
      <w:rFonts w:ascii="Times New Roman" w:hAnsi="Times New Roman" w:cs="Times New Roman"/>
      <w:sz w:val="24"/>
      <w:lang w:val="en-GB"/>
    </w:rPr>
  </w:style>
  <w:style w:type="paragraph" w:customStyle="1" w:styleId="footnotedescription">
    <w:name w:val="footnote description"/>
    <w:next w:val="Normal"/>
    <w:link w:val="footnotedescriptionChar"/>
    <w:hidden/>
    <w:rsid w:val="0087757C"/>
    <w:pPr>
      <w:spacing w:after="0" w:line="259" w:lineRule="auto"/>
      <w:ind w:left="720" w:hanging="720"/>
      <w:jc w:val="both"/>
    </w:pPr>
    <w:rPr>
      <w:rFonts w:ascii="Times New Roman" w:eastAsia="Times New Roman" w:hAnsi="Times New Roman" w:cs="Times New Roman"/>
      <w:color w:val="000000"/>
      <w:sz w:val="20"/>
      <w:lang w:val="en-IE" w:eastAsia="en-IE"/>
    </w:rPr>
  </w:style>
  <w:style w:type="character" w:customStyle="1" w:styleId="footnotedescriptionChar">
    <w:name w:val="footnote description Char"/>
    <w:link w:val="footnotedescription"/>
    <w:rsid w:val="0087757C"/>
    <w:rPr>
      <w:rFonts w:ascii="Times New Roman" w:eastAsia="Times New Roman" w:hAnsi="Times New Roman" w:cs="Times New Roman"/>
      <w:color w:val="000000"/>
      <w:sz w:val="20"/>
      <w:lang w:val="en-IE" w:eastAsia="en-IE"/>
    </w:rPr>
  </w:style>
  <w:style w:type="character" w:customStyle="1" w:styleId="footnotemark">
    <w:name w:val="footnote mark"/>
    <w:hidden/>
    <w:rsid w:val="0087757C"/>
    <w:rPr>
      <w:rFonts w:ascii="Times New Roman" w:eastAsia="Times New Roman" w:hAnsi="Times New Roman" w:cs="Times New Roman"/>
      <w:color w:val="000000"/>
      <w:sz w:val="20"/>
      <w:vertAlign w:val="superscript"/>
    </w:rPr>
  </w:style>
  <w:style w:type="paragraph" w:styleId="NormalWeb">
    <w:name w:val="Normal (Web)"/>
    <w:basedOn w:val="Normal"/>
    <w:uiPriority w:val="99"/>
    <w:semiHidden/>
    <w:unhideWhenUsed/>
    <w:rsid w:val="00133061"/>
    <w:pPr>
      <w:spacing w:before="100" w:beforeAutospacing="1" w:after="100" w:afterAutospacing="1"/>
      <w:jc w:val="left"/>
    </w:pPr>
    <w:rPr>
      <w:rFonts w:eastAsia="Times New Roman"/>
      <w:szCs w:val="24"/>
      <w:lang w:val="en-IE" w:eastAsia="en-IE"/>
    </w:rPr>
  </w:style>
  <w:style w:type="paragraph" w:styleId="PlainText">
    <w:name w:val="Plain Text"/>
    <w:basedOn w:val="Normal"/>
    <w:link w:val="PlainTextChar"/>
    <w:uiPriority w:val="99"/>
    <w:semiHidden/>
    <w:unhideWhenUsed/>
    <w:rsid w:val="00FF25CF"/>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FF25CF"/>
    <w:rPr>
      <w:rFonts w:ascii="Consolas" w:hAnsi="Consolas" w:cs="Times New Roman"/>
      <w:sz w:val="21"/>
      <w:szCs w:val="21"/>
      <w:lang w:val="en-GB"/>
    </w:rPr>
  </w:style>
  <w:style w:type="character" w:customStyle="1" w:styleId="Mention">
    <w:name w:val="Mention"/>
    <w:basedOn w:val="DefaultParagraphFont"/>
    <w:uiPriority w:val="99"/>
    <w:unhideWhenUsed/>
    <w:rsid w:val="00263B08"/>
    <w:rPr>
      <w:color w:val="2B579A"/>
      <w:shd w:val="clear" w:color="auto" w:fill="E6E6E6"/>
    </w:rPr>
  </w:style>
  <w:style w:type="character" w:styleId="FollowedHyperlink">
    <w:name w:val="FollowedHyperlink"/>
    <w:basedOn w:val="DefaultParagraphFont"/>
    <w:uiPriority w:val="99"/>
    <w:semiHidden/>
    <w:unhideWhenUsed/>
    <w:rsid w:val="00F7481F"/>
    <w:rPr>
      <w:color w:val="800080" w:themeColor="followedHyperlink"/>
      <w:u w:val="single"/>
    </w:rPr>
  </w:style>
  <w:style w:type="character" w:customStyle="1" w:styleId="normaltextrun">
    <w:name w:val="normaltextrun"/>
    <w:basedOn w:val="DefaultParagraphFont"/>
    <w:rsid w:val="003160AD"/>
  </w:style>
  <w:style w:type="paragraph" w:customStyle="1" w:styleId="title-bold">
    <w:name w:val="title-bold"/>
    <w:basedOn w:val="Normal"/>
    <w:rsid w:val="00F82D67"/>
    <w:pPr>
      <w:spacing w:before="100" w:beforeAutospacing="1" w:after="100" w:afterAutospacing="1"/>
      <w:jc w:val="left"/>
    </w:pPr>
    <w:rPr>
      <w:rFonts w:eastAsia="Times New Roman"/>
      <w:szCs w:val="24"/>
      <w:lang w:val="en-IE" w:eastAsia="en-IE"/>
    </w:rPr>
  </w:style>
  <w:style w:type="paragraph" w:styleId="Header">
    <w:name w:val="header"/>
    <w:basedOn w:val="Normal"/>
    <w:link w:val="HeaderChar"/>
    <w:uiPriority w:val="99"/>
    <w:unhideWhenUsed/>
    <w:rsid w:val="00B018F6"/>
    <w:pPr>
      <w:tabs>
        <w:tab w:val="center" w:pos="4535"/>
        <w:tab w:val="right" w:pos="9071"/>
      </w:tabs>
      <w:spacing w:before="0"/>
    </w:pPr>
  </w:style>
  <w:style w:type="character" w:customStyle="1" w:styleId="HeaderChar">
    <w:name w:val="Header Char"/>
    <w:basedOn w:val="DefaultParagraphFont"/>
    <w:link w:val="Header"/>
    <w:uiPriority w:val="99"/>
    <w:rsid w:val="00B018F6"/>
    <w:rPr>
      <w:rFonts w:ascii="Times New Roman" w:hAnsi="Times New Roman" w:cs="Times New Roman"/>
      <w:sz w:val="24"/>
      <w:lang w:val="en-GB"/>
    </w:rPr>
  </w:style>
  <w:style w:type="paragraph" w:styleId="Footer">
    <w:name w:val="footer"/>
    <w:basedOn w:val="Normal"/>
    <w:link w:val="FooterChar"/>
    <w:uiPriority w:val="99"/>
    <w:unhideWhenUsed/>
    <w:rsid w:val="00B018F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018F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018F6"/>
    <w:pPr>
      <w:tabs>
        <w:tab w:val="center" w:pos="7285"/>
        <w:tab w:val="right" w:pos="14003"/>
      </w:tabs>
      <w:spacing w:before="0"/>
    </w:pPr>
  </w:style>
  <w:style w:type="paragraph" w:customStyle="1" w:styleId="FooterLandscape">
    <w:name w:val="FooterLandscape"/>
    <w:basedOn w:val="Normal"/>
    <w:rsid w:val="00B018F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018F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018F6"/>
    <w:pPr>
      <w:spacing w:before="0"/>
      <w:jc w:val="right"/>
    </w:pPr>
    <w:rPr>
      <w:sz w:val="28"/>
    </w:rPr>
  </w:style>
  <w:style w:type="paragraph" w:customStyle="1" w:styleId="FooterSensitivity">
    <w:name w:val="Footer Sensitivity"/>
    <w:basedOn w:val="Normal"/>
    <w:rsid w:val="00B018F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Tiret5">
    <w:name w:val="Tiret 5"/>
    <w:basedOn w:val="Point5"/>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NumPar5">
    <w:name w:val="NumPar 5"/>
    <w:basedOn w:val="Normal"/>
    <w:next w:val="Text2"/>
    <w:pPr>
      <w:numPr>
        <w:ilvl w:val="4"/>
        <w:numId w:val="44"/>
      </w:numPr>
    </w:pPr>
  </w:style>
  <w:style w:type="paragraph" w:customStyle="1" w:styleId="NumPar6">
    <w:name w:val="NumPar 6"/>
    <w:basedOn w:val="Normal"/>
    <w:next w:val="Text2"/>
    <w:pPr>
      <w:numPr>
        <w:ilvl w:val="5"/>
        <w:numId w:val="44"/>
      </w:numPr>
    </w:pPr>
  </w:style>
  <w:style w:type="paragraph" w:customStyle="1" w:styleId="NumPar7">
    <w:name w:val="NumPar 7"/>
    <w:basedOn w:val="Normal"/>
    <w:next w:val="Text2"/>
    <w:pPr>
      <w:numPr>
        <w:ilvl w:val="6"/>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9351">
      <w:bodyDiv w:val="1"/>
      <w:marLeft w:val="0"/>
      <w:marRight w:val="0"/>
      <w:marTop w:val="0"/>
      <w:marBottom w:val="0"/>
      <w:divBdr>
        <w:top w:val="none" w:sz="0" w:space="0" w:color="auto"/>
        <w:left w:val="none" w:sz="0" w:space="0" w:color="auto"/>
        <w:bottom w:val="none" w:sz="0" w:space="0" w:color="auto"/>
        <w:right w:val="none" w:sz="0" w:space="0" w:color="auto"/>
      </w:divBdr>
    </w:div>
    <w:div w:id="419763196">
      <w:bodyDiv w:val="1"/>
      <w:marLeft w:val="0"/>
      <w:marRight w:val="0"/>
      <w:marTop w:val="0"/>
      <w:marBottom w:val="0"/>
      <w:divBdr>
        <w:top w:val="none" w:sz="0" w:space="0" w:color="auto"/>
        <w:left w:val="none" w:sz="0" w:space="0" w:color="auto"/>
        <w:bottom w:val="none" w:sz="0" w:space="0" w:color="auto"/>
        <w:right w:val="none" w:sz="0" w:space="0" w:color="auto"/>
      </w:divBdr>
    </w:div>
    <w:div w:id="518589100">
      <w:bodyDiv w:val="1"/>
      <w:marLeft w:val="0"/>
      <w:marRight w:val="0"/>
      <w:marTop w:val="0"/>
      <w:marBottom w:val="0"/>
      <w:divBdr>
        <w:top w:val="none" w:sz="0" w:space="0" w:color="auto"/>
        <w:left w:val="none" w:sz="0" w:space="0" w:color="auto"/>
        <w:bottom w:val="none" w:sz="0" w:space="0" w:color="auto"/>
        <w:right w:val="none" w:sz="0" w:space="0" w:color="auto"/>
      </w:divBdr>
    </w:div>
    <w:div w:id="610625648">
      <w:bodyDiv w:val="1"/>
      <w:marLeft w:val="0"/>
      <w:marRight w:val="0"/>
      <w:marTop w:val="0"/>
      <w:marBottom w:val="0"/>
      <w:divBdr>
        <w:top w:val="none" w:sz="0" w:space="0" w:color="auto"/>
        <w:left w:val="none" w:sz="0" w:space="0" w:color="auto"/>
        <w:bottom w:val="none" w:sz="0" w:space="0" w:color="auto"/>
        <w:right w:val="none" w:sz="0" w:space="0" w:color="auto"/>
      </w:divBdr>
    </w:div>
    <w:div w:id="675965958">
      <w:bodyDiv w:val="1"/>
      <w:marLeft w:val="0"/>
      <w:marRight w:val="0"/>
      <w:marTop w:val="0"/>
      <w:marBottom w:val="0"/>
      <w:divBdr>
        <w:top w:val="none" w:sz="0" w:space="0" w:color="auto"/>
        <w:left w:val="none" w:sz="0" w:space="0" w:color="auto"/>
        <w:bottom w:val="none" w:sz="0" w:space="0" w:color="auto"/>
        <w:right w:val="none" w:sz="0" w:space="0" w:color="auto"/>
      </w:divBdr>
    </w:div>
    <w:div w:id="887766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yintracomm.ec.europa.eu/budgweb/EN/leg/internal/Documents/2016-5-legislative-financial-statement-ann-en.docx"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ctp/exchange-of-tax-information/treatyreliefandcomplianceenhancementtrace.htm" TargetMode="External"/><Relationship Id="rId2" Type="http://schemas.openxmlformats.org/officeDocument/2006/relationships/hyperlink" Target="https://taxation-customs.ec.europa.eu/system/files/2017-12/code_of_conduct_on_witholding_tax.pdf" TargetMode="External"/><Relationship Id="rId1" Type="http://schemas.openxmlformats.org/officeDocument/2006/relationships/hyperlink" Target="https://finance.ec.europa.eu/publications/retail-investment-package_en" TargetMode="External"/><Relationship Id="rId4" Type="http://schemas.openxmlformats.org/officeDocument/2006/relationships/hyperlink" Target="https://ec.europa.eu/info/law/better-regulation/have-your-say/initiatives/13031-Withholding-taxes-new-EU-system-to-avoid-double-taxa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0C4B8CEF398C046BA02B04000B35719" ma:contentTypeVersion="4" ma:contentTypeDescription="Create a new document in this library." ma:contentTypeScope="" ma:versionID="32ba2009fe51c7e5d42ede39f2db96b0">
  <xsd:schema xmlns:xsd="http://www.w3.org/2001/XMLSchema" xmlns:xs="http://www.w3.org/2001/XMLSchema" xmlns:p="http://schemas.microsoft.com/office/2006/metadata/properties" xmlns:ns3="ae6cfab4-27cb-4408-82ad-0f0a830288e8" xmlns:ns4="66fbeb32-1e5c-4992-9fc4-46497e4795d8" targetNamespace="http://schemas.microsoft.com/office/2006/metadata/properties" ma:root="true" ma:fieldsID="b060bbe80c7e0e9d6ce96ad05d828191" ns3:_="" ns4:_="">
    <xsd:import namespace="ae6cfab4-27cb-4408-82ad-0f0a830288e8"/>
    <xsd:import namespace="66fbeb32-1e5c-4992-9fc4-46497e4795d8"/>
    <xsd:element name="properties">
      <xsd:complexType>
        <xsd:sequence>
          <xsd:element name="documentManagement">
            <xsd:complexType>
              <xsd:all>
                <xsd:element ref="ns3:EC_Collab_Reference" minOccurs="0"/>
                <xsd:element ref="ns3:EC_Collab_DocumentLanguage"/>
                <xsd:element ref="ns3:EC_Collab_Status"/>
                <xsd:element ref="ns3:_x0076_y28"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cfab4-27cb-4408-82ad-0f0a830288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_x0076_y28" ma:index="15" nillable="true" ma:displayName="Text" ma:internalName="_x0076_y2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beb32-1e5c-4992-9fc4-46497e479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6_y28 xmlns="ae6cfab4-27cb-4408-82ad-0f0a830288e8" xsi:nil="true"/>
    <EC_Collab_Status xmlns="ae6cfab4-27cb-4408-82ad-0f0a830288e8">Not Started</EC_Collab_Status>
    <EC_Collab_DocumentLanguage xmlns="ae6cfab4-27cb-4408-82ad-0f0a830288e8">EN</EC_Collab_DocumentLanguage>
    <EC_Collab_Reference xmlns="ae6cfab4-27cb-4408-82ad-0f0a830288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0C4B8CEF398C046BA02B04000B35719" ma:contentTypeVersion="4" ma:contentTypeDescription="Create a new document in this library." ma:contentTypeScope="" ma:versionID="32ba2009fe51c7e5d42ede39f2db96b0">
  <xsd:schema xmlns:xsd="http://www.w3.org/2001/XMLSchema" xmlns:xs="http://www.w3.org/2001/XMLSchema" xmlns:p="http://schemas.microsoft.com/office/2006/metadata/properties" xmlns:ns3="ae6cfab4-27cb-4408-82ad-0f0a830288e8" xmlns:ns4="66fbeb32-1e5c-4992-9fc4-46497e4795d8" targetNamespace="http://schemas.microsoft.com/office/2006/metadata/properties" ma:root="true" ma:fieldsID="b060bbe80c7e0e9d6ce96ad05d828191" ns3:_="" ns4:_="">
    <xsd:import namespace="ae6cfab4-27cb-4408-82ad-0f0a830288e8"/>
    <xsd:import namespace="66fbeb32-1e5c-4992-9fc4-46497e4795d8"/>
    <xsd:element name="properties">
      <xsd:complexType>
        <xsd:sequence>
          <xsd:element name="documentManagement">
            <xsd:complexType>
              <xsd:all>
                <xsd:element ref="ns3:EC_Collab_Reference" minOccurs="0"/>
                <xsd:element ref="ns3:EC_Collab_DocumentLanguage"/>
                <xsd:element ref="ns3:EC_Collab_Status"/>
                <xsd:element ref="ns3:_x0076_y28"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cfab4-27cb-4408-82ad-0f0a830288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_x0076_y28" ma:index="15" nillable="true" ma:displayName="Text" ma:internalName="_x0076_y2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beb32-1e5c-4992-9fc4-46497e479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E37F-945D-4D06-A7FE-0BD01E63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cfab4-27cb-4408-82ad-0f0a830288e8"/>
    <ds:schemaRef ds:uri="66fbeb32-1e5c-4992-9fc4-46497e47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0DA8A-70A8-45FB-90D5-2784825EE91C}">
  <ds:schemaRefs>
    <ds:schemaRef ds:uri="http://schemas.microsoft.com/sharepoint/v3/contenttype/forms"/>
  </ds:schemaRefs>
</ds:datastoreItem>
</file>

<file path=customXml/itemProps3.xml><?xml version="1.0" encoding="utf-8"?>
<ds:datastoreItem xmlns:ds="http://schemas.openxmlformats.org/officeDocument/2006/customXml" ds:itemID="{16AF0CAC-B39A-49C0-BED8-6E49E33E30C5}">
  <ds:schemaRefs>
    <ds:schemaRef ds:uri="http://schemas.microsoft.com/office/2006/metadata/properties"/>
    <ds:schemaRef ds:uri="http://schemas.microsoft.com/office/infopath/2007/PartnerControls"/>
    <ds:schemaRef ds:uri="ae6cfab4-27cb-4408-82ad-0f0a830288e8"/>
  </ds:schemaRefs>
</ds:datastoreItem>
</file>

<file path=customXml/itemProps4.xml><?xml version="1.0" encoding="utf-8"?>
<ds:datastoreItem xmlns:ds="http://schemas.openxmlformats.org/officeDocument/2006/customXml" ds:itemID="{3352A364-56E1-4851-B2CE-59CBE1CA8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cfab4-27cb-4408-82ad-0f0a830288e8"/>
    <ds:schemaRef ds:uri="66fbeb32-1e5c-4992-9fc4-46497e47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FD7DC8-E0C9-4586-8EE7-A8F57F5A63AB}">
  <ds:schemaRefs>
    <ds:schemaRef ds:uri="http://schemas.microsoft.com/sharepoint/v3/contenttype/forms"/>
  </ds:schemaRefs>
</ds:datastoreItem>
</file>

<file path=customXml/itemProps6.xml><?xml version="1.0" encoding="utf-8"?>
<ds:datastoreItem xmlns:ds="http://schemas.openxmlformats.org/officeDocument/2006/customXml" ds:itemID="{5030F146-0FFB-4A15-8BC8-3C20DDDE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22</TotalTime>
  <Pages>53</Pages>
  <Words>17804</Words>
  <Characters>96855</Characters>
  <Application>Microsoft Office Word</Application>
  <DocSecurity>0</DocSecurity>
  <Lines>2483</Lines>
  <Paragraphs>955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61</cp:revision>
  <cp:lastPrinted>2023-06-01T08:44:00Z</cp:lastPrinted>
  <dcterms:created xsi:type="dcterms:W3CDTF">2023-06-12T10:42:00Z</dcterms:created>
  <dcterms:modified xsi:type="dcterms:W3CDTF">2023-06-16T09:44:00Z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2023-04-11T14:18:38Z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7e4594fd-2f36-40f1-8da8-c19fc39299e8</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SJ-017</vt:lpwstr>
  </property>
  <property fmtid="{D5CDD505-2E9C-101B-9397-08002B2CF9AE}" pid="17" name="ContentTypeId">
    <vt:lpwstr>0x010100258AA79CEB83498886A3A086811232500010C4B8CEF398C046BA02B04000B35719</vt:lpwstr>
  </property>
  <property fmtid="{D5CDD505-2E9C-101B-9397-08002B2CF9AE}" pid="18" name="DQCStatus">
    <vt:lpwstr>Green (DQC version 03)</vt:lpwstr>
  </property>
</Properties>
</file>